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6F7C4" w14:textId="539E9855" w:rsidR="00B6043B" w:rsidRPr="00345033" w:rsidRDefault="0059518E" w:rsidP="0059518E">
      <w:pPr>
        <w:jc w:val="center"/>
        <w:rPr>
          <w:rFonts w:ascii="Arial" w:hAnsi="Arial" w:cs="Arial"/>
          <w:b/>
          <w:bCs/>
        </w:rPr>
      </w:pPr>
      <w:r w:rsidRPr="00345033">
        <w:rPr>
          <w:rFonts w:ascii="Arial" w:hAnsi="Arial" w:cs="Arial"/>
          <w:b/>
          <w:bCs/>
        </w:rPr>
        <w:t>Formato para la Difusión de los Resultados de las Evaluaciones</w:t>
      </w:r>
    </w:p>
    <w:tbl>
      <w:tblPr>
        <w:tblStyle w:val="Tablaconcuadrcula"/>
        <w:tblW w:w="9515" w:type="dxa"/>
        <w:tblCellMar>
          <w:top w:w="113" w:type="dxa"/>
          <w:bottom w:w="113" w:type="dxa"/>
        </w:tblCellMar>
        <w:tblLook w:val="04A0" w:firstRow="1" w:lastRow="0" w:firstColumn="1" w:lastColumn="0" w:noHBand="0" w:noVBand="1"/>
      </w:tblPr>
      <w:tblGrid>
        <w:gridCol w:w="3544"/>
        <w:gridCol w:w="5971"/>
      </w:tblGrid>
      <w:tr w:rsidR="0059518E" w:rsidRPr="0082261D" w14:paraId="75C6347F" w14:textId="77777777" w:rsidTr="00BC377F">
        <w:trPr>
          <w:trHeight w:val="464"/>
        </w:trPr>
        <w:tc>
          <w:tcPr>
            <w:tcW w:w="9515" w:type="dxa"/>
            <w:gridSpan w:val="2"/>
            <w:tcBorders>
              <w:top w:val="single" w:sz="4" w:space="0" w:color="auto"/>
              <w:left w:val="nil"/>
              <w:bottom w:val="single" w:sz="4" w:space="0" w:color="auto"/>
              <w:right w:val="nil"/>
            </w:tcBorders>
            <w:shd w:val="clear" w:color="auto" w:fill="E7E6E6" w:themeFill="background2"/>
            <w:vAlign w:val="center"/>
          </w:tcPr>
          <w:p w14:paraId="169BE5A9" w14:textId="77777777" w:rsidR="0059518E" w:rsidRPr="0082261D" w:rsidRDefault="0059518E" w:rsidP="000174E8">
            <w:pPr>
              <w:spacing w:line="276" w:lineRule="auto"/>
              <w:rPr>
                <w:rFonts w:ascii="Arial" w:hAnsi="Arial" w:cs="Arial"/>
                <w:b/>
                <w:bCs/>
                <w:sz w:val="16"/>
                <w:szCs w:val="16"/>
              </w:rPr>
            </w:pPr>
            <w:r w:rsidRPr="0082261D">
              <w:rPr>
                <w:rFonts w:ascii="Arial" w:hAnsi="Arial" w:cs="Arial"/>
                <w:b/>
                <w:bCs/>
                <w:sz w:val="16"/>
                <w:szCs w:val="16"/>
              </w:rPr>
              <w:t>1. DESCRIPCIÓN DE LA EVALUACIÓN</w:t>
            </w:r>
          </w:p>
        </w:tc>
      </w:tr>
      <w:tr w:rsidR="0059518E" w:rsidRPr="0082261D" w14:paraId="4DB670F5" w14:textId="77777777" w:rsidTr="00BC377F">
        <w:trPr>
          <w:trHeight w:val="464"/>
        </w:trPr>
        <w:tc>
          <w:tcPr>
            <w:tcW w:w="9515" w:type="dxa"/>
            <w:gridSpan w:val="2"/>
            <w:tcBorders>
              <w:top w:val="single" w:sz="4" w:space="0" w:color="auto"/>
              <w:left w:val="nil"/>
              <w:bottom w:val="single" w:sz="4" w:space="0" w:color="D9D9D9" w:themeColor="background1" w:themeShade="D9"/>
              <w:right w:val="nil"/>
            </w:tcBorders>
            <w:vAlign w:val="center"/>
          </w:tcPr>
          <w:p w14:paraId="4FD8DD81" w14:textId="49517088" w:rsidR="0059518E" w:rsidRPr="00E34BDE" w:rsidRDefault="0059518E" w:rsidP="00E34BDE">
            <w:pPr>
              <w:spacing w:line="360" w:lineRule="auto"/>
              <w:rPr>
                <w:rFonts w:ascii="Arial" w:hAnsi="Arial" w:cs="Arial"/>
                <w:sz w:val="16"/>
                <w:szCs w:val="16"/>
              </w:rPr>
            </w:pPr>
            <w:r w:rsidRPr="0082261D">
              <w:rPr>
                <w:rFonts w:ascii="Arial" w:hAnsi="Arial" w:cs="Arial"/>
                <w:b/>
                <w:bCs/>
                <w:sz w:val="16"/>
                <w:szCs w:val="16"/>
              </w:rPr>
              <w:t>1.1 Nombre de la evaluación:</w:t>
            </w:r>
            <w:r w:rsidR="00CF4EB5" w:rsidRPr="0082261D">
              <w:rPr>
                <w:rFonts w:ascii="Arial" w:hAnsi="Arial" w:cs="Arial"/>
                <w:sz w:val="16"/>
                <w:szCs w:val="16"/>
              </w:rPr>
              <w:t xml:space="preserve"> </w:t>
            </w:r>
            <w:r w:rsidR="00D32F0A" w:rsidRPr="00D32F0A">
              <w:rPr>
                <w:rFonts w:ascii="Arial" w:hAnsi="Arial" w:cs="Arial"/>
                <w:bCs/>
                <w:sz w:val="16"/>
                <w:szCs w:val="16"/>
                <w:lang w:val="es-ES_tradnl"/>
              </w:rPr>
              <w:t>Evaluación del Desempeño del Fondo de Aportaciones Múltiples, Infraestructura Educativa[FAM-IE] - 2022</w:t>
            </w:r>
          </w:p>
        </w:tc>
      </w:tr>
      <w:tr w:rsidR="0059518E" w:rsidRPr="0082261D" w14:paraId="1F03330B"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6B1851B3" w14:textId="39D903EB" w:rsidR="0059518E" w:rsidRPr="0082261D" w:rsidRDefault="0059518E" w:rsidP="00D8307A">
            <w:pPr>
              <w:spacing w:line="360" w:lineRule="auto"/>
              <w:rPr>
                <w:rFonts w:ascii="Arial" w:hAnsi="Arial" w:cs="Arial"/>
                <w:b/>
                <w:bCs/>
                <w:sz w:val="16"/>
                <w:szCs w:val="16"/>
              </w:rPr>
            </w:pPr>
            <w:r w:rsidRPr="0082261D">
              <w:rPr>
                <w:rFonts w:ascii="Arial" w:hAnsi="Arial" w:cs="Arial"/>
                <w:b/>
                <w:bCs/>
                <w:sz w:val="16"/>
                <w:szCs w:val="16"/>
              </w:rPr>
              <w:t>1.2 Fecha de inicio de la evaluación (dd/mm/aaaa):</w:t>
            </w:r>
            <w:r w:rsidR="00CF4EB5" w:rsidRPr="0082261D">
              <w:rPr>
                <w:rFonts w:ascii="Arial" w:hAnsi="Arial" w:cs="Arial"/>
                <w:sz w:val="16"/>
                <w:szCs w:val="16"/>
              </w:rPr>
              <w:t xml:space="preserve">  </w:t>
            </w:r>
            <w:r w:rsidR="00D8307A">
              <w:rPr>
                <w:rFonts w:ascii="Arial" w:hAnsi="Arial" w:cs="Arial"/>
                <w:sz w:val="16"/>
                <w:szCs w:val="16"/>
              </w:rPr>
              <w:t>14 de julio de 2023</w:t>
            </w:r>
          </w:p>
        </w:tc>
      </w:tr>
      <w:tr w:rsidR="0059518E" w:rsidRPr="0082261D" w14:paraId="586C9D50"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58C9FFF1" w14:textId="2D581F9B" w:rsidR="0059518E" w:rsidRPr="0082261D" w:rsidRDefault="0059518E" w:rsidP="00D8307A">
            <w:pPr>
              <w:spacing w:line="360" w:lineRule="auto"/>
              <w:rPr>
                <w:rFonts w:ascii="Arial" w:hAnsi="Arial" w:cs="Arial"/>
                <w:b/>
                <w:bCs/>
                <w:sz w:val="16"/>
                <w:szCs w:val="16"/>
              </w:rPr>
            </w:pPr>
            <w:r w:rsidRPr="0082261D">
              <w:rPr>
                <w:rFonts w:ascii="Arial" w:hAnsi="Arial" w:cs="Arial"/>
                <w:b/>
                <w:bCs/>
                <w:sz w:val="16"/>
                <w:szCs w:val="16"/>
              </w:rPr>
              <w:t>1.3 Fecha de término de la evaluación (dd/mm/aaaa):</w:t>
            </w:r>
            <w:r w:rsidR="00243B6C">
              <w:rPr>
                <w:rFonts w:ascii="Arial" w:hAnsi="Arial" w:cs="Arial"/>
                <w:b/>
                <w:bCs/>
                <w:sz w:val="16"/>
                <w:szCs w:val="16"/>
              </w:rPr>
              <w:t xml:space="preserve"> </w:t>
            </w:r>
            <w:r w:rsidR="00D8307A" w:rsidRPr="00585BDF">
              <w:rPr>
                <w:rFonts w:ascii="Cambria" w:hAnsi="Cambria" w:cs="Calibri"/>
                <w:color w:val="262626" w:themeColor="text1" w:themeTint="D9"/>
                <w:sz w:val="18"/>
                <w:szCs w:val="18"/>
              </w:rPr>
              <w:t>19 de septiembre de 2023</w:t>
            </w:r>
          </w:p>
        </w:tc>
      </w:tr>
      <w:tr w:rsidR="0059518E" w:rsidRPr="0082261D" w14:paraId="59F69776" w14:textId="77777777" w:rsidTr="00CA3984">
        <w:trPr>
          <w:trHeight w:val="430"/>
        </w:trPr>
        <w:tc>
          <w:tcPr>
            <w:tcW w:w="9515" w:type="dxa"/>
            <w:gridSpan w:val="2"/>
            <w:tcBorders>
              <w:top w:val="single" w:sz="4" w:space="0" w:color="D9D9D9" w:themeColor="background1" w:themeShade="D9"/>
              <w:left w:val="nil"/>
              <w:bottom w:val="single" w:sz="4" w:space="0" w:color="D9D9D9" w:themeColor="background1" w:themeShade="D9"/>
              <w:right w:val="nil"/>
            </w:tcBorders>
            <w:shd w:val="clear" w:color="auto" w:fill="F2F2F2" w:themeFill="background1" w:themeFillShade="F2"/>
            <w:vAlign w:val="center"/>
          </w:tcPr>
          <w:p w14:paraId="59DBDAF4" w14:textId="77777777" w:rsidR="0059518E" w:rsidRPr="0082261D" w:rsidRDefault="0059518E" w:rsidP="00D8307A">
            <w:pPr>
              <w:autoSpaceDE w:val="0"/>
              <w:autoSpaceDN w:val="0"/>
              <w:adjustRightInd w:val="0"/>
              <w:spacing w:line="360" w:lineRule="auto"/>
              <w:rPr>
                <w:rFonts w:ascii="Arial" w:hAnsi="Arial" w:cs="Arial"/>
                <w:b/>
                <w:bCs/>
                <w:sz w:val="16"/>
                <w:szCs w:val="16"/>
              </w:rPr>
            </w:pPr>
            <w:r w:rsidRPr="0082261D">
              <w:rPr>
                <w:rFonts w:ascii="Arial" w:hAnsi="Arial" w:cs="Arial"/>
                <w:b/>
                <w:bCs/>
                <w:sz w:val="16"/>
                <w:szCs w:val="16"/>
              </w:rPr>
              <w:t>1.4 Nombre de la persona responsable de darle seguimiento a la evaluación y nombre de la unidad administrativa a la</w:t>
            </w:r>
          </w:p>
          <w:p w14:paraId="626BBB20" w14:textId="77777777" w:rsidR="0059518E" w:rsidRPr="0082261D" w:rsidRDefault="0059518E" w:rsidP="00D8307A">
            <w:pPr>
              <w:spacing w:line="360" w:lineRule="auto"/>
              <w:rPr>
                <w:rFonts w:ascii="Arial" w:hAnsi="Arial" w:cs="Arial"/>
                <w:b/>
                <w:bCs/>
                <w:sz w:val="16"/>
                <w:szCs w:val="16"/>
              </w:rPr>
            </w:pPr>
            <w:r w:rsidRPr="0082261D">
              <w:rPr>
                <w:rFonts w:ascii="Arial" w:hAnsi="Arial" w:cs="Arial"/>
                <w:b/>
                <w:bCs/>
                <w:sz w:val="16"/>
                <w:szCs w:val="16"/>
              </w:rPr>
              <w:t>que pertenece</w:t>
            </w:r>
            <w:r w:rsidRPr="0082261D">
              <w:rPr>
                <w:rFonts w:ascii="Arial" w:hAnsi="Arial" w:cs="Arial"/>
                <w:sz w:val="16"/>
                <w:szCs w:val="16"/>
              </w:rPr>
              <w:t>:</w:t>
            </w:r>
          </w:p>
        </w:tc>
      </w:tr>
      <w:tr w:rsidR="0059518E" w:rsidRPr="0082261D" w14:paraId="31FCA209" w14:textId="77777777" w:rsidTr="002A3C6C">
        <w:trPr>
          <w:trHeight w:val="464"/>
        </w:trPr>
        <w:tc>
          <w:tcPr>
            <w:tcW w:w="3544"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vAlign w:val="center"/>
          </w:tcPr>
          <w:p w14:paraId="38DD3A93" w14:textId="77777777" w:rsidR="000174E8" w:rsidRPr="0082261D" w:rsidRDefault="0059518E" w:rsidP="00D8307A">
            <w:pPr>
              <w:spacing w:line="360" w:lineRule="auto"/>
              <w:rPr>
                <w:rFonts w:ascii="Arial" w:hAnsi="Arial" w:cs="Arial"/>
                <w:sz w:val="16"/>
                <w:szCs w:val="16"/>
              </w:rPr>
            </w:pPr>
            <w:r w:rsidRPr="0082261D">
              <w:rPr>
                <w:rFonts w:ascii="Arial" w:hAnsi="Arial" w:cs="Arial"/>
                <w:b/>
                <w:bCs/>
                <w:sz w:val="16"/>
                <w:szCs w:val="16"/>
              </w:rPr>
              <w:t>Nombre:</w:t>
            </w:r>
            <w:r w:rsidR="00CF4EB5" w:rsidRPr="0082261D">
              <w:rPr>
                <w:rFonts w:ascii="Arial" w:hAnsi="Arial" w:cs="Arial"/>
                <w:sz w:val="16"/>
                <w:szCs w:val="16"/>
              </w:rPr>
              <w:t xml:space="preserve"> </w:t>
            </w:r>
          </w:p>
          <w:p w14:paraId="641D65BA" w14:textId="626ED9B9" w:rsidR="0059518E" w:rsidRPr="00D8307A" w:rsidRDefault="00D8307A" w:rsidP="00D8307A">
            <w:pPr>
              <w:spacing w:line="360" w:lineRule="auto"/>
              <w:rPr>
                <w:rFonts w:ascii="Arial" w:hAnsi="Arial" w:cs="Arial"/>
                <w:bCs/>
                <w:sz w:val="16"/>
                <w:szCs w:val="16"/>
                <w:lang w:val="es-ES_tradnl"/>
              </w:rPr>
            </w:pPr>
            <w:r w:rsidRPr="00D8307A">
              <w:rPr>
                <w:rFonts w:ascii="Arial" w:hAnsi="Arial" w:cs="Arial"/>
                <w:bCs/>
                <w:sz w:val="16"/>
                <w:szCs w:val="16"/>
                <w:lang w:val="es-ES_tradnl"/>
              </w:rPr>
              <w:t>Mtro. Juan Antonio Ramírez Torres</w:t>
            </w:r>
          </w:p>
        </w:tc>
        <w:tc>
          <w:tcPr>
            <w:tcW w:w="5971"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vAlign w:val="bottom"/>
          </w:tcPr>
          <w:p w14:paraId="7EACE0FC" w14:textId="77777777" w:rsidR="000174E8" w:rsidRPr="000174E8" w:rsidRDefault="000174E8" w:rsidP="00D8307A">
            <w:pPr>
              <w:spacing w:line="360" w:lineRule="auto"/>
              <w:rPr>
                <w:rFonts w:ascii="Arial" w:hAnsi="Arial" w:cs="Arial"/>
                <w:b/>
                <w:sz w:val="16"/>
                <w:szCs w:val="16"/>
                <w:lang w:val="es-ES"/>
              </w:rPr>
            </w:pPr>
            <w:r w:rsidRPr="000174E8">
              <w:rPr>
                <w:rFonts w:ascii="Arial" w:hAnsi="Arial" w:cs="Arial"/>
                <w:b/>
                <w:sz w:val="16"/>
                <w:szCs w:val="16"/>
                <w:lang w:val="es-ES"/>
              </w:rPr>
              <w:t>Unidad administrativa:</w:t>
            </w:r>
          </w:p>
          <w:p w14:paraId="56D484EF" w14:textId="13CFE37D" w:rsidR="0059518E" w:rsidRPr="00D8307A" w:rsidRDefault="00D8307A" w:rsidP="00D8307A">
            <w:pPr>
              <w:spacing w:line="360" w:lineRule="auto"/>
              <w:rPr>
                <w:rFonts w:ascii="Arial" w:hAnsi="Arial" w:cs="Arial"/>
                <w:sz w:val="16"/>
                <w:szCs w:val="16"/>
                <w:lang w:val="es-ES_tradnl"/>
              </w:rPr>
            </w:pPr>
            <w:r w:rsidRPr="00D8307A">
              <w:rPr>
                <w:rFonts w:ascii="Arial" w:hAnsi="Arial" w:cs="Arial"/>
                <w:bCs/>
                <w:sz w:val="16"/>
                <w:szCs w:val="16"/>
                <w:lang w:val="es-ES_tradnl"/>
              </w:rPr>
              <w:t>Dirección de Control Interno y Evaluación Gubernamental</w:t>
            </w:r>
            <w:r w:rsidRPr="00D8307A">
              <w:rPr>
                <w:rFonts w:ascii="Arial" w:hAnsi="Arial" w:cs="Arial"/>
                <w:sz w:val="16"/>
                <w:szCs w:val="16"/>
                <w:lang w:val="es-ES_tradnl"/>
              </w:rPr>
              <w:t xml:space="preserve"> </w:t>
            </w:r>
          </w:p>
        </w:tc>
      </w:tr>
      <w:tr w:rsidR="008A0A03" w:rsidRPr="0082261D" w14:paraId="2B873F6F"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24AA590B" w14:textId="77777777" w:rsidR="000174E8" w:rsidRPr="0082261D" w:rsidRDefault="008A0A03" w:rsidP="00D8307A">
            <w:pPr>
              <w:spacing w:line="360" w:lineRule="auto"/>
              <w:rPr>
                <w:rFonts w:ascii="Arial" w:hAnsi="Arial" w:cs="Arial"/>
                <w:b/>
                <w:bCs/>
                <w:sz w:val="16"/>
                <w:szCs w:val="16"/>
              </w:rPr>
            </w:pPr>
            <w:r w:rsidRPr="0082261D">
              <w:rPr>
                <w:rFonts w:ascii="Arial" w:hAnsi="Arial" w:cs="Arial"/>
                <w:b/>
                <w:bCs/>
                <w:sz w:val="16"/>
                <w:szCs w:val="16"/>
              </w:rPr>
              <w:t>1.5 Objetivo general de la evaluación:</w:t>
            </w:r>
            <w:r w:rsidR="00CF4EB5" w:rsidRPr="0082261D">
              <w:rPr>
                <w:rFonts w:ascii="Arial" w:hAnsi="Arial" w:cs="Arial"/>
                <w:b/>
                <w:bCs/>
                <w:sz w:val="16"/>
                <w:szCs w:val="16"/>
              </w:rPr>
              <w:t xml:space="preserve"> </w:t>
            </w:r>
          </w:p>
          <w:p w14:paraId="43E10B9C" w14:textId="405F587E" w:rsidR="008A0A03" w:rsidRPr="00F726EA" w:rsidRDefault="00CD5A46" w:rsidP="00D8307A">
            <w:pPr>
              <w:spacing w:line="360" w:lineRule="auto"/>
              <w:jc w:val="both"/>
              <w:rPr>
                <w:rFonts w:ascii="Arial" w:hAnsi="Arial" w:cs="Arial"/>
                <w:bCs/>
                <w:sz w:val="16"/>
                <w:szCs w:val="16"/>
                <w:lang w:val="es-ES_tradnl"/>
              </w:rPr>
            </w:pPr>
            <w:r w:rsidRPr="00CD5A46">
              <w:rPr>
                <w:rFonts w:ascii="Arial" w:hAnsi="Arial" w:cs="Arial"/>
                <w:bCs/>
                <w:sz w:val="16"/>
                <w:szCs w:val="16"/>
                <w:lang w:val="es-ES_tradnl"/>
              </w:rPr>
              <w:t xml:space="preserve">Evaluar el desempeño del </w:t>
            </w:r>
            <w:r w:rsidRPr="00CD5A46">
              <w:rPr>
                <w:rFonts w:ascii="Arial" w:hAnsi="Arial" w:cs="Arial"/>
                <w:bCs/>
                <w:iCs/>
                <w:sz w:val="16"/>
                <w:szCs w:val="16"/>
                <w:lang w:val="es-ES_tradnl"/>
              </w:rPr>
              <w:t xml:space="preserve">Fondo de Aportaciones Múltiples Infraestructura Educativa [FAM-IE] </w:t>
            </w:r>
            <w:r w:rsidRPr="00CD5A46">
              <w:rPr>
                <w:rFonts w:ascii="Arial" w:hAnsi="Arial" w:cs="Arial"/>
                <w:bCs/>
                <w:sz w:val="16"/>
                <w:szCs w:val="16"/>
                <w:lang w:val="es-ES_tradnl"/>
              </w:rPr>
              <w:t>en Tamaulipas en el ejercicio fiscal 2022, con la finalidad de mejorar la gestión, la operación, los resultados y la rendición de cuentas.</w:t>
            </w:r>
          </w:p>
        </w:tc>
      </w:tr>
      <w:tr w:rsidR="0059518E" w:rsidRPr="0082261D" w14:paraId="7651B20D"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06631943" w14:textId="77777777" w:rsidR="000174E8" w:rsidRPr="0082261D" w:rsidRDefault="0059518E" w:rsidP="00D8307A">
            <w:pPr>
              <w:spacing w:line="360" w:lineRule="auto"/>
              <w:jc w:val="both"/>
              <w:rPr>
                <w:rFonts w:ascii="Arial" w:hAnsi="Arial" w:cs="Arial"/>
                <w:b/>
                <w:bCs/>
                <w:sz w:val="16"/>
                <w:szCs w:val="16"/>
              </w:rPr>
            </w:pPr>
            <w:r w:rsidRPr="0082261D">
              <w:rPr>
                <w:rFonts w:ascii="Arial" w:hAnsi="Arial" w:cs="Arial"/>
                <w:b/>
                <w:bCs/>
                <w:sz w:val="16"/>
                <w:szCs w:val="16"/>
              </w:rPr>
              <w:t>1.6 Objetivos específicos de la evaluación:</w:t>
            </w:r>
            <w:r w:rsidR="000174E8" w:rsidRPr="0082261D">
              <w:rPr>
                <w:rFonts w:ascii="Arial" w:hAnsi="Arial" w:cs="Arial"/>
                <w:b/>
                <w:bCs/>
                <w:sz w:val="16"/>
                <w:szCs w:val="16"/>
              </w:rPr>
              <w:t xml:space="preserve"> </w:t>
            </w:r>
          </w:p>
          <w:p w14:paraId="3076098C" w14:textId="77777777" w:rsidR="00CD5A46" w:rsidRPr="00CD5A46" w:rsidRDefault="00CD5A46" w:rsidP="00CD5A46">
            <w:pPr>
              <w:pStyle w:val="Prrafodelista"/>
              <w:numPr>
                <w:ilvl w:val="0"/>
                <w:numId w:val="1"/>
              </w:numPr>
              <w:spacing w:line="360" w:lineRule="auto"/>
              <w:ind w:left="426" w:hanging="426"/>
              <w:rPr>
                <w:rFonts w:ascii="Arial" w:hAnsi="Arial" w:cs="Arial"/>
                <w:sz w:val="16"/>
                <w:szCs w:val="16"/>
              </w:rPr>
            </w:pPr>
            <w:r w:rsidRPr="00CD5A46">
              <w:rPr>
                <w:rFonts w:ascii="Arial" w:hAnsi="Arial" w:cs="Arial"/>
                <w:sz w:val="16"/>
                <w:szCs w:val="16"/>
              </w:rPr>
              <w:t xml:space="preserve">Analizar la contribución, el destino y la concurrencia de las aportaciones del Fondo de Aportaciones Múltiples, componente Infraestructura Educativa. </w:t>
            </w:r>
          </w:p>
          <w:p w14:paraId="3B58FBA7" w14:textId="77777777" w:rsidR="00CD5A46" w:rsidRPr="00CD5A46" w:rsidRDefault="00CD5A46" w:rsidP="00CD5A46">
            <w:pPr>
              <w:pStyle w:val="Prrafodelista"/>
              <w:numPr>
                <w:ilvl w:val="0"/>
                <w:numId w:val="1"/>
              </w:numPr>
              <w:spacing w:line="360" w:lineRule="auto"/>
              <w:ind w:left="426" w:hanging="426"/>
              <w:rPr>
                <w:rFonts w:ascii="Arial" w:hAnsi="Arial" w:cs="Arial"/>
                <w:sz w:val="16"/>
                <w:szCs w:val="16"/>
              </w:rPr>
            </w:pPr>
            <w:r w:rsidRPr="00CD5A46">
              <w:rPr>
                <w:rFonts w:ascii="Arial" w:hAnsi="Arial" w:cs="Arial"/>
                <w:sz w:val="16"/>
                <w:szCs w:val="16"/>
              </w:rPr>
              <w:t>Analizar los procesos en la gestión y operación de las aportaciones en la entidad federativa, a fin de identificar los problemas o limitantes que obstaculizan la gestión del componente FAM-IE, así como las fortalezas y buenas prácticas que mejoran su capacidad de gestión en la entidad federativa.</w:t>
            </w:r>
          </w:p>
          <w:p w14:paraId="5FBB0D8F" w14:textId="77777777" w:rsidR="00CD5A46" w:rsidRPr="00CD5A46" w:rsidRDefault="00CD5A46" w:rsidP="00CD5A46">
            <w:pPr>
              <w:pStyle w:val="Prrafodelista"/>
              <w:numPr>
                <w:ilvl w:val="0"/>
                <w:numId w:val="1"/>
              </w:numPr>
              <w:spacing w:line="360" w:lineRule="auto"/>
              <w:ind w:left="426" w:hanging="426"/>
              <w:rPr>
                <w:rFonts w:ascii="Arial" w:hAnsi="Arial" w:cs="Arial"/>
                <w:sz w:val="16"/>
                <w:szCs w:val="16"/>
              </w:rPr>
            </w:pPr>
            <w:r w:rsidRPr="00CD5A46">
              <w:rPr>
                <w:rFonts w:ascii="Arial" w:hAnsi="Arial" w:cs="Arial"/>
                <w:sz w:val="16"/>
                <w:szCs w:val="16"/>
              </w:rPr>
              <w:t>Conocer el grado de sistematización de la información referente al ejercicio y resultados de la implementación de las aportaciones en la entidad federativa, así como los mecanismos de rendición de cuentas.</w:t>
            </w:r>
          </w:p>
          <w:p w14:paraId="10004B34" w14:textId="26CCDA1A" w:rsidR="00D8307A" w:rsidRPr="00CD5A46" w:rsidRDefault="00CD5A46" w:rsidP="00CD5A46">
            <w:pPr>
              <w:pStyle w:val="Prrafodelista"/>
              <w:numPr>
                <w:ilvl w:val="0"/>
                <w:numId w:val="1"/>
              </w:numPr>
              <w:spacing w:line="360" w:lineRule="auto"/>
              <w:ind w:left="426" w:hanging="426"/>
              <w:rPr>
                <w:rFonts w:ascii="Arial" w:hAnsi="Arial" w:cs="Arial"/>
                <w:sz w:val="16"/>
                <w:szCs w:val="16"/>
              </w:rPr>
            </w:pPr>
            <w:r w:rsidRPr="00CD5A46">
              <w:rPr>
                <w:rFonts w:ascii="Arial" w:hAnsi="Arial" w:cs="Arial"/>
                <w:sz w:val="16"/>
                <w:szCs w:val="16"/>
              </w:rPr>
              <w:t>Analizar la orientación a resultados y el desempeño del fondo en su componente Infraestructura Educativa, en la entidad federativa.</w:t>
            </w:r>
          </w:p>
        </w:tc>
      </w:tr>
      <w:tr w:rsidR="008869A8" w:rsidRPr="0082261D" w14:paraId="0F98DC35"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7644A269" w14:textId="77777777" w:rsidR="008869A8" w:rsidRPr="008869A8" w:rsidRDefault="008869A8" w:rsidP="008869A8">
            <w:pPr>
              <w:spacing w:line="360" w:lineRule="auto"/>
              <w:jc w:val="both"/>
              <w:rPr>
                <w:rFonts w:ascii="Arial" w:hAnsi="Arial" w:cs="Arial"/>
                <w:b/>
                <w:bCs/>
                <w:sz w:val="16"/>
                <w:szCs w:val="16"/>
              </w:rPr>
            </w:pPr>
            <w:r w:rsidRPr="008869A8">
              <w:rPr>
                <w:rFonts w:ascii="Arial" w:hAnsi="Arial" w:cs="Arial"/>
                <w:b/>
                <w:bCs/>
                <w:sz w:val="16"/>
                <w:szCs w:val="16"/>
              </w:rPr>
              <w:t>1.7 Metodología utilizada en la evaluación:</w:t>
            </w:r>
          </w:p>
          <w:p w14:paraId="72A50878" w14:textId="77777777" w:rsidR="00CD5A46" w:rsidRPr="00CD5A46" w:rsidRDefault="00CD5A46" w:rsidP="00CD5A46">
            <w:pPr>
              <w:spacing w:line="360" w:lineRule="auto"/>
              <w:jc w:val="both"/>
              <w:rPr>
                <w:rFonts w:ascii="Arial" w:hAnsi="Arial" w:cs="Arial"/>
                <w:sz w:val="16"/>
                <w:szCs w:val="16"/>
                <w:lang w:val="es-ES_tradnl"/>
              </w:rPr>
            </w:pPr>
            <w:r w:rsidRPr="00CD5A46">
              <w:rPr>
                <w:rFonts w:ascii="Arial" w:hAnsi="Arial" w:cs="Arial"/>
                <w:sz w:val="16"/>
                <w:szCs w:val="16"/>
                <w:lang w:val="es-ES_tradnl"/>
              </w:rPr>
              <w:t>El presente apartado incluye la descripción del servicio, los objetivos y la metodología a emplear en la evaluación objeto de estudio, así mismo, las consideraciones para dar respuesta a las preguntas de evaluación de cada proceso.</w:t>
            </w:r>
          </w:p>
          <w:p w14:paraId="4042D230" w14:textId="77777777" w:rsidR="00CD5A46" w:rsidRPr="00CD5A46" w:rsidRDefault="00CD5A46" w:rsidP="00CD5A46">
            <w:pPr>
              <w:spacing w:line="360" w:lineRule="auto"/>
              <w:jc w:val="both"/>
              <w:rPr>
                <w:rFonts w:ascii="Arial" w:hAnsi="Arial" w:cs="Arial"/>
                <w:sz w:val="16"/>
                <w:szCs w:val="16"/>
                <w:lang w:val="es-ES_tradnl"/>
              </w:rPr>
            </w:pPr>
          </w:p>
          <w:p w14:paraId="5E86592C" w14:textId="77777777" w:rsidR="00CD5A46" w:rsidRPr="00CD5A46" w:rsidRDefault="00CD5A46" w:rsidP="00CD5A46">
            <w:pPr>
              <w:spacing w:line="360" w:lineRule="auto"/>
              <w:jc w:val="both"/>
              <w:rPr>
                <w:rFonts w:ascii="Arial" w:hAnsi="Arial" w:cs="Arial"/>
                <w:b/>
                <w:bCs/>
                <w:sz w:val="16"/>
                <w:szCs w:val="16"/>
                <w:lang w:val="es-ES_tradnl"/>
              </w:rPr>
            </w:pPr>
            <w:r w:rsidRPr="00CD5A46">
              <w:rPr>
                <w:rFonts w:ascii="Arial" w:hAnsi="Arial" w:cs="Arial"/>
                <w:b/>
                <w:bCs/>
                <w:sz w:val="16"/>
                <w:szCs w:val="16"/>
                <w:lang w:val="es-ES_tradnl"/>
              </w:rPr>
              <w:t>a) Descripción del servicio</w:t>
            </w:r>
          </w:p>
          <w:p w14:paraId="6317CFBD" w14:textId="77777777" w:rsidR="00CD5A46" w:rsidRPr="00CD5A46" w:rsidRDefault="00CD5A46" w:rsidP="00CD5A46">
            <w:pPr>
              <w:spacing w:line="360" w:lineRule="auto"/>
              <w:jc w:val="both"/>
              <w:rPr>
                <w:rFonts w:ascii="Arial" w:hAnsi="Arial" w:cs="Arial"/>
                <w:sz w:val="16"/>
                <w:szCs w:val="16"/>
                <w:lang w:val="es-ES_tradnl"/>
              </w:rPr>
            </w:pPr>
            <w:r w:rsidRPr="00CD5A46">
              <w:rPr>
                <w:rFonts w:ascii="Arial" w:hAnsi="Arial" w:cs="Arial"/>
                <w:sz w:val="16"/>
                <w:szCs w:val="16"/>
                <w:lang w:val="es-ES_tradnl"/>
              </w:rPr>
              <w:t>En el marco de la Evaluación del desempeño del FAM-IE, basada en el modelo de referencia del CONEVAL, se han desarrollado una serie de acciones específicas. Para satisfacer el objetivo de la evaluación, se procedió a la organización, revisión y valoración de la información disponible, proporcionada por las entidades encargadas de ejecutar el fondo en el Estado. Esta revisión documental se vio enriquecida con entrevistas y seguimiento a los servidores públicos que tienen a su cargo la gestión del fondo, permitiendo así una visión más completa y detallada de su desempeño.</w:t>
            </w:r>
          </w:p>
          <w:p w14:paraId="7D692D58" w14:textId="77777777" w:rsidR="00CD5A46" w:rsidRDefault="00CD5A46" w:rsidP="00E34BDE">
            <w:pPr>
              <w:spacing w:line="360" w:lineRule="auto"/>
              <w:jc w:val="both"/>
              <w:rPr>
                <w:rFonts w:ascii="Arial" w:hAnsi="Arial" w:cs="Arial"/>
                <w:sz w:val="16"/>
                <w:szCs w:val="16"/>
                <w:lang w:val="es-ES_tradnl"/>
              </w:rPr>
            </w:pPr>
          </w:p>
          <w:p w14:paraId="46FD8B1E" w14:textId="77777777" w:rsidR="00CD5A46" w:rsidRPr="00CD5A46" w:rsidRDefault="00CD5A46" w:rsidP="00CD5A46">
            <w:pPr>
              <w:spacing w:line="360" w:lineRule="auto"/>
              <w:jc w:val="both"/>
              <w:rPr>
                <w:rFonts w:ascii="Arial" w:hAnsi="Arial" w:cs="Arial"/>
                <w:sz w:val="16"/>
                <w:szCs w:val="16"/>
                <w:lang w:val="es-ES_tradnl"/>
              </w:rPr>
            </w:pPr>
            <w:r w:rsidRPr="00CD5A46">
              <w:rPr>
                <w:rFonts w:ascii="Arial" w:hAnsi="Arial" w:cs="Arial"/>
                <w:sz w:val="16"/>
                <w:szCs w:val="16"/>
                <w:lang w:val="es-ES_tradnl"/>
              </w:rPr>
              <w:t xml:space="preserve">En este proceso evaluativo, la metodología se desarrolló con base en criterios teórico-empíricos, que aportaron un respaldo científico mediante el uso de métodos de investigación bien fundamentados. Así, desde un enfoque metodológico, se diseñó el instrumento </w:t>
            </w:r>
            <w:r w:rsidRPr="00CD5A46">
              <w:rPr>
                <w:rFonts w:ascii="Arial" w:hAnsi="Arial" w:cs="Arial"/>
                <w:sz w:val="16"/>
                <w:szCs w:val="16"/>
                <w:lang w:val="es-ES_tradnl"/>
              </w:rPr>
              <w:lastRenderedPageBreak/>
              <w:t>de recolección de información, el cual se derivó de las preguntas de investigación o evaluación especificadas en los objetivos del estudio.</w:t>
            </w:r>
          </w:p>
          <w:p w14:paraId="07CEEB5F" w14:textId="77777777" w:rsidR="00CD5A46" w:rsidRPr="00CD5A46" w:rsidRDefault="00CD5A46" w:rsidP="00CD5A46">
            <w:pPr>
              <w:spacing w:line="360" w:lineRule="auto"/>
              <w:jc w:val="both"/>
              <w:rPr>
                <w:rFonts w:ascii="Arial" w:hAnsi="Arial" w:cs="Arial"/>
                <w:sz w:val="16"/>
                <w:szCs w:val="16"/>
                <w:lang w:val="es-ES_tradnl"/>
              </w:rPr>
            </w:pPr>
          </w:p>
          <w:p w14:paraId="064B3E12" w14:textId="6942817A" w:rsidR="000D0AA1" w:rsidRPr="00A9012C" w:rsidRDefault="00CD5A46" w:rsidP="00CD5A46">
            <w:pPr>
              <w:spacing w:line="360" w:lineRule="auto"/>
              <w:jc w:val="both"/>
              <w:rPr>
                <w:rFonts w:ascii="Arial" w:hAnsi="Arial" w:cs="Arial"/>
                <w:sz w:val="16"/>
                <w:szCs w:val="16"/>
                <w:lang w:val="es-ES_tradnl"/>
              </w:rPr>
            </w:pPr>
            <w:r w:rsidRPr="00CD5A46">
              <w:rPr>
                <w:rFonts w:ascii="Arial" w:hAnsi="Arial" w:cs="Arial"/>
                <w:sz w:val="16"/>
                <w:szCs w:val="16"/>
                <w:lang w:val="es-ES_tradnl"/>
              </w:rPr>
              <w:t>A nivel general, la implementación de la metodología se basó en tres ejes principales de operación: a) líneas de acción, b) actividades y c) herramientas. Las actividades se centraron en generar la información para el análisis como insumo, así como en producir los entregables; las líneas de acción permitieron definir las directrices de comunicación institucional y el grupo de actividades a ejecutar, junto con la gestión de la información e implementación del esquema metodológico; las herramientas metodológicas y de gestión facilitaron el conjunto y contribuyeron a alcanzar los objetivos del estudio</w:t>
            </w:r>
            <w:r>
              <w:rPr>
                <w:rFonts w:ascii="Arial" w:hAnsi="Arial" w:cs="Arial"/>
                <w:sz w:val="16"/>
                <w:szCs w:val="16"/>
                <w:lang w:val="es-ES_tradnl"/>
              </w:rPr>
              <w:t>.</w:t>
            </w:r>
            <w:r w:rsidR="00E34BDE" w:rsidRPr="00E34BDE">
              <w:rPr>
                <w:rFonts w:ascii="Arial" w:hAnsi="Arial" w:cs="Arial"/>
                <w:sz w:val="16"/>
                <w:szCs w:val="16"/>
                <w:lang w:val="es-ES_tradnl"/>
              </w:rPr>
              <w:t xml:space="preserve"> </w:t>
            </w:r>
          </w:p>
        </w:tc>
      </w:tr>
    </w:tbl>
    <w:p w14:paraId="0A95C22C" w14:textId="77777777" w:rsidR="002F3454" w:rsidRDefault="002F3454"/>
    <w:tbl>
      <w:tblPr>
        <w:tblStyle w:val="Tablaconcuadrcula"/>
        <w:tblW w:w="9515" w:type="dxa"/>
        <w:tblCellMar>
          <w:top w:w="113" w:type="dxa"/>
          <w:bottom w:w="113" w:type="dxa"/>
        </w:tblCellMar>
        <w:tblLook w:val="04A0" w:firstRow="1" w:lastRow="0" w:firstColumn="1" w:lastColumn="0" w:noHBand="0" w:noVBand="1"/>
      </w:tblPr>
      <w:tblGrid>
        <w:gridCol w:w="9515"/>
      </w:tblGrid>
      <w:tr w:rsidR="0059518E" w:rsidRPr="0082261D" w14:paraId="286A2C44" w14:textId="77777777" w:rsidTr="002F3454">
        <w:trPr>
          <w:trHeight w:val="870"/>
        </w:trPr>
        <w:tc>
          <w:tcPr>
            <w:tcW w:w="9515" w:type="dxa"/>
            <w:tcBorders>
              <w:top w:val="single" w:sz="4" w:space="0" w:color="D9D9D9" w:themeColor="background1" w:themeShade="D9"/>
              <w:left w:val="nil"/>
              <w:bottom w:val="single" w:sz="4" w:space="0" w:color="D9D9D9" w:themeColor="background1" w:themeShade="D9"/>
              <w:right w:val="nil"/>
            </w:tcBorders>
            <w:vAlign w:val="center"/>
          </w:tcPr>
          <w:p w14:paraId="44AC04C6" w14:textId="2781DD38" w:rsidR="0082261D" w:rsidRPr="0082261D" w:rsidRDefault="0082261D" w:rsidP="0082261D">
            <w:pPr>
              <w:spacing w:line="360" w:lineRule="auto"/>
              <w:rPr>
                <w:rFonts w:ascii="Arial" w:hAnsi="Arial" w:cs="Arial"/>
                <w:b/>
                <w:bCs/>
                <w:sz w:val="16"/>
                <w:szCs w:val="16"/>
              </w:rPr>
            </w:pPr>
            <w:r w:rsidRPr="0082261D">
              <w:rPr>
                <w:rFonts w:ascii="Arial" w:hAnsi="Arial" w:cs="Arial"/>
                <w:b/>
                <w:bCs/>
                <w:sz w:val="16"/>
                <w:szCs w:val="16"/>
              </w:rPr>
              <w:t>Desarrollo de cada Apartado del Informe de Evaluación</w:t>
            </w:r>
          </w:p>
          <w:p w14:paraId="05F3C3EA" w14:textId="77777777" w:rsidR="00CD5A46" w:rsidRPr="00CD5A46" w:rsidRDefault="00CD5A46" w:rsidP="00CD5A46">
            <w:pPr>
              <w:spacing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La evaluación se divide en 7 apartados y 22 preguntas de acuerdo con el cuadro1 que se muestra a continuación: </w:t>
            </w:r>
          </w:p>
          <w:p w14:paraId="73AF9EC7" w14:textId="77777777" w:rsidR="00CD5A46" w:rsidRPr="00CD5A46" w:rsidRDefault="00CD5A46" w:rsidP="00CD5A46">
            <w:pPr>
              <w:spacing w:line="360" w:lineRule="auto"/>
              <w:rPr>
                <w:rFonts w:ascii="Arial" w:hAnsi="Arial" w:cs="Arial"/>
                <w:bCs/>
                <w:iCs/>
                <w:sz w:val="16"/>
                <w:szCs w:val="16"/>
                <w:lang w:val="es-ES_tradnl"/>
              </w:rPr>
            </w:pPr>
          </w:p>
          <w:p w14:paraId="336B3008" w14:textId="24F63194" w:rsidR="00CD5A46" w:rsidRPr="00CD5A46" w:rsidRDefault="00CD5A46" w:rsidP="00CD5A46">
            <w:pPr>
              <w:spacing w:line="360" w:lineRule="auto"/>
              <w:rPr>
                <w:rFonts w:ascii="Arial" w:hAnsi="Arial" w:cs="Arial"/>
                <w:bCs/>
                <w:i/>
                <w:iCs/>
                <w:sz w:val="16"/>
                <w:szCs w:val="16"/>
                <w:lang w:val="es-ES_tradnl"/>
              </w:rPr>
            </w:pPr>
            <w:bookmarkStart w:id="0" w:name="_Toc145909937"/>
            <w:r w:rsidRPr="00CD5A46">
              <w:rPr>
                <w:rFonts w:ascii="Arial" w:hAnsi="Arial" w:cs="Arial"/>
                <w:bCs/>
                <w:i/>
                <w:iCs/>
                <w:sz w:val="16"/>
                <w:szCs w:val="16"/>
                <w:lang w:val="es-ES_tradnl"/>
              </w:rPr>
              <w:t xml:space="preserve">Tabla </w:t>
            </w:r>
            <w:r w:rsidRPr="00CD5A46">
              <w:rPr>
                <w:rFonts w:ascii="Arial" w:hAnsi="Arial" w:cs="Arial"/>
                <w:bCs/>
                <w:i/>
                <w:iCs/>
                <w:sz w:val="16"/>
                <w:szCs w:val="16"/>
                <w:lang w:val="es-ES_tradnl"/>
              </w:rPr>
              <w:fldChar w:fldCharType="begin"/>
            </w:r>
            <w:r w:rsidRPr="00CD5A46">
              <w:rPr>
                <w:rFonts w:ascii="Arial" w:hAnsi="Arial" w:cs="Arial"/>
                <w:bCs/>
                <w:i/>
                <w:iCs/>
                <w:sz w:val="16"/>
                <w:szCs w:val="16"/>
                <w:lang w:val="es-ES_tradnl"/>
              </w:rPr>
              <w:instrText xml:space="preserve"> SEQ Tabla \* ARABIC </w:instrText>
            </w:r>
            <w:r w:rsidRPr="00CD5A46">
              <w:rPr>
                <w:rFonts w:ascii="Arial" w:hAnsi="Arial" w:cs="Arial"/>
                <w:bCs/>
                <w:i/>
                <w:iCs/>
                <w:sz w:val="16"/>
                <w:szCs w:val="16"/>
                <w:lang w:val="es-ES_tradnl"/>
              </w:rPr>
              <w:fldChar w:fldCharType="separate"/>
            </w:r>
            <w:r w:rsidR="00C427BE">
              <w:rPr>
                <w:rFonts w:ascii="Arial" w:hAnsi="Arial" w:cs="Arial"/>
                <w:bCs/>
                <w:i/>
                <w:iCs/>
                <w:noProof/>
                <w:sz w:val="16"/>
                <w:szCs w:val="16"/>
                <w:lang w:val="es-ES_tradnl"/>
              </w:rPr>
              <w:t>1</w:t>
            </w:r>
            <w:r w:rsidRPr="00CD5A46">
              <w:rPr>
                <w:rFonts w:ascii="Arial" w:hAnsi="Arial" w:cs="Arial"/>
                <w:bCs/>
                <w:iCs/>
                <w:sz w:val="16"/>
                <w:szCs w:val="16"/>
                <w:lang w:val="es-ES_tradnl"/>
              </w:rPr>
              <w:fldChar w:fldCharType="end"/>
            </w:r>
            <w:r w:rsidRPr="00CD5A46">
              <w:rPr>
                <w:rFonts w:ascii="Arial" w:hAnsi="Arial" w:cs="Arial"/>
                <w:bCs/>
                <w:i/>
                <w:iCs/>
                <w:sz w:val="16"/>
                <w:szCs w:val="16"/>
                <w:lang w:val="es-ES_tradnl"/>
              </w:rPr>
              <w:t>. Módulos de la evaluación</w:t>
            </w:r>
            <w:bookmarkEnd w:id="0"/>
          </w:p>
          <w:tbl>
            <w:tblPr>
              <w:tblW w:w="5000" w:type="pct"/>
              <w:jc w:val="center"/>
              <w:tblBorders>
                <w:top w:val="single" w:sz="4" w:space="0" w:color="auto"/>
                <w:bottom w:val="single" w:sz="4" w:space="0" w:color="auto"/>
              </w:tblBorders>
              <w:tblCellMar>
                <w:top w:w="40" w:type="dxa"/>
                <w:bottom w:w="40" w:type="dxa"/>
              </w:tblCellMar>
              <w:tblLook w:val="04A0" w:firstRow="1" w:lastRow="0" w:firstColumn="1" w:lastColumn="0" w:noHBand="0" w:noVBand="1"/>
            </w:tblPr>
            <w:tblGrid>
              <w:gridCol w:w="598"/>
              <w:gridCol w:w="4249"/>
              <w:gridCol w:w="1406"/>
              <w:gridCol w:w="1037"/>
              <w:gridCol w:w="1013"/>
              <w:gridCol w:w="61"/>
              <w:gridCol w:w="935"/>
            </w:tblGrid>
            <w:tr w:rsidR="00CD5A46" w:rsidRPr="00CD5A46" w14:paraId="1CBFAC84" w14:textId="77777777" w:rsidTr="00BE2E5D">
              <w:trPr>
                <w:trHeight w:val="355"/>
                <w:tblHeader/>
                <w:jc w:val="center"/>
              </w:trPr>
              <w:tc>
                <w:tcPr>
                  <w:tcW w:w="325" w:type="pct"/>
                  <w:tcBorders>
                    <w:top w:val="single" w:sz="4" w:space="0" w:color="auto"/>
                    <w:left w:val="nil"/>
                    <w:bottom w:val="single" w:sz="4" w:space="0" w:color="auto"/>
                    <w:right w:val="single" w:sz="4" w:space="0" w:color="D9D9D9" w:themeColor="background1" w:themeShade="D9"/>
                  </w:tcBorders>
                  <w:shd w:val="clear" w:color="auto" w:fill="F2F2F2" w:themeFill="background1" w:themeFillShade="F2"/>
                  <w:vAlign w:val="center"/>
                </w:tcPr>
                <w:p w14:paraId="321E606C"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No.</w:t>
                  </w:r>
                </w:p>
              </w:tc>
              <w:tc>
                <w:tcPr>
                  <w:tcW w:w="2288" w:type="pct"/>
                  <w:tcBorders>
                    <w:top w:val="single" w:sz="4" w:space="0" w:color="auto"/>
                    <w:left w:val="single" w:sz="4" w:space="0" w:color="D9D9D9" w:themeColor="background1" w:themeShade="D9"/>
                    <w:bottom w:val="single" w:sz="4" w:space="0" w:color="auto"/>
                    <w:right w:val="single" w:sz="4" w:space="0" w:color="D9D9D9" w:themeColor="background1" w:themeShade="D9"/>
                  </w:tcBorders>
                  <w:shd w:val="clear" w:color="auto" w:fill="F2F2F2" w:themeFill="background1" w:themeFillShade="F2"/>
                  <w:tcMar>
                    <w:top w:w="0" w:type="dxa"/>
                    <w:left w:w="108" w:type="dxa"/>
                    <w:bottom w:w="0" w:type="dxa"/>
                    <w:right w:w="108" w:type="dxa"/>
                  </w:tcMar>
                  <w:vAlign w:val="center"/>
                  <w:hideMark/>
                </w:tcPr>
                <w:p w14:paraId="5265EDF1"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Módulo</w:t>
                  </w:r>
                </w:p>
              </w:tc>
              <w:tc>
                <w:tcPr>
                  <w:tcW w:w="759" w:type="pct"/>
                  <w:tcBorders>
                    <w:top w:val="single" w:sz="4" w:space="0" w:color="auto"/>
                    <w:left w:val="single" w:sz="4" w:space="0" w:color="D9D9D9" w:themeColor="background1" w:themeShade="D9"/>
                    <w:bottom w:val="single" w:sz="4" w:space="0" w:color="auto"/>
                    <w:right w:val="single" w:sz="4" w:space="0" w:color="D9D9D9" w:themeColor="background1" w:themeShade="D9"/>
                  </w:tcBorders>
                  <w:shd w:val="clear" w:color="auto" w:fill="F2F2F2" w:themeFill="background1" w:themeFillShade="F2"/>
                  <w:tcMar>
                    <w:top w:w="0" w:type="dxa"/>
                    <w:left w:w="108" w:type="dxa"/>
                    <w:bottom w:w="0" w:type="dxa"/>
                    <w:right w:w="108" w:type="dxa"/>
                  </w:tcMar>
                  <w:vAlign w:val="center"/>
                  <w:hideMark/>
                </w:tcPr>
                <w:p w14:paraId="2B66272B"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Preguntas</w:t>
                  </w:r>
                </w:p>
              </w:tc>
              <w:tc>
                <w:tcPr>
                  <w:tcW w:w="533" w:type="pct"/>
                  <w:tcBorders>
                    <w:top w:val="single" w:sz="4" w:space="0" w:color="auto"/>
                    <w:left w:val="single" w:sz="4" w:space="0" w:color="D9D9D9" w:themeColor="background1" w:themeShade="D9"/>
                    <w:bottom w:val="single" w:sz="4" w:space="0" w:color="auto"/>
                    <w:right w:val="single" w:sz="4" w:space="0" w:color="D9D9D9" w:themeColor="background1" w:themeShade="D9"/>
                  </w:tcBorders>
                  <w:shd w:val="clear" w:color="auto" w:fill="F2F2F2" w:themeFill="background1" w:themeFillShade="F2"/>
                </w:tcPr>
                <w:p w14:paraId="08F976B0"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A*</w:t>
                  </w:r>
                </w:p>
              </w:tc>
              <w:tc>
                <w:tcPr>
                  <w:tcW w:w="548" w:type="pct"/>
                  <w:tcBorders>
                    <w:top w:val="single" w:sz="4" w:space="0" w:color="auto"/>
                    <w:left w:val="single" w:sz="4" w:space="0" w:color="D9D9D9" w:themeColor="background1" w:themeShade="D9"/>
                    <w:bottom w:val="single" w:sz="4" w:space="0" w:color="auto"/>
                    <w:right w:val="single" w:sz="4" w:space="0" w:color="D9D9D9" w:themeColor="background1" w:themeShade="D9"/>
                  </w:tcBorders>
                  <w:shd w:val="clear" w:color="auto" w:fill="F2F2F2" w:themeFill="background1" w:themeFillShade="F2"/>
                </w:tcPr>
                <w:p w14:paraId="654AFE26"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B*</w:t>
                  </w:r>
                </w:p>
              </w:tc>
              <w:tc>
                <w:tcPr>
                  <w:tcW w:w="548" w:type="pct"/>
                  <w:gridSpan w:val="2"/>
                  <w:tcBorders>
                    <w:top w:val="single" w:sz="4" w:space="0" w:color="auto"/>
                    <w:left w:val="single" w:sz="4" w:space="0" w:color="D9D9D9" w:themeColor="background1" w:themeShade="D9"/>
                    <w:bottom w:val="single" w:sz="4" w:space="0" w:color="auto"/>
                  </w:tcBorders>
                  <w:shd w:val="clear" w:color="auto" w:fill="F2F2F2" w:themeFill="background1" w:themeFillShade="F2"/>
                  <w:tcMar>
                    <w:top w:w="0" w:type="dxa"/>
                    <w:left w:w="108" w:type="dxa"/>
                    <w:bottom w:w="0" w:type="dxa"/>
                    <w:right w:w="108" w:type="dxa"/>
                  </w:tcMar>
                  <w:vAlign w:val="center"/>
                  <w:hideMark/>
                </w:tcPr>
                <w:p w14:paraId="0904EB33"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Total</w:t>
                  </w:r>
                </w:p>
              </w:tc>
            </w:tr>
            <w:tr w:rsidR="00CD5A46" w:rsidRPr="00CD5A46" w14:paraId="754D152E" w14:textId="77777777" w:rsidTr="00BE2E5D">
              <w:trPr>
                <w:trHeight w:val="355"/>
                <w:jc w:val="center"/>
              </w:trPr>
              <w:tc>
                <w:tcPr>
                  <w:tcW w:w="325" w:type="pct"/>
                  <w:tcBorders>
                    <w:top w:val="single" w:sz="4" w:space="0" w:color="auto"/>
                    <w:left w:val="nil"/>
                    <w:bottom w:val="single" w:sz="4" w:space="0" w:color="D9D9D9" w:themeColor="background1" w:themeShade="D9"/>
                    <w:right w:val="single" w:sz="4" w:space="0" w:color="D9D9D9" w:themeColor="background1" w:themeShade="D9"/>
                  </w:tcBorders>
                  <w:shd w:val="clear" w:color="auto" w:fill="auto"/>
                  <w:vAlign w:val="center"/>
                </w:tcPr>
                <w:p w14:paraId="004A0525"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1</w:t>
                  </w:r>
                </w:p>
              </w:tc>
              <w:tc>
                <w:tcPr>
                  <w:tcW w:w="2288"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32B410F8"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Características del fondo</w:t>
                  </w:r>
                </w:p>
              </w:tc>
              <w:tc>
                <w:tcPr>
                  <w:tcW w:w="759"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40FBBA3C"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33"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tcPr>
                <w:p w14:paraId="1424643E"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48"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tcPr>
                <w:p w14:paraId="53266D33"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48" w:type="pct"/>
                  <w:gridSpan w:val="2"/>
                  <w:tcBorders>
                    <w:top w:val="single" w:sz="4" w:space="0" w:color="auto"/>
                    <w:left w:val="single" w:sz="4" w:space="0" w:color="D9D9D9" w:themeColor="background1" w:themeShade="D9"/>
                    <w:bottom w:val="single" w:sz="4" w:space="0" w:color="D9D9D9" w:themeColor="background1" w:themeShade="D9"/>
                  </w:tcBorders>
                  <w:shd w:val="clear" w:color="auto" w:fill="auto"/>
                  <w:tcMar>
                    <w:top w:w="0" w:type="dxa"/>
                    <w:left w:w="108" w:type="dxa"/>
                    <w:bottom w:w="0" w:type="dxa"/>
                    <w:right w:w="108" w:type="dxa"/>
                  </w:tcMar>
                  <w:vAlign w:val="center"/>
                  <w:hideMark/>
                </w:tcPr>
                <w:p w14:paraId="04380CBB"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r>
            <w:tr w:rsidR="00CD5A46" w:rsidRPr="00CD5A46" w14:paraId="2F95923C" w14:textId="77777777" w:rsidTr="00BE2E5D">
              <w:trPr>
                <w:trHeight w:val="355"/>
                <w:jc w:val="center"/>
              </w:trPr>
              <w:tc>
                <w:tcPr>
                  <w:tcW w:w="325" w:type="pct"/>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auto"/>
                  <w:vAlign w:val="center"/>
                </w:tcPr>
                <w:p w14:paraId="29328F35"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2</w:t>
                  </w:r>
                </w:p>
              </w:tc>
              <w:tc>
                <w:tcPr>
                  <w:tcW w:w="228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13ACA3B9"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Contribución y destino </w:t>
                  </w:r>
                </w:p>
              </w:tc>
              <w:tc>
                <w:tcPr>
                  <w:tcW w:w="75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61119DE9"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1 a 6</w:t>
                  </w:r>
                </w:p>
              </w:tc>
              <w:tc>
                <w:tcPr>
                  <w:tcW w:w="53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BE3EC33"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3</w:t>
                  </w:r>
                </w:p>
              </w:tc>
              <w:tc>
                <w:tcPr>
                  <w:tcW w:w="54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1E96AB1"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3</w:t>
                  </w:r>
                </w:p>
              </w:tc>
              <w:tc>
                <w:tcPr>
                  <w:tcW w:w="548"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Mar>
                    <w:top w:w="0" w:type="dxa"/>
                    <w:left w:w="108" w:type="dxa"/>
                    <w:bottom w:w="0" w:type="dxa"/>
                    <w:right w:w="108" w:type="dxa"/>
                  </w:tcMar>
                  <w:vAlign w:val="center"/>
                  <w:hideMark/>
                </w:tcPr>
                <w:p w14:paraId="22AF0668"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6</w:t>
                  </w:r>
                </w:p>
              </w:tc>
            </w:tr>
            <w:tr w:rsidR="00CD5A46" w:rsidRPr="00CD5A46" w14:paraId="220B8024" w14:textId="77777777" w:rsidTr="00BE2E5D">
              <w:trPr>
                <w:trHeight w:val="355"/>
                <w:jc w:val="center"/>
              </w:trPr>
              <w:tc>
                <w:tcPr>
                  <w:tcW w:w="325" w:type="pct"/>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auto"/>
                  <w:vAlign w:val="center"/>
                </w:tcPr>
                <w:p w14:paraId="1817C218"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3</w:t>
                  </w:r>
                </w:p>
              </w:tc>
              <w:tc>
                <w:tcPr>
                  <w:tcW w:w="228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627DD255"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Gestión y operación</w:t>
                  </w:r>
                </w:p>
              </w:tc>
              <w:tc>
                <w:tcPr>
                  <w:tcW w:w="75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0FFAE8E3"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7 a 12</w:t>
                  </w:r>
                </w:p>
              </w:tc>
              <w:tc>
                <w:tcPr>
                  <w:tcW w:w="53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7C5166C"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3</w:t>
                  </w:r>
                </w:p>
              </w:tc>
              <w:tc>
                <w:tcPr>
                  <w:tcW w:w="54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4EF9EB6D"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3</w:t>
                  </w:r>
                </w:p>
              </w:tc>
              <w:tc>
                <w:tcPr>
                  <w:tcW w:w="548"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Mar>
                    <w:top w:w="0" w:type="dxa"/>
                    <w:left w:w="108" w:type="dxa"/>
                    <w:bottom w:w="0" w:type="dxa"/>
                    <w:right w:w="108" w:type="dxa"/>
                  </w:tcMar>
                  <w:vAlign w:val="center"/>
                  <w:hideMark/>
                </w:tcPr>
                <w:p w14:paraId="64C9854B"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6</w:t>
                  </w:r>
                </w:p>
              </w:tc>
            </w:tr>
            <w:tr w:rsidR="00CD5A46" w:rsidRPr="00CD5A46" w14:paraId="59A93565" w14:textId="77777777" w:rsidTr="00BE2E5D">
              <w:trPr>
                <w:trHeight w:val="355"/>
                <w:jc w:val="center"/>
              </w:trPr>
              <w:tc>
                <w:tcPr>
                  <w:tcW w:w="325" w:type="pct"/>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auto"/>
                  <w:vAlign w:val="center"/>
                </w:tcPr>
                <w:p w14:paraId="2E3F9C27"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4</w:t>
                  </w:r>
                </w:p>
              </w:tc>
              <w:tc>
                <w:tcPr>
                  <w:tcW w:w="228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59564B0D"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Generación de información y rendición de cuentas</w:t>
                  </w:r>
                </w:p>
              </w:tc>
              <w:tc>
                <w:tcPr>
                  <w:tcW w:w="75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5E8A051E"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13 a 15</w:t>
                  </w:r>
                </w:p>
              </w:tc>
              <w:tc>
                <w:tcPr>
                  <w:tcW w:w="53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6FF3301B"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1</w:t>
                  </w:r>
                </w:p>
              </w:tc>
              <w:tc>
                <w:tcPr>
                  <w:tcW w:w="54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F895E56"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2</w:t>
                  </w:r>
                </w:p>
              </w:tc>
              <w:tc>
                <w:tcPr>
                  <w:tcW w:w="548"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Mar>
                    <w:top w:w="0" w:type="dxa"/>
                    <w:left w:w="108" w:type="dxa"/>
                    <w:bottom w:w="0" w:type="dxa"/>
                    <w:right w:w="108" w:type="dxa"/>
                  </w:tcMar>
                  <w:vAlign w:val="center"/>
                  <w:hideMark/>
                </w:tcPr>
                <w:p w14:paraId="33F5040D"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3</w:t>
                  </w:r>
                </w:p>
              </w:tc>
            </w:tr>
            <w:tr w:rsidR="00CD5A46" w:rsidRPr="00CD5A46" w14:paraId="1AEB93F5" w14:textId="77777777" w:rsidTr="00BE2E5D">
              <w:trPr>
                <w:trHeight w:val="355"/>
                <w:jc w:val="center"/>
              </w:trPr>
              <w:tc>
                <w:tcPr>
                  <w:tcW w:w="325" w:type="pct"/>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auto"/>
                  <w:vAlign w:val="center"/>
                </w:tcPr>
                <w:p w14:paraId="4B725941"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5</w:t>
                  </w:r>
                </w:p>
              </w:tc>
              <w:tc>
                <w:tcPr>
                  <w:tcW w:w="228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7CD6EC39"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Orientación y medición de resultados</w:t>
                  </w:r>
                </w:p>
              </w:tc>
              <w:tc>
                <w:tcPr>
                  <w:tcW w:w="75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hideMark/>
                </w:tcPr>
                <w:p w14:paraId="5C315033"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16 a 22</w:t>
                  </w:r>
                </w:p>
              </w:tc>
              <w:tc>
                <w:tcPr>
                  <w:tcW w:w="53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6ADE9A5A"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7</w:t>
                  </w:r>
                </w:p>
              </w:tc>
              <w:tc>
                <w:tcPr>
                  <w:tcW w:w="54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78D46920"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0</w:t>
                  </w:r>
                </w:p>
              </w:tc>
              <w:tc>
                <w:tcPr>
                  <w:tcW w:w="548"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Mar>
                    <w:top w:w="0" w:type="dxa"/>
                    <w:left w:w="108" w:type="dxa"/>
                    <w:bottom w:w="0" w:type="dxa"/>
                    <w:right w:w="108" w:type="dxa"/>
                  </w:tcMar>
                  <w:vAlign w:val="center"/>
                  <w:hideMark/>
                </w:tcPr>
                <w:p w14:paraId="07D1E930"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7</w:t>
                  </w:r>
                </w:p>
              </w:tc>
            </w:tr>
            <w:tr w:rsidR="00CD5A46" w:rsidRPr="00CD5A46" w14:paraId="7806374B" w14:textId="77777777" w:rsidTr="00BE2E5D">
              <w:trPr>
                <w:trHeight w:val="355"/>
                <w:jc w:val="center"/>
              </w:trPr>
              <w:tc>
                <w:tcPr>
                  <w:tcW w:w="325" w:type="pct"/>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auto"/>
                  <w:vAlign w:val="center"/>
                </w:tcPr>
                <w:p w14:paraId="5A97D659"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6</w:t>
                  </w:r>
                </w:p>
              </w:tc>
              <w:tc>
                <w:tcPr>
                  <w:tcW w:w="228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tcPr>
                <w:p w14:paraId="0E0704F4"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Análisis FODA y recomendaciones del FAM-IE</w:t>
                  </w:r>
                </w:p>
              </w:tc>
              <w:tc>
                <w:tcPr>
                  <w:tcW w:w="75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0" w:type="dxa"/>
                    <w:left w:w="108" w:type="dxa"/>
                    <w:bottom w:w="0" w:type="dxa"/>
                    <w:right w:w="108" w:type="dxa"/>
                  </w:tcMar>
                  <w:vAlign w:val="center"/>
                </w:tcPr>
                <w:p w14:paraId="3E55B857"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3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798DC82E"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48"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4F45801A"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48"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Mar>
                    <w:top w:w="0" w:type="dxa"/>
                    <w:left w:w="108" w:type="dxa"/>
                    <w:bottom w:w="0" w:type="dxa"/>
                    <w:right w:w="108" w:type="dxa"/>
                  </w:tcMar>
                  <w:vAlign w:val="center"/>
                </w:tcPr>
                <w:p w14:paraId="385034CC"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r>
            <w:tr w:rsidR="00CD5A46" w:rsidRPr="00CD5A46" w14:paraId="5AE1C08B" w14:textId="77777777" w:rsidTr="00BE2E5D">
              <w:trPr>
                <w:trHeight w:val="355"/>
                <w:jc w:val="center"/>
              </w:trPr>
              <w:tc>
                <w:tcPr>
                  <w:tcW w:w="325" w:type="pct"/>
                  <w:tcBorders>
                    <w:top w:val="single" w:sz="4" w:space="0" w:color="D9D9D9" w:themeColor="background1" w:themeShade="D9"/>
                    <w:left w:val="nil"/>
                    <w:bottom w:val="single" w:sz="4" w:space="0" w:color="auto"/>
                    <w:right w:val="single" w:sz="4" w:space="0" w:color="D9D9D9" w:themeColor="background1" w:themeShade="D9"/>
                  </w:tcBorders>
                  <w:shd w:val="clear" w:color="auto" w:fill="auto"/>
                  <w:vAlign w:val="center"/>
                </w:tcPr>
                <w:p w14:paraId="21843980"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7</w:t>
                  </w:r>
                </w:p>
              </w:tc>
              <w:tc>
                <w:tcPr>
                  <w:tcW w:w="2288" w:type="pct"/>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shd w:val="clear" w:color="auto" w:fill="auto"/>
                  <w:tcMar>
                    <w:top w:w="0" w:type="dxa"/>
                    <w:left w:w="108" w:type="dxa"/>
                    <w:bottom w:w="0" w:type="dxa"/>
                    <w:right w:w="108" w:type="dxa"/>
                  </w:tcMar>
                  <w:vAlign w:val="center"/>
                </w:tcPr>
                <w:p w14:paraId="689EA3B6"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Conclusiones</w:t>
                  </w:r>
                </w:p>
              </w:tc>
              <w:tc>
                <w:tcPr>
                  <w:tcW w:w="759" w:type="pct"/>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shd w:val="clear" w:color="auto" w:fill="auto"/>
                  <w:tcMar>
                    <w:top w:w="0" w:type="dxa"/>
                    <w:left w:w="108" w:type="dxa"/>
                    <w:bottom w:w="0" w:type="dxa"/>
                    <w:right w:w="108" w:type="dxa"/>
                  </w:tcMar>
                  <w:vAlign w:val="center"/>
                </w:tcPr>
                <w:p w14:paraId="28FB7082"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33" w:type="pct"/>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vAlign w:val="center"/>
                </w:tcPr>
                <w:p w14:paraId="5117FA93"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48" w:type="pct"/>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vAlign w:val="center"/>
                </w:tcPr>
                <w:p w14:paraId="1FF4C0F5"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c>
                <w:tcPr>
                  <w:tcW w:w="548" w:type="pct"/>
                  <w:gridSpan w:val="2"/>
                  <w:tcBorders>
                    <w:top w:val="single" w:sz="4" w:space="0" w:color="D9D9D9" w:themeColor="background1" w:themeShade="D9"/>
                    <w:left w:val="single" w:sz="4" w:space="0" w:color="D9D9D9" w:themeColor="background1" w:themeShade="D9"/>
                    <w:bottom w:val="single" w:sz="4" w:space="0" w:color="auto"/>
                  </w:tcBorders>
                  <w:shd w:val="clear" w:color="auto" w:fill="auto"/>
                  <w:tcMar>
                    <w:top w:w="0" w:type="dxa"/>
                    <w:left w:w="108" w:type="dxa"/>
                    <w:bottom w:w="0" w:type="dxa"/>
                    <w:right w:w="108" w:type="dxa"/>
                  </w:tcMar>
                  <w:vAlign w:val="center"/>
                </w:tcPr>
                <w:p w14:paraId="0B9B2B88" w14:textId="77777777" w:rsidR="00CD5A46" w:rsidRPr="00CD5A46" w:rsidRDefault="00CD5A46" w:rsidP="00CD5A46">
                  <w:pPr>
                    <w:spacing w:after="0" w:line="360" w:lineRule="auto"/>
                    <w:rPr>
                      <w:rFonts w:ascii="Arial" w:hAnsi="Arial" w:cs="Arial"/>
                      <w:bCs/>
                      <w:iCs/>
                      <w:sz w:val="16"/>
                      <w:szCs w:val="16"/>
                      <w:lang w:val="es-ES_tradnl"/>
                    </w:rPr>
                  </w:pPr>
                  <w:r w:rsidRPr="00CD5A46">
                    <w:rPr>
                      <w:rFonts w:ascii="Arial" w:hAnsi="Arial" w:cs="Arial"/>
                      <w:bCs/>
                      <w:iCs/>
                      <w:sz w:val="16"/>
                      <w:szCs w:val="16"/>
                      <w:lang w:val="es-ES_tradnl"/>
                    </w:rPr>
                    <w:t>-</w:t>
                  </w:r>
                </w:p>
              </w:tc>
            </w:tr>
            <w:tr w:rsidR="00CD5A46" w:rsidRPr="00CD5A46" w14:paraId="254FD4F4" w14:textId="77777777" w:rsidTr="00BE2E5D">
              <w:trPr>
                <w:trHeight w:val="184"/>
                <w:jc w:val="center"/>
              </w:trPr>
              <w:tc>
                <w:tcPr>
                  <w:tcW w:w="325" w:type="pct"/>
                  <w:tcBorders>
                    <w:top w:val="single" w:sz="4" w:space="0" w:color="auto"/>
                    <w:left w:val="nil"/>
                    <w:bottom w:val="single" w:sz="4" w:space="0" w:color="auto"/>
                  </w:tcBorders>
                  <w:shd w:val="clear" w:color="auto" w:fill="F2F2F2" w:themeFill="background1" w:themeFillShade="F2"/>
                  <w:vAlign w:val="center"/>
                </w:tcPr>
                <w:p w14:paraId="21A480EB" w14:textId="77777777" w:rsidR="00CD5A46" w:rsidRPr="00CD5A46" w:rsidRDefault="00CD5A46" w:rsidP="00CD5A46">
                  <w:pPr>
                    <w:spacing w:after="0" w:line="360" w:lineRule="auto"/>
                    <w:rPr>
                      <w:rFonts w:ascii="Arial" w:hAnsi="Arial" w:cs="Arial"/>
                      <w:b/>
                      <w:bCs/>
                      <w:iCs/>
                      <w:sz w:val="16"/>
                      <w:szCs w:val="16"/>
                      <w:lang w:val="es-ES_tradnl"/>
                    </w:rPr>
                  </w:pPr>
                </w:p>
              </w:tc>
              <w:tc>
                <w:tcPr>
                  <w:tcW w:w="2288" w:type="pct"/>
                  <w:tcBorders>
                    <w:top w:val="single" w:sz="4" w:space="0" w:color="auto"/>
                    <w:bottom w:val="single" w:sz="4" w:space="0" w:color="auto"/>
                  </w:tcBorders>
                  <w:shd w:val="clear" w:color="auto" w:fill="F2F2F2" w:themeFill="background1" w:themeFillShade="F2"/>
                  <w:tcMar>
                    <w:top w:w="0" w:type="dxa"/>
                    <w:left w:w="108" w:type="dxa"/>
                    <w:bottom w:w="0" w:type="dxa"/>
                    <w:right w:w="108" w:type="dxa"/>
                  </w:tcMar>
                  <w:vAlign w:val="center"/>
                </w:tcPr>
                <w:p w14:paraId="3EF28AD7"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Total de preguntas de evaluación</w:t>
                  </w:r>
                </w:p>
              </w:tc>
              <w:tc>
                <w:tcPr>
                  <w:tcW w:w="756" w:type="pct"/>
                  <w:tcBorders>
                    <w:top w:val="single" w:sz="4" w:space="0" w:color="auto"/>
                    <w:bottom w:val="single" w:sz="4" w:space="0" w:color="auto"/>
                  </w:tcBorders>
                  <w:shd w:val="clear" w:color="auto" w:fill="F2F2F2" w:themeFill="background1" w:themeFillShade="F2"/>
                  <w:vAlign w:val="center"/>
                </w:tcPr>
                <w:p w14:paraId="79C54147"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w:t>
                  </w:r>
                </w:p>
              </w:tc>
              <w:tc>
                <w:tcPr>
                  <w:tcW w:w="561" w:type="pct"/>
                  <w:tcBorders>
                    <w:top w:val="single" w:sz="4" w:space="0" w:color="auto"/>
                    <w:bottom w:val="single" w:sz="4" w:space="0" w:color="auto"/>
                  </w:tcBorders>
                  <w:shd w:val="clear" w:color="auto" w:fill="F2F2F2" w:themeFill="background1" w:themeFillShade="F2"/>
                  <w:vAlign w:val="center"/>
                </w:tcPr>
                <w:p w14:paraId="1F664591"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14</w:t>
                  </w:r>
                </w:p>
              </w:tc>
              <w:tc>
                <w:tcPr>
                  <w:tcW w:w="561" w:type="pct"/>
                  <w:gridSpan w:val="2"/>
                  <w:tcBorders>
                    <w:top w:val="single" w:sz="4" w:space="0" w:color="auto"/>
                    <w:bottom w:val="single" w:sz="4" w:space="0" w:color="auto"/>
                  </w:tcBorders>
                  <w:shd w:val="clear" w:color="auto" w:fill="F2F2F2" w:themeFill="background1" w:themeFillShade="F2"/>
                  <w:tcMar>
                    <w:top w:w="0" w:type="dxa"/>
                    <w:left w:w="108" w:type="dxa"/>
                    <w:bottom w:w="0" w:type="dxa"/>
                    <w:right w:w="108" w:type="dxa"/>
                  </w:tcMar>
                  <w:vAlign w:val="center"/>
                </w:tcPr>
                <w:p w14:paraId="3187A06C"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8</w:t>
                  </w:r>
                </w:p>
              </w:tc>
              <w:tc>
                <w:tcPr>
                  <w:tcW w:w="510" w:type="pct"/>
                  <w:tcBorders>
                    <w:top w:val="single" w:sz="4" w:space="0" w:color="auto"/>
                    <w:bottom w:val="single" w:sz="4" w:space="0" w:color="auto"/>
                  </w:tcBorders>
                  <w:shd w:val="clear" w:color="auto" w:fill="F2F2F2" w:themeFill="background1" w:themeFillShade="F2"/>
                  <w:vAlign w:val="center"/>
                </w:tcPr>
                <w:p w14:paraId="3B22136B" w14:textId="77777777" w:rsidR="00CD5A46" w:rsidRPr="00CD5A46" w:rsidRDefault="00CD5A46" w:rsidP="00CD5A46">
                  <w:pPr>
                    <w:spacing w:after="0" w:line="360" w:lineRule="auto"/>
                    <w:rPr>
                      <w:rFonts w:ascii="Arial" w:hAnsi="Arial" w:cs="Arial"/>
                      <w:b/>
                      <w:bCs/>
                      <w:iCs/>
                      <w:sz w:val="16"/>
                      <w:szCs w:val="16"/>
                      <w:lang w:val="es-ES_tradnl"/>
                    </w:rPr>
                  </w:pPr>
                  <w:r w:rsidRPr="00CD5A46">
                    <w:rPr>
                      <w:rFonts w:ascii="Arial" w:hAnsi="Arial" w:cs="Arial"/>
                      <w:b/>
                      <w:bCs/>
                      <w:iCs/>
                      <w:sz w:val="16"/>
                      <w:szCs w:val="16"/>
                      <w:lang w:val="es-ES_tradnl"/>
                    </w:rPr>
                    <w:t>22</w:t>
                  </w:r>
                </w:p>
              </w:tc>
            </w:tr>
          </w:tbl>
          <w:p w14:paraId="02A94965" w14:textId="77777777" w:rsidR="00CD5A46" w:rsidRPr="00CD5A46" w:rsidRDefault="00CD5A46" w:rsidP="00CD5A46">
            <w:pPr>
              <w:spacing w:line="360" w:lineRule="auto"/>
              <w:rPr>
                <w:rFonts w:ascii="Arial" w:hAnsi="Arial" w:cs="Arial"/>
                <w:bCs/>
                <w:i/>
                <w:iCs/>
                <w:sz w:val="16"/>
                <w:szCs w:val="16"/>
                <w:lang w:val="es-ES_tradnl"/>
              </w:rPr>
            </w:pPr>
            <w:r w:rsidRPr="00CD5A46">
              <w:rPr>
                <w:rFonts w:ascii="Arial" w:hAnsi="Arial" w:cs="Arial"/>
                <w:bCs/>
                <w:i/>
                <w:iCs/>
                <w:sz w:val="16"/>
                <w:szCs w:val="16"/>
                <w:lang w:val="es-ES_tradnl"/>
              </w:rPr>
              <w:t>Fuente: Elaboración propia, con base en los TdR emitidos por la CONEVAL.</w:t>
            </w:r>
            <w:bookmarkStart w:id="1" w:name="_Hlk101353592"/>
            <w:r w:rsidRPr="00CD5A46">
              <w:rPr>
                <w:rFonts w:ascii="Arial" w:hAnsi="Arial" w:cs="Arial"/>
                <w:bCs/>
                <w:i/>
                <w:iCs/>
                <w:sz w:val="16"/>
                <w:szCs w:val="16"/>
                <w:lang w:val="es-ES_tradnl"/>
              </w:rPr>
              <w:t xml:space="preserve"> (A* Preguntas abiertas B*Preguntas binarias)</w:t>
            </w:r>
          </w:p>
          <w:p w14:paraId="3371565F" w14:textId="77777777" w:rsidR="00CD5A46" w:rsidRPr="00CD5A46" w:rsidRDefault="00CD5A46" w:rsidP="00CD5A46">
            <w:pPr>
              <w:spacing w:line="360" w:lineRule="auto"/>
              <w:rPr>
                <w:rFonts w:ascii="Arial" w:hAnsi="Arial" w:cs="Arial"/>
                <w:bCs/>
                <w:i/>
                <w:iCs/>
                <w:sz w:val="16"/>
                <w:szCs w:val="16"/>
                <w:lang w:val="es-ES_tradnl"/>
              </w:rPr>
            </w:pPr>
          </w:p>
          <w:p w14:paraId="1E0B5A93" w14:textId="77777777" w:rsidR="00CD5A46" w:rsidRPr="00CD5A46" w:rsidRDefault="00CD5A46" w:rsidP="00CD5A46">
            <w:pPr>
              <w:numPr>
                <w:ilvl w:val="1"/>
                <w:numId w:val="14"/>
              </w:numPr>
              <w:spacing w:line="360" w:lineRule="auto"/>
              <w:rPr>
                <w:rFonts w:ascii="Arial" w:hAnsi="Arial" w:cs="Arial"/>
                <w:b/>
                <w:bCs/>
                <w:iCs/>
                <w:sz w:val="16"/>
                <w:szCs w:val="16"/>
                <w:lang w:val="es-ES_tradnl"/>
              </w:rPr>
            </w:pPr>
            <w:r w:rsidRPr="00CD5A46">
              <w:rPr>
                <w:rFonts w:ascii="Arial" w:hAnsi="Arial" w:cs="Arial"/>
                <w:b/>
                <w:bCs/>
                <w:iCs/>
                <w:sz w:val="16"/>
                <w:szCs w:val="16"/>
                <w:lang w:val="es-ES_tradnl"/>
              </w:rPr>
              <w:t xml:space="preserve">Formato de respuestas </w:t>
            </w:r>
          </w:p>
          <w:p w14:paraId="349E7EA3" w14:textId="77777777" w:rsidR="00CD5A46" w:rsidRPr="00CD5A46" w:rsidRDefault="00CD5A46" w:rsidP="00CD5A46">
            <w:pPr>
              <w:spacing w:line="360" w:lineRule="auto"/>
              <w:rPr>
                <w:rFonts w:ascii="Arial" w:hAnsi="Arial" w:cs="Arial"/>
                <w:bCs/>
                <w:iCs/>
                <w:sz w:val="16"/>
                <w:szCs w:val="16"/>
                <w:lang w:val="es-ES_tradnl"/>
              </w:rPr>
            </w:pPr>
            <w:bookmarkStart w:id="2" w:name="_Toc443482064"/>
            <w:bookmarkEnd w:id="1"/>
            <w:r w:rsidRPr="00CD5A46">
              <w:rPr>
                <w:rFonts w:ascii="Arial" w:hAnsi="Arial" w:cs="Arial"/>
                <w:bCs/>
                <w:iCs/>
                <w:sz w:val="16"/>
                <w:szCs w:val="16"/>
                <w:lang w:val="es-ES_tradnl"/>
              </w:rPr>
              <w:t>Los apartados II. Contribución y destino; III. Gestión y operación; IV. Generación de información y rendición de cuentas; y V. Orientación y medición de resultados incluyen 22 preguntas específicas, de las cuales 8 tienen un esquema binario y 14 preguntas son abiertas, y deben responderse de acuerdo con el siguiente formato:</w:t>
            </w:r>
          </w:p>
          <w:bookmarkEnd w:id="2"/>
          <w:p w14:paraId="3F6D06C3" w14:textId="77777777" w:rsidR="00CD5A46" w:rsidRPr="00CD5A46" w:rsidRDefault="00CD5A46" w:rsidP="00CD5A46">
            <w:pPr>
              <w:spacing w:line="360" w:lineRule="auto"/>
              <w:rPr>
                <w:rFonts w:ascii="Arial" w:hAnsi="Arial" w:cs="Arial"/>
                <w:b/>
                <w:bCs/>
                <w:i/>
                <w:iCs/>
                <w:sz w:val="16"/>
                <w:szCs w:val="16"/>
                <w:lang w:val="es-ES_tradnl"/>
              </w:rPr>
            </w:pPr>
          </w:p>
          <w:p w14:paraId="54A92E9F" w14:textId="77777777" w:rsidR="00CD5A46" w:rsidRPr="00CD5A46" w:rsidRDefault="00CD5A46" w:rsidP="00CD5A46">
            <w:pPr>
              <w:spacing w:line="360" w:lineRule="auto"/>
              <w:rPr>
                <w:rFonts w:ascii="Arial" w:hAnsi="Arial" w:cs="Arial"/>
                <w:b/>
                <w:bCs/>
                <w:i/>
                <w:iCs/>
                <w:sz w:val="16"/>
                <w:szCs w:val="16"/>
                <w:lang w:val="es-ES_tradnl"/>
              </w:rPr>
            </w:pPr>
            <w:r w:rsidRPr="00CD5A46">
              <w:rPr>
                <w:rFonts w:ascii="Arial" w:hAnsi="Arial" w:cs="Arial"/>
                <w:b/>
                <w:bCs/>
                <w:i/>
                <w:iCs/>
                <w:sz w:val="16"/>
                <w:szCs w:val="16"/>
                <w:lang w:val="es-ES_tradnl"/>
              </w:rPr>
              <w:t>Preguntas binarias</w:t>
            </w:r>
          </w:p>
          <w:p w14:paraId="796E640C" w14:textId="77777777" w:rsidR="00CD5A46" w:rsidRPr="00CD5A46" w:rsidRDefault="00CD5A46" w:rsidP="00CD5A46">
            <w:pPr>
              <w:spacing w:line="360" w:lineRule="auto"/>
              <w:rPr>
                <w:rFonts w:ascii="Arial" w:hAnsi="Arial" w:cs="Arial"/>
                <w:bCs/>
                <w:iCs/>
                <w:sz w:val="16"/>
                <w:szCs w:val="16"/>
                <w:lang w:val="es-ES_tradnl"/>
              </w:rPr>
            </w:pPr>
            <w:r w:rsidRPr="00CD5A46">
              <w:rPr>
                <w:rFonts w:ascii="Arial" w:hAnsi="Arial" w:cs="Arial"/>
                <w:bCs/>
                <w:iCs/>
                <w:sz w:val="16"/>
                <w:szCs w:val="16"/>
                <w:lang w:val="es-ES_tradnl"/>
              </w:rPr>
              <w:t>Cada una de las preguntas debe responderse en un máximo de dos cuartillas e incluir lo siguiente:</w:t>
            </w:r>
          </w:p>
          <w:p w14:paraId="1B011BD8" w14:textId="77777777" w:rsidR="00CD5A46" w:rsidRPr="00CD5A46" w:rsidRDefault="00CD5A46" w:rsidP="00CD5A46">
            <w:pPr>
              <w:numPr>
                <w:ilvl w:val="0"/>
                <w:numId w:val="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la pregunta;</w:t>
            </w:r>
          </w:p>
          <w:p w14:paraId="1495EE23" w14:textId="77777777" w:rsidR="00CD5A46" w:rsidRPr="00CD5A46" w:rsidRDefault="00CD5A46" w:rsidP="00CD5A46">
            <w:pPr>
              <w:numPr>
                <w:ilvl w:val="0"/>
                <w:numId w:val="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la respuesta binaria (“Sí o No”); </w:t>
            </w:r>
          </w:p>
          <w:p w14:paraId="56DD5ED3" w14:textId="77777777" w:rsidR="00CD5A46" w:rsidRPr="00CD5A46" w:rsidRDefault="00CD5A46" w:rsidP="00CD5A46">
            <w:pPr>
              <w:numPr>
                <w:ilvl w:val="0"/>
                <w:numId w:val="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para las respuestas binarias, en los casos en que la respuesta sea “Sí”, el nivel de respuesta (que incluya el nivel y el criterio);</w:t>
            </w:r>
          </w:p>
          <w:p w14:paraId="058BA1A4" w14:textId="77777777" w:rsidR="00CD5A46" w:rsidRPr="00CD5A46" w:rsidRDefault="00CD5A46" w:rsidP="00CD5A46">
            <w:pPr>
              <w:numPr>
                <w:ilvl w:val="0"/>
                <w:numId w:val="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el análisis que justifique la respuesta; </w:t>
            </w:r>
          </w:p>
          <w:p w14:paraId="58C4D403" w14:textId="77777777" w:rsidR="00CD5A46" w:rsidRPr="00CD5A46" w:rsidRDefault="00CD5A46" w:rsidP="00CD5A46">
            <w:pPr>
              <w:numPr>
                <w:ilvl w:val="0"/>
                <w:numId w:val="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las fuentes de información utilizadas, en caso de ser públicas la dirección de su ubicación. </w:t>
            </w:r>
          </w:p>
          <w:p w14:paraId="12066337" w14:textId="77777777" w:rsidR="00CD5A46" w:rsidRPr="00CD5A46" w:rsidRDefault="00CD5A46" w:rsidP="00CD5A46">
            <w:pPr>
              <w:spacing w:line="360" w:lineRule="auto"/>
              <w:rPr>
                <w:rFonts w:ascii="Arial" w:hAnsi="Arial" w:cs="Arial"/>
                <w:b/>
                <w:bCs/>
                <w:i/>
                <w:iCs/>
                <w:sz w:val="16"/>
                <w:szCs w:val="16"/>
                <w:lang w:val="es-ES_tradnl"/>
              </w:rPr>
            </w:pPr>
          </w:p>
          <w:p w14:paraId="5F9CF8B2" w14:textId="77777777" w:rsidR="00CD5A46" w:rsidRDefault="00CD5A46" w:rsidP="00CD5A46">
            <w:pPr>
              <w:spacing w:line="360" w:lineRule="auto"/>
              <w:rPr>
                <w:rFonts w:ascii="Arial" w:hAnsi="Arial" w:cs="Arial"/>
                <w:b/>
                <w:bCs/>
                <w:i/>
                <w:iCs/>
                <w:sz w:val="16"/>
                <w:szCs w:val="16"/>
                <w:lang w:val="es-ES_tradnl"/>
              </w:rPr>
            </w:pPr>
          </w:p>
          <w:p w14:paraId="1A18EC94" w14:textId="23FDC026" w:rsidR="00CD5A46" w:rsidRPr="00CD5A46" w:rsidRDefault="00CD5A46" w:rsidP="00CD5A46">
            <w:pPr>
              <w:spacing w:line="360" w:lineRule="auto"/>
              <w:rPr>
                <w:rFonts w:ascii="Arial" w:hAnsi="Arial" w:cs="Arial"/>
                <w:b/>
                <w:bCs/>
                <w:i/>
                <w:iCs/>
                <w:sz w:val="16"/>
                <w:szCs w:val="16"/>
                <w:lang w:val="es-ES_tradnl"/>
              </w:rPr>
            </w:pPr>
            <w:r w:rsidRPr="00CD5A46">
              <w:rPr>
                <w:rFonts w:ascii="Arial" w:hAnsi="Arial" w:cs="Arial"/>
                <w:b/>
                <w:bCs/>
                <w:i/>
                <w:iCs/>
                <w:sz w:val="16"/>
                <w:szCs w:val="16"/>
                <w:lang w:val="es-ES_tradnl"/>
              </w:rPr>
              <w:lastRenderedPageBreak/>
              <w:t>Preguntas abiertas</w:t>
            </w:r>
          </w:p>
          <w:p w14:paraId="4938BB10" w14:textId="77777777" w:rsidR="00CD5A46" w:rsidRPr="00CD5A46" w:rsidRDefault="00CD5A46" w:rsidP="00CD5A46">
            <w:pPr>
              <w:spacing w:line="360" w:lineRule="auto"/>
              <w:rPr>
                <w:rFonts w:ascii="Arial" w:hAnsi="Arial" w:cs="Arial"/>
                <w:bCs/>
                <w:iCs/>
                <w:sz w:val="16"/>
                <w:szCs w:val="16"/>
                <w:lang w:val="es-ES_tradnl"/>
              </w:rPr>
            </w:pPr>
            <w:r w:rsidRPr="00CD5A46">
              <w:rPr>
                <w:rFonts w:ascii="Arial" w:hAnsi="Arial" w:cs="Arial"/>
                <w:bCs/>
                <w:iCs/>
                <w:sz w:val="16"/>
                <w:szCs w:val="16"/>
                <w:lang w:val="es-ES_tradnl"/>
              </w:rPr>
              <w:t>Cada pregunta debe responderse en un máximo de dos cuartillas e incluir lo siguiente:</w:t>
            </w:r>
          </w:p>
          <w:p w14:paraId="206D31BA" w14:textId="77777777" w:rsidR="00CD5A46" w:rsidRPr="00CD5A46" w:rsidRDefault="00CD5A46" w:rsidP="00CD5A46">
            <w:pPr>
              <w:numPr>
                <w:ilvl w:val="0"/>
                <w:numId w:val="1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la pregunta;</w:t>
            </w:r>
          </w:p>
          <w:p w14:paraId="1819690A" w14:textId="77777777" w:rsidR="00CD5A46" w:rsidRPr="00CD5A46" w:rsidRDefault="00CD5A46" w:rsidP="00CD5A46">
            <w:pPr>
              <w:numPr>
                <w:ilvl w:val="0"/>
                <w:numId w:val="1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la respuesta; </w:t>
            </w:r>
          </w:p>
          <w:p w14:paraId="21DF6E84" w14:textId="77777777" w:rsidR="00CD5A46" w:rsidRPr="00CD5A46" w:rsidRDefault="00CD5A46" w:rsidP="00CD5A46">
            <w:pPr>
              <w:numPr>
                <w:ilvl w:val="0"/>
                <w:numId w:val="1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el análisis que justifique la respuesta; </w:t>
            </w:r>
          </w:p>
          <w:p w14:paraId="139F752E" w14:textId="77777777" w:rsidR="00CD5A46" w:rsidRPr="00CD5A46" w:rsidRDefault="00CD5A46" w:rsidP="00CD5A46">
            <w:pPr>
              <w:numPr>
                <w:ilvl w:val="0"/>
                <w:numId w:val="12"/>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 xml:space="preserve">las fuentes de información utilizadas (evidencia documental o entrevistas); en caso de ser públicas la dirección electrónica de su ubicación y fecha de consulta. </w:t>
            </w:r>
          </w:p>
          <w:p w14:paraId="675F142A" w14:textId="77777777" w:rsidR="00CD5A46" w:rsidRPr="00CD5A46" w:rsidRDefault="00CD5A46" w:rsidP="00CD5A46">
            <w:pPr>
              <w:spacing w:line="360" w:lineRule="auto"/>
              <w:rPr>
                <w:rFonts w:ascii="Arial" w:hAnsi="Arial" w:cs="Arial"/>
                <w:bCs/>
                <w:iCs/>
                <w:sz w:val="16"/>
                <w:szCs w:val="16"/>
                <w:lang w:val="es-ES_tradnl"/>
              </w:rPr>
            </w:pPr>
          </w:p>
          <w:p w14:paraId="459580C6" w14:textId="77777777" w:rsidR="00CD5A46" w:rsidRPr="00CD5A46" w:rsidRDefault="00CD5A46" w:rsidP="00CD5A46">
            <w:pPr>
              <w:spacing w:line="360" w:lineRule="auto"/>
              <w:rPr>
                <w:rFonts w:ascii="Arial" w:hAnsi="Arial" w:cs="Arial"/>
                <w:bCs/>
                <w:iCs/>
                <w:sz w:val="16"/>
                <w:szCs w:val="16"/>
                <w:lang w:val="es-ES_tradnl"/>
              </w:rPr>
            </w:pPr>
            <w:r w:rsidRPr="00CD5A46">
              <w:rPr>
                <w:rFonts w:ascii="Arial" w:hAnsi="Arial" w:cs="Arial"/>
                <w:bCs/>
                <w:iCs/>
                <w:sz w:val="16"/>
                <w:szCs w:val="16"/>
                <w:lang w:val="es-ES_tradnl"/>
              </w:rPr>
              <w:t>Algunas preguntas requieren anexos en formatos establecidos. Los anexos a incluir son los siguientes:</w:t>
            </w:r>
          </w:p>
          <w:p w14:paraId="137A0CE4" w14:textId="77777777" w:rsidR="00CD5A46" w:rsidRPr="00CD5A46" w:rsidRDefault="00CD5A46" w:rsidP="00CD5A46">
            <w:pPr>
              <w:numPr>
                <w:ilvl w:val="0"/>
                <w:numId w:val="15"/>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Anexo 1. Destino de las aportaciones en la entidad federativa.</w:t>
            </w:r>
          </w:p>
          <w:p w14:paraId="4C4D3BF4" w14:textId="77777777" w:rsidR="00CD5A46" w:rsidRPr="00CD5A46" w:rsidRDefault="00CD5A46" w:rsidP="00CD5A46">
            <w:pPr>
              <w:numPr>
                <w:ilvl w:val="0"/>
                <w:numId w:val="15"/>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Anexo 2. Concurrencia de recursos en la entidad federativa.</w:t>
            </w:r>
          </w:p>
          <w:p w14:paraId="4A01D12A" w14:textId="77777777" w:rsidR="00CD5A46" w:rsidRPr="00CD5A46" w:rsidRDefault="00CD5A46" w:rsidP="00CD5A46">
            <w:pPr>
              <w:numPr>
                <w:ilvl w:val="0"/>
                <w:numId w:val="15"/>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Anexo 3. Procesos en la gestión y operación del FAM-IE en la entidad federativa.</w:t>
            </w:r>
          </w:p>
          <w:p w14:paraId="42C203B6" w14:textId="77777777" w:rsidR="00CD5A46" w:rsidRPr="00CD5A46" w:rsidRDefault="00CD5A46" w:rsidP="00CD5A46">
            <w:pPr>
              <w:numPr>
                <w:ilvl w:val="0"/>
                <w:numId w:val="15"/>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Anexo 4. Resultados de los indicadores estratégicos y de gestión del FAM-IE.</w:t>
            </w:r>
          </w:p>
          <w:p w14:paraId="37288459" w14:textId="1CA77D7E" w:rsidR="00CB06C5" w:rsidRPr="008972E6" w:rsidRDefault="00CD5A46" w:rsidP="009C6A4E">
            <w:pPr>
              <w:numPr>
                <w:ilvl w:val="0"/>
                <w:numId w:val="15"/>
              </w:numPr>
              <w:spacing w:line="360" w:lineRule="auto"/>
              <w:rPr>
                <w:rFonts w:ascii="Arial" w:hAnsi="Arial" w:cs="Arial"/>
                <w:bCs/>
                <w:iCs/>
                <w:sz w:val="16"/>
                <w:szCs w:val="16"/>
                <w:lang w:val="es-ES_tradnl"/>
              </w:rPr>
            </w:pPr>
            <w:r w:rsidRPr="00CD5A46">
              <w:rPr>
                <w:rFonts w:ascii="Arial" w:hAnsi="Arial" w:cs="Arial"/>
                <w:bCs/>
                <w:iCs/>
                <w:sz w:val="16"/>
                <w:szCs w:val="16"/>
                <w:lang w:val="es-ES_tradnl"/>
              </w:rPr>
              <w:t>Anexo 5. Análisis FODA y recomendaciones del FAM-IE.</w:t>
            </w:r>
          </w:p>
        </w:tc>
      </w:tr>
    </w:tbl>
    <w:p w14:paraId="2E46C803" w14:textId="77777777" w:rsidR="002F3454" w:rsidRDefault="002F3454"/>
    <w:tbl>
      <w:tblPr>
        <w:tblStyle w:val="Tablaconcuadrcula"/>
        <w:tblW w:w="9515" w:type="dxa"/>
        <w:tblCellMar>
          <w:top w:w="113" w:type="dxa"/>
          <w:bottom w:w="113" w:type="dxa"/>
        </w:tblCellMar>
        <w:tblLook w:val="04A0" w:firstRow="1" w:lastRow="0" w:firstColumn="1" w:lastColumn="0" w:noHBand="0" w:noVBand="1"/>
      </w:tblPr>
      <w:tblGrid>
        <w:gridCol w:w="3544"/>
        <w:gridCol w:w="5971"/>
      </w:tblGrid>
      <w:tr w:rsidR="0059518E" w:rsidRPr="00CB06C5" w14:paraId="4C681B9D" w14:textId="77777777" w:rsidTr="00CB3559">
        <w:trPr>
          <w:trHeight w:val="238"/>
        </w:trPr>
        <w:tc>
          <w:tcPr>
            <w:tcW w:w="9515" w:type="dxa"/>
            <w:gridSpan w:val="2"/>
            <w:tcBorders>
              <w:top w:val="single" w:sz="4" w:space="0" w:color="D9D9D9" w:themeColor="background1" w:themeShade="D9"/>
              <w:left w:val="nil"/>
              <w:bottom w:val="single" w:sz="4" w:space="0" w:color="D9D9D9" w:themeColor="background1" w:themeShade="D9"/>
              <w:right w:val="nil"/>
            </w:tcBorders>
            <w:shd w:val="clear" w:color="auto" w:fill="F2F2F2" w:themeFill="background1" w:themeFillShade="F2"/>
            <w:vAlign w:val="center"/>
          </w:tcPr>
          <w:p w14:paraId="0C30EFB1" w14:textId="59E433FE" w:rsidR="0059518E" w:rsidRPr="00CB06C5" w:rsidRDefault="00CB06C5" w:rsidP="000174E8">
            <w:pPr>
              <w:spacing w:line="276" w:lineRule="auto"/>
              <w:rPr>
                <w:rFonts w:ascii="Arial" w:hAnsi="Arial" w:cs="Arial"/>
                <w:b/>
                <w:bCs/>
                <w:sz w:val="16"/>
                <w:szCs w:val="16"/>
              </w:rPr>
            </w:pPr>
            <w:r>
              <w:rPr>
                <w:rFonts w:ascii="Arial" w:hAnsi="Arial" w:cs="Arial"/>
                <w:b/>
                <w:bCs/>
                <w:sz w:val="16"/>
                <w:szCs w:val="16"/>
              </w:rPr>
              <w:t xml:space="preserve">1.8 </w:t>
            </w:r>
            <w:r w:rsidR="0059518E" w:rsidRPr="00CB06C5">
              <w:rPr>
                <w:rFonts w:ascii="Arial" w:hAnsi="Arial" w:cs="Arial"/>
                <w:b/>
                <w:bCs/>
                <w:sz w:val="16"/>
                <w:szCs w:val="16"/>
              </w:rPr>
              <w:t>Instrumentos de recolección de información:</w:t>
            </w:r>
          </w:p>
        </w:tc>
      </w:tr>
      <w:tr w:rsidR="0059518E" w:rsidRPr="0082261D" w14:paraId="5AE46678" w14:textId="77777777" w:rsidTr="00BC377F">
        <w:trPr>
          <w:trHeight w:val="271"/>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50F8265C" w14:textId="230AFAA8" w:rsidR="0059518E" w:rsidRPr="00CA3984" w:rsidRDefault="00995D51" w:rsidP="000174E8">
            <w:pPr>
              <w:spacing w:line="276" w:lineRule="auto"/>
              <w:rPr>
                <w:rFonts w:ascii="Arial" w:hAnsi="Arial" w:cs="Arial"/>
                <w:sz w:val="16"/>
                <w:szCs w:val="16"/>
              </w:rPr>
            </w:pPr>
            <w:r w:rsidRPr="0082261D">
              <w:rPr>
                <w:rFonts w:ascii="Arial" w:hAnsi="Arial" w:cs="Arial"/>
                <w:sz w:val="16"/>
                <w:szCs w:val="16"/>
              </w:rPr>
              <w:t>Cuestionarios</w:t>
            </w:r>
            <w:r w:rsidR="00CA3984" w:rsidRPr="00CB06C5">
              <w:rPr>
                <w:rFonts w:ascii="Arial" w:hAnsi="Arial" w:cs="Arial"/>
                <w:sz w:val="16"/>
                <w:szCs w:val="16"/>
                <w:u w:val="single"/>
              </w:rPr>
              <w:t>_X</w:t>
            </w:r>
            <w:r w:rsidR="00CA3984">
              <w:rPr>
                <w:rFonts w:ascii="Arial" w:hAnsi="Arial" w:cs="Arial"/>
                <w:sz w:val="16"/>
                <w:szCs w:val="16"/>
                <w:u w:val="single"/>
              </w:rPr>
              <w:t>_</w:t>
            </w:r>
            <w:r w:rsidR="0059518E" w:rsidRPr="0082261D">
              <w:rPr>
                <w:rFonts w:ascii="Arial" w:hAnsi="Arial" w:cs="Arial"/>
                <w:sz w:val="16"/>
                <w:szCs w:val="16"/>
              </w:rPr>
              <w:t xml:space="preserve"> </w:t>
            </w:r>
            <w:r w:rsidR="00CB3559">
              <w:rPr>
                <w:rFonts w:ascii="Arial" w:hAnsi="Arial" w:cs="Arial"/>
                <w:sz w:val="16"/>
                <w:szCs w:val="16"/>
              </w:rPr>
              <w:t xml:space="preserve"> </w:t>
            </w:r>
            <w:r w:rsidR="0059518E" w:rsidRPr="0082261D">
              <w:rPr>
                <w:rFonts w:ascii="Arial" w:hAnsi="Arial" w:cs="Arial"/>
                <w:sz w:val="16"/>
                <w:szCs w:val="16"/>
              </w:rPr>
              <w:t>Entrevistas</w:t>
            </w:r>
            <w:r w:rsidR="00CB3559" w:rsidRPr="00CB06C5">
              <w:rPr>
                <w:rFonts w:ascii="Arial" w:hAnsi="Arial" w:cs="Arial"/>
                <w:sz w:val="16"/>
                <w:szCs w:val="16"/>
                <w:u w:val="single"/>
              </w:rPr>
              <w:t>_X</w:t>
            </w:r>
            <w:r w:rsidR="00CA3984">
              <w:rPr>
                <w:rFonts w:ascii="Arial" w:hAnsi="Arial" w:cs="Arial"/>
                <w:sz w:val="16"/>
                <w:szCs w:val="16"/>
                <w:u w:val="single"/>
              </w:rPr>
              <w:t>_</w:t>
            </w:r>
            <w:r w:rsidR="0059518E" w:rsidRPr="0082261D">
              <w:rPr>
                <w:rFonts w:ascii="Arial" w:hAnsi="Arial" w:cs="Arial"/>
                <w:sz w:val="16"/>
                <w:szCs w:val="16"/>
              </w:rPr>
              <w:t xml:space="preserve"> Formatos </w:t>
            </w:r>
            <w:r w:rsidR="0059518E" w:rsidRPr="00CB06C5">
              <w:rPr>
                <w:rFonts w:ascii="Arial" w:hAnsi="Arial" w:cs="Arial"/>
                <w:sz w:val="16"/>
                <w:szCs w:val="16"/>
                <w:u w:val="single"/>
              </w:rPr>
              <w:t>_</w:t>
            </w:r>
            <w:r w:rsidR="0059518E" w:rsidRPr="0082261D">
              <w:rPr>
                <w:rFonts w:ascii="Arial" w:hAnsi="Arial" w:cs="Arial"/>
                <w:sz w:val="16"/>
                <w:szCs w:val="16"/>
              </w:rPr>
              <w:t>_ Otros_</w:t>
            </w:r>
            <w:r w:rsidR="00CB06C5" w:rsidRPr="00CB06C5">
              <w:rPr>
                <w:rFonts w:ascii="Arial" w:hAnsi="Arial" w:cs="Arial"/>
                <w:sz w:val="16"/>
                <w:szCs w:val="16"/>
                <w:u w:val="single"/>
              </w:rPr>
              <w:t>X</w:t>
            </w:r>
            <w:r w:rsidR="0059518E" w:rsidRPr="00CB06C5">
              <w:rPr>
                <w:rFonts w:ascii="Arial" w:hAnsi="Arial" w:cs="Arial"/>
                <w:sz w:val="16"/>
                <w:szCs w:val="16"/>
                <w:u w:val="single"/>
              </w:rPr>
              <w:t>_</w:t>
            </w:r>
            <w:r w:rsidR="0059518E" w:rsidRPr="0082261D">
              <w:rPr>
                <w:rFonts w:ascii="Arial" w:hAnsi="Arial" w:cs="Arial"/>
                <w:sz w:val="16"/>
                <w:szCs w:val="16"/>
              </w:rPr>
              <w:t xml:space="preserve"> Especifique:</w:t>
            </w:r>
            <w:r w:rsidR="00CB06C5">
              <w:rPr>
                <w:rFonts w:ascii="Arial" w:hAnsi="Arial" w:cs="Arial"/>
                <w:sz w:val="16"/>
                <w:szCs w:val="16"/>
              </w:rPr>
              <w:t xml:space="preserve"> </w:t>
            </w:r>
            <w:r w:rsidR="00CB06C5" w:rsidRPr="00CB3559">
              <w:rPr>
                <w:rFonts w:ascii="Arial" w:hAnsi="Arial" w:cs="Arial"/>
                <w:sz w:val="16"/>
                <w:szCs w:val="16"/>
                <w:u w:val="single"/>
              </w:rPr>
              <w:t xml:space="preserve">Solicitud de información </w:t>
            </w:r>
          </w:p>
        </w:tc>
      </w:tr>
      <w:tr w:rsidR="0059518E" w:rsidRPr="0082261D" w14:paraId="714FDFF9" w14:textId="77777777" w:rsidTr="00BC377F">
        <w:trPr>
          <w:trHeight w:val="464"/>
        </w:trPr>
        <w:tc>
          <w:tcPr>
            <w:tcW w:w="9515" w:type="dxa"/>
            <w:gridSpan w:val="2"/>
            <w:tcBorders>
              <w:top w:val="single" w:sz="4" w:space="0" w:color="auto"/>
              <w:left w:val="nil"/>
              <w:bottom w:val="single" w:sz="4" w:space="0" w:color="auto"/>
              <w:right w:val="nil"/>
            </w:tcBorders>
            <w:shd w:val="clear" w:color="auto" w:fill="E7E6E6" w:themeFill="background2"/>
            <w:vAlign w:val="center"/>
          </w:tcPr>
          <w:p w14:paraId="284B718C" w14:textId="77777777" w:rsidR="0059518E" w:rsidRPr="0082261D" w:rsidRDefault="0059518E" w:rsidP="000174E8">
            <w:pPr>
              <w:spacing w:line="276" w:lineRule="auto"/>
              <w:rPr>
                <w:rFonts w:ascii="Arial" w:hAnsi="Arial" w:cs="Arial"/>
                <w:b/>
                <w:bCs/>
                <w:sz w:val="16"/>
                <w:szCs w:val="16"/>
              </w:rPr>
            </w:pPr>
            <w:r w:rsidRPr="0082261D">
              <w:rPr>
                <w:rFonts w:ascii="Arial" w:hAnsi="Arial" w:cs="Arial"/>
                <w:b/>
                <w:bCs/>
                <w:sz w:val="16"/>
                <w:szCs w:val="16"/>
              </w:rPr>
              <w:t xml:space="preserve">2. PRINCIPALES HALLAZGOS DE LA </w:t>
            </w:r>
            <w:r w:rsidRPr="0082261D">
              <w:rPr>
                <w:rFonts w:ascii="Arial" w:hAnsi="Arial" w:cs="Arial"/>
                <w:bCs/>
                <w:sz w:val="16"/>
                <w:szCs w:val="16"/>
              </w:rPr>
              <w:t>E</w:t>
            </w:r>
            <w:r w:rsidRPr="0082261D">
              <w:rPr>
                <w:rFonts w:ascii="Arial" w:hAnsi="Arial" w:cs="Arial"/>
                <w:b/>
                <w:bCs/>
                <w:sz w:val="16"/>
                <w:szCs w:val="16"/>
              </w:rPr>
              <w:t>VALUACIÓN</w:t>
            </w:r>
          </w:p>
        </w:tc>
      </w:tr>
      <w:tr w:rsidR="008A0A03" w:rsidRPr="0082261D" w14:paraId="40233BC8" w14:textId="77777777" w:rsidTr="00BC377F">
        <w:trPr>
          <w:trHeight w:val="464"/>
        </w:trPr>
        <w:tc>
          <w:tcPr>
            <w:tcW w:w="9515" w:type="dxa"/>
            <w:gridSpan w:val="2"/>
            <w:tcBorders>
              <w:top w:val="single" w:sz="4" w:space="0" w:color="auto"/>
              <w:left w:val="nil"/>
              <w:bottom w:val="single" w:sz="4" w:space="0" w:color="auto"/>
              <w:right w:val="nil"/>
            </w:tcBorders>
            <w:vAlign w:val="center"/>
          </w:tcPr>
          <w:p w14:paraId="6EA0D99F" w14:textId="77777777" w:rsidR="009F138A" w:rsidRPr="009F138A" w:rsidRDefault="009F138A" w:rsidP="00501A01">
            <w:pPr>
              <w:rPr>
                <w:rFonts w:ascii="Arial" w:hAnsi="Arial" w:cs="Arial"/>
                <w:b/>
                <w:color w:val="000000" w:themeColor="text1"/>
                <w:sz w:val="16"/>
                <w:szCs w:val="16"/>
              </w:rPr>
            </w:pPr>
          </w:p>
          <w:p w14:paraId="6A8ECF95" w14:textId="44E05EC7" w:rsidR="00501A01" w:rsidRPr="009F138A" w:rsidRDefault="00501A01" w:rsidP="00501A01">
            <w:pPr>
              <w:rPr>
                <w:rFonts w:ascii="Arial" w:hAnsi="Arial" w:cs="Arial"/>
                <w:b/>
                <w:color w:val="000000" w:themeColor="text1"/>
                <w:sz w:val="16"/>
                <w:szCs w:val="16"/>
              </w:rPr>
            </w:pPr>
            <w:r w:rsidRPr="009F138A">
              <w:rPr>
                <w:rFonts w:ascii="Arial" w:hAnsi="Arial" w:cs="Arial"/>
                <w:b/>
                <w:color w:val="000000" w:themeColor="text1"/>
                <w:sz w:val="16"/>
                <w:szCs w:val="16"/>
              </w:rPr>
              <w:t>2.1. Describir los hallazgos más relevantes de la evaluación:</w:t>
            </w:r>
          </w:p>
          <w:p w14:paraId="721C00C8" w14:textId="77777777" w:rsidR="009F138A" w:rsidRDefault="009F138A" w:rsidP="00B9604A">
            <w:pPr>
              <w:spacing w:line="276" w:lineRule="auto"/>
              <w:ind w:right="51"/>
              <w:rPr>
                <w:rFonts w:ascii="Arial" w:hAnsi="Arial" w:cs="Arial"/>
                <w:b/>
                <w:iCs/>
                <w:sz w:val="16"/>
                <w:szCs w:val="16"/>
              </w:rPr>
            </w:pPr>
          </w:p>
          <w:p w14:paraId="7249B8A3" w14:textId="3E33C9DD" w:rsidR="002F3454" w:rsidRPr="002F3454" w:rsidRDefault="0030257B" w:rsidP="002F3454">
            <w:pPr>
              <w:spacing w:line="360" w:lineRule="auto"/>
              <w:jc w:val="both"/>
              <w:rPr>
                <w:rFonts w:ascii="Arial" w:hAnsi="Arial" w:cs="Arial"/>
                <w:b/>
                <w:bCs/>
                <w:i/>
                <w:iCs/>
                <w:sz w:val="16"/>
                <w:szCs w:val="16"/>
                <w:lang w:val="es-ES_tradnl"/>
              </w:rPr>
            </w:pPr>
            <w:r>
              <w:rPr>
                <w:rFonts w:ascii="Arial" w:hAnsi="Arial" w:cs="Arial"/>
                <w:b/>
                <w:bCs/>
                <w:i/>
                <w:iCs/>
                <w:sz w:val="16"/>
                <w:szCs w:val="16"/>
                <w:lang w:val="es-ES_tradnl"/>
              </w:rPr>
              <w:t>Hallazgos</w:t>
            </w:r>
            <w:r w:rsidR="002F3454" w:rsidRPr="002F3454">
              <w:rPr>
                <w:rFonts w:ascii="Arial" w:hAnsi="Arial" w:cs="Arial"/>
                <w:b/>
                <w:bCs/>
                <w:i/>
                <w:iCs/>
                <w:sz w:val="16"/>
                <w:szCs w:val="16"/>
                <w:lang w:val="es-ES_tradnl"/>
              </w:rPr>
              <w:t xml:space="preserve"> por sección temática</w:t>
            </w:r>
          </w:p>
          <w:p w14:paraId="1A232F24" w14:textId="77777777" w:rsidR="008972E6" w:rsidRPr="008972E6" w:rsidRDefault="008972E6" w:rsidP="008972E6">
            <w:pPr>
              <w:spacing w:line="360" w:lineRule="auto"/>
              <w:jc w:val="both"/>
              <w:rPr>
                <w:rFonts w:ascii="Arial" w:hAnsi="Arial" w:cs="Arial"/>
                <w:sz w:val="16"/>
                <w:szCs w:val="16"/>
                <w:lang w:val="es-ES_tradnl"/>
              </w:rPr>
            </w:pPr>
            <w:bookmarkStart w:id="3" w:name="_Hlk145429688"/>
            <w:r w:rsidRPr="008972E6">
              <w:rPr>
                <w:rFonts w:ascii="Arial" w:hAnsi="Arial" w:cs="Arial"/>
                <w:sz w:val="16"/>
                <w:szCs w:val="16"/>
                <w:lang w:val="es-ES_tradnl"/>
              </w:rPr>
              <w:t>A continuación, se presentan de manera precisa las principales conclusiones derivadas de cada apartado, con el propósito de consolidar y vincular los hallazgos identificados en el proceso de evaluación.</w:t>
            </w:r>
          </w:p>
          <w:bookmarkEnd w:id="3"/>
          <w:p w14:paraId="52D42D80" w14:textId="77777777" w:rsidR="008972E6" w:rsidRPr="008972E6" w:rsidRDefault="008972E6" w:rsidP="008972E6">
            <w:pPr>
              <w:spacing w:line="360" w:lineRule="auto"/>
              <w:jc w:val="both"/>
              <w:rPr>
                <w:rFonts w:ascii="Arial" w:hAnsi="Arial" w:cs="Arial"/>
                <w:sz w:val="16"/>
                <w:szCs w:val="16"/>
                <w:lang w:val="es-ES_tradnl"/>
              </w:rPr>
            </w:pPr>
          </w:p>
          <w:p w14:paraId="30E274E6" w14:textId="77777777" w:rsidR="008972E6" w:rsidRPr="008972E6" w:rsidRDefault="008972E6" w:rsidP="008972E6">
            <w:pPr>
              <w:spacing w:line="360" w:lineRule="auto"/>
              <w:jc w:val="both"/>
              <w:rPr>
                <w:rFonts w:ascii="Arial" w:hAnsi="Arial" w:cs="Arial"/>
                <w:b/>
                <w:bCs/>
                <w:sz w:val="16"/>
                <w:szCs w:val="16"/>
                <w:lang w:val="es-ES_tradnl"/>
              </w:rPr>
            </w:pPr>
            <w:r w:rsidRPr="008972E6">
              <w:rPr>
                <w:rFonts w:ascii="Arial" w:hAnsi="Arial" w:cs="Arial"/>
                <w:b/>
                <w:bCs/>
                <w:sz w:val="16"/>
                <w:szCs w:val="16"/>
                <w:lang w:val="es-ES_tradnl"/>
              </w:rPr>
              <w:t xml:space="preserve">Características del fondo </w:t>
            </w:r>
          </w:p>
          <w:p w14:paraId="7AAB5685"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La reforma a la Ley de Coordinación Fiscal en 1997 dio lugar a la creación del Ramo General 33 "Aportaciones Federales para Entidades Federativas y Municipios", que incluyó al Fondo de Aportaciones Múltiples (FAM). Este fondo se divide en FAM Asistencia Social y FAM Infraestructura Educativa (FAM-IE), el cual tiene como objetivo financiar la construcción y el equipamiento de infraestructura educativa y está conformado por tres componentes: Infraestructura Educativa Básica, Media Superior y Superior.</w:t>
            </w:r>
          </w:p>
          <w:p w14:paraId="1A232AA6" w14:textId="77777777" w:rsidR="008972E6" w:rsidRPr="008972E6" w:rsidRDefault="008972E6" w:rsidP="008972E6">
            <w:pPr>
              <w:spacing w:line="360" w:lineRule="auto"/>
              <w:jc w:val="both"/>
              <w:rPr>
                <w:rFonts w:ascii="Arial" w:hAnsi="Arial" w:cs="Arial"/>
                <w:sz w:val="16"/>
                <w:szCs w:val="16"/>
                <w:lang w:val="es-ES_tradnl"/>
              </w:rPr>
            </w:pPr>
          </w:p>
          <w:p w14:paraId="5227DF38"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 xml:space="preserve">El Fondo se enfoca en la mejora de la infraestructura educativa, y su financiamiento se distribuye entre los estados de acuerdo con fórmulas establecidas en el presupuesto federal que emite la Secretaría de Educación Pública Federal. </w:t>
            </w:r>
          </w:p>
          <w:p w14:paraId="5EAB5B08" w14:textId="77777777" w:rsidR="008972E6" w:rsidRPr="008972E6" w:rsidRDefault="008972E6" w:rsidP="008972E6">
            <w:pPr>
              <w:spacing w:line="360" w:lineRule="auto"/>
              <w:jc w:val="both"/>
              <w:rPr>
                <w:rFonts w:ascii="Arial" w:hAnsi="Arial" w:cs="Arial"/>
                <w:sz w:val="16"/>
                <w:szCs w:val="16"/>
                <w:lang w:val="es-ES_tradnl"/>
              </w:rPr>
            </w:pPr>
          </w:p>
          <w:p w14:paraId="6ED02D20"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A pesar de la abrogación de la Ley General de la Infraestructura Física Educativa y la liquidación del INIFED, la operatividad del Fondo en Tamaulipas se mantuvo sin problemas, y cuenta con un programa presupuestario estatal P087 “Desarrollo de Infraestructura Física Educativa”, para gestionar y operar los recursos del fondo destinados a la infraestructura educativa en el Estado; desempeñando un papel crucial en la mejora de la infraestructura educativa del tipo básico y media superior en Tamaulipas, que ha permitido contribuir a que los planteles educativos cuenten con las condiciones necesarias para brindar una educación de calidad.</w:t>
            </w:r>
          </w:p>
          <w:p w14:paraId="4360220E" w14:textId="77777777" w:rsidR="008972E6" w:rsidRPr="008972E6" w:rsidRDefault="008972E6" w:rsidP="008972E6">
            <w:pPr>
              <w:spacing w:line="360" w:lineRule="auto"/>
              <w:jc w:val="both"/>
              <w:rPr>
                <w:rFonts w:ascii="Arial" w:hAnsi="Arial" w:cs="Arial"/>
                <w:sz w:val="16"/>
                <w:szCs w:val="16"/>
                <w:lang w:val="es-ES_tradnl"/>
              </w:rPr>
            </w:pPr>
          </w:p>
          <w:p w14:paraId="5A074F79" w14:textId="77777777" w:rsidR="008972E6" w:rsidRPr="008972E6" w:rsidRDefault="008972E6" w:rsidP="008972E6">
            <w:pPr>
              <w:spacing w:line="360" w:lineRule="auto"/>
              <w:jc w:val="both"/>
              <w:rPr>
                <w:rFonts w:ascii="Arial" w:hAnsi="Arial" w:cs="Arial"/>
                <w:b/>
                <w:bCs/>
                <w:sz w:val="16"/>
                <w:szCs w:val="16"/>
                <w:lang w:val="es-ES_tradnl"/>
              </w:rPr>
            </w:pPr>
            <w:r w:rsidRPr="008972E6">
              <w:rPr>
                <w:rFonts w:ascii="Arial" w:hAnsi="Arial" w:cs="Arial"/>
                <w:b/>
                <w:bCs/>
                <w:sz w:val="16"/>
                <w:szCs w:val="16"/>
                <w:lang w:val="es-ES_tradnl"/>
              </w:rPr>
              <w:t>Contribución y destino</w:t>
            </w:r>
          </w:p>
          <w:p w14:paraId="6580AD5F"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lastRenderedPageBreak/>
              <w:t>El ITIFE llevó a cabo un diagnóstico acerca del programa presupuestario estatal P087 "Desarrollo de Infraestructura Física Educativa" mediante el cual operaron los recursos del Fondo del ejercicio fiscal 2022. Este diagnóstico se basó en datos actualizados y se centró en abordar las necesidades críticas de infraestructura educativa en planteles de nivel básico, medio superior y superior. Durante 2022, se realizó un total de 164 obras de nivel básico y 4 obras de nivel media superior, demostrando un compromiso con la mejora de las instalaciones educativas en el Estado.</w:t>
            </w:r>
          </w:p>
          <w:p w14:paraId="1487FC3E" w14:textId="77777777" w:rsidR="008972E6" w:rsidRPr="008972E6" w:rsidRDefault="008972E6" w:rsidP="008972E6">
            <w:pPr>
              <w:spacing w:line="360" w:lineRule="auto"/>
              <w:jc w:val="both"/>
              <w:rPr>
                <w:rFonts w:ascii="Arial" w:hAnsi="Arial" w:cs="Arial"/>
                <w:sz w:val="16"/>
                <w:szCs w:val="16"/>
                <w:lang w:val="es-ES_tradnl"/>
              </w:rPr>
            </w:pPr>
          </w:p>
          <w:p w14:paraId="3FE48B20"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Aunque el diagnóstico y la ejecución de proyectos muestran coherencia en la atención de las necesidades identificadas, es importante considerar la inclusión de información desagregada que permita identificar las necesidades que atiende el programa y evaluar el progreso y los resultados por componentes educativos específicos.</w:t>
            </w:r>
          </w:p>
          <w:p w14:paraId="3DBA11BB" w14:textId="77777777" w:rsidR="008972E6" w:rsidRPr="008972E6" w:rsidRDefault="008972E6" w:rsidP="008972E6">
            <w:pPr>
              <w:spacing w:line="360" w:lineRule="auto"/>
              <w:jc w:val="both"/>
              <w:rPr>
                <w:rFonts w:ascii="Arial" w:hAnsi="Arial" w:cs="Arial"/>
                <w:sz w:val="16"/>
                <w:szCs w:val="16"/>
                <w:lang w:val="es-ES_tradnl"/>
              </w:rPr>
            </w:pPr>
          </w:p>
          <w:p w14:paraId="26471B3C"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 xml:space="preserve">De acuerdo con la Guía para la Elaboración de la Matriz de Indicadores para Resultados, el problema «el problema no debe ser expresado como la ausencia de un servicio o de un bien; es decir, no se debe confundir el problema con la falta de una solución» </w:t>
            </w:r>
            <w:sdt>
              <w:sdtPr>
                <w:rPr>
                  <w:rFonts w:ascii="Arial" w:hAnsi="Arial" w:cs="Arial"/>
                  <w:sz w:val="16"/>
                  <w:szCs w:val="16"/>
                  <w:lang w:val="es-ES_tradnl"/>
                </w:rPr>
                <w:id w:val="-2122825452"/>
                <w:citation/>
              </w:sdtPr>
              <w:sdtContent>
                <w:r w:rsidRPr="008972E6">
                  <w:rPr>
                    <w:rFonts w:ascii="Arial" w:hAnsi="Arial" w:cs="Arial"/>
                    <w:sz w:val="16"/>
                    <w:szCs w:val="16"/>
                    <w:lang w:val="es-ES_tradnl"/>
                  </w:rPr>
                  <w:fldChar w:fldCharType="begin"/>
                </w:r>
                <w:r w:rsidRPr="008972E6">
                  <w:rPr>
                    <w:rFonts w:ascii="Arial" w:hAnsi="Arial" w:cs="Arial"/>
                    <w:sz w:val="16"/>
                    <w:szCs w:val="16"/>
                    <w:lang w:val="es-ES_tradnl"/>
                  </w:rPr>
                  <w:instrText xml:space="preserve">CITATION CON16 \p 23 \l 1034 </w:instrText>
                </w:r>
                <w:r w:rsidRPr="008972E6">
                  <w:rPr>
                    <w:rFonts w:ascii="Arial" w:hAnsi="Arial" w:cs="Arial"/>
                    <w:sz w:val="16"/>
                    <w:szCs w:val="16"/>
                    <w:lang w:val="es-ES_tradnl"/>
                  </w:rPr>
                  <w:fldChar w:fldCharType="separate"/>
                </w:r>
                <w:r w:rsidRPr="008972E6">
                  <w:rPr>
                    <w:rFonts w:ascii="Arial" w:hAnsi="Arial" w:cs="Arial"/>
                    <w:sz w:val="16"/>
                    <w:szCs w:val="16"/>
                    <w:lang w:val="es-ES_tradnl"/>
                  </w:rPr>
                  <w:t>(CONEVAL, 2016, pág. 23)</w:t>
                </w:r>
                <w:r w:rsidRPr="008972E6">
                  <w:rPr>
                    <w:rFonts w:ascii="Arial" w:hAnsi="Arial" w:cs="Arial"/>
                    <w:sz w:val="16"/>
                    <w:szCs w:val="16"/>
                    <w:lang w:val="es-ES_tradnl"/>
                  </w:rPr>
                  <w:fldChar w:fldCharType="end"/>
                </w:r>
              </w:sdtContent>
            </w:sdt>
            <w:r w:rsidRPr="008972E6">
              <w:rPr>
                <w:rFonts w:ascii="Arial" w:hAnsi="Arial" w:cs="Arial"/>
                <w:sz w:val="16"/>
                <w:szCs w:val="16"/>
                <w:lang w:val="es-ES_tradnl"/>
              </w:rPr>
              <w:t xml:space="preserve">. En ese sentido, la definición del problema que se presenta en el Diagnóstico del </w:t>
            </w:r>
            <w:proofErr w:type="spellStart"/>
            <w:r w:rsidRPr="008972E6">
              <w:rPr>
                <w:rFonts w:ascii="Arial" w:hAnsi="Arial" w:cs="Arial"/>
                <w:sz w:val="16"/>
                <w:szCs w:val="16"/>
                <w:lang w:val="es-ES_tradnl"/>
              </w:rPr>
              <w:t>Pp</w:t>
            </w:r>
            <w:proofErr w:type="spellEnd"/>
            <w:r w:rsidRPr="008972E6">
              <w:rPr>
                <w:rFonts w:ascii="Arial" w:hAnsi="Arial" w:cs="Arial"/>
                <w:sz w:val="16"/>
                <w:szCs w:val="16"/>
                <w:lang w:val="es-ES_tradnl"/>
              </w:rPr>
              <w:t xml:space="preserve"> P087 corresponde al «Rezago en la infraestructura  física educativa, así como su equipamiento» </w:t>
            </w:r>
            <w:sdt>
              <w:sdtPr>
                <w:rPr>
                  <w:rFonts w:ascii="Arial" w:hAnsi="Arial" w:cs="Arial"/>
                  <w:sz w:val="16"/>
                  <w:szCs w:val="16"/>
                  <w:lang w:val="es-ES_tradnl"/>
                </w:rPr>
                <w:id w:val="-371155561"/>
                <w:citation/>
              </w:sdtPr>
              <w:sdtContent>
                <w:r w:rsidRPr="008972E6">
                  <w:rPr>
                    <w:rFonts w:ascii="Arial" w:hAnsi="Arial" w:cs="Arial"/>
                    <w:sz w:val="16"/>
                    <w:szCs w:val="16"/>
                    <w:lang w:val="es-ES_tradnl"/>
                  </w:rPr>
                  <w:fldChar w:fldCharType="begin"/>
                </w:r>
                <w:r w:rsidRPr="008972E6">
                  <w:rPr>
                    <w:rFonts w:ascii="Arial" w:hAnsi="Arial" w:cs="Arial"/>
                    <w:sz w:val="16"/>
                    <w:szCs w:val="16"/>
                    <w:lang w:val="es-ES_tradnl"/>
                  </w:rPr>
                  <w:instrText xml:space="preserve"> CITATION ITI22 \l 1034 </w:instrText>
                </w:r>
                <w:r w:rsidRPr="008972E6">
                  <w:rPr>
                    <w:rFonts w:ascii="Arial" w:hAnsi="Arial" w:cs="Arial"/>
                    <w:sz w:val="16"/>
                    <w:szCs w:val="16"/>
                    <w:lang w:val="es-ES_tradnl"/>
                  </w:rPr>
                  <w:fldChar w:fldCharType="separate"/>
                </w:r>
                <w:r w:rsidRPr="008972E6">
                  <w:rPr>
                    <w:rFonts w:ascii="Arial" w:hAnsi="Arial" w:cs="Arial"/>
                    <w:sz w:val="16"/>
                    <w:szCs w:val="16"/>
                    <w:lang w:val="es-ES_tradnl"/>
                  </w:rPr>
                  <w:t>(ITIFE, 2022)</w:t>
                </w:r>
                <w:r w:rsidRPr="008972E6">
                  <w:rPr>
                    <w:rFonts w:ascii="Arial" w:hAnsi="Arial" w:cs="Arial"/>
                    <w:sz w:val="16"/>
                    <w:szCs w:val="16"/>
                    <w:lang w:val="es-ES_tradnl"/>
                  </w:rPr>
                  <w:fldChar w:fldCharType="end"/>
                </w:r>
              </w:sdtContent>
            </w:sdt>
            <w:r w:rsidRPr="008972E6">
              <w:rPr>
                <w:rFonts w:ascii="Arial" w:hAnsi="Arial" w:cs="Arial"/>
                <w:sz w:val="16"/>
                <w:szCs w:val="16"/>
                <w:lang w:val="es-ES_tradnl"/>
              </w:rPr>
              <w:t>, con lo cual, el ‘rezago’ representa la falta o ausencia de solución, aspecto que se sugiere adaptar en cuanto a la sintaxis del problema central.</w:t>
            </w:r>
          </w:p>
          <w:p w14:paraId="10ECA0A5" w14:textId="77777777" w:rsidR="008972E6" w:rsidRPr="008972E6" w:rsidRDefault="008972E6" w:rsidP="008972E6">
            <w:pPr>
              <w:spacing w:line="360" w:lineRule="auto"/>
              <w:jc w:val="both"/>
              <w:rPr>
                <w:rFonts w:ascii="Arial" w:hAnsi="Arial" w:cs="Arial"/>
                <w:sz w:val="16"/>
                <w:szCs w:val="16"/>
                <w:lang w:val="es-ES_tradnl"/>
              </w:rPr>
            </w:pPr>
          </w:p>
          <w:p w14:paraId="60DB973B"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El Estado de Tamaulipas ha realizado esfuerzos significativos para mejorar la infraestructura educativa y satisfacer las necesidades de la población estudiantil en el marco del Fondo y normatividad estatal.</w:t>
            </w:r>
          </w:p>
          <w:p w14:paraId="6345A299" w14:textId="77777777" w:rsidR="008972E6" w:rsidRPr="008972E6" w:rsidRDefault="008972E6" w:rsidP="008972E6">
            <w:pPr>
              <w:spacing w:line="360" w:lineRule="auto"/>
              <w:jc w:val="both"/>
              <w:rPr>
                <w:rFonts w:ascii="Arial" w:hAnsi="Arial" w:cs="Arial"/>
                <w:sz w:val="16"/>
                <w:szCs w:val="16"/>
                <w:lang w:val="es-ES_tradnl"/>
              </w:rPr>
            </w:pPr>
          </w:p>
          <w:p w14:paraId="017BC491" w14:textId="77777777" w:rsidR="008972E6" w:rsidRPr="008972E6" w:rsidRDefault="008972E6" w:rsidP="008972E6">
            <w:pPr>
              <w:spacing w:line="360" w:lineRule="auto"/>
              <w:jc w:val="both"/>
              <w:rPr>
                <w:rFonts w:ascii="Arial" w:hAnsi="Arial" w:cs="Arial"/>
                <w:b/>
                <w:bCs/>
                <w:sz w:val="16"/>
                <w:szCs w:val="16"/>
                <w:lang w:val="es-ES_tradnl"/>
              </w:rPr>
            </w:pPr>
            <w:r w:rsidRPr="008972E6">
              <w:rPr>
                <w:rFonts w:ascii="Arial" w:hAnsi="Arial" w:cs="Arial"/>
                <w:b/>
                <w:bCs/>
                <w:sz w:val="16"/>
                <w:szCs w:val="16"/>
                <w:lang w:val="es-ES_tradnl"/>
              </w:rPr>
              <w:t>Gestión y operación</w:t>
            </w:r>
          </w:p>
          <w:p w14:paraId="0430A142"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 xml:space="preserve">La gestión y operación del Fondo durante el ejercicio fiscal 2022, estuvo a cargo del ITIFE, responsable de ejecutar obras de infraestructura física educativa. Se describen detalladamente los procesos involucrados en la planeación y ejecución de proyectos, </w:t>
            </w:r>
            <w:bookmarkStart w:id="4" w:name="_Hlk145063391"/>
            <w:r w:rsidRPr="008972E6">
              <w:rPr>
                <w:rFonts w:ascii="Arial" w:hAnsi="Arial" w:cs="Arial"/>
                <w:sz w:val="16"/>
                <w:szCs w:val="16"/>
                <w:lang w:val="es-ES_tradnl"/>
              </w:rPr>
              <w:t>existe la ausencia de un Manual de procesos</w:t>
            </w:r>
            <w:bookmarkEnd w:id="4"/>
            <w:r w:rsidRPr="008972E6">
              <w:rPr>
                <w:rFonts w:ascii="Arial" w:hAnsi="Arial" w:cs="Arial"/>
                <w:sz w:val="16"/>
                <w:szCs w:val="16"/>
                <w:lang w:val="es-ES_tradnl"/>
              </w:rPr>
              <w:t>.</w:t>
            </w:r>
          </w:p>
          <w:p w14:paraId="58A70564" w14:textId="77777777" w:rsidR="008972E6" w:rsidRPr="008972E6" w:rsidRDefault="008972E6" w:rsidP="008972E6">
            <w:pPr>
              <w:spacing w:line="360" w:lineRule="auto"/>
              <w:jc w:val="both"/>
              <w:rPr>
                <w:rFonts w:ascii="Arial" w:hAnsi="Arial" w:cs="Arial"/>
                <w:sz w:val="16"/>
                <w:szCs w:val="16"/>
                <w:lang w:val="es-ES_tradnl"/>
              </w:rPr>
            </w:pPr>
          </w:p>
          <w:p w14:paraId="1A86BD50"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A nivel de sistematización y documentación, se encontraron mecanismos en el “Sistema Integral del ITIFE y los Informes Trimestrales del SRFT para dar seguimiento a los recursos del Fondo de 2022, pero la priorización de necesidades específicas para cada nivel de educación básica no está claramente definida.</w:t>
            </w:r>
          </w:p>
          <w:p w14:paraId="3E19581D" w14:textId="77777777" w:rsidR="008972E6" w:rsidRPr="008972E6" w:rsidRDefault="008972E6" w:rsidP="008972E6">
            <w:pPr>
              <w:spacing w:line="360" w:lineRule="auto"/>
              <w:jc w:val="both"/>
              <w:rPr>
                <w:rFonts w:ascii="Arial" w:hAnsi="Arial" w:cs="Arial"/>
                <w:sz w:val="16"/>
                <w:szCs w:val="16"/>
                <w:lang w:val="es-ES_tradnl"/>
              </w:rPr>
            </w:pPr>
          </w:p>
          <w:p w14:paraId="6D563742"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Adicionalmente, los Informes Trimestrales reportados en el SRFT proporcionan información de libre acceso sobre los recursos del FAM-IEB y FAM-IEMS 2022. A nivel federal, existen evidencias documentales para verificar las aportaciones del fondo al Estado. La información se encuentra actualizada hasta el primer trimestre de 2023 e Informe Definitivo 2022.</w:t>
            </w:r>
          </w:p>
          <w:p w14:paraId="1F92E04E" w14:textId="77777777" w:rsidR="008972E6" w:rsidRPr="008972E6" w:rsidRDefault="008972E6" w:rsidP="008972E6">
            <w:pPr>
              <w:spacing w:line="360" w:lineRule="auto"/>
              <w:jc w:val="both"/>
              <w:rPr>
                <w:rFonts w:ascii="Arial" w:hAnsi="Arial" w:cs="Arial"/>
                <w:sz w:val="16"/>
                <w:szCs w:val="16"/>
                <w:lang w:val="es-ES_tradnl"/>
              </w:rPr>
            </w:pPr>
          </w:p>
          <w:p w14:paraId="60B3D771"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El ITIFE enfrentó retos y desafíos, como la insuficiencia de espacios educativos, la limitada cobertura, y la disponibilidad limitada de recursos federales. Además, se identificaron retrasos en los procesos de licitación y contratación, así como la influencia de factores externos en la ejecución de las obras, como condiciones climáticas y contratiempos administrativos.</w:t>
            </w:r>
          </w:p>
          <w:p w14:paraId="6E5CF259" w14:textId="77777777" w:rsidR="008972E6" w:rsidRPr="008972E6" w:rsidRDefault="008972E6" w:rsidP="008972E6">
            <w:pPr>
              <w:spacing w:line="360" w:lineRule="auto"/>
              <w:jc w:val="both"/>
              <w:rPr>
                <w:rFonts w:ascii="Arial" w:hAnsi="Arial" w:cs="Arial"/>
                <w:sz w:val="16"/>
                <w:szCs w:val="16"/>
                <w:lang w:val="es-ES_tradnl"/>
              </w:rPr>
            </w:pPr>
          </w:p>
          <w:p w14:paraId="7ECA3A89" w14:textId="77777777" w:rsidR="008972E6" w:rsidRPr="008972E6" w:rsidRDefault="008972E6" w:rsidP="008972E6">
            <w:pPr>
              <w:spacing w:line="360" w:lineRule="auto"/>
              <w:jc w:val="both"/>
              <w:rPr>
                <w:rFonts w:ascii="Arial" w:hAnsi="Arial" w:cs="Arial"/>
                <w:b/>
                <w:bCs/>
                <w:sz w:val="16"/>
                <w:szCs w:val="16"/>
                <w:lang w:val="es-ES_tradnl"/>
              </w:rPr>
            </w:pPr>
            <w:r w:rsidRPr="008972E6">
              <w:rPr>
                <w:rFonts w:ascii="Arial" w:hAnsi="Arial" w:cs="Arial"/>
                <w:b/>
                <w:bCs/>
                <w:sz w:val="16"/>
                <w:szCs w:val="16"/>
                <w:lang w:val="es-ES_tradnl"/>
              </w:rPr>
              <w:t>Generación de información y rendición de cuentas</w:t>
            </w:r>
          </w:p>
          <w:p w14:paraId="2F34A3DD"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El ITIFE implementó mecanismos de sistematización y documentación en su página electrónica oficial para el seguimiento de las obras financiadas con recursos del Fondo. Sin embargo, esta información es principalmente de carácter interno.</w:t>
            </w:r>
          </w:p>
          <w:p w14:paraId="117F2623" w14:textId="77777777" w:rsidR="008972E6" w:rsidRPr="008972E6" w:rsidRDefault="008972E6" w:rsidP="008972E6">
            <w:pPr>
              <w:spacing w:line="360" w:lineRule="auto"/>
              <w:jc w:val="both"/>
              <w:rPr>
                <w:rFonts w:ascii="Arial" w:hAnsi="Arial" w:cs="Arial"/>
                <w:sz w:val="16"/>
                <w:szCs w:val="16"/>
                <w:lang w:val="es-ES_tradnl"/>
              </w:rPr>
            </w:pPr>
          </w:p>
          <w:p w14:paraId="55E6BFD1"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El ITIFE realizó en tiempo el registro de los informes trimestrales en el SRFT en cumplimiento a la normatividad estatal y federal. Además, el Fondo ha estado sujeto a evaluaciones de procesos y específicas de desempeño en ejercicios fiscales anteriores.</w:t>
            </w:r>
          </w:p>
          <w:p w14:paraId="10598A1F" w14:textId="77777777" w:rsidR="008972E6" w:rsidRPr="008972E6" w:rsidRDefault="008972E6" w:rsidP="008972E6">
            <w:pPr>
              <w:spacing w:line="360" w:lineRule="auto"/>
              <w:jc w:val="both"/>
              <w:rPr>
                <w:rFonts w:ascii="Arial" w:hAnsi="Arial" w:cs="Arial"/>
                <w:sz w:val="16"/>
                <w:szCs w:val="16"/>
                <w:lang w:val="es-ES_tradnl"/>
              </w:rPr>
            </w:pPr>
          </w:p>
          <w:p w14:paraId="56148EE4" w14:textId="77777777" w:rsidR="008972E6" w:rsidRPr="008972E6" w:rsidRDefault="008972E6" w:rsidP="008972E6">
            <w:pPr>
              <w:spacing w:line="360" w:lineRule="auto"/>
              <w:jc w:val="both"/>
              <w:rPr>
                <w:rFonts w:ascii="Arial" w:hAnsi="Arial" w:cs="Arial"/>
                <w:b/>
                <w:bCs/>
                <w:sz w:val="16"/>
                <w:szCs w:val="16"/>
                <w:lang w:val="es-ES_tradnl"/>
              </w:rPr>
            </w:pPr>
            <w:r w:rsidRPr="008972E6">
              <w:rPr>
                <w:rFonts w:ascii="Arial" w:hAnsi="Arial" w:cs="Arial"/>
                <w:b/>
                <w:bCs/>
                <w:sz w:val="16"/>
                <w:szCs w:val="16"/>
                <w:lang w:val="es-ES_tradnl"/>
              </w:rPr>
              <w:t>Orientación y medición de resultados</w:t>
            </w:r>
          </w:p>
          <w:p w14:paraId="6DBAB38A"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Los indicadores estratégicos y de gestión del FAM-IE se gestionan a través de una MIR federal que se aplica de manera uniforme en todo el país. Estos indicadores se registraron y analizaron detalladamente en el Informe Definitivo 2022.</w:t>
            </w:r>
          </w:p>
          <w:p w14:paraId="2E86B8DC" w14:textId="77777777" w:rsidR="008972E6" w:rsidRPr="008972E6" w:rsidRDefault="008972E6" w:rsidP="008972E6">
            <w:pPr>
              <w:spacing w:line="360" w:lineRule="auto"/>
              <w:jc w:val="both"/>
              <w:rPr>
                <w:rFonts w:ascii="Arial" w:hAnsi="Arial" w:cs="Arial"/>
                <w:sz w:val="16"/>
                <w:szCs w:val="16"/>
                <w:lang w:val="es-ES_tradnl"/>
              </w:rPr>
            </w:pPr>
          </w:p>
          <w:p w14:paraId="016E8FD7" w14:textId="6BFDAF39" w:rsidR="008972E6" w:rsidRPr="008972E6" w:rsidRDefault="008972E6" w:rsidP="008972E6">
            <w:pPr>
              <w:spacing w:line="360" w:lineRule="auto"/>
              <w:jc w:val="both"/>
              <w:rPr>
                <w:rFonts w:ascii="Arial" w:hAnsi="Arial" w:cs="Arial"/>
                <w:sz w:val="16"/>
                <w:szCs w:val="16"/>
                <w:lang w:val="es-ES_tradnl"/>
              </w:rPr>
            </w:pPr>
            <w:bookmarkStart w:id="5" w:name="_Toc145910090"/>
            <w:r w:rsidRPr="008972E6">
              <w:rPr>
                <w:rFonts w:ascii="Arial" w:hAnsi="Arial" w:cs="Arial"/>
                <w:sz w:val="16"/>
                <w:szCs w:val="16"/>
                <w:lang w:val="es-ES_tradnl"/>
              </w:rPr>
              <w:t xml:space="preserve">Figura </w:t>
            </w:r>
            <w:r w:rsidRPr="008972E6">
              <w:rPr>
                <w:rFonts w:ascii="Arial" w:hAnsi="Arial" w:cs="Arial"/>
                <w:sz w:val="16"/>
                <w:szCs w:val="16"/>
                <w:lang w:val="es-ES_tradnl"/>
              </w:rPr>
              <w:fldChar w:fldCharType="begin"/>
            </w:r>
            <w:r w:rsidRPr="008972E6">
              <w:rPr>
                <w:rFonts w:ascii="Arial" w:hAnsi="Arial" w:cs="Arial"/>
                <w:sz w:val="16"/>
                <w:szCs w:val="16"/>
                <w:lang w:val="es-ES_tradnl"/>
              </w:rPr>
              <w:instrText xml:space="preserve"> SEQ Figura \* ARABIC </w:instrText>
            </w:r>
            <w:r w:rsidRPr="008972E6">
              <w:rPr>
                <w:rFonts w:ascii="Arial" w:hAnsi="Arial" w:cs="Arial"/>
                <w:sz w:val="16"/>
                <w:szCs w:val="16"/>
                <w:lang w:val="es-ES_tradnl"/>
              </w:rPr>
              <w:fldChar w:fldCharType="separate"/>
            </w:r>
            <w:r w:rsidR="00C427BE">
              <w:rPr>
                <w:rFonts w:ascii="Arial" w:hAnsi="Arial" w:cs="Arial"/>
                <w:noProof/>
                <w:sz w:val="16"/>
                <w:szCs w:val="16"/>
                <w:lang w:val="es-ES_tradnl"/>
              </w:rPr>
              <w:t>1</w:t>
            </w:r>
            <w:r w:rsidRPr="008972E6">
              <w:rPr>
                <w:rFonts w:ascii="Arial" w:hAnsi="Arial" w:cs="Arial"/>
                <w:sz w:val="16"/>
                <w:szCs w:val="16"/>
                <w:lang w:val="es-ES_tradnl"/>
              </w:rPr>
              <w:fldChar w:fldCharType="end"/>
            </w:r>
            <w:r w:rsidRPr="008972E6">
              <w:rPr>
                <w:rFonts w:ascii="Arial" w:hAnsi="Arial" w:cs="Arial"/>
                <w:sz w:val="16"/>
                <w:szCs w:val="16"/>
                <w:lang w:val="es-ES_tradnl"/>
              </w:rPr>
              <w:t xml:space="preserve"> Avance de las metas en los indicadores estratégicos y de gestión de la MIR Federal</w:t>
            </w:r>
            <w:bookmarkEnd w:id="5"/>
          </w:p>
          <w:p w14:paraId="0990DC43"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drawing>
                <wp:inline distT="0" distB="0" distL="0" distR="0" wp14:anchorId="7122706C" wp14:editId="5306D97A">
                  <wp:extent cx="5540234" cy="2495550"/>
                  <wp:effectExtent l="12700" t="12700" r="10160" b="6350"/>
                  <wp:docPr id="14" name="Imagen 11">
                    <a:extLst xmlns:a="http://schemas.openxmlformats.org/drawingml/2006/main">
                      <a:ext uri="{FF2B5EF4-FFF2-40B4-BE49-F238E27FC236}">
                        <a16:creationId xmlns:a16="http://schemas.microsoft.com/office/drawing/2014/main" id="{450DE8BB-26F5-4918-AEC4-613319718F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a:extLst>
                              <a:ext uri="{FF2B5EF4-FFF2-40B4-BE49-F238E27FC236}">
                                <a16:creationId xmlns:a16="http://schemas.microsoft.com/office/drawing/2014/main" id="{450DE8BB-26F5-4918-AEC4-613319718F47}"/>
                              </a:ext>
                            </a:extLst>
                          </pic:cNvPr>
                          <pic:cNvPicPr>
                            <a:picLocks noChangeAspect="1"/>
                          </pic:cNvPicPr>
                        </pic:nvPicPr>
                        <pic:blipFill rotWithShape="1">
                          <a:blip r:embed="rId8">
                            <a:extLst>
                              <a:ext uri="{BEBA8EAE-BF5A-486C-A8C5-ECC9F3942E4B}">
                                <a14:imgProps xmlns:a14="http://schemas.microsoft.com/office/drawing/2010/main">
                                  <a14:imgLayer r:embed="rId9">
                                    <a14:imgEffect>
                                      <a14:saturation sat="33000"/>
                                    </a14:imgEffect>
                                  </a14:imgLayer>
                                </a14:imgProps>
                              </a:ext>
                            </a:extLst>
                          </a:blip>
                          <a:srcRect t="8292" b="8292"/>
                          <a:stretch/>
                        </pic:blipFill>
                        <pic:spPr>
                          <a:xfrm>
                            <a:off x="0" y="0"/>
                            <a:ext cx="5593219" cy="2519417"/>
                          </a:xfrm>
                          <a:prstGeom prst="rect">
                            <a:avLst/>
                          </a:prstGeom>
                          <a:ln>
                            <a:solidFill>
                              <a:schemeClr val="bg1">
                                <a:lumMod val="85000"/>
                              </a:schemeClr>
                            </a:solidFill>
                          </a:ln>
                        </pic:spPr>
                      </pic:pic>
                    </a:graphicData>
                  </a:graphic>
                </wp:inline>
              </w:drawing>
            </w:r>
          </w:p>
          <w:p w14:paraId="155EAFD0"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Elaboración propia con base en la información proporcionada por el ITIFE.</w:t>
            </w:r>
          </w:p>
          <w:p w14:paraId="6C8B89C0" w14:textId="77777777" w:rsidR="008972E6" w:rsidRPr="008972E6" w:rsidRDefault="008972E6" w:rsidP="008972E6">
            <w:pPr>
              <w:spacing w:line="360" w:lineRule="auto"/>
              <w:jc w:val="both"/>
              <w:rPr>
                <w:rFonts w:ascii="Arial" w:hAnsi="Arial" w:cs="Arial"/>
                <w:sz w:val="16"/>
                <w:szCs w:val="16"/>
                <w:lang w:val="es-ES_tradnl"/>
              </w:rPr>
            </w:pPr>
          </w:p>
          <w:p w14:paraId="40308260"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El análisis de los resultados de los indicadores del Fondo, revelaron un progreso significativo en la mejora de la infraestructura educativa en Tamaulipas por arriba del 99%, a pesar de ciertas observaciones relacionadas las metas del nivel de Actividad de la MIR Federal, así como las áreas de mejora en el diseño de los indicadores estatales. Se destacaron avances notables la mejora de las condiciones de infraestructura en los planteles educativos de tipo básico y media superior, así como la atención de los mismos con los recursos del Fondo.</w:t>
            </w:r>
          </w:p>
          <w:p w14:paraId="20066316" w14:textId="77777777" w:rsidR="008972E6" w:rsidRPr="008972E6" w:rsidRDefault="008972E6" w:rsidP="008972E6">
            <w:pPr>
              <w:spacing w:line="360" w:lineRule="auto"/>
              <w:jc w:val="both"/>
              <w:rPr>
                <w:rFonts w:ascii="Arial" w:hAnsi="Arial" w:cs="Arial"/>
                <w:sz w:val="16"/>
                <w:szCs w:val="16"/>
                <w:lang w:val="es-ES_tradnl"/>
              </w:rPr>
            </w:pPr>
          </w:p>
          <w:p w14:paraId="3013FE09"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Respecto a las evaluaciones previas del Fondo y sus componentes de Infraestructura Educativa Básica, Media Superior y Superior, documentadas y publicadas en el Portal de Transparencia del Estado. Se identificaron Aspectos Susceptible de Mejora de los ejercicios evaluados 2019 y 2020, relacionados a la necesidad de contar con una manual de procedimientos y elaborar una MIR; así como la necesidad de mejorar en la transparencia y seguimiento del desempeño del fondo. Sin embargo, no se identificó evidencia acerca del seguimiento a las recomendaciones del año evaluado 2021.</w:t>
            </w:r>
          </w:p>
          <w:p w14:paraId="0A057E35" w14:textId="77777777" w:rsidR="008972E6" w:rsidRPr="008972E6" w:rsidRDefault="008972E6" w:rsidP="008972E6">
            <w:pPr>
              <w:spacing w:line="360" w:lineRule="auto"/>
              <w:jc w:val="both"/>
              <w:rPr>
                <w:rFonts w:ascii="Arial" w:hAnsi="Arial" w:cs="Arial"/>
                <w:sz w:val="16"/>
                <w:szCs w:val="16"/>
                <w:lang w:val="es-ES_tradnl"/>
              </w:rPr>
            </w:pPr>
          </w:p>
          <w:p w14:paraId="0FC7700E" w14:textId="77777777" w:rsidR="008972E6" w:rsidRPr="008972E6" w:rsidRDefault="008972E6" w:rsidP="008972E6">
            <w:pPr>
              <w:spacing w:line="360" w:lineRule="auto"/>
              <w:jc w:val="both"/>
              <w:rPr>
                <w:rFonts w:ascii="Arial" w:hAnsi="Arial" w:cs="Arial"/>
                <w:sz w:val="16"/>
                <w:szCs w:val="16"/>
                <w:lang w:val="es-ES_tradnl"/>
              </w:rPr>
            </w:pPr>
            <w:r w:rsidRPr="008972E6">
              <w:rPr>
                <w:rFonts w:ascii="Arial" w:hAnsi="Arial" w:cs="Arial"/>
                <w:sz w:val="16"/>
                <w:szCs w:val="16"/>
                <w:lang w:val="es-ES_tradnl"/>
              </w:rPr>
              <w:t xml:space="preserve">En general, existe un compromiso por parte del ITIFE para mejorar la infraestructura educativa y garantizar que los recursos federales se utilicen de manera eficiente. Asimismo, la redacción de los objetivos e indicadores estatales de nivel Fin, Propósito y Actividad pueden mejorar con base a los criterios del CONEVAL para garantizar su claridad, relevancia, economía, </w:t>
            </w:r>
            <w:proofErr w:type="spellStart"/>
            <w:r w:rsidRPr="008972E6">
              <w:rPr>
                <w:rFonts w:ascii="Arial" w:hAnsi="Arial" w:cs="Arial"/>
                <w:sz w:val="16"/>
                <w:szCs w:val="16"/>
                <w:lang w:val="es-ES_tradnl"/>
              </w:rPr>
              <w:t>monitoreabilidad</w:t>
            </w:r>
            <w:proofErr w:type="spellEnd"/>
            <w:r w:rsidRPr="008972E6">
              <w:rPr>
                <w:rFonts w:ascii="Arial" w:hAnsi="Arial" w:cs="Arial"/>
                <w:sz w:val="16"/>
                <w:szCs w:val="16"/>
                <w:lang w:val="es-ES_tradnl"/>
              </w:rPr>
              <w:t xml:space="preserve"> y adecuación. Esto permitirá una mejor evaluación y seguimiento del desempeño del Fondo destinado a la infraestructura física educativa en el Estado de Tamaulipas.</w:t>
            </w:r>
          </w:p>
          <w:p w14:paraId="2A287082" w14:textId="77777777" w:rsidR="000D0AA1" w:rsidRPr="000D0AA1" w:rsidRDefault="000D0AA1" w:rsidP="00EC05AE">
            <w:pPr>
              <w:spacing w:line="360" w:lineRule="auto"/>
              <w:jc w:val="both"/>
              <w:rPr>
                <w:rFonts w:ascii="Arial" w:hAnsi="Arial" w:cs="Arial"/>
                <w:sz w:val="16"/>
                <w:szCs w:val="16"/>
                <w:lang w:val="es-ES_tradnl"/>
              </w:rPr>
            </w:pPr>
          </w:p>
          <w:p w14:paraId="1F0A0704" w14:textId="5A3B623F" w:rsidR="00BC377F" w:rsidRDefault="00BC377F" w:rsidP="00EC05AE">
            <w:pPr>
              <w:pStyle w:val="NormalWeb"/>
              <w:pBdr>
                <w:top w:val="single" w:sz="4" w:space="1" w:color="auto"/>
                <w:bottom w:val="single" w:sz="4" w:space="1" w:color="auto"/>
              </w:pBdr>
              <w:shd w:val="clear" w:color="auto" w:fill="F2F2F2" w:themeFill="background1" w:themeFillShade="F2"/>
              <w:spacing w:before="0" w:beforeAutospacing="0" w:after="0" w:afterAutospacing="0" w:line="360" w:lineRule="auto"/>
              <w:jc w:val="both"/>
              <w:rPr>
                <w:rFonts w:ascii="Cambria" w:hAnsi="Cambria" w:cs="Arial"/>
                <w:color w:val="262626" w:themeColor="text1" w:themeTint="D9"/>
                <w:sz w:val="16"/>
                <w:szCs w:val="16"/>
              </w:rPr>
            </w:pPr>
            <w:r w:rsidRPr="00D96F69">
              <w:rPr>
                <w:rFonts w:ascii="ArialMT" w:hAnsi="ArialMT"/>
                <w:b/>
                <w:bCs/>
                <w:sz w:val="16"/>
                <w:szCs w:val="16"/>
              </w:rPr>
              <w:t xml:space="preserve">2.2 </w:t>
            </w:r>
            <w:r w:rsidR="003978F3" w:rsidRPr="00D96F69">
              <w:rPr>
                <w:rFonts w:ascii="ArialMT" w:hAnsi="ArialMT"/>
                <w:b/>
                <w:bCs/>
                <w:sz w:val="16"/>
                <w:szCs w:val="16"/>
              </w:rPr>
              <w:t>Señalar</w:t>
            </w:r>
            <w:r w:rsidRPr="00D96F69">
              <w:rPr>
                <w:rFonts w:ascii="ArialMT" w:hAnsi="ArialMT"/>
                <w:b/>
                <w:bCs/>
                <w:sz w:val="16"/>
                <w:szCs w:val="16"/>
              </w:rPr>
              <w:t xml:space="preserve"> cuáles son las principales Fortalezas, Oportunidades, Debilidades y Amenazas (FODA), de acuerdo con los temas del programa, estrategia o instituciones. </w:t>
            </w:r>
            <w:r w:rsidRPr="00D96F69">
              <w:rPr>
                <w:rFonts w:ascii="Cambria" w:hAnsi="Cambria" w:cs="Arial"/>
                <w:color w:val="262626" w:themeColor="text1" w:themeTint="D9"/>
                <w:sz w:val="16"/>
                <w:szCs w:val="16"/>
              </w:rPr>
              <w:t>En este apartado se detalla el análisis de las fortalezas, oportunidades, debilidades y amenazas (</w:t>
            </w:r>
            <w:r w:rsidRPr="00D96F69">
              <w:rPr>
                <w:rFonts w:ascii="Cambria" w:hAnsi="Cambria" w:cs="Arial"/>
                <w:smallCaps/>
                <w:color w:val="262626" w:themeColor="text1" w:themeTint="D9"/>
                <w:sz w:val="16"/>
                <w:szCs w:val="16"/>
              </w:rPr>
              <w:t>foda</w:t>
            </w:r>
            <w:r w:rsidRPr="00D96F69">
              <w:rPr>
                <w:rFonts w:ascii="Cambria" w:hAnsi="Cambria" w:cs="Arial"/>
                <w:color w:val="262626" w:themeColor="text1" w:themeTint="D9"/>
                <w:sz w:val="16"/>
                <w:szCs w:val="16"/>
              </w:rPr>
              <w:t>), con base en los principales hallazgos del estudio.</w:t>
            </w:r>
          </w:p>
          <w:p w14:paraId="1184783B" w14:textId="6A9F138D" w:rsidR="008972E6" w:rsidRPr="008972E6" w:rsidRDefault="008972E6" w:rsidP="008972E6">
            <w:pPr>
              <w:rPr>
                <w:rFonts w:ascii="Arial" w:hAnsi="Arial" w:cs="Arial"/>
                <w:b/>
                <w:bCs/>
                <w:color w:val="262626" w:themeColor="text1" w:themeTint="D9"/>
                <w:sz w:val="16"/>
                <w:szCs w:val="16"/>
                <w:lang w:val="es-ES_tradnl"/>
              </w:rPr>
            </w:pPr>
            <w:r w:rsidRPr="008972E6">
              <w:rPr>
                <w:rFonts w:ascii="Arial" w:hAnsi="Arial" w:cs="Arial"/>
                <w:b/>
                <w:bCs/>
                <w:color w:val="262626" w:themeColor="text1" w:themeTint="D9"/>
                <w:sz w:val="16"/>
                <w:szCs w:val="16"/>
                <w:lang w:val="es-ES_tradnl"/>
              </w:rPr>
              <w:t xml:space="preserve">Fortalezas / Oportunidades </w:t>
            </w:r>
          </w:p>
          <w:p w14:paraId="22053199"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 xml:space="preserve">Contribución y destino </w:t>
            </w:r>
            <w:bookmarkStart w:id="6" w:name="_Hlk145603479"/>
          </w:p>
          <w:tbl>
            <w:tblPr>
              <w:tblW w:w="5000" w:type="pct"/>
              <w:tblBorders>
                <w:top w:val="single" w:sz="8" w:space="0" w:color="70AD47"/>
                <w:bottom w:val="single" w:sz="8" w:space="0" w:color="70AD47"/>
                <w:insideH w:val="single" w:sz="8" w:space="0" w:color="70AD47"/>
                <w:insideV w:val="single" w:sz="8" w:space="0" w:color="70AD47"/>
              </w:tblBorders>
              <w:tblCellMar>
                <w:left w:w="0" w:type="dxa"/>
                <w:right w:w="0" w:type="dxa"/>
              </w:tblCellMar>
              <w:tblLook w:val="0420" w:firstRow="1" w:lastRow="0" w:firstColumn="0" w:lastColumn="0" w:noHBand="0" w:noVBand="1"/>
            </w:tblPr>
            <w:tblGrid>
              <w:gridCol w:w="694"/>
              <w:gridCol w:w="8605"/>
            </w:tblGrid>
            <w:tr w:rsidR="008972E6" w:rsidRPr="008972E6" w14:paraId="3C0559E5" w14:textId="77777777" w:rsidTr="00BE2E5D">
              <w:trPr>
                <w:trHeight w:val="345"/>
              </w:trPr>
              <w:tc>
                <w:tcPr>
                  <w:tcW w:w="373" w:type="pct"/>
                  <w:shd w:val="clear" w:color="auto" w:fill="auto"/>
                  <w:tcMar>
                    <w:top w:w="72" w:type="dxa"/>
                    <w:left w:w="144" w:type="dxa"/>
                    <w:bottom w:w="72" w:type="dxa"/>
                    <w:right w:w="144" w:type="dxa"/>
                  </w:tcMar>
                  <w:vAlign w:val="center"/>
                  <w:hideMark/>
                </w:tcPr>
                <w:p w14:paraId="3C4C7CF8"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1</w:t>
                  </w:r>
                </w:p>
              </w:tc>
              <w:tc>
                <w:tcPr>
                  <w:tcW w:w="4627" w:type="pct"/>
                  <w:shd w:val="clear" w:color="auto" w:fill="auto"/>
                  <w:tcMar>
                    <w:top w:w="40" w:type="dxa"/>
                    <w:left w:w="70" w:type="dxa"/>
                    <w:bottom w:w="40" w:type="dxa"/>
                    <w:right w:w="70" w:type="dxa"/>
                  </w:tcMar>
                  <w:vAlign w:val="center"/>
                  <w:hideMark/>
                </w:tcPr>
                <w:p w14:paraId="5D630D62"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El Fondo en el Estado de Tamaulipas, se alinea a los instrumentos normativos de planeación nacional, estatal y sectorial.</w:t>
                  </w:r>
                </w:p>
              </w:tc>
            </w:tr>
            <w:tr w:rsidR="008972E6" w:rsidRPr="008972E6" w14:paraId="35A0DF46" w14:textId="77777777" w:rsidTr="00BE2E5D">
              <w:trPr>
                <w:trHeight w:val="329"/>
              </w:trPr>
              <w:tc>
                <w:tcPr>
                  <w:tcW w:w="373" w:type="pct"/>
                  <w:shd w:val="clear" w:color="auto" w:fill="EBF1E9"/>
                  <w:tcMar>
                    <w:top w:w="72" w:type="dxa"/>
                    <w:left w:w="144" w:type="dxa"/>
                    <w:bottom w:w="72" w:type="dxa"/>
                    <w:right w:w="144" w:type="dxa"/>
                  </w:tcMar>
                  <w:vAlign w:val="center"/>
                  <w:hideMark/>
                </w:tcPr>
                <w:p w14:paraId="3456723F"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2</w:t>
                  </w:r>
                </w:p>
              </w:tc>
              <w:tc>
                <w:tcPr>
                  <w:tcW w:w="4627" w:type="pct"/>
                  <w:shd w:val="clear" w:color="auto" w:fill="EBF1E9"/>
                  <w:tcMar>
                    <w:top w:w="40" w:type="dxa"/>
                    <w:left w:w="70" w:type="dxa"/>
                    <w:bottom w:w="40" w:type="dxa"/>
                    <w:right w:w="70" w:type="dxa"/>
                  </w:tcMar>
                  <w:vAlign w:val="center"/>
                  <w:hideMark/>
                </w:tcPr>
                <w:p w14:paraId="73699C5F"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Cuenta con un diagnóstico propio del Pp P087 “Desarrollo de Infraestructura Física Educativa”, a través del cual, operaron los recursos del FAM-IE 2022.</w:t>
                  </w:r>
                </w:p>
              </w:tc>
            </w:tr>
            <w:tr w:rsidR="008972E6" w:rsidRPr="008972E6" w14:paraId="49ACAF84" w14:textId="77777777" w:rsidTr="00BE2E5D">
              <w:trPr>
                <w:trHeight w:val="475"/>
              </w:trPr>
              <w:tc>
                <w:tcPr>
                  <w:tcW w:w="373" w:type="pct"/>
                  <w:shd w:val="clear" w:color="auto" w:fill="auto"/>
                  <w:tcMar>
                    <w:top w:w="72" w:type="dxa"/>
                    <w:left w:w="144" w:type="dxa"/>
                    <w:bottom w:w="72" w:type="dxa"/>
                    <w:right w:w="144" w:type="dxa"/>
                  </w:tcMar>
                  <w:vAlign w:val="center"/>
                  <w:hideMark/>
                </w:tcPr>
                <w:p w14:paraId="77A25685"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lastRenderedPageBreak/>
                    <w:t>3</w:t>
                  </w:r>
                </w:p>
              </w:tc>
              <w:tc>
                <w:tcPr>
                  <w:tcW w:w="4627" w:type="pct"/>
                  <w:shd w:val="clear" w:color="auto" w:fill="auto"/>
                  <w:tcMar>
                    <w:top w:w="40" w:type="dxa"/>
                    <w:left w:w="70" w:type="dxa"/>
                    <w:bottom w:w="40" w:type="dxa"/>
                    <w:right w:w="70" w:type="dxa"/>
                  </w:tcMar>
                  <w:vAlign w:val="center"/>
                  <w:hideMark/>
                </w:tcPr>
                <w:p w14:paraId="29DE2135"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La información de los recursos del Fondo se encuentra sistematizada y documentada en los registros contables (Cuenta Pública) del Estado.</w:t>
                  </w:r>
                </w:p>
              </w:tc>
            </w:tr>
            <w:tr w:rsidR="008972E6" w:rsidRPr="008972E6" w14:paraId="14E12191" w14:textId="77777777" w:rsidTr="00BE2E5D">
              <w:trPr>
                <w:trHeight w:val="345"/>
              </w:trPr>
              <w:tc>
                <w:tcPr>
                  <w:tcW w:w="373" w:type="pct"/>
                  <w:shd w:val="clear" w:color="auto" w:fill="EBF1E9"/>
                  <w:tcMar>
                    <w:top w:w="72" w:type="dxa"/>
                    <w:left w:w="144" w:type="dxa"/>
                    <w:bottom w:w="72" w:type="dxa"/>
                    <w:right w:w="144" w:type="dxa"/>
                  </w:tcMar>
                  <w:vAlign w:val="center"/>
                  <w:hideMark/>
                </w:tcPr>
                <w:p w14:paraId="00D63CD0"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4</w:t>
                  </w:r>
                </w:p>
              </w:tc>
              <w:tc>
                <w:tcPr>
                  <w:tcW w:w="4627" w:type="pct"/>
                  <w:shd w:val="clear" w:color="auto" w:fill="EBF1E9"/>
                  <w:tcMar>
                    <w:top w:w="40" w:type="dxa"/>
                    <w:left w:w="70" w:type="dxa"/>
                    <w:bottom w:w="40" w:type="dxa"/>
                    <w:right w:w="70" w:type="dxa"/>
                  </w:tcMar>
                  <w:vAlign w:val="center"/>
                  <w:hideMark/>
                </w:tcPr>
                <w:p w14:paraId="35E7B395"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Se cuenta con Anuarios de la Estadística Educativa del Estado de Tamaulipas con  información desagregada por población, género, tipo de servicio educativo, nivel educativo básico.</w:t>
                  </w:r>
                </w:p>
              </w:tc>
            </w:tr>
          </w:tbl>
          <w:p w14:paraId="1BD16CBA" w14:textId="77777777" w:rsidR="008972E6" w:rsidRPr="008972E6" w:rsidRDefault="008972E6" w:rsidP="008972E6">
            <w:pPr>
              <w:rPr>
                <w:rFonts w:ascii="Arial" w:hAnsi="Arial" w:cs="Arial"/>
                <w:i/>
                <w:iCs/>
                <w:color w:val="262626" w:themeColor="text1" w:themeTint="D9"/>
                <w:sz w:val="16"/>
                <w:szCs w:val="16"/>
                <w:lang w:val="es-ES_tradnl"/>
              </w:rPr>
            </w:pPr>
            <w:bookmarkStart w:id="7" w:name="_Hlk145062609"/>
          </w:p>
          <w:p w14:paraId="4C44E620"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Gestión y operación</w:t>
            </w:r>
            <w:bookmarkEnd w:id="6"/>
            <w:bookmarkEnd w:id="7"/>
          </w:p>
          <w:tbl>
            <w:tblPr>
              <w:tblW w:w="5000" w:type="pct"/>
              <w:tblCellMar>
                <w:left w:w="0" w:type="dxa"/>
                <w:right w:w="0" w:type="dxa"/>
              </w:tblCellMar>
              <w:tblLook w:val="0420" w:firstRow="1" w:lastRow="0" w:firstColumn="0" w:lastColumn="0" w:noHBand="0" w:noVBand="1"/>
            </w:tblPr>
            <w:tblGrid>
              <w:gridCol w:w="694"/>
              <w:gridCol w:w="8605"/>
            </w:tblGrid>
            <w:tr w:rsidR="008972E6" w:rsidRPr="008972E6" w14:paraId="43FB2549" w14:textId="77777777" w:rsidTr="00BE2E5D">
              <w:trPr>
                <w:trHeight w:val="584"/>
              </w:trPr>
              <w:tc>
                <w:tcPr>
                  <w:tcW w:w="373" w:type="pct"/>
                  <w:tcBorders>
                    <w:top w:val="single" w:sz="8" w:space="0" w:color="70AD47"/>
                    <w:left w:val="nil"/>
                    <w:bottom w:val="single" w:sz="8" w:space="0" w:color="70AD47"/>
                    <w:right w:val="nil"/>
                  </w:tcBorders>
                  <w:shd w:val="clear" w:color="auto" w:fill="auto"/>
                  <w:tcMar>
                    <w:top w:w="72" w:type="dxa"/>
                    <w:left w:w="144" w:type="dxa"/>
                    <w:bottom w:w="72" w:type="dxa"/>
                    <w:right w:w="144" w:type="dxa"/>
                  </w:tcMar>
                  <w:vAlign w:val="center"/>
                  <w:hideMark/>
                </w:tcPr>
                <w:p w14:paraId="0A3D2934"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1</w:t>
                  </w:r>
                </w:p>
              </w:tc>
              <w:tc>
                <w:tcPr>
                  <w:tcW w:w="4627" w:type="pct"/>
                  <w:tcBorders>
                    <w:top w:val="single" w:sz="8" w:space="0" w:color="70AD47"/>
                    <w:left w:val="nil"/>
                    <w:bottom w:val="single" w:sz="8" w:space="0" w:color="70AD47"/>
                    <w:right w:val="nil"/>
                  </w:tcBorders>
                  <w:shd w:val="clear" w:color="auto" w:fill="auto"/>
                  <w:tcMar>
                    <w:top w:w="40" w:type="dxa"/>
                    <w:left w:w="70" w:type="dxa"/>
                    <w:bottom w:w="40" w:type="dxa"/>
                    <w:right w:w="70" w:type="dxa"/>
                  </w:tcMar>
                  <w:vAlign w:val="center"/>
                  <w:hideMark/>
                </w:tcPr>
                <w:p w14:paraId="67625F9E"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Dispone de un “Sistema Integral” informático mediante el cual sistematiza y documenta la información acerca de los proyectos del Fondo.</w:t>
                  </w:r>
                </w:p>
              </w:tc>
            </w:tr>
            <w:tr w:rsidR="008972E6" w:rsidRPr="008972E6" w14:paraId="3CF82FFE" w14:textId="77777777" w:rsidTr="00BE2E5D">
              <w:trPr>
                <w:trHeight w:val="584"/>
              </w:trPr>
              <w:tc>
                <w:tcPr>
                  <w:tcW w:w="373" w:type="pct"/>
                  <w:tcBorders>
                    <w:top w:val="single" w:sz="8" w:space="0" w:color="70AD47"/>
                    <w:left w:val="nil"/>
                    <w:bottom w:val="nil"/>
                    <w:right w:val="nil"/>
                  </w:tcBorders>
                  <w:shd w:val="clear" w:color="auto" w:fill="EBF1E9"/>
                  <w:tcMar>
                    <w:top w:w="72" w:type="dxa"/>
                    <w:left w:w="144" w:type="dxa"/>
                    <w:bottom w:w="72" w:type="dxa"/>
                    <w:right w:w="144" w:type="dxa"/>
                  </w:tcMar>
                  <w:vAlign w:val="center"/>
                  <w:hideMark/>
                </w:tcPr>
                <w:p w14:paraId="14D24926"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2</w:t>
                  </w:r>
                </w:p>
              </w:tc>
              <w:tc>
                <w:tcPr>
                  <w:tcW w:w="4627" w:type="pct"/>
                  <w:tcBorders>
                    <w:top w:val="single" w:sz="8" w:space="0" w:color="70AD47"/>
                    <w:left w:val="nil"/>
                    <w:bottom w:val="nil"/>
                    <w:right w:val="nil"/>
                  </w:tcBorders>
                  <w:shd w:val="clear" w:color="auto" w:fill="EBF1E9"/>
                  <w:tcMar>
                    <w:top w:w="40" w:type="dxa"/>
                    <w:left w:w="70" w:type="dxa"/>
                    <w:bottom w:w="40" w:type="dxa"/>
                    <w:right w:w="70" w:type="dxa"/>
                  </w:tcMar>
                  <w:vAlign w:val="center"/>
                  <w:hideMark/>
                </w:tcPr>
                <w:p w14:paraId="624CF24C"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Cuenta con mecanismos documentados para verificar que las transferencias del Fondo se hacen acorde a la calendarización.</w:t>
                  </w:r>
                </w:p>
              </w:tc>
            </w:tr>
            <w:tr w:rsidR="008972E6" w:rsidRPr="008972E6" w14:paraId="459C8FF6" w14:textId="77777777" w:rsidTr="00BE2E5D">
              <w:tc>
                <w:tcPr>
                  <w:tcW w:w="373" w:type="pct"/>
                  <w:tcBorders>
                    <w:top w:val="nil"/>
                    <w:left w:val="nil"/>
                    <w:bottom w:val="nil"/>
                    <w:right w:val="nil"/>
                  </w:tcBorders>
                  <w:shd w:val="clear" w:color="auto" w:fill="auto"/>
                  <w:tcMar>
                    <w:top w:w="72" w:type="dxa"/>
                    <w:left w:w="144" w:type="dxa"/>
                    <w:bottom w:w="72" w:type="dxa"/>
                    <w:right w:w="144" w:type="dxa"/>
                  </w:tcMar>
                  <w:vAlign w:val="center"/>
                  <w:hideMark/>
                </w:tcPr>
                <w:p w14:paraId="1855E9B5"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3</w:t>
                  </w:r>
                </w:p>
              </w:tc>
              <w:tc>
                <w:tcPr>
                  <w:tcW w:w="4627" w:type="pct"/>
                  <w:tcBorders>
                    <w:top w:val="nil"/>
                    <w:left w:val="nil"/>
                    <w:bottom w:val="nil"/>
                    <w:right w:val="nil"/>
                  </w:tcBorders>
                  <w:shd w:val="clear" w:color="auto" w:fill="auto"/>
                  <w:tcMar>
                    <w:top w:w="40" w:type="dxa"/>
                    <w:left w:w="70" w:type="dxa"/>
                    <w:bottom w:w="40" w:type="dxa"/>
                    <w:right w:w="70" w:type="dxa"/>
                  </w:tcMar>
                  <w:vAlign w:val="center"/>
                  <w:hideMark/>
                </w:tcPr>
                <w:p w14:paraId="32F394B4"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Dispone mecanismos sistematizados de nivel federal para dar seguimiento a los recursos del Fondo a través del SRFT.</w:t>
                  </w:r>
                </w:p>
              </w:tc>
            </w:tr>
            <w:tr w:rsidR="008972E6" w:rsidRPr="008972E6" w14:paraId="3218E416" w14:textId="77777777" w:rsidTr="00BE2E5D">
              <w:tc>
                <w:tcPr>
                  <w:tcW w:w="373" w:type="pct"/>
                  <w:tcBorders>
                    <w:top w:val="nil"/>
                    <w:left w:val="nil"/>
                    <w:bottom w:val="single" w:sz="8" w:space="0" w:color="70AD47"/>
                    <w:right w:val="nil"/>
                  </w:tcBorders>
                  <w:shd w:val="clear" w:color="auto" w:fill="EBF1E9"/>
                  <w:tcMar>
                    <w:top w:w="72" w:type="dxa"/>
                    <w:left w:w="144" w:type="dxa"/>
                    <w:bottom w:w="72" w:type="dxa"/>
                    <w:right w:w="144" w:type="dxa"/>
                  </w:tcMar>
                  <w:vAlign w:val="center"/>
                  <w:hideMark/>
                </w:tcPr>
                <w:p w14:paraId="224BB0A7"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4</w:t>
                  </w:r>
                </w:p>
              </w:tc>
              <w:tc>
                <w:tcPr>
                  <w:tcW w:w="4627" w:type="pct"/>
                  <w:tcBorders>
                    <w:top w:val="nil"/>
                    <w:left w:val="nil"/>
                    <w:bottom w:val="single" w:sz="8" w:space="0" w:color="70AD47"/>
                    <w:right w:val="nil"/>
                  </w:tcBorders>
                  <w:shd w:val="clear" w:color="auto" w:fill="EBF1E9"/>
                  <w:tcMar>
                    <w:top w:w="40" w:type="dxa"/>
                    <w:left w:w="70" w:type="dxa"/>
                    <w:bottom w:w="40" w:type="dxa"/>
                    <w:right w:w="70" w:type="dxa"/>
                  </w:tcMar>
                  <w:vAlign w:val="center"/>
                  <w:hideMark/>
                </w:tcPr>
                <w:p w14:paraId="4CC4B9CE"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Se identificaron retos en la gestión y operación del Fondo.</w:t>
                  </w:r>
                </w:p>
              </w:tc>
            </w:tr>
          </w:tbl>
          <w:p w14:paraId="7FF2E812" w14:textId="77777777" w:rsidR="008972E6" w:rsidRPr="008972E6" w:rsidRDefault="008972E6" w:rsidP="008972E6">
            <w:pPr>
              <w:rPr>
                <w:rFonts w:ascii="Arial" w:hAnsi="Arial" w:cs="Arial"/>
                <w:color w:val="262626" w:themeColor="text1" w:themeTint="D9"/>
                <w:sz w:val="16"/>
                <w:szCs w:val="16"/>
              </w:rPr>
            </w:pPr>
          </w:p>
          <w:p w14:paraId="24BDF0B4"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Generación de Información y rendición de cuentas</w:t>
            </w:r>
          </w:p>
          <w:tbl>
            <w:tblPr>
              <w:tblW w:w="5000" w:type="pct"/>
              <w:tblCellMar>
                <w:left w:w="0" w:type="dxa"/>
                <w:right w:w="0" w:type="dxa"/>
              </w:tblCellMar>
              <w:tblLook w:val="0420" w:firstRow="1" w:lastRow="0" w:firstColumn="0" w:lastColumn="0" w:noHBand="0" w:noVBand="1"/>
            </w:tblPr>
            <w:tblGrid>
              <w:gridCol w:w="694"/>
              <w:gridCol w:w="8605"/>
            </w:tblGrid>
            <w:tr w:rsidR="008972E6" w:rsidRPr="008972E6" w14:paraId="40B60008" w14:textId="77777777" w:rsidTr="00BE2E5D">
              <w:trPr>
                <w:trHeight w:val="584"/>
              </w:trPr>
              <w:tc>
                <w:tcPr>
                  <w:tcW w:w="373" w:type="pct"/>
                  <w:tcBorders>
                    <w:top w:val="single" w:sz="8" w:space="0" w:color="70AD47"/>
                    <w:left w:val="nil"/>
                    <w:bottom w:val="single" w:sz="8" w:space="0" w:color="70AD47"/>
                    <w:right w:val="nil"/>
                  </w:tcBorders>
                  <w:shd w:val="clear" w:color="auto" w:fill="auto"/>
                  <w:tcMar>
                    <w:top w:w="72" w:type="dxa"/>
                    <w:left w:w="144" w:type="dxa"/>
                    <w:bottom w:w="72" w:type="dxa"/>
                    <w:right w:w="144" w:type="dxa"/>
                  </w:tcMar>
                  <w:vAlign w:val="center"/>
                  <w:hideMark/>
                </w:tcPr>
                <w:p w14:paraId="25C7EE1A"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1</w:t>
                  </w:r>
                </w:p>
              </w:tc>
              <w:tc>
                <w:tcPr>
                  <w:tcW w:w="4627" w:type="pct"/>
                  <w:tcBorders>
                    <w:top w:val="single" w:sz="8" w:space="0" w:color="70AD47"/>
                    <w:left w:val="nil"/>
                    <w:bottom w:val="single" w:sz="8" w:space="0" w:color="70AD47"/>
                    <w:right w:val="nil"/>
                  </w:tcBorders>
                  <w:shd w:val="clear" w:color="auto" w:fill="auto"/>
                  <w:tcMar>
                    <w:top w:w="40" w:type="dxa"/>
                    <w:left w:w="70" w:type="dxa"/>
                    <w:bottom w:w="40" w:type="dxa"/>
                    <w:right w:w="70" w:type="dxa"/>
                  </w:tcMar>
                  <w:vAlign w:val="center"/>
                  <w:hideMark/>
                </w:tcPr>
                <w:p w14:paraId="02062494"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La información que reportó el ITIFE en el SRFT, para monitorear el desempeño del Fondo, cumple con los criterios de homogeneidad, cabalidad, congruencia y granularidad</w:t>
                  </w:r>
                </w:p>
              </w:tc>
            </w:tr>
            <w:tr w:rsidR="008972E6" w:rsidRPr="008972E6" w14:paraId="29CD0B4F" w14:textId="77777777" w:rsidTr="00BE2E5D">
              <w:trPr>
                <w:trHeight w:val="584"/>
              </w:trPr>
              <w:tc>
                <w:tcPr>
                  <w:tcW w:w="373" w:type="pct"/>
                  <w:tcBorders>
                    <w:top w:val="single" w:sz="8" w:space="0" w:color="70AD47"/>
                    <w:left w:val="nil"/>
                    <w:bottom w:val="nil"/>
                    <w:right w:val="nil"/>
                  </w:tcBorders>
                  <w:shd w:val="clear" w:color="auto" w:fill="EBF1E9"/>
                  <w:tcMar>
                    <w:top w:w="72" w:type="dxa"/>
                    <w:left w:w="144" w:type="dxa"/>
                    <w:bottom w:w="72" w:type="dxa"/>
                    <w:right w:w="144" w:type="dxa"/>
                  </w:tcMar>
                  <w:vAlign w:val="center"/>
                  <w:hideMark/>
                </w:tcPr>
                <w:p w14:paraId="212C0A94"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2</w:t>
                  </w:r>
                </w:p>
              </w:tc>
              <w:tc>
                <w:tcPr>
                  <w:tcW w:w="4627" w:type="pct"/>
                  <w:tcBorders>
                    <w:top w:val="single" w:sz="8" w:space="0" w:color="70AD47"/>
                    <w:left w:val="nil"/>
                    <w:bottom w:val="nil"/>
                    <w:right w:val="nil"/>
                  </w:tcBorders>
                  <w:shd w:val="clear" w:color="auto" w:fill="EBF1E9"/>
                  <w:tcMar>
                    <w:top w:w="40" w:type="dxa"/>
                    <w:left w:w="70" w:type="dxa"/>
                    <w:bottom w:w="40" w:type="dxa"/>
                    <w:right w:w="70" w:type="dxa"/>
                  </w:tcMar>
                  <w:vAlign w:val="center"/>
                  <w:hideMark/>
                </w:tcPr>
                <w:p w14:paraId="319E87D0"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Cuenta con mecanismos de transparencia y rendición de cuentas, a través de la página oficial del Estado.</w:t>
                  </w:r>
                </w:p>
              </w:tc>
            </w:tr>
            <w:tr w:rsidR="008972E6" w:rsidRPr="008972E6" w14:paraId="549EB7D3" w14:textId="77777777" w:rsidTr="00BE2E5D">
              <w:trPr>
                <w:trHeight w:val="584"/>
              </w:trPr>
              <w:tc>
                <w:tcPr>
                  <w:tcW w:w="373" w:type="pct"/>
                  <w:tcBorders>
                    <w:top w:val="nil"/>
                    <w:left w:val="nil"/>
                    <w:bottom w:val="single" w:sz="8" w:space="0" w:color="70AD47"/>
                    <w:right w:val="nil"/>
                  </w:tcBorders>
                  <w:shd w:val="clear" w:color="auto" w:fill="auto"/>
                  <w:tcMar>
                    <w:top w:w="72" w:type="dxa"/>
                    <w:left w:w="144" w:type="dxa"/>
                    <w:bottom w:w="72" w:type="dxa"/>
                    <w:right w:w="144" w:type="dxa"/>
                  </w:tcMar>
                  <w:vAlign w:val="center"/>
                  <w:hideMark/>
                </w:tcPr>
                <w:p w14:paraId="3A3799E2"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3</w:t>
                  </w:r>
                </w:p>
              </w:tc>
              <w:tc>
                <w:tcPr>
                  <w:tcW w:w="4627" w:type="pct"/>
                  <w:tcBorders>
                    <w:top w:val="nil"/>
                    <w:left w:val="nil"/>
                    <w:bottom w:val="single" w:sz="8" w:space="0" w:color="70AD47"/>
                    <w:right w:val="nil"/>
                  </w:tcBorders>
                  <w:shd w:val="clear" w:color="auto" w:fill="auto"/>
                  <w:tcMar>
                    <w:top w:w="40" w:type="dxa"/>
                    <w:left w:w="70" w:type="dxa"/>
                    <w:bottom w:w="40" w:type="dxa"/>
                    <w:right w:w="70" w:type="dxa"/>
                  </w:tcMar>
                  <w:vAlign w:val="center"/>
                  <w:hideMark/>
                </w:tcPr>
                <w:p w14:paraId="0217582F"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El Fondo ha estado sujeto a evaluaciones periódicas que han permitido retroalimentar la operación y desempeño del fondo a través de los Aspectos Susceptibles de Mejora (ASM).</w:t>
                  </w:r>
                </w:p>
              </w:tc>
            </w:tr>
          </w:tbl>
          <w:p w14:paraId="67FEEEB2" w14:textId="77777777" w:rsidR="008972E6" w:rsidRPr="008972E6" w:rsidRDefault="008972E6" w:rsidP="008972E6">
            <w:pPr>
              <w:rPr>
                <w:rFonts w:ascii="Arial" w:hAnsi="Arial" w:cs="Arial"/>
                <w:color w:val="262626" w:themeColor="text1" w:themeTint="D9"/>
                <w:sz w:val="16"/>
                <w:szCs w:val="16"/>
              </w:rPr>
            </w:pPr>
          </w:p>
          <w:p w14:paraId="3A1819BA" w14:textId="77777777" w:rsidR="008972E6" w:rsidRPr="008972E6" w:rsidRDefault="008972E6" w:rsidP="008972E6">
            <w:pPr>
              <w:rPr>
                <w:rFonts w:ascii="Arial" w:hAnsi="Arial" w:cs="Arial"/>
                <w:color w:val="262626" w:themeColor="text1" w:themeTint="D9"/>
                <w:sz w:val="16"/>
                <w:szCs w:val="16"/>
                <w:lang w:val="es-ES_tradnl"/>
              </w:rPr>
            </w:pPr>
          </w:p>
          <w:p w14:paraId="499FC019" w14:textId="77777777" w:rsidR="008972E6" w:rsidRPr="008972E6" w:rsidRDefault="008972E6" w:rsidP="008972E6">
            <w:pPr>
              <w:rPr>
                <w:rFonts w:ascii="Arial" w:hAnsi="Arial" w:cs="Arial"/>
                <w:color w:val="262626" w:themeColor="text1" w:themeTint="D9"/>
                <w:sz w:val="16"/>
                <w:szCs w:val="16"/>
                <w:lang w:val="es-ES_tradnl"/>
              </w:rPr>
            </w:pPr>
          </w:p>
          <w:p w14:paraId="10995C85"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Orientación y medición de resultados</w:t>
            </w:r>
          </w:p>
          <w:tbl>
            <w:tblPr>
              <w:tblW w:w="5000" w:type="pct"/>
              <w:tblCellMar>
                <w:left w:w="0" w:type="dxa"/>
                <w:right w:w="0" w:type="dxa"/>
              </w:tblCellMar>
              <w:tblLook w:val="0420" w:firstRow="1" w:lastRow="0" w:firstColumn="0" w:lastColumn="0" w:noHBand="0" w:noVBand="1"/>
            </w:tblPr>
            <w:tblGrid>
              <w:gridCol w:w="694"/>
              <w:gridCol w:w="8605"/>
            </w:tblGrid>
            <w:tr w:rsidR="008972E6" w:rsidRPr="008972E6" w14:paraId="6F7761F1" w14:textId="77777777" w:rsidTr="00BE2E5D">
              <w:trPr>
                <w:trHeight w:val="584"/>
              </w:trPr>
              <w:tc>
                <w:tcPr>
                  <w:tcW w:w="373" w:type="pct"/>
                  <w:tcBorders>
                    <w:top w:val="single" w:sz="8" w:space="0" w:color="70AD47"/>
                    <w:left w:val="nil"/>
                    <w:bottom w:val="single" w:sz="8" w:space="0" w:color="70AD47"/>
                    <w:right w:val="nil"/>
                  </w:tcBorders>
                  <w:shd w:val="clear" w:color="auto" w:fill="auto"/>
                  <w:tcMar>
                    <w:top w:w="72" w:type="dxa"/>
                    <w:left w:w="144" w:type="dxa"/>
                    <w:bottom w:w="72" w:type="dxa"/>
                    <w:right w:w="144" w:type="dxa"/>
                  </w:tcMar>
                  <w:vAlign w:val="center"/>
                  <w:hideMark/>
                </w:tcPr>
                <w:p w14:paraId="667F2132"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1</w:t>
                  </w:r>
                </w:p>
              </w:tc>
              <w:tc>
                <w:tcPr>
                  <w:tcW w:w="4627" w:type="pct"/>
                  <w:tcBorders>
                    <w:top w:val="single" w:sz="8" w:space="0" w:color="70AD47"/>
                    <w:left w:val="nil"/>
                    <w:bottom w:val="single" w:sz="8" w:space="0" w:color="70AD47"/>
                    <w:right w:val="nil"/>
                  </w:tcBorders>
                  <w:shd w:val="clear" w:color="auto" w:fill="auto"/>
                  <w:tcMar>
                    <w:top w:w="40" w:type="dxa"/>
                    <w:left w:w="70" w:type="dxa"/>
                    <w:bottom w:w="40" w:type="dxa"/>
                    <w:right w:w="70" w:type="dxa"/>
                  </w:tcMar>
                  <w:vAlign w:val="center"/>
                  <w:hideMark/>
                </w:tcPr>
                <w:p w14:paraId="362974EC"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El ITIFE reportó el avance de las metas de los indicadores estratégicos y de gestión del FAM-IEB y FAM-IEMS de 2022 a través de la MIR federal vinculada al SRFT.</w:t>
                  </w:r>
                </w:p>
              </w:tc>
            </w:tr>
            <w:tr w:rsidR="008972E6" w:rsidRPr="008972E6" w14:paraId="398F5E94" w14:textId="77777777" w:rsidTr="00BE2E5D">
              <w:trPr>
                <w:trHeight w:val="584"/>
              </w:trPr>
              <w:tc>
                <w:tcPr>
                  <w:tcW w:w="373" w:type="pct"/>
                  <w:tcBorders>
                    <w:top w:val="single" w:sz="8" w:space="0" w:color="70AD47"/>
                    <w:left w:val="nil"/>
                    <w:bottom w:val="nil"/>
                    <w:right w:val="nil"/>
                  </w:tcBorders>
                  <w:shd w:val="clear" w:color="auto" w:fill="EBF1E9"/>
                  <w:tcMar>
                    <w:top w:w="72" w:type="dxa"/>
                    <w:left w:w="144" w:type="dxa"/>
                    <w:bottom w:w="72" w:type="dxa"/>
                    <w:right w:w="144" w:type="dxa"/>
                  </w:tcMar>
                  <w:vAlign w:val="center"/>
                  <w:hideMark/>
                </w:tcPr>
                <w:p w14:paraId="51F53D15"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2</w:t>
                  </w:r>
                </w:p>
              </w:tc>
              <w:tc>
                <w:tcPr>
                  <w:tcW w:w="4627" w:type="pct"/>
                  <w:tcBorders>
                    <w:top w:val="single" w:sz="8" w:space="0" w:color="70AD47"/>
                    <w:left w:val="nil"/>
                    <w:bottom w:val="nil"/>
                    <w:right w:val="nil"/>
                  </w:tcBorders>
                  <w:shd w:val="clear" w:color="auto" w:fill="EBF1E9"/>
                  <w:tcMar>
                    <w:top w:w="40" w:type="dxa"/>
                    <w:left w:w="70" w:type="dxa"/>
                    <w:bottom w:w="40" w:type="dxa"/>
                    <w:right w:w="70" w:type="dxa"/>
                  </w:tcMar>
                  <w:vAlign w:val="center"/>
                  <w:hideMark/>
                </w:tcPr>
                <w:p w14:paraId="48352313"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El Estado logró un avance significativo y destacado en el avance de las metas de los indicadores del Fondo, que superó el 99% de las metas programadas.</w:t>
                  </w:r>
                </w:p>
              </w:tc>
            </w:tr>
            <w:tr w:rsidR="008972E6" w:rsidRPr="008972E6" w14:paraId="24C60E1A" w14:textId="77777777" w:rsidTr="00BE2E5D">
              <w:trPr>
                <w:trHeight w:val="584"/>
              </w:trPr>
              <w:tc>
                <w:tcPr>
                  <w:tcW w:w="373" w:type="pct"/>
                  <w:tcBorders>
                    <w:top w:val="nil"/>
                    <w:left w:val="nil"/>
                    <w:bottom w:val="single" w:sz="8" w:space="0" w:color="70AD47"/>
                    <w:right w:val="nil"/>
                  </w:tcBorders>
                  <w:shd w:val="clear" w:color="auto" w:fill="auto"/>
                  <w:tcMar>
                    <w:top w:w="72" w:type="dxa"/>
                    <w:left w:w="144" w:type="dxa"/>
                    <w:bottom w:w="72" w:type="dxa"/>
                    <w:right w:w="144" w:type="dxa"/>
                  </w:tcMar>
                  <w:vAlign w:val="center"/>
                  <w:hideMark/>
                </w:tcPr>
                <w:p w14:paraId="4C2C22F7"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3</w:t>
                  </w:r>
                </w:p>
              </w:tc>
              <w:tc>
                <w:tcPr>
                  <w:tcW w:w="4627" w:type="pct"/>
                  <w:tcBorders>
                    <w:top w:val="nil"/>
                    <w:left w:val="nil"/>
                    <w:bottom w:val="single" w:sz="8" w:space="0" w:color="70AD47"/>
                    <w:right w:val="nil"/>
                  </w:tcBorders>
                  <w:shd w:val="clear" w:color="auto" w:fill="auto"/>
                  <w:tcMar>
                    <w:top w:w="40" w:type="dxa"/>
                    <w:left w:w="70" w:type="dxa"/>
                    <w:bottom w:w="40" w:type="dxa"/>
                    <w:right w:w="70" w:type="dxa"/>
                  </w:tcMar>
                  <w:vAlign w:val="center"/>
                  <w:hideMark/>
                </w:tcPr>
                <w:p w14:paraId="54463758"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El ITIFE ha implementado acciones para la atención y seguimiento de los ASM que derivaron de las evaluaciones al fondo.</w:t>
                  </w:r>
                </w:p>
              </w:tc>
            </w:tr>
          </w:tbl>
          <w:p w14:paraId="5D17BAD5" w14:textId="77777777" w:rsidR="008972E6" w:rsidRPr="008972E6" w:rsidRDefault="008972E6" w:rsidP="008972E6">
            <w:pPr>
              <w:rPr>
                <w:rFonts w:ascii="Arial" w:hAnsi="Arial" w:cs="Arial"/>
                <w:color w:val="262626" w:themeColor="text1" w:themeTint="D9"/>
                <w:sz w:val="16"/>
                <w:szCs w:val="16"/>
              </w:rPr>
            </w:pPr>
          </w:p>
          <w:p w14:paraId="726770D7" w14:textId="77777777" w:rsidR="008972E6" w:rsidRPr="008972E6" w:rsidRDefault="008972E6" w:rsidP="008972E6">
            <w:pPr>
              <w:rPr>
                <w:rFonts w:ascii="Arial" w:hAnsi="Arial" w:cs="Arial"/>
                <w:color w:val="262626" w:themeColor="text1" w:themeTint="D9"/>
                <w:sz w:val="16"/>
                <w:szCs w:val="16"/>
                <w:lang w:val="es-ES_tradnl"/>
              </w:rPr>
            </w:pPr>
          </w:p>
          <w:p w14:paraId="0560E4CA" w14:textId="11490329" w:rsidR="008972E6" w:rsidRPr="008972E6" w:rsidRDefault="008972E6" w:rsidP="008972E6">
            <w:pPr>
              <w:rPr>
                <w:rFonts w:ascii="Arial" w:hAnsi="Arial" w:cs="Arial"/>
                <w:b/>
                <w:bCs/>
                <w:color w:val="262626" w:themeColor="text1" w:themeTint="D9"/>
                <w:sz w:val="16"/>
                <w:szCs w:val="16"/>
                <w:lang w:val="es-ES_tradnl"/>
              </w:rPr>
            </w:pPr>
            <w:r w:rsidRPr="008972E6">
              <w:rPr>
                <w:rFonts w:ascii="Arial" w:hAnsi="Arial" w:cs="Arial"/>
                <w:b/>
                <w:bCs/>
                <w:color w:val="262626" w:themeColor="text1" w:themeTint="D9"/>
                <w:sz w:val="16"/>
                <w:szCs w:val="16"/>
                <w:lang w:val="es-ES_tradnl"/>
              </w:rPr>
              <w:t>Debilidades / Amenazas</w:t>
            </w:r>
          </w:p>
          <w:p w14:paraId="7135D672"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Contribución y destino</w:t>
            </w:r>
          </w:p>
          <w:tbl>
            <w:tblPr>
              <w:tblW w:w="5000" w:type="pct"/>
              <w:tblCellMar>
                <w:left w:w="0" w:type="dxa"/>
                <w:right w:w="0" w:type="dxa"/>
              </w:tblCellMar>
              <w:tblLook w:val="0420" w:firstRow="1" w:lastRow="0" w:firstColumn="0" w:lastColumn="0" w:noHBand="0" w:noVBand="1"/>
            </w:tblPr>
            <w:tblGrid>
              <w:gridCol w:w="694"/>
              <w:gridCol w:w="8605"/>
            </w:tblGrid>
            <w:tr w:rsidR="008972E6" w:rsidRPr="008972E6" w14:paraId="63C235D9"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F4E7E7"/>
                  <w:tcMar>
                    <w:top w:w="72" w:type="dxa"/>
                    <w:left w:w="144" w:type="dxa"/>
                    <w:bottom w:w="72" w:type="dxa"/>
                    <w:right w:w="144" w:type="dxa"/>
                  </w:tcMar>
                  <w:vAlign w:val="center"/>
                  <w:hideMark/>
                </w:tcPr>
                <w:p w14:paraId="3970D50A"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1</w:t>
                  </w:r>
                </w:p>
              </w:tc>
              <w:tc>
                <w:tcPr>
                  <w:tcW w:w="4627" w:type="pct"/>
                  <w:tcBorders>
                    <w:top w:val="single" w:sz="8" w:space="0" w:color="FF0000"/>
                    <w:left w:val="single" w:sz="8" w:space="0" w:color="FF0000"/>
                    <w:bottom w:val="single" w:sz="8" w:space="0" w:color="FF0000"/>
                    <w:right w:val="nil"/>
                  </w:tcBorders>
                  <w:shd w:val="clear" w:color="auto" w:fill="F4E7E7"/>
                  <w:tcMar>
                    <w:top w:w="72" w:type="dxa"/>
                    <w:left w:w="144" w:type="dxa"/>
                    <w:bottom w:w="72" w:type="dxa"/>
                    <w:right w:w="144" w:type="dxa"/>
                  </w:tcMar>
                  <w:vAlign w:val="center"/>
                  <w:hideMark/>
                </w:tcPr>
                <w:p w14:paraId="38A9C39D"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 xml:space="preserve">El ITIFE no clasificó el total de obras de infraestructura en su Programa de Obras Anual 2022, por nivel educativo al que pertenece: preescolar, primaria, secundaria y media superior; que permita identificar aquellas necesidades prioritarias que atendió el Fondo. </w:t>
                  </w:r>
                </w:p>
              </w:tc>
            </w:tr>
            <w:tr w:rsidR="008972E6" w:rsidRPr="008972E6" w14:paraId="3932DD80"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auto"/>
                  <w:tcMar>
                    <w:top w:w="72" w:type="dxa"/>
                    <w:left w:w="144" w:type="dxa"/>
                    <w:bottom w:w="72" w:type="dxa"/>
                    <w:right w:w="144" w:type="dxa"/>
                  </w:tcMar>
                  <w:vAlign w:val="center"/>
                </w:tcPr>
                <w:p w14:paraId="2C98C18A" w14:textId="77777777" w:rsidR="008972E6" w:rsidRPr="008972E6" w:rsidRDefault="008972E6" w:rsidP="008972E6">
                  <w:pPr>
                    <w:spacing w:after="0" w:line="240" w:lineRule="auto"/>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2</w:t>
                  </w:r>
                </w:p>
              </w:tc>
              <w:tc>
                <w:tcPr>
                  <w:tcW w:w="4627" w:type="pct"/>
                  <w:tcBorders>
                    <w:top w:val="single" w:sz="8" w:space="0" w:color="FF0000"/>
                    <w:left w:val="single" w:sz="8" w:space="0" w:color="FF0000"/>
                    <w:bottom w:val="single" w:sz="8" w:space="0" w:color="FF0000"/>
                    <w:right w:val="nil"/>
                  </w:tcBorders>
                  <w:shd w:val="clear" w:color="auto" w:fill="auto"/>
                  <w:tcMar>
                    <w:top w:w="72" w:type="dxa"/>
                    <w:left w:w="144" w:type="dxa"/>
                    <w:bottom w:w="72" w:type="dxa"/>
                    <w:right w:w="144" w:type="dxa"/>
                  </w:tcMar>
                  <w:vAlign w:val="center"/>
                </w:tcPr>
                <w:p w14:paraId="7B45A0B3" w14:textId="77777777" w:rsidR="008972E6" w:rsidRPr="008972E6" w:rsidRDefault="008972E6" w:rsidP="008972E6">
                  <w:pPr>
                    <w:spacing w:after="0" w:line="240" w:lineRule="auto"/>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 xml:space="preserve">La definición del problema que se presenta en el Diagnóstico del </w:t>
                  </w:r>
                  <w:proofErr w:type="spellStart"/>
                  <w:r w:rsidRPr="008972E6">
                    <w:rPr>
                      <w:rFonts w:ascii="Arial" w:hAnsi="Arial" w:cs="Arial"/>
                      <w:color w:val="262626" w:themeColor="text1" w:themeTint="D9"/>
                      <w:sz w:val="16"/>
                      <w:szCs w:val="16"/>
                      <w:lang w:val="es-ES_tradnl"/>
                    </w:rPr>
                    <w:t>Pp</w:t>
                  </w:r>
                  <w:proofErr w:type="spellEnd"/>
                  <w:r w:rsidRPr="008972E6">
                    <w:rPr>
                      <w:rFonts w:ascii="Arial" w:hAnsi="Arial" w:cs="Arial"/>
                      <w:color w:val="262626" w:themeColor="text1" w:themeTint="D9"/>
                      <w:sz w:val="16"/>
                      <w:szCs w:val="16"/>
                      <w:lang w:val="es-ES_tradnl"/>
                    </w:rPr>
                    <w:t xml:space="preserve"> P087 corresponde al «Rezago en la infraestructura  física educativa, así como su equipamiento» </w:t>
                  </w:r>
                  <w:sdt>
                    <w:sdtPr>
                      <w:rPr>
                        <w:rFonts w:ascii="Arial" w:hAnsi="Arial" w:cs="Arial"/>
                        <w:color w:val="262626" w:themeColor="text1" w:themeTint="D9"/>
                        <w:sz w:val="16"/>
                        <w:szCs w:val="16"/>
                        <w:lang w:val="es-ES_tradnl"/>
                      </w:rPr>
                      <w:id w:val="-192075074"/>
                      <w:citation/>
                    </w:sdtPr>
                    <w:sdtContent>
                      <w:r w:rsidRPr="008972E6">
                        <w:rPr>
                          <w:rFonts w:ascii="Arial" w:hAnsi="Arial" w:cs="Arial"/>
                          <w:color w:val="262626" w:themeColor="text1" w:themeTint="D9"/>
                          <w:sz w:val="16"/>
                          <w:szCs w:val="16"/>
                          <w:lang w:val="es-ES_tradnl"/>
                        </w:rPr>
                        <w:fldChar w:fldCharType="begin"/>
                      </w:r>
                      <w:r w:rsidRPr="008972E6">
                        <w:rPr>
                          <w:rFonts w:ascii="Arial" w:hAnsi="Arial" w:cs="Arial"/>
                          <w:color w:val="262626" w:themeColor="text1" w:themeTint="D9"/>
                          <w:sz w:val="16"/>
                          <w:szCs w:val="16"/>
                          <w:lang w:val="es-ES_tradnl"/>
                        </w:rPr>
                        <w:instrText xml:space="preserve"> CITATION ITI22 \l 1034 </w:instrText>
                      </w:r>
                      <w:r w:rsidRPr="008972E6">
                        <w:rPr>
                          <w:rFonts w:ascii="Arial" w:hAnsi="Arial" w:cs="Arial"/>
                          <w:color w:val="262626" w:themeColor="text1" w:themeTint="D9"/>
                          <w:sz w:val="16"/>
                          <w:szCs w:val="16"/>
                          <w:lang w:val="es-ES_tradnl"/>
                        </w:rPr>
                        <w:fldChar w:fldCharType="separate"/>
                      </w:r>
                      <w:r w:rsidRPr="008972E6">
                        <w:rPr>
                          <w:rFonts w:ascii="Arial" w:hAnsi="Arial" w:cs="Arial"/>
                          <w:color w:val="262626" w:themeColor="text1" w:themeTint="D9"/>
                          <w:sz w:val="16"/>
                          <w:szCs w:val="16"/>
                          <w:lang w:val="es-ES_tradnl"/>
                        </w:rPr>
                        <w:t>(ITIFE, 2022)</w:t>
                      </w:r>
                      <w:r w:rsidRPr="008972E6">
                        <w:rPr>
                          <w:rFonts w:ascii="Arial" w:hAnsi="Arial" w:cs="Arial"/>
                          <w:color w:val="262626" w:themeColor="text1" w:themeTint="D9"/>
                          <w:sz w:val="16"/>
                          <w:szCs w:val="16"/>
                          <w:lang w:val="es-ES_tradnl"/>
                        </w:rPr>
                        <w:fldChar w:fldCharType="end"/>
                      </w:r>
                    </w:sdtContent>
                  </w:sdt>
                  <w:r w:rsidRPr="008972E6">
                    <w:rPr>
                      <w:rFonts w:ascii="Arial" w:hAnsi="Arial" w:cs="Arial"/>
                      <w:color w:val="262626" w:themeColor="text1" w:themeTint="D9"/>
                      <w:sz w:val="16"/>
                      <w:szCs w:val="16"/>
                      <w:lang w:val="es-ES_tradnl"/>
                    </w:rPr>
                    <w:t>, con lo cual, el ‘rezago’ representa la falta o ausencia de solución, aspecto que se sugiere mejorar tomando como referente con la Guía para la Elaboración de la Matriz para Resultados del CONEVAL.</w:t>
                  </w:r>
                </w:p>
              </w:tc>
            </w:tr>
          </w:tbl>
          <w:p w14:paraId="6F6855AF" w14:textId="77777777" w:rsidR="008972E6" w:rsidRPr="008972E6" w:rsidRDefault="008972E6" w:rsidP="008972E6">
            <w:pPr>
              <w:rPr>
                <w:rFonts w:ascii="Arial" w:hAnsi="Arial" w:cs="Arial"/>
                <w:color w:val="262626" w:themeColor="text1" w:themeTint="D9"/>
                <w:sz w:val="16"/>
                <w:szCs w:val="16"/>
              </w:rPr>
            </w:pPr>
          </w:p>
          <w:p w14:paraId="10AC00C8"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Gestión y operación</w:t>
            </w:r>
          </w:p>
          <w:tbl>
            <w:tblPr>
              <w:tblW w:w="5000" w:type="pct"/>
              <w:tblCellMar>
                <w:left w:w="0" w:type="dxa"/>
                <w:right w:w="0" w:type="dxa"/>
              </w:tblCellMar>
              <w:tblLook w:val="0420" w:firstRow="1" w:lastRow="0" w:firstColumn="0" w:lastColumn="0" w:noHBand="0" w:noVBand="1"/>
            </w:tblPr>
            <w:tblGrid>
              <w:gridCol w:w="694"/>
              <w:gridCol w:w="8605"/>
            </w:tblGrid>
            <w:tr w:rsidR="008972E6" w:rsidRPr="008972E6" w14:paraId="0C098321"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F4E7E7"/>
                  <w:tcMar>
                    <w:top w:w="72" w:type="dxa"/>
                    <w:left w:w="144" w:type="dxa"/>
                    <w:bottom w:w="72" w:type="dxa"/>
                    <w:right w:w="144" w:type="dxa"/>
                  </w:tcMar>
                  <w:vAlign w:val="center"/>
                  <w:hideMark/>
                </w:tcPr>
                <w:p w14:paraId="31A6A2D8"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lastRenderedPageBreak/>
                    <w:t>1</w:t>
                  </w:r>
                </w:p>
              </w:tc>
              <w:tc>
                <w:tcPr>
                  <w:tcW w:w="4627" w:type="pct"/>
                  <w:tcBorders>
                    <w:top w:val="single" w:sz="8" w:space="0" w:color="FF0000"/>
                    <w:left w:val="single" w:sz="8" w:space="0" w:color="FF0000"/>
                    <w:bottom w:val="single" w:sz="8" w:space="0" w:color="FF0000"/>
                    <w:right w:val="nil"/>
                  </w:tcBorders>
                  <w:shd w:val="clear" w:color="auto" w:fill="F4E7E7"/>
                  <w:tcMar>
                    <w:top w:w="72" w:type="dxa"/>
                    <w:left w:w="144" w:type="dxa"/>
                    <w:bottom w:w="72" w:type="dxa"/>
                    <w:right w:w="144" w:type="dxa"/>
                  </w:tcMar>
                  <w:vAlign w:val="center"/>
                  <w:hideMark/>
                </w:tcPr>
                <w:p w14:paraId="60C1F60F"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El ITIFE no cuenta con un manual de procesos y procedimientos que describa las actividades que llevan a cabo las áreas involucradas en la gestión y operación de los recursos del Fondo.</w:t>
                  </w:r>
                </w:p>
              </w:tc>
            </w:tr>
            <w:tr w:rsidR="008972E6" w:rsidRPr="008972E6" w14:paraId="4AA5E015"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auto"/>
                  <w:tcMar>
                    <w:top w:w="72" w:type="dxa"/>
                    <w:left w:w="144" w:type="dxa"/>
                    <w:bottom w:w="72" w:type="dxa"/>
                    <w:right w:w="144" w:type="dxa"/>
                  </w:tcMar>
                  <w:vAlign w:val="center"/>
                </w:tcPr>
                <w:p w14:paraId="63F84F1F" w14:textId="77777777" w:rsidR="008972E6" w:rsidRPr="008972E6" w:rsidRDefault="008972E6" w:rsidP="008972E6">
                  <w:pPr>
                    <w:spacing w:after="0" w:line="240" w:lineRule="auto"/>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2</w:t>
                  </w:r>
                </w:p>
              </w:tc>
              <w:tc>
                <w:tcPr>
                  <w:tcW w:w="4627" w:type="pct"/>
                  <w:tcBorders>
                    <w:top w:val="single" w:sz="8" w:space="0" w:color="FF0000"/>
                    <w:left w:val="single" w:sz="8" w:space="0" w:color="FF0000"/>
                    <w:bottom w:val="single" w:sz="8" w:space="0" w:color="FF0000"/>
                    <w:right w:val="nil"/>
                  </w:tcBorders>
                  <w:shd w:val="clear" w:color="auto" w:fill="auto"/>
                  <w:tcMar>
                    <w:top w:w="72" w:type="dxa"/>
                    <w:left w:w="144" w:type="dxa"/>
                    <w:bottom w:w="72" w:type="dxa"/>
                    <w:right w:w="144" w:type="dxa"/>
                  </w:tcMar>
                  <w:vAlign w:val="center"/>
                </w:tcPr>
                <w:p w14:paraId="480032B3"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El ITIFE no recibió capacitaciones para las personas servidoras públicas responsables en la operación del Fondo, que permita garantizar la aplicación de la normatividad y operatividad del fondo.</w:t>
                  </w:r>
                </w:p>
              </w:tc>
            </w:tr>
          </w:tbl>
          <w:p w14:paraId="58926469" w14:textId="77777777" w:rsidR="008972E6" w:rsidRPr="008972E6" w:rsidRDefault="008972E6" w:rsidP="008972E6">
            <w:pPr>
              <w:rPr>
                <w:rFonts w:ascii="Arial" w:hAnsi="Arial" w:cs="Arial"/>
                <w:color w:val="262626" w:themeColor="text1" w:themeTint="D9"/>
                <w:sz w:val="16"/>
                <w:szCs w:val="16"/>
              </w:rPr>
            </w:pPr>
          </w:p>
          <w:p w14:paraId="032307BC"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Generación de Información y rendición de cuentas</w:t>
            </w:r>
          </w:p>
          <w:tbl>
            <w:tblPr>
              <w:tblW w:w="5000" w:type="pct"/>
              <w:tblCellMar>
                <w:left w:w="0" w:type="dxa"/>
                <w:right w:w="0" w:type="dxa"/>
              </w:tblCellMar>
              <w:tblLook w:val="0420" w:firstRow="1" w:lastRow="0" w:firstColumn="0" w:lastColumn="0" w:noHBand="0" w:noVBand="1"/>
            </w:tblPr>
            <w:tblGrid>
              <w:gridCol w:w="694"/>
              <w:gridCol w:w="8605"/>
            </w:tblGrid>
            <w:tr w:rsidR="008972E6" w:rsidRPr="008972E6" w14:paraId="74B524F2"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EFE7E7"/>
                  <w:tcMar>
                    <w:top w:w="72" w:type="dxa"/>
                    <w:left w:w="144" w:type="dxa"/>
                    <w:bottom w:w="72" w:type="dxa"/>
                    <w:right w:w="144" w:type="dxa"/>
                  </w:tcMar>
                  <w:vAlign w:val="center"/>
                  <w:hideMark/>
                </w:tcPr>
                <w:p w14:paraId="71EC66E0"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2</w:t>
                  </w:r>
                </w:p>
              </w:tc>
              <w:tc>
                <w:tcPr>
                  <w:tcW w:w="4627" w:type="pct"/>
                  <w:tcBorders>
                    <w:top w:val="single" w:sz="8" w:space="0" w:color="FF0000"/>
                    <w:left w:val="single" w:sz="8" w:space="0" w:color="FF0000"/>
                    <w:bottom w:val="single" w:sz="8" w:space="0" w:color="FF0000"/>
                    <w:right w:val="nil"/>
                  </w:tcBorders>
                  <w:shd w:val="clear" w:color="auto" w:fill="EFE7E7"/>
                  <w:tcMar>
                    <w:top w:w="72" w:type="dxa"/>
                    <w:left w:w="144" w:type="dxa"/>
                    <w:bottom w:w="72" w:type="dxa"/>
                    <w:right w:w="144" w:type="dxa"/>
                  </w:tcMar>
                  <w:vAlign w:val="center"/>
                  <w:hideMark/>
                </w:tcPr>
                <w:p w14:paraId="15338655"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El ITIFE no pudo cubrir la programación de 192 obras planeadas por la SET, toda vez que, sólo cubrió las metas de 164 obras con los recursos del Fondo, lo cual generó el reintegro de recursos a la Federación.</w:t>
                  </w:r>
                </w:p>
              </w:tc>
            </w:tr>
          </w:tbl>
          <w:p w14:paraId="64574F59" w14:textId="77777777" w:rsidR="008972E6" w:rsidRPr="008972E6" w:rsidRDefault="008972E6" w:rsidP="008972E6">
            <w:pPr>
              <w:rPr>
                <w:rFonts w:ascii="Arial" w:hAnsi="Arial" w:cs="Arial"/>
                <w:color w:val="262626" w:themeColor="text1" w:themeTint="D9"/>
                <w:sz w:val="16"/>
                <w:szCs w:val="16"/>
                <w:lang w:val="es-ES_tradnl"/>
              </w:rPr>
            </w:pPr>
          </w:p>
          <w:p w14:paraId="048BF7B5" w14:textId="77777777" w:rsidR="008972E6" w:rsidRPr="008972E6" w:rsidRDefault="008972E6" w:rsidP="008972E6">
            <w:pPr>
              <w:rPr>
                <w:rFonts w:ascii="Arial" w:hAnsi="Arial" w:cs="Arial"/>
                <w:color w:val="262626" w:themeColor="text1" w:themeTint="D9"/>
                <w:sz w:val="16"/>
                <w:szCs w:val="16"/>
                <w:lang w:val="es-ES_tradnl"/>
              </w:rPr>
            </w:pPr>
            <w:r w:rsidRPr="008972E6">
              <w:rPr>
                <w:rFonts w:ascii="Arial" w:hAnsi="Arial" w:cs="Arial"/>
                <w:color w:val="262626" w:themeColor="text1" w:themeTint="D9"/>
                <w:sz w:val="16"/>
                <w:szCs w:val="16"/>
                <w:lang w:val="es-ES_tradnl"/>
              </w:rPr>
              <w:t>Orientación y medición de resultados</w:t>
            </w:r>
          </w:p>
          <w:tbl>
            <w:tblPr>
              <w:tblW w:w="5000" w:type="pct"/>
              <w:tblCellMar>
                <w:left w:w="0" w:type="dxa"/>
                <w:right w:w="0" w:type="dxa"/>
              </w:tblCellMar>
              <w:tblLook w:val="0420" w:firstRow="1" w:lastRow="0" w:firstColumn="0" w:lastColumn="0" w:noHBand="0" w:noVBand="1"/>
            </w:tblPr>
            <w:tblGrid>
              <w:gridCol w:w="694"/>
              <w:gridCol w:w="8605"/>
            </w:tblGrid>
            <w:tr w:rsidR="008972E6" w:rsidRPr="008972E6" w14:paraId="0B54E305"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auto"/>
                  <w:tcMar>
                    <w:top w:w="72" w:type="dxa"/>
                    <w:left w:w="144" w:type="dxa"/>
                    <w:bottom w:w="72" w:type="dxa"/>
                    <w:right w:w="144" w:type="dxa"/>
                  </w:tcMar>
                  <w:vAlign w:val="center"/>
                  <w:hideMark/>
                </w:tcPr>
                <w:p w14:paraId="08AA7D3A"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1</w:t>
                  </w:r>
                </w:p>
              </w:tc>
              <w:tc>
                <w:tcPr>
                  <w:tcW w:w="4627" w:type="pct"/>
                  <w:tcBorders>
                    <w:top w:val="single" w:sz="8" w:space="0" w:color="FF0000"/>
                    <w:left w:val="single" w:sz="8" w:space="0" w:color="FF0000"/>
                    <w:bottom w:val="single" w:sz="8" w:space="0" w:color="FF0000"/>
                    <w:right w:val="nil"/>
                  </w:tcBorders>
                  <w:shd w:val="clear" w:color="auto" w:fill="auto"/>
                  <w:tcMar>
                    <w:top w:w="72" w:type="dxa"/>
                    <w:left w:w="144" w:type="dxa"/>
                    <w:bottom w:w="72" w:type="dxa"/>
                    <w:right w:w="144" w:type="dxa"/>
                  </w:tcMar>
                  <w:hideMark/>
                </w:tcPr>
                <w:p w14:paraId="0F92BC77"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 xml:space="preserve">El </w:t>
                  </w:r>
                  <w:r w:rsidRPr="008972E6">
                    <w:rPr>
                      <w:rFonts w:ascii="Arial" w:hAnsi="Arial" w:cs="Arial"/>
                      <w:color w:val="262626" w:themeColor="text1" w:themeTint="D9"/>
                      <w:sz w:val="16"/>
                      <w:szCs w:val="16"/>
                      <w:lang w:val="es-ES_tradnl"/>
                    </w:rPr>
                    <w:t xml:space="preserve">resumen narrativo </w:t>
                  </w:r>
                  <w:r w:rsidRPr="008972E6">
                    <w:rPr>
                      <w:rFonts w:ascii="Arial" w:hAnsi="Arial" w:cs="Arial"/>
                      <w:color w:val="262626" w:themeColor="text1" w:themeTint="D9"/>
                      <w:sz w:val="16"/>
                      <w:szCs w:val="16"/>
                    </w:rPr>
                    <w:t>del nivel Fin “Contribuir con la infraestructura física educativa para garantizar la calidad de los servicios educativos en Tamaulipas mediante el desarrollo de un programa de obra anual…”, es ambiguo al objetivo que pretende alcanzar el programa presupuestario estatal P087, acorde al Programa Sectorial de Infraestructura 2020, al que se encuentra alineado el programa en el Estado de Tamaulipas.</w:t>
                  </w:r>
                </w:p>
              </w:tc>
            </w:tr>
            <w:tr w:rsidR="008972E6" w:rsidRPr="008972E6" w14:paraId="1821A1DE"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EFE7E7"/>
                  <w:tcMar>
                    <w:top w:w="72" w:type="dxa"/>
                    <w:left w:w="144" w:type="dxa"/>
                    <w:bottom w:w="72" w:type="dxa"/>
                    <w:right w:w="144" w:type="dxa"/>
                  </w:tcMar>
                  <w:vAlign w:val="center"/>
                  <w:hideMark/>
                </w:tcPr>
                <w:p w14:paraId="5295FCB9"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2</w:t>
                  </w:r>
                </w:p>
              </w:tc>
              <w:tc>
                <w:tcPr>
                  <w:tcW w:w="4627" w:type="pct"/>
                  <w:tcBorders>
                    <w:top w:val="single" w:sz="8" w:space="0" w:color="FF0000"/>
                    <w:left w:val="single" w:sz="8" w:space="0" w:color="FF0000"/>
                    <w:bottom w:val="single" w:sz="8" w:space="0" w:color="FF0000"/>
                    <w:right w:val="nil"/>
                  </w:tcBorders>
                  <w:shd w:val="clear" w:color="auto" w:fill="EFE7E7"/>
                  <w:tcMar>
                    <w:top w:w="72" w:type="dxa"/>
                    <w:left w:w="144" w:type="dxa"/>
                    <w:bottom w:w="72" w:type="dxa"/>
                    <w:right w:w="144" w:type="dxa"/>
                  </w:tcMar>
                  <w:hideMark/>
                </w:tcPr>
                <w:p w14:paraId="5F0D311A"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 xml:space="preserve">El </w:t>
                  </w:r>
                  <w:r w:rsidRPr="008972E6">
                    <w:rPr>
                      <w:rFonts w:ascii="Arial" w:hAnsi="Arial" w:cs="Arial"/>
                      <w:color w:val="262626" w:themeColor="text1" w:themeTint="D9"/>
                      <w:sz w:val="16"/>
                      <w:szCs w:val="16"/>
                      <w:lang w:val="es-ES_tradnl"/>
                    </w:rPr>
                    <w:t xml:space="preserve">resumen narrativo </w:t>
                  </w:r>
                  <w:r w:rsidRPr="008972E6">
                    <w:rPr>
                      <w:rFonts w:ascii="Arial" w:hAnsi="Arial" w:cs="Arial"/>
                      <w:color w:val="262626" w:themeColor="text1" w:themeTint="D9"/>
                      <w:sz w:val="16"/>
                      <w:szCs w:val="16"/>
                    </w:rPr>
                    <w:t>“</w:t>
                  </w:r>
                  <w:r w:rsidRPr="008972E6">
                    <w:rPr>
                      <w:rFonts w:ascii="Arial" w:hAnsi="Arial" w:cs="Arial"/>
                      <w:i/>
                      <w:iCs/>
                      <w:color w:val="262626" w:themeColor="text1" w:themeTint="D9"/>
                      <w:sz w:val="16"/>
                      <w:szCs w:val="16"/>
                    </w:rPr>
                    <w:t>El Instituto Tamaulipeco de Infraestructura Física Educativa, optimiza, evalúa y norma el equipamiento y la infraestructura</w:t>
                  </w:r>
                  <w:r w:rsidRPr="008972E6">
                    <w:rPr>
                      <w:rFonts w:ascii="Arial" w:hAnsi="Arial" w:cs="Arial"/>
                      <w:color w:val="262626" w:themeColor="text1" w:themeTint="D9"/>
                      <w:sz w:val="16"/>
                      <w:szCs w:val="16"/>
                    </w:rPr>
                    <w:t>”, del nivel Propósito del programa presupuestario estatal P087, no es consistente con la problemática que pretende atender: “</w:t>
                  </w:r>
                  <w:r w:rsidRPr="008972E6">
                    <w:rPr>
                      <w:rFonts w:ascii="Arial" w:hAnsi="Arial" w:cs="Arial"/>
                      <w:i/>
                      <w:iCs/>
                      <w:color w:val="262626" w:themeColor="text1" w:themeTint="D9"/>
                      <w:sz w:val="16"/>
                      <w:szCs w:val="16"/>
                    </w:rPr>
                    <w:t>Rezago de la infraestructura física educativa, así como su equipamiento</w:t>
                  </w:r>
                  <w:r w:rsidRPr="008972E6">
                    <w:rPr>
                      <w:rFonts w:ascii="Arial" w:hAnsi="Arial" w:cs="Arial"/>
                      <w:color w:val="262626" w:themeColor="text1" w:themeTint="D9"/>
                      <w:sz w:val="16"/>
                      <w:szCs w:val="16"/>
                    </w:rPr>
                    <w:t>”.</w:t>
                  </w:r>
                </w:p>
              </w:tc>
            </w:tr>
            <w:tr w:rsidR="008972E6" w:rsidRPr="008972E6" w14:paraId="46733B6C" w14:textId="77777777" w:rsidTr="00BE2E5D">
              <w:trPr>
                <w:trHeight w:val="584"/>
              </w:trPr>
              <w:tc>
                <w:tcPr>
                  <w:tcW w:w="373" w:type="pct"/>
                  <w:tcBorders>
                    <w:top w:val="single" w:sz="8" w:space="0" w:color="FF0000"/>
                    <w:left w:val="nil"/>
                    <w:bottom w:val="single" w:sz="8" w:space="0" w:color="FF0000"/>
                    <w:right w:val="single" w:sz="8" w:space="0" w:color="FF0000"/>
                  </w:tcBorders>
                  <w:shd w:val="clear" w:color="auto" w:fill="auto"/>
                  <w:tcMar>
                    <w:top w:w="72" w:type="dxa"/>
                    <w:left w:w="144" w:type="dxa"/>
                    <w:bottom w:w="72" w:type="dxa"/>
                    <w:right w:w="144" w:type="dxa"/>
                  </w:tcMar>
                  <w:vAlign w:val="center"/>
                  <w:hideMark/>
                </w:tcPr>
                <w:p w14:paraId="5D4B78F2"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lang w:val="es-ES_tradnl"/>
                    </w:rPr>
                    <w:t>3</w:t>
                  </w:r>
                </w:p>
              </w:tc>
              <w:tc>
                <w:tcPr>
                  <w:tcW w:w="4627" w:type="pct"/>
                  <w:tcBorders>
                    <w:top w:val="single" w:sz="8" w:space="0" w:color="FF0000"/>
                    <w:left w:val="single" w:sz="8" w:space="0" w:color="FF0000"/>
                    <w:bottom w:val="single" w:sz="8" w:space="0" w:color="FF0000"/>
                    <w:right w:val="nil"/>
                  </w:tcBorders>
                  <w:shd w:val="clear" w:color="auto" w:fill="auto"/>
                  <w:tcMar>
                    <w:top w:w="72" w:type="dxa"/>
                    <w:left w:w="144" w:type="dxa"/>
                    <w:bottom w:w="72" w:type="dxa"/>
                    <w:right w:w="144" w:type="dxa"/>
                  </w:tcMar>
                  <w:hideMark/>
                </w:tcPr>
                <w:p w14:paraId="336BB7B4" w14:textId="77777777" w:rsidR="008972E6" w:rsidRPr="008972E6" w:rsidRDefault="008972E6" w:rsidP="008972E6">
                  <w:pPr>
                    <w:spacing w:after="0" w:line="240" w:lineRule="auto"/>
                    <w:rPr>
                      <w:rFonts w:ascii="Arial" w:hAnsi="Arial" w:cs="Arial"/>
                      <w:color w:val="262626" w:themeColor="text1" w:themeTint="D9"/>
                      <w:sz w:val="16"/>
                      <w:szCs w:val="16"/>
                    </w:rPr>
                  </w:pPr>
                  <w:r w:rsidRPr="008972E6">
                    <w:rPr>
                      <w:rFonts w:ascii="Arial" w:hAnsi="Arial" w:cs="Arial"/>
                      <w:color w:val="262626" w:themeColor="text1" w:themeTint="D9"/>
                      <w:sz w:val="16"/>
                      <w:szCs w:val="16"/>
                    </w:rPr>
                    <w:t>Los indicadores de nivel Fin (P087F01,1), Propósito (P087P01,1) y Actividad (P087C1A4) no cuentan con la mayoría de los criterios de: claridad, relevancia, económico, monitoreable y adecuado; en cuanto a su definición y al objetivo al que se encuentran asociados.</w:t>
                  </w:r>
                </w:p>
              </w:tc>
            </w:tr>
          </w:tbl>
          <w:p w14:paraId="4DBB7F91" w14:textId="77777777" w:rsidR="008972E6" w:rsidRPr="008972E6" w:rsidRDefault="008972E6" w:rsidP="008972E6">
            <w:pPr>
              <w:rPr>
                <w:rFonts w:ascii="Arial" w:hAnsi="Arial" w:cs="Arial"/>
                <w:color w:val="262626" w:themeColor="text1" w:themeTint="D9"/>
                <w:sz w:val="16"/>
                <w:szCs w:val="16"/>
                <w:lang w:val="es-ES_tradnl"/>
              </w:rPr>
            </w:pPr>
          </w:p>
          <w:p w14:paraId="05CDB847" w14:textId="001309AC" w:rsidR="000D0AA1" w:rsidRPr="00B60B84" w:rsidRDefault="000D0AA1" w:rsidP="00B60B84">
            <w:pPr>
              <w:rPr>
                <w:rFonts w:ascii="Cambria" w:hAnsi="Cambria" w:cs="Arial"/>
                <w:color w:val="262626" w:themeColor="text1" w:themeTint="D9"/>
                <w:lang w:val="es-ES_tradnl"/>
              </w:rPr>
            </w:pPr>
          </w:p>
        </w:tc>
      </w:tr>
      <w:tr w:rsidR="008A0A03" w:rsidRPr="0082261D" w14:paraId="1DADA6F9" w14:textId="77777777" w:rsidTr="00BC377F">
        <w:trPr>
          <w:trHeight w:val="170"/>
        </w:trPr>
        <w:tc>
          <w:tcPr>
            <w:tcW w:w="9515" w:type="dxa"/>
            <w:gridSpan w:val="2"/>
            <w:tcBorders>
              <w:top w:val="single" w:sz="4" w:space="0" w:color="auto"/>
              <w:left w:val="nil"/>
              <w:bottom w:val="single" w:sz="4" w:space="0" w:color="auto"/>
              <w:right w:val="nil"/>
            </w:tcBorders>
            <w:shd w:val="clear" w:color="auto" w:fill="E7E6E6" w:themeFill="background2"/>
            <w:vAlign w:val="center"/>
          </w:tcPr>
          <w:p w14:paraId="2059520E" w14:textId="77777777" w:rsidR="008A0A03" w:rsidRPr="0082261D" w:rsidRDefault="008A0A03" w:rsidP="000174E8">
            <w:pPr>
              <w:spacing w:line="276" w:lineRule="auto"/>
              <w:rPr>
                <w:rFonts w:ascii="Arial" w:hAnsi="Arial" w:cs="Arial"/>
                <w:b/>
                <w:bCs/>
                <w:sz w:val="16"/>
                <w:szCs w:val="16"/>
              </w:rPr>
            </w:pPr>
            <w:r w:rsidRPr="0082261D">
              <w:rPr>
                <w:rFonts w:ascii="Arial" w:hAnsi="Arial" w:cs="Arial"/>
                <w:b/>
                <w:bCs/>
                <w:sz w:val="16"/>
                <w:szCs w:val="16"/>
              </w:rPr>
              <w:lastRenderedPageBreak/>
              <w:t>3. CONCLUSIONES Y RECOMENDACIONES DE LA EVALUACIÓN</w:t>
            </w:r>
          </w:p>
        </w:tc>
      </w:tr>
      <w:tr w:rsidR="008A0A03" w:rsidRPr="0082261D" w14:paraId="1C66D98E" w14:textId="77777777" w:rsidTr="00BC377F">
        <w:trPr>
          <w:trHeight w:val="464"/>
        </w:trPr>
        <w:tc>
          <w:tcPr>
            <w:tcW w:w="9515" w:type="dxa"/>
            <w:gridSpan w:val="2"/>
            <w:tcBorders>
              <w:top w:val="single" w:sz="4" w:space="0" w:color="auto"/>
              <w:left w:val="nil"/>
              <w:bottom w:val="single" w:sz="4" w:space="0" w:color="D9D9D9" w:themeColor="background1" w:themeShade="D9"/>
              <w:right w:val="nil"/>
            </w:tcBorders>
            <w:vAlign w:val="center"/>
          </w:tcPr>
          <w:p w14:paraId="7AE5BE39" w14:textId="417107BF" w:rsidR="00943BB2" w:rsidRPr="00D919E8" w:rsidRDefault="00D96F69" w:rsidP="00BC377F">
            <w:pPr>
              <w:pStyle w:val="NormalWeb"/>
              <w:spacing w:before="0" w:beforeAutospacing="0" w:after="0" w:afterAutospacing="0" w:line="276" w:lineRule="auto"/>
              <w:contextualSpacing/>
              <w:rPr>
                <w:b/>
                <w:bCs/>
              </w:rPr>
            </w:pPr>
            <w:r w:rsidRPr="00D96F69">
              <w:rPr>
                <w:rFonts w:ascii="ArialMT" w:hAnsi="ArialMT"/>
                <w:b/>
                <w:bCs/>
                <w:sz w:val="16"/>
                <w:szCs w:val="16"/>
              </w:rPr>
              <w:t>3.1 Describir brevemente las conclusiones de la evaluación:</w:t>
            </w:r>
            <w:r w:rsidR="0003621A">
              <w:rPr>
                <w:rFonts w:ascii="ArialMT" w:hAnsi="ArialMT"/>
                <w:b/>
                <w:bCs/>
                <w:sz w:val="16"/>
                <w:szCs w:val="16"/>
              </w:rPr>
              <w:t xml:space="preserve"> </w:t>
            </w:r>
          </w:p>
          <w:p w14:paraId="0C64CAE5" w14:textId="77777777" w:rsidR="00901DC6" w:rsidRPr="00901DC6" w:rsidRDefault="00901DC6" w:rsidP="00901DC6">
            <w:pPr>
              <w:spacing w:line="360" w:lineRule="auto"/>
              <w:jc w:val="both"/>
              <w:rPr>
                <w:rFonts w:ascii="Arial" w:hAnsi="Arial" w:cs="Arial"/>
                <w:bCs/>
                <w:sz w:val="16"/>
                <w:szCs w:val="16"/>
                <w:lang w:val="es-ES_tradnl"/>
              </w:rPr>
            </w:pPr>
            <w:r w:rsidRPr="00901DC6">
              <w:rPr>
                <w:rFonts w:ascii="Arial" w:hAnsi="Arial" w:cs="Arial"/>
                <w:bCs/>
                <w:sz w:val="16"/>
                <w:szCs w:val="16"/>
                <w:lang w:val="es-ES_tradnl"/>
              </w:rPr>
              <w:t>La Evaluación del Desempeño correspondiente al Fondo de Aportaciones Múltiples, Infraestructura Educativa (FAM-IE) del ejercicio fiscal 2022, generó conclusiones esenciales que fortalecerán la toma de decisiones y contribuirán significativamente a mejorar tanto el desempeño, como la eficiencia en la ejecución, gestión y operación del Fondo evaluado, en el Estado de Tamaulipas.</w:t>
            </w:r>
          </w:p>
          <w:p w14:paraId="11C87C8D" w14:textId="77777777" w:rsidR="00901DC6" w:rsidRPr="00901DC6" w:rsidRDefault="00901DC6" w:rsidP="00901DC6">
            <w:pPr>
              <w:spacing w:line="360" w:lineRule="auto"/>
              <w:jc w:val="both"/>
              <w:rPr>
                <w:rFonts w:ascii="Arial" w:hAnsi="Arial" w:cs="Arial"/>
                <w:bCs/>
                <w:sz w:val="16"/>
                <w:szCs w:val="16"/>
                <w:lang w:val="es-ES_tradnl"/>
              </w:rPr>
            </w:pPr>
          </w:p>
          <w:p w14:paraId="535EDA07" w14:textId="77777777" w:rsidR="00901DC6" w:rsidRPr="00901DC6" w:rsidRDefault="00901DC6" w:rsidP="00901DC6">
            <w:pPr>
              <w:spacing w:line="360" w:lineRule="auto"/>
              <w:jc w:val="both"/>
              <w:rPr>
                <w:rFonts w:ascii="Arial" w:hAnsi="Arial" w:cs="Arial"/>
                <w:bCs/>
                <w:sz w:val="16"/>
                <w:szCs w:val="16"/>
                <w:lang w:val="es-ES_tradnl"/>
              </w:rPr>
            </w:pPr>
            <w:bookmarkStart w:id="8" w:name="_Hlk145423836"/>
            <w:r w:rsidRPr="00901DC6">
              <w:rPr>
                <w:rFonts w:ascii="Arial" w:hAnsi="Arial" w:cs="Arial"/>
                <w:bCs/>
                <w:sz w:val="16"/>
                <w:szCs w:val="16"/>
                <w:lang w:val="es-ES_tradnl"/>
              </w:rPr>
              <w:t>La valoración promedio de los ocho reactivos cuantitativos en la evaluación del FAM-IE del año evaluado 2022 fue de 4.0 en una escala de 1 a 4, siendo 4 el nivel más alto. Esta valoración fue influenciada por calificaciones positivas en la sección de contribución y destino, que obtuvo una calificación de 4.0, así como en la sección de gestión y operación y en la de generación de información y rendición de cuentas, que alcanzaron un valor de 4.0 en la misma escala.</w:t>
            </w:r>
          </w:p>
          <w:p w14:paraId="78DF3035" w14:textId="77777777" w:rsidR="00901DC6" w:rsidRPr="00901DC6" w:rsidRDefault="00901DC6" w:rsidP="00901DC6">
            <w:pPr>
              <w:spacing w:line="360" w:lineRule="auto"/>
              <w:jc w:val="both"/>
              <w:rPr>
                <w:rFonts w:ascii="Arial" w:hAnsi="Arial" w:cs="Arial"/>
                <w:bCs/>
                <w:sz w:val="16"/>
                <w:szCs w:val="16"/>
                <w:lang w:val="es-ES_tradnl"/>
              </w:rPr>
            </w:pPr>
          </w:p>
          <w:p w14:paraId="25495026" w14:textId="77777777" w:rsidR="00901DC6" w:rsidRPr="00901DC6" w:rsidRDefault="00901DC6" w:rsidP="00901DC6">
            <w:pPr>
              <w:spacing w:line="360" w:lineRule="auto"/>
              <w:jc w:val="both"/>
              <w:rPr>
                <w:rFonts w:ascii="Arial" w:hAnsi="Arial" w:cs="Arial"/>
                <w:bCs/>
                <w:sz w:val="16"/>
                <w:szCs w:val="16"/>
                <w:lang w:val="es-ES_tradnl"/>
              </w:rPr>
            </w:pPr>
            <w:r w:rsidRPr="00901DC6">
              <w:rPr>
                <w:rFonts w:ascii="Arial" w:hAnsi="Arial" w:cs="Arial"/>
                <w:bCs/>
                <w:sz w:val="16"/>
                <w:szCs w:val="16"/>
                <w:lang w:val="es-ES_tradnl"/>
              </w:rPr>
              <w:drawing>
                <wp:inline distT="0" distB="0" distL="0" distR="0" wp14:anchorId="60F27ACD" wp14:editId="076C8D0E">
                  <wp:extent cx="5612130" cy="1773555"/>
                  <wp:effectExtent l="12700" t="12700" r="13970" b="17145"/>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n 3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12130" cy="1773555"/>
                          </a:xfrm>
                          <a:prstGeom prst="rect">
                            <a:avLst/>
                          </a:prstGeom>
                          <a:ln>
                            <a:solidFill>
                              <a:schemeClr val="bg1">
                                <a:lumMod val="85000"/>
                              </a:schemeClr>
                            </a:solidFill>
                          </a:ln>
                        </pic:spPr>
                      </pic:pic>
                    </a:graphicData>
                  </a:graphic>
                </wp:inline>
              </w:drawing>
            </w:r>
          </w:p>
          <w:p w14:paraId="7D709BFA" w14:textId="0B063003" w:rsidR="00901DC6" w:rsidRPr="00901DC6" w:rsidRDefault="00901DC6" w:rsidP="00901DC6">
            <w:pPr>
              <w:spacing w:line="360" w:lineRule="auto"/>
              <w:jc w:val="both"/>
              <w:rPr>
                <w:rFonts w:ascii="Arial" w:hAnsi="Arial" w:cs="Arial"/>
                <w:bCs/>
                <w:sz w:val="16"/>
                <w:szCs w:val="16"/>
                <w:lang w:val="es-ES_tradnl"/>
              </w:rPr>
            </w:pPr>
            <w:r w:rsidRPr="00901DC6">
              <w:rPr>
                <w:rFonts w:ascii="Arial" w:hAnsi="Arial" w:cs="Arial"/>
                <w:bCs/>
                <w:sz w:val="16"/>
                <w:szCs w:val="16"/>
                <w:lang w:val="es-ES_tradnl"/>
              </w:rPr>
              <w:t>El porcentaje total de puntos obtenidos en los reactivos evaluados cuantitativamente fue del 100% (32 de 32 puntos posibles), lo que identifica al FAM-IE 2022 con un nivel de valoración positivo.</w:t>
            </w:r>
          </w:p>
          <w:p w14:paraId="641CBAEE" w14:textId="4D659DC3" w:rsidR="00901DC6" w:rsidRPr="00901DC6" w:rsidRDefault="00901DC6" w:rsidP="00901DC6">
            <w:pPr>
              <w:spacing w:line="360" w:lineRule="auto"/>
              <w:jc w:val="both"/>
              <w:rPr>
                <w:rFonts w:ascii="Arial" w:hAnsi="Arial" w:cs="Arial"/>
                <w:bCs/>
                <w:sz w:val="16"/>
                <w:szCs w:val="16"/>
                <w:lang w:val="es-ES_tradnl"/>
              </w:rPr>
            </w:pPr>
            <w:bookmarkStart w:id="9" w:name="_Toc145910089"/>
            <w:r w:rsidRPr="00901DC6">
              <w:rPr>
                <w:rFonts w:ascii="Arial" w:hAnsi="Arial" w:cs="Arial"/>
                <w:b/>
                <w:bCs/>
                <w:sz w:val="16"/>
                <w:szCs w:val="16"/>
                <w:lang w:val="es-ES_tradnl"/>
              </w:rPr>
              <w:lastRenderedPageBreak/>
              <w:drawing>
                <wp:anchor distT="0" distB="0" distL="114300" distR="114300" simplePos="0" relativeHeight="251659264" behindDoc="0" locked="0" layoutInCell="1" allowOverlap="1" wp14:anchorId="1E11BFE7" wp14:editId="0F390288">
                  <wp:simplePos x="0" y="0"/>
                  <wp:positionH relativeFrom="margin">
                    <wp:align>left</wp:align>
                  </wp:positionH>
                  <wp:positionV relativeFrom="paragraph">
                    <wp:posOffset>223520</wp:posOffset>
                  </wp:positionV>
                  <wp:extent cx="3243580" cy="2157095"/>
                  <wp:effectExtent l="12700" t="12700" r="7620" b="14605"/>
                  <wp:wrapTopAndBottom/>
                  <wp:docPr id="12" name="Imagen 24">
                    <a:extLst xmlns:a="http://schemas.openxmlformats.org/drawingml/2006/main">
                      <a:ext uri="{FF2B5EF4-FFF2-40B4-BE49-F238E27FC236}">
                        <a16:creationId xmlns:a16="http://schemas.microsoft.com/office/drawing/2014/main" id="{5E247CDF-3C16-40F2-A710-A1A86C8B6A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24">
                            <a:extLst>
                              <a:ext uri="{FF2B5EF4-FFF2-40B4-BE49-F238E27FC236}">
                                <a16:creationId xmlns:a16="http://schemas.microsoft.com/office/drawing/2014/main" id="{5E247CDF-3C16-40F2-A710-A1A86C8B6A5F}"/>
                              </a:ext>
                            </a:extLst>
                          </pic:cNvPr>
                          <pic:cNvPicPr>
                            <a:picLocks noChangeAspect="1"/>
                          </pic:cNvPicPr>
                        </pic:nvPicPr>
                        <pic:blipFill>
                          <a:blip r:embed="rId11" cstate="print">
                            <a:extLst>
                              <a:ext uri="{BEBA8EAE-BF5A-486C-A8C5-ECC9F3942E4B}">
                                <a14:imgProps xmlns:a14="http://schemas.microsoft.com/office/drawing/2010/main">
                                  <a14:imgLayer r:embed="rId12">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3243580" cy="2157095"/>
                          </a:xfrm>
                          <a:prstGeom prst="rect">
                            <a:avLst/>
                          </a:prstGeom>
                          <a:ln>
                            <a:solidFill>
                              <a:schemeClr val="bg1">
                                <a:lumMod val="85000"/>
                              </a:schemeClr>
                            </a:solidFill>
                          </a:ln>
                        </pic:spPr>
                      </pic:pic>
                    </a:graphicData>
                  </a:graphic>
                  <wp14:sizeRelH relativeFrom="margin">
                    <wp14:pctWidth>0</wp14:pctWidth>
                  </wp14:sizeRelH>
                  <wp14:sizeRelV relativeFrom="margin">
                    <wp14:pctHeight>0</wp14:pctHeight>
                  </wp14:sizeRelV>
                </wp:anchor>
              </w:drawing>
            </w:r>
            <w:r w:rsidRPr="00901DC6">
              <w:rPr>
                <w:rFonts w:ascii="Arial" w:hAnsi="Arial" w:cs="Arial"/>
                <w:bCs/>
                <w:sz w:val="16"/>
                <w:szCs w:val="16"/>
                <w:lang w:val="es-ES_tradnl"/>
              </w:rPr>
              <w:t xml:space="preserve">Figura </w:t>
            </w:r>
            <w:r w:rsidRPr="00901DC6">
              <w:rPr>
                <w:rFonts w:ascii="Arial" w:hAnsi="Arial" w:cs="Arial"/>
                <w:bCs/>
                <w:sz w:val="16"/>
                <w:szCs w:val="16"/>
                <w:lang w:val="es-ES_tradnl"/>
              </w:rPr>
              <w:fldChar w:fldCharType="begin"/>
            </w:r>
            <w:r w:rsidRPr="00901DC6">
              <w:rPr>
                <w:rFonts w:ascii="Arial" w:hAnsi="Arial" w:cs="Arial"/>
                <w:bCs/>
                <w:sz w:val="16"/>
                <w:szCs w:val="16"/>
                <w:lang w:val="es-ES_tradnl"/>
              </w:rPr>
              <w:instrText xml:space="preserve"> SEQ Figura \* ARABIC </w:instrText>
            </w:r>
            <w:r w:rsidRPr="00901DC6">
              <w:rPr>
                <w:rFonts w:ascii="Arial" w:hAnsi="Arial" w:cs="Arial"/>
                <w:bCs/>
                <w:sz w:val="16"/>
                <w:szCs w:val="16"/>
                <w:lang w:val="es-ES_tradnl"/>
              </w:rPr>
              <w:fldChar w:fldCharType="separate"/>
            </w:r>
            <w:r w:rsidR="00C427BE">
              <w:rPr>
                <w:rFonts w:ascii="Arial" w:hAnsi="Arial" w:cs="Arial"/>
                <w:bCs/>
                <w:noProof/>
                <w:sz w:val="16"/>
                <w:szCs w:val="16"/>
                <w:lang w:val="es-ES_tradnl"/>
              </w:rPr>
              <w:t>2</w:t>
            </w:r>
            <w:r w:rsidRPr="00901DC6">
              <w:rPr>
                <w:rFonts w:ascii="Arial" w:hAnsi="Arial" w:cs="Arial"/>
                <w:bCs/>
                <w:sz w:val="16"/>
                <w:szCs w:val="16"/>
              </w:rPr>
              <w:fldChar w:fldCharType="end"/>
            </w:r>
            <w:r w:rsidRPr="00901DC6">
              <w:rPr>
                <w:rFonts w:ascii="Arial" w:hAnsi="Arial" w:cs="Arial"/>
                <w:bCs/>
                <w:sz w:val="16"/>
                <w:szCs w:val="16"/>
                <w:lang w:val="es-ES_tradnl"/>
              </w:rPr>
              <w:t xml:space="preserve"> Porcentaje global de la valoración</w:t>
            </w:r>
            <w:bookmarkEnd w:id="9"/>
          </w:p>
          <w:bookmarkEnd w:id="8"/>
          <w:p w14:paraId="3D3C3911" w14:textId="77777777" w:rsidR="00901DC6" w:rsidRPr="00901DC6" w:rsidRDefault="00901DC6" w:rsidP="00901DC6">
            <w:pPr>
              <w:spacing w:line="360" w:lineRule="auto"/>
              <w:jc w:val="both"/>
              <w:rPr>
                <w:rFonts w:ascii="Arial" w:hAnsi="Arial" w:cs="Arial"/>
                <w:bCs/>
                <w:sz w:val="16"/>
                <w:szCs w:val="16"/>
                <w:lang w:val="es-ES_tradnl"/>
              </w:rPr>
            </w:pPr>
            <w:r w:rsidRPr="00901DC6">
              <w:rPr>
                <w:rFonts w:ascii="Arial" w:hAnsi="Arial" w:cs="Arial"/>
                <w:bCs/>
                <w:sz w:val="16"/>
                <w:szCs w:val="16"/>
                <w:lang w:val="es-ES_tradnl"/>
              </w:rPr>
              <w:t>Elaboración propia con base en la valoración cuantitativa de los reactivos de la evaluación.</w:t>
            </w:r>
          </w:p>
          <w:p w14:paraId="4A661DA3" w14:textId="77777777" w:rsidR="00901DC6" w:rsidRPr="00901DC6" w:rsidRDefault="00901DC6" w:rsidP="00901DC6">
            <w:pPr>
              <w:spacing w:line="360" w:lineRule="auto"/>
              <w:jc w:val="both"/>
              <w:rPr>
                <w:rFonts w:ascii="Arial" w:hAnsi="Arial" w:cs="Arial"/>
                <w:bCs/>
                <w:sz w:val="16"/>
                <w:szCs w:val="16"/>
                <w:lang w:val="es-ES_tradnl"/>
              </w:rPr>
            </w:pPr>
          </w:p>
          <w:p w14:paraId="4A8BD599" w14:textId="77777777" w:rsidR="00901DC6" w:rsidRPr="00901DC6" w:rsidRDefault="00901DC6" w:rsidP="00901DC6">
            <w:pPr>
              <w:spacing w:line="360" w:lineRule="auto"/>
              <w:jc w:val="both"/>
              <w:rPr>
                <w:rFonts w:ascii="Arial" w:hAnsi="Arial" w:cs="Arial"/>
                <w:bCs/>
                <w:sz w:val="16"/>
                <w:szCs w:val="16"/>
                <w:lang w:val="es-ES_tradnl"/>
              </w:rPr>
            </w:pPr>
            <w:r w:rsidRPr="00901DC6">
              <w:rPr>
                <w:rFonts w:ascii="Arial" w:hAnsi="Arial" w:cs="Arial"/>
                <w:bCs/>
                <w:sz w:val="16"/>
                <w:szCs w:val="16"/>
                <w:lang w:val="es-ES_tradnl"/>
              </w:rPr>
              <w:t xml:space="preserve">En particular, la valoración de la sección de contribución y destino fue impactada positivamente por las valoraciones relacionadas con el diagnóstico a través del cual opera el Fondo, así como la información acerca de los criterios para distribuir los recursos y destinar los recursos del fondo acorde a la normatividad aplicable. </w:t>
            </w:r>
          </w:p>
          <w:p w14:paraId="718E312F" w14:textId="77777777" w:rsidR="00901DC6" w:rsidRPr="00901DC6" w:rsidRDefault="00901DC6" w:rsidP="00901DC6">
            <w:pPr>
              <w:spacing w:line="360" w:lineRule="auto"/>
              <w:jc w:val="both"/>
              <w:rPr>
                <w:rFonts w:ascii="Arial" w:hAnsi="Arial" w:cs="Arial"/>
                <w:bCs/>
                <w:sz w:val="16"/>
                <w:szCs w:val="16"/>
                <w:lang w:val="es-ES_tradnl"/>
              </w:rPr>
            </w:pPr>
          </w:p>
          <w:p w14:paraId="7701D9C6" w14:textId="77777777" w:rsidR="00901DC6" w:rsidRPr="00901DC6" w:rsidRDefault="00901DC6" w:rsidP="00901DC6">
            <w:pPr>
              <w:spacing w:line="360" w:lineRule="auto"/>
              <w:jc w:val="both"/>
              <w:rPr>
                <w:rFonts w:ascii="Arial" w:hAnsi="Arial" w:cs="Arial"/>
                <w:bCs/>
                <w:sz w:val="16"/>
                <w:szCs w:val="16"/>
                <w:lang w:val="es-ES_tradnl"/>
              </w:rPr>
            </w:pPr>
            <w:r w:rsidRPr="00901DC6">
              <w:rPr>
                <w:rFonts w:ascii="Arial" w:hAnsi="Arial" w:cs="Arial"/>
                <w:bCs/>
                <w:sz w:val="16"/>
                <w:szCs w:val="16"/>
                <w:lang w:val="es-ES_tradnl"/>
              </w:rPr>
              <w:t>La sección de gestión y operación obtuvo un impacto positivo, derivado de la planeación de obras prioritarias que llevó a cabo la SET, e implementó el ITIFE para la construcción, rehabilitación de infraestructura física educativa, y equipamiento de los planteles educativos en el Estado de Tamaulipas; así como, contar con mecanismos para documentar la información sistematizada acerca de las transferencias realizadas de los recursos del fondo que redirecciona la Secretaría de Finanzas al ITIFE, y a los cuales en 2022 se dio seguimiento a través del SRFT.</w:t>
            </w:r>
          </w:p>
          <w:p w14:paraId="1D0C6AF5" w14:textId="77777777" w:rsidR="00901DC6" w:rsidRPr="00901DC6" w:rsidRDefault="00901DC6" w:rsidP="00901DC6">
            <w:pPr>
              <w:spacing w:line="360" w:lineRule="auto"/>
              <w:jc w:val="both"/>
              <w:rPr>
                <w:rFonts w:ascii="Arial" w:hAnsi="Arial" w:cs="Arial"/>
                <w:bCs/>
                <w:sz w:val="16"/>
                <w:szCs w:val="16"/>
                <w:lang w:val="es-ES_tradnl"/>
              </w:rPr>
            </w:pPr>
          </w:p>
          <w:p w14:paraId="006FED62" w14:textId="77777777" w:rsidR="00901DC6" w:rsidRPr="00901DC6" w:rsidRDefault="00901DC6" w:rsidP="00901DC6">
            <w:pPr>
              <w:spacing w:line="360" w:lineRule="auto"/>
              <w:jc w:val="both"/>
              <w:rPr>
                <w:rFonts w:ascii="Arial" w:hAnsi="Arial" w:cs="Arial"/>
                <w:bCs/>
                <w:sz w:val="16"/>
                <w:szCs w:val="16"/>
                <w:lang w:val="es-ES_tradnl"/>
              </w:rPr>
            </w:pPr>
            <w:r w:rsidRPr="00901DC6">
              <w:rPr>
                <w:rFonts w:ascii="Arial" w:hAnsi="Arial" w:cs="Arial"/>
                <w:bCs/>
                <w:sz w:val="16"/>
                <w:szCs w:val="16"/>
                <w:lang w:val="es-ES_tradnl"/>
              </w:rPr>
              <w:t>Adicionalmente, el ITIFE a través de la Secretaría de Finanzas, llevó a cabo el reporte de los Informes Trimestrales en el SRFT, y la Entidad cuenta con los mecanismos de transparencia y rendición de cuentas; por lo que el impacto en la generación de información y rendición de cuentas fue positivo.</w:t>
            </w:r>
          </w:p>
          <w:p w14:paraId="78D2AF31" w14:textId="77777777" w:rsidR="00EF763B" w:rsidRDefault="00EF763B" w:rsidP="00901DC6">
            <w:pPr>
              <w:spacing w:line="360" w:lineRule="auto"/>
              <w:jc w:val="both"/>
              <w:rPr>
                <w:rFonts w:ascii="Arial" w:hAnsi="Arial" w:cs="Arial"/>
                <w:bCs/>
                <w:sz w:val="16"/>
                <w:szCs w:val="16"/>
                <w:lang w:val="es-ES_tradnl"/>
              </w:rPr>
            </w:pPr>
          </w:p>
          <w:p w14:paraId="4597F245" w14:textId="77777777" w:rsidR="00901DC6" w:rsidRPr="00901DC6" w:rsidRDefault="00901DC6" w:rsidP="00901DC6">
            <w:pPr>
              <w:spacing w:line="360" w:lineRule="auto"/>
              <w:jc w:val="both"/>
              <w:rPr>
                <w:rFonts w:ascii="Arial" w:hAnsi="Arial" w:cs="Arial"/>
                <w:bCs/>
                <w:sz w:val="16"/>
                <w:szCs w:val="16"/>
              </w:rPr>
            </w:pPr>
            <w:r w:rsidRPr="00901DC6">
              <w:rPr>
                <w:rFonts w:ascii="Arial" w:hAnsi="Arial" w:cs="Arial"/>
                <w:bCs/>
                <w:sz w:val="16"/>
                <w:szCs w:val="16"/>
              </w:rPr>
              <w:t>En términos de contribución y destino, el Fondo en Tamaulipas se alinea a los instrumentos normativos de planeación a nivel nacional, estatal y sectorial. Se identificó que el ITIFE dispone de un diagnóstico para el Pp P087 “Desarrollo de Infraestructura Física Educativa”, lo que contribuyó a la planificación de los recursos del FAM-IE 2022. Se observó que la información sobre los recursos del fondo se encuentra sistematizada y documentada en los registros contables y administrativos, por otra parte se registró que se dispone de Anuarios de la Estadística Educativa del Estado con información desagregada que contribuyen a la planificación de las metas y objetivos del FAM-IE en la entidad.</w:t>
            </w:r>
          </w:p>
          <w:p w14:paraId="71362A7D" w14:textId="77777777" w:rsidR="00901DC6" w:rsidRPr="00901DC6" w:rsidRDefault="00901DC6" w:rsidP="00901DC6">
            <w:pPr>
              <w:spacing w:line="360" w:lineRule="auto"/>
              <w:jc w:val="both"/>
              <w:rPr>
                <w:rFonts w:ascii="Arial" w:hAnsi="Arial" w:cs="Arial"/>
                <w:bCs/>
                <w:sz w:val="16"/>
                <w:szCs w:val="16"/>
              </w:rPr>
            </w:pPr>
          </w:p>
          <w:p w14:paraId="4608ED0E" w14:textId="77777777" w:rsidR="00901DC6" w:rsidRPr="00901DC6" w:rsidRDefault="00901DC6" w:rsidP="00901DC6">
            <w:pPr>
              <w:spacing w:line="360" w:lineRule="auto"/>
              <w:jc w:val="both"/>
              <w:rPr>
                <w:rFonts w:ascii="Arial" w:hAnsi="Arial" w:cs="Arial"/>
                <w:bCs/>
                <w:sz w:val="16"/>
                <w:szCs w:val="16"/>
              </w:rPr>
            </w:pPr>
            <w:r w:rsidRPr="00901DC6">
              <w:rPr>
                <w:rFonts w:ascii="Arial" w:hAnsi="Arial" w:cs="Arial"/>
                <w:bCs/>
                <w:sz w:val="16"/>
                <w:szCs w:val="16"/>
              </w:rPr>
              <w:t>Se registró positivamente sobre el apartado de gestión y operación, la existencia de un “Sistema Integral” informático que sistematiza y documenta la información de los proyectos del Fondo. También se han implementado mecanismos documentados para verificar que las transferencias del Fondo se hacen acorde a la calendarización. El fondo cuenta con mecanismos para dar seguimiento a los recursos del Fondo a través del SRFT. Se valora positivamente la identiicación de retos en la gestión y operación por parte del ITIFE, este aspecto permite integrar dichos retos a la planificación.</w:t>
            </w:r>
          </w:p>
          <w:p w14:paraId="5F7AFE49" w14:textId="77777777" w:rsidR="00901DC6" w:rsidRPr="00901DC6" w:rsidRDefault="00901DC6" w:rsidP="00901DC6">
            <w:pPr>
              <w:spacing w:line="360" w:lineRule="auto"/>
              <w:jc w:val="both"/>
              <w:rPr>
                <w:rFonts w:ascii="Arial" w:hAnsi="Arial" w:cs="Arial"/>
                <w:bCs/>
                <w:sz w:val="16"/>
                <w:szCs w:val="16"/>
              </w:rPr>
            </w:pPr>
          </w:p>
          <w:p w14:paraId="0C7A2C4F" w14:textId="77777777" w:rsidR="00901DC6" w:rsidRPr="00901DC6" w:rsidRDefault="00901DC6" w:rsidP="00901DC6">
            <w:pPr>
              <w:spacing w:line="360" w:lineRule="auto"/>
              <w:jc w:val="both"/>
              <w:rPr>
                <w:rFonts w:ascii="Arial" w:hAnsi="Arial" w:cs="Arial"/>
                <w:bCs/>
                <w:sz w:val="16"/>
                <w:szCs w:val="16"/>
              </w:rPr>
            </w:pPr>
            <w:r w:rsidRPr="00901DC6">
              <w:rPr>
                <w:rFonts w:ascii="Arial" w:hAnsi="Arial" w:cs="Arial"/>
                <w:bCs/>
                <w:sz w:val="16"/>
                <w:szCs w:val="16"/>
              </w:rPr>
              <w:t xml:space="preserve">En el eje temático de generación de información y rendición de cuentas, se observa que la información reportada por el ITIFE en el SRFT cumple con los criterios de homogeneidad, cabalidad, congruencia y granularidad. Se cuenta con mecanismos de </w:t>
            </w:r>
            <w:r w:rsidRPr="00901DC6">
              <w:rPr>
                <w:rFonts w:ascii="Arial" w:hAnsi="Arial" w:cs="Arial"/>
                <w:bCs/>
                <w:sz w:val="16"/>
                <w:szCs w:val="16"/>
              </w:rPr>
              <w:lastRenderedPageBreak/>
              <w:t>transparencia y rendición de cuentas a través de la página oficial del Estado. Por otra parte se registró que el Fondo ha estado sujeto a evaluaciones periódicas.</w:t>
            </w:r>
          </w:p>
          <w:p w14:paraId="46029ADB" w14:textId="77777777" w:rsidR="00901DC6" w:rsidRPr="00901DC6" w:rsidRDefault="00901DC6" w:rsidP="00901DC6">
            <w:pPr>
              <w:spacing w:line="360" w:lineRule="auto"/>
              <w:jc w:val="both"/>
              <w:rPr>
                <w:rFonts w:ascii="Arial" w:hAnsi="Arial" w:cs="Arial"/>
                <w:bCs/>
                <w:sz w:val="16"/>
                <w:szCs w:val="16"/>
              </w:rPr>
            </w:pPr>
          </w:p>
          <w:p w14:paraId="6CFB9A53" w14:textId="77777777" w:rsidR="00901DC6" w:rsidRPr="00901DC6" w:rsidRDefault="00901DC6" w:rsidP="00901DC6">
            <w:pPr>
              <w:spacing w:line="360" w:lineRule="auto"/>
              <w:jc w:val="both"/>
              <w:rPr>
                <w:rFonts w:ascii="Arial" w:hAnsi="Arial" w:cs="Arial"/>
                <w:bCs/>
                <w:sz w:val="16"/>
                <w:szCs w:val="16"/>
              </w:rPr>
            </w:pPr>
            <w:r w:rsidRPr="00901DC6">
              <w:rPr>
                <w:rFonts w:ascii="Arial" w:hAnsi="Arial" w:cs="Arial"/>
                <w:bCs/>
                <w:sz w:val="16"/>
                <w:szCs w:val="16"/>
              </w:rPr>
              <w:t>En cuanto a al eje temático de orientación y medición de resultados, se observó que el ITIFE ha reportado el avance de las metas de los indicadores estratégicos y de gestión del FAM-IEB y FAM-IEMS de 2022 a través de la MIR federal vinculada al SRFT. También, ha implementado acciones para la atención y seguimiento de los Aspectos Susceptibles de Mejora (ASM) que derivaron de las evaluaciones al fondo.</w:t>
            </w:r>
          </w:p>
          <w:p w14:paraId="0B5C4908" w14:textId="77777777" w:rsidR="00901DC6" w:rsidRPr="00901DC6" w:rsidRDefault="00901DC6" w:rsidP="00901DC6">
            <w:pPr>
              <w:spacing w:line="360" w:lineRule="auto"/>
              <w:jc w:val="both"/>
              <w:rPr>
                <w:rFonts w:ascii="Arial" w:hAnsi="Arial" w:cs="Arial"/>
                <w:bCs/>
                <w:sz w:val="16"/>
                <w:szCs w:val="16"/>
              </w:rPr>
            </w:pPr>
          </w:p>
          <w:p w14:paraId="33CEB79D" w14:textId="44E2E9BD" w:rsidR="00901DC6" w:rsidRPr="00901DC6" w:rsidRDefault="00901DC6" w:rsidP="00901DC6">
            <w:pPr>
              <w:spacing w:line="360" w:lineRule="auto"/>
              <w:jc w:val="both"/>
              <w:rPr>
                <w:rFonts w:ascii="Arial" w:hAnsi="Arial" w:cs="Arial"/>
                <w:bCs/>
                <w:sz w:val="16"/>
                <w:szCs w:val="16"/>
              </w:rPr>
            </w:pPr>
            <w:r w:rsidRPr="00901DC6">
              <w:rPr>
                <w:rFonts w:ascii="Arial" w:hAnsi="Arial" w:cs="Arial"/>
                <w:bCs/>
                <w:sz w:val="16"/>
                <w:szCs w:val="16"/>
              </w:rPr>
              <w:t>En cuanto a las áreas de mejora identificadas en el apartado de contribución y destino, el ITIFE no ha clasificado el total de obras de infraestructura en su Programa de Obras Anual 2022 por nivel educativo, lo que podría mejorar la identificación de necesidades prioritarias. Asimismo, en cuanto a la temática de gestión y operación, se observó como área de oportunidad que el ITIFE carece de un manual de procesos y procedimientos que describa las actividades de las áreas involucradas en la gestión y operación de los recursos del Fondo.</w:t>
            </w:r>
            <w:r>
              <w:rPr>
                <w:rFonts w:ascii="Arial" w:hAnsi="Arial" w:cs="Arial"/>
                <w:bCs/>
                <w:sz w:val="16"/>
                <w:szCs w:val="16"/>
              </w:rPr>
              <w:t xml:space="preserve"> </w:t>
            </w:r>
            <w:r w:rsidRPr="00901DC6">
              <w:rPr>
                <w:rFonts w:ascii="Arial" w:hAnsi="Arial" w:cs="Arial"/>
                <w:bCs/>
                <w:sz w:val="16"/>
                <w:szCs w:val="16"/>
              </w:rPr>
              <w:t>En el apartado de orientación y medición de resultados, se observan áreas de oportunidad en el diseño de los indicadores de la MIR del fondo en la entidad.</w:t>
            </w:r>
          </w:p>
        </w:tc>
      </w:tr>
      <w:tr w:rsidR="008A0A03" w:rsidRPr="0082261D" w14:paraId="2484BD24" w14:textId="77777777" w:rsidTr="00BC377F">
        <w:trPr>
          <w:trHeight w:val="170"/>
        </w:trPr>
        <w:tc>
          <w:tcPr>
            <w:tcW w:w="9515" w:type="dxa"/>
            <w:gridSpan w:val="2"/>
            <w:tcBorders>
              <w:top w:val="single" w:sz="4" w:space="0" w:color="D9D9D9" w:themeColor="background1" w:themeShade="D9"/>
              <w:left w:val="nil"/>
              <w:bottom w:val="nil"/>
              <w:right w:val="nil"/>
            </w:tcBorders>
            <w:vAlign w:val="center"/>
          </w:tcPr>
          <w:p w14:paraId="1E335942" w14:textId="77777777" w:rsidR="008A0A03" w:rsidRDefault="008A0A03" w:rsidP="00D919E8">
            <w:pPr>
              <w:rPr>
                <w:rFonts w:ascii="Arial" w:hAnsi="Arial" w:cs="Arial"/>
                <w:b/>
                <w:bCs/>
                <w:sz w:val="16"/>
                <w:szCs w:val="16"/>
              </w:rPr>
            </w:pPr>
            <w:r w:rsidRPr="00943BB2">
              <w:rPr>
                <w:rFonts w:ascii="Arial" w:hAnsi="Arial" w:cs="Arial"/>
                <w:b/>
                <w:bCs/>
                <w:sz w:val="16"/>
                <w:szCs w:val="16"/>
              </w:rPr>
              <w:lastRenderedPageBreak/>
              <w:t>3.2 Describir las recomendaciones de acuerdo a su relevancia:</w:t>
            </w:r>
          </w:p>
          <w:p w14:paraId="54555DB5" w14:textId="77777777" w:rsidR="00EC05AE" w:rsidRDefault="00EC05AE" w:rsidP="00D919E8">
            <w:pPr>
              <w:rPr>
                <w:rFonts w:ascii="Arial" w:hAnsi="Arial" w:cs="Arial"/>
                <w:b/>
                <w:bCs/>
                <w:sz w:val="16"/>
                <w:szCs w:val="16"/>
              </w:rPr>
            </w:pPr>
          </w:p>
          <w:p w14:paraId="663D7E69" w14:textId="77777777" w:rsidR="00BA17A1" w:rsidRPr="00BA17A1" w:rsidRDefault="00BA17A1" w:rsidP="00BA17A1">
            <w:pPr>
              <w:jc w:val="both"/>
              <w:rPr>
                <w:rFonts w:ascii="Arial" w:hAnsi="Arial" w:cs="Arial"/>
                <w:sz w:val="16"/>
                <w:szCs w:val="16"/>
                <w:lang w:val="es-ES_tradnl"/>
              </w:rPr>
            </w:pPr>
            <w:r w:rsidRPr="00BA17A1">
              <w:rPr>
                <w:rFonts w:ascii="Arial" w:hAnsi="Arial" w:cs="Arial"/>
                <w:sz w:val="16"/>
                <w:szCs w:val="16"/>
                <w:lang w:val="es-ES_tradnl"/>
              </w:rPr>
              <w:t>A continuación, se presentan las recomendaciones del estudio.</w:t>
            </w:r>
          </w:p>
          <w:p w14:paraId="73703613" w14:textId="77777777" w:rsidR="00901DC6" w:rsidRPr="00901DC6" w:rsidRDefault="00901DC6" w:rsidP="00901DC6">
            <w:pPr>
              <w:spacing w:line="360" w:lineRule="auto"/>
              <w:jc w:val="both"/>
              <w:rPr>
                <w:rFonts w:ascii="Arial" w:hAnsi="Arial" w:cs="Arial"/>
                <w:sz w:val="16"/>
                <w:szCs w:val="16"/>
                <w:lang w:val="es-ES_tradnl"/>
              </w:rPr>
            </w:pPr>
          </w:p>
          <w:p w14:paraId="32D76858" w14:textId="77777777" w:rsidR="00901DC6" w:rsidRPr="00901DC6" w:rsidRDefault="00901DC6" w:rsidP="00901DC6">
            <w:pPr>
              <w:numPr>
                <w:ilvl w:val="0"/>
                <w:numId w:val="21"/>
              </w:numPr>
              <w:spacing w:line="360" w:lineRule="auto"/>
              <w:jc w:val="both"/>
              <w:rPr>
                <w:rFonts w:ascii="Arial" w:hAnsi="Arial" w:cs="Arial"/>
                <w:sz w:val="16"/>
                <w:szCs w:val="16"/>
                <w:lang w:val="es-ES_tradnl"/>
              </w:rPr>
            </w:pPr>
            <w:bookmarkStart w:id="10" w:name="_Hlk145604955"/>
            <w:r w:rsidRPr="00901DC6">
              <w:rPr>
                <w:rFonts w:ascii="Arial" w:hAnsi="Arial" w:cs="Arial"/>
                <w:sz w:val="16"/>
                <w:szCs w:val="16"/>
                <w:lang w:val="es-ES_tradnl"/>
              </w:rPr>
              <w:t>Incorporar al Programa de Obras Anual, datos desagregados acerca de la clasificación del nivel educativo: básica, media superior y superior; que permita identificar las necesidades prioritarias que atiende el Fondo.</w:t>
            </w:r>
          </w:p>
          <w:p w14:paraId="0CCAD1F6" w14:textId="77777777" w:rsidR="00901DC6" w:rsidRPr="00901DC6" w:rsidRDefault="00901DC6" w:rsidP="00901DC6">
            <w:pPr>
              <w:numPr>
                <w:ilvl w:val="0"/>
                <w:numId w:val="21"/>
              </w:numPr>
              <w:spacing w:line="360" w:lineRule="auto"/>
              <w:jc w:val="both"/>
              <w:rPr>
                <w:rFonts w:ascii="Arial" w:hAnsi="Arial" w:cs="Arial"/>
                <w:sz w:val="16"/>
                <w:szCs w:val="16"/>
                <w:lang w:val="es-ES_tradnl"/>
              </w:rPr>
            </w:pPr>
            <w:r w:rsidRPr="00901DC6">
              <w:rPr>
                <w:rFonts w:ascii="Arial" w:hAnsi="Arial" w:cs="Arial"/>
                <w:sz w:val="16"/>
                <w:szCs w:val="16"/>
                <w:lang w:val="es-ES_tradnl"/>
              </w:rPr>
              <w:t>Se recomienda redefinir el problema central identificado en el árbol del problema ya que se expresa como la ausencia o falta de solución. Para tal efecto consultar como referentes teóricos la Guía para la Elaboración de la Matriz de Resultados (CONEVAL) y/o los que apliquen en la entidad.</w:t>
            </w:r>
          </w:p>
          <w:p w14:paraId="5BE5839C" w14:textId="77777777" w:rsidR="00901DC6" w:rsidRPr="00901DC6" w:rsidRDefault="00901DC6" w:rsidP="00901DC6">
            <w:pPr>
              <w:numPr>
                <w:ilvl w:val="0"/>
                <w:numId w:val="21"/>
              </w:numPr>
              <w:spacing w:line="360" w:lineRule="auto"/>
              <w:jc w:val="both"/>
              <w:rPr>
                <w:rFonts w:ascii="Arial" w:hAnsi="Arial" w:cs="Arial"/>
                <w:b/>
                <w:bCs/>
                <w:sz w:val="16"/>
                <w:szCs w:val="16"/>
                <w:lang w:val="es-ES_tradnl"/>
              </w:rPr>
            </w:pPr>
            <w:r w:rsidRPr="00901DC6">
              <w:rPr>
                <w:rFonts w:ascii="Arial" w:hAnsi="Arial" w:cs="Arial"/>
                <w:sz w:val="16"/>
                <w:szCs w:val="16"/>
                <w:lang w:val="es-ES_tradnl"/>
              </w:rPr>
              <w:t>Elaborar un Manual de procesos que contenga los procedimientos que lleva a cabo el ITIFE para la gestión y operación de los recursos del FAM-IE para la implementación de infraestructura física educativa.</w:t>
            </w:r>
          </w:p>
          <w:p w14:paraId="0EF6EF30" w14:textId="77777777" w:rsidR="00901DC6" w:rsidRPr="00901DC6" w:rsidRDefault="00901DC6" w:rsidP="00901DC6">
            <w:pPr>
              <w:numPr>
                <w:ilvl w:val="0"/>
                <w:numId w:val="21"/>
              </w:numPr>
              <w:spacing w:line="360" w:lineRule="auto"/>
              <w:jc w:val="both"/>
              <w:rPr>
                <w:rFonts w:ascii="Arial" w:hAnsi="Arial" w:cs="Arial"/>
                <w:sz w:val="16"/>
                <w:szCs w:val="16"/>
                <w:lang w:val="es-ES_tradnl"/>
              </w:rPr>
            </w:pPr>
            <w:r w:rsidRPr="00901DC6">
              <w:rPr>
                <w:rFonts w:ascii="Arial" w:hAnsi="Arial" w:cs="Arial"/>
                <w:sz w:val="16"/>
                <w:szCs w:val="16"/>
                <w:lang w:val="es-ES_tradnl"/>
              </w:rPr>
              <w:t>Implementar un plan de capacitación para las personas servidoras públicas, en materia de operación y normatividad acerca de los recursos del Fondo que ejerce el ITIFE.</w:t>
            </w:r>
          </w:p>
          <w:p w14:paraId="3242AD0D" w14:textId="77777777" w:rsidR="00901DC6" w:rsidRPr="00901DC6" w:rsidRDefault="00901DC6" w:rsidP="00901DC6">
            <w:pPr>
              <w:numPr>
                <w:ilvl w:val="0"/>
                <w:numId w:val="21"/>
              </w:numPr>
              <w:spacing w:line="360" w:lineRule="auto"/>
              <w:jc w:val="both"/>
              <w:rPr>
                <w:rFonts w:ascii="Arial" w:hAnsi="Arial" w:cs="Arial"/>
                <w:sz w:val="16"/>
                <w:szCs w:val="16"/>
              </w:rPr>
            </w:pPr>
            <w:r w:rsidRPr="00901DC6">
              <w:rPr>
                <w:rFonts w:ascii="Arial" w:hAnsi="Arial" w:cs="Arial"/>
                <w:sz w:val="16"/>
                <w:szCs w:val="16"/>
                <w:lang w:val="es-ES_tradnl"/>
              </w:rPr>
              <w:t>Integrar al Plan Anual de Obra, un mecanismo de seguimiento y monitoreo sobre los proyectos y obras que implementa el ITIFE, de manera que, permita contar con un esquema que contribuya a la toma de decisiones sobre el avance de las obras y proyectos.</w:t>
            </w:r>
          </w:p>
          <w:bookmarkEnd w:id="10"/>
          <w:p w14:paraId="42F5906F" w14:textId="77777777" w:rsidR="00901DC6" w:rsidRPr="00901DC6" w:rsidRDefault="00901DC6" w:rsidP="00901DC6">
            <w:pPr>
              <w:numPr>
                <w:ilvl w:val="0"/>
                <w:numId w:val="21"/>
              </w:numPr>
              <w:spacing w:line="360" w:lineRule="auto"/>
              <w:jc w:val="both"/>
              <w:rPr>
                <w:rFonts w:ascii="Arial" w:hAnsi="Arial" w:cs="Arial"/>
                <w:sz w:val="16"/>
                <w:szCs w:val="16"/>
                <w:lang w:val="es-ES_tradnl"/>
              </w:rPr>
            </w:pPr>
            <w:r w:rsidRPr="00901DC6">
              <w:rPr>
                <w:rFonts w:ascii="Arial" w:hAnsi="Arial" w:cs="Arial"/>
                <w:sz w:val="16"/>
                <w:szCs w:val="16"/>
                <w:lang w:val="es-ES_tradnl"/>
              </w:rPr>
              <w:t>Se recomienda rediseñar el objetivo e indicador a nivel Fin y Propósito, de tal forma que no presente ambigüedades, así como el indicador de Actividad P087C1A4 de la MIR del programa presupuestario estatal P087, con base en la MML, se sugiere tomar como referentes la Guía para la Elaboración de la Matriz de Indicadores para Resultados (CONEVAL).</w:t>
            </w:r>
          </w:p>
          <w:p w14:paraId="30B4D60F" w14:textId="6AFF94B1" w:rsidR="00EC05AE" w:rsidRPr="00B60B84" w:rsidRDefault="00EC05AE" w:rsidP="00FA3730">
            <w:pPr>
              <w:spacing w:line="360" w:lineRule="auto"/>
              <w:jc w:val="both"/>
              <w:rPr>
                <w:rFonts w:ascii="Arial" w:hAnsi="Arial" w:cs="Arial"/>
                <w:bCs/>
                <w:iCs/>
                <w:sz w:val="16"/>
                <w:szCs w:val="16"/>
                <w:lang w:val="es-ES_tradnl"/>
              </w:rPr>
            </w:pPr>
          </w:p>
        </w:tc>
      </w:tr>
      <w:tr w:rsidR="008A0A03" w:rsidRPr="0082261D" w14:paraId="28C4F3B3" w14:textId="77777777" w:rsidTr="00BC377F">
        <w:trPr>
          <w:trHeight w:val="464"/>
        </w:trPr>
        <w:tc>
          <w:tcPr>
            <w:tcW w:w="9515" w:type="dxa"/>
            <w:gridSpan w:val="2"/>
            <w:tcBorders>
              <w:top w:val="single" w:sz="4" w:space="0" w:color="auto"/>
              <w:left w:val="nil"/>
              <w:bottom w:val="single" w:sz="4" w:space="0" w:color="auto"/>
              <w:right w:val="nil"/>
            </w:tcBorders>
            <w:shd w:val="clear" w:color="auto" w:fill="E7E6E6" w:themeFill="background2"/>
            <w:vAlign w:val="center"/>
          </w:tcPr>
          <w:p w14:paraId="19FD62D3" w14:textId="77777777" w:rsidR="008A0A03" w:rsidRPr="0082261D" w:rsidRDefault="008A0A03" w:rsidP="000174E8">
            <w:pPr>
              <w:spacing w:line="276" w:lineRule="auto"/>
              <w:rPr>
                <w:rFonts w:ascii="Arial" w:hAnsi="Arial" w:cs="Arial"/>
                <w:b/>
                <w:bCs/>
                <w:sz w:val="16"/>
                <w:szCs w:val="16"/>
              </w:rPr>
            </w:pPr>
            <w:r w:rsidRPr="0082261D">
              <w:rPr>
                <w:rFonts w:ascii="Arial" w:hAnsi="Arial" w:cs="Arial"/>
                <w:b/>
                <w:bCs/>
                <w:sz w:val="16"/>
                <w:szCs w:val="16"/>
              </w:rPr>
              <w:t>4. DATOS DE LA INSTANCIA EVALUADORA</w:t>
            </w:r>
          </w:p>
        </w:tc>
      </w:tr>
      <w:tr w:rsidR="008A0A03" w:rsidRPr="0082261D" w14:paraId="0E2D16BF" w14:textId="77777777" w:rsidTr="00BC377F">
        <w:trPr>
          <w:trHeight w:val="464"/>
        </w:trPr>
        <w:tc>
          <w:tcPr>
            <w:tcW w:w="9515" w:type="dxa"/>
            <w:gridSpan w:val="2"/>
            <w:tcBorders>
              <w:top w:val="single" w:sz="4" w:space="0" w:color="auto"/>
              <w:left w:val="nil"/>
              <w:bottom w:val="single" w:sz="4" w:space="0" w:color="D9D9D9" w:themeColor="background1" w:themeShade="D9"/>
              <w:right w:val="nil"/>
            </w:tcBorders>
            <w:vAlign w:val="center"/>
          </w:tcPr>
          <w:p w14:paraId="26C5D29A" w14:textId="77777777" w:rsidR="008A0A03" w:rsidRPr="0082261D" w:rsidRDefault="008A0A03" w:rsidP="000174E8">
            <w:pPr>
              <w:spacing w:line="276" w:lineRule="auto"/>
              <w:rPr>
                <w:rFonts w:ascii="Arial" w:hAnsi="Arial" w:cs="Arial"/>
                <w:b/>
                <w:bCs/>
                <w:sz w:val="16"/>
                <w:szCs w:val="16"/>
              </w:rPr>
            </w:pPr>
            <w:r w:rsidRPr="00126173">
              <w:rPr>
                <w:rFonts w:ascii="Arial" w:hAnsi="Arial" w:cs="Arial"/>
                <w:b/>
                <w:bCs/>
                <w:sz w:val="16"/>
                <w:szCs w:val="16"/>
              </w:rPr>
              <w:t>4.1 Nombre del coordinador de la evaluación:</w:t>
            </w:r>
            <w:r w:rsidR="00BF1CAD" w:rsidRPr="0082261D">
              <w:rPr>
                <w:rFonts w:ascii="Arial" w:hAnsi="Arial" w:cs="Arial"/>
                <w:sz w:val="16"/>
                <w:szCs w:val="16"/>
              </w:rPr>
              <w:t xml:space="preserve"> Mtro. Fernando Mellado Meza</w:t>
            </w:r>
          </w:p>
        </w:tc>
      </w:tr>
      <w:tr w:rsidR="008A0A03" w:rsidRPr="0082261D" w14:paraId="28D9311C"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72CE44B9" w14:textId="6A0B57BC" w:rsidR="00BF1CAD" w:rsidRPr="0082261D" w:rsidRDefault="008A0A03" w:rsidP="000174E8">
            <w:pPr>
              <w:spacing w:line="276" w:lineRule="auto"/>
              <w:rPr>
                <w:rFonts w:ascii="Arial" w:hAnsi="Arial" w:cs="Arial"/>
                <w:sz w:val="16"/>
                <w:szCs w:val="16"/>
              </w:rPr>
            </w:pPr>
            <w:r w:rsidRPr="00126173">
              <w:rPr>
                <w:rFonts w:ascii="Arial" w:hAnsi="Arial" w:cs="Arial"/>
                <w:b/>
                <w:bCs/>
                <w:sz w:val="16"/>
                <w:szCs w:val="16"/>
              </w:rPr>
              <w:t>4.2 Cargo:</w:t>
            </w:r>
            <w:r w:rsidR="00BF1CAD" w:rsidRPr="00126173">
              <w:rPr>
                <w:rFonts w:ascii="Arial" w:hAnsi="Arial" w:cs="Arial"/>
                <w:b/>
                <w:bCs/>
                <w:sz w:val="16"/>
                <w:szCs w:val="16"/>
              </w:rPr>
              <w:t xml:space="preserve"> </w:t>
            </w:r>
            <w:r w:rsidR="00BF1CAD" w:rsidRPr="0082261D">
              <w:rPr>
                <w:rFonts w:ascii="Arial" w:hAnsi="Arial" w:cs="Arial"/>
                <w:sz w:val="16"/>
                <w:szCs w:val="16"/>
              </w:rPr>
              <w:t>Coordinador General</w:t>
            </w:r>
            <w:r w:rsidR="00C400AC">
              <w:rPr>
                <w:rFonts w:ascii="Arial" w:hAnsi="Arial" w:cs="Arial"/>
                <w:sz w:val="16"/>
                <w:szCs w:val="16"/>
              </w:rPr>
              <w:t xml:space="preserve"> de la Evaluación</w:t>
            </w:r>
          </w:p>
          <w:p w14:paraId="6E2F54E8" w14:textId="144FD142" w:rsidR="008A0A03" w:rsidRPr="0082261D" w:rsidRDefault="00C400AC" w:rsidP="000174E8">
            <w:pPr>
              <w:spacing w:line="276" w:lineRule="auto"/>
              <w:rPr>
                <w:rFonts w:ascii="Arial" w:hAnsi="Arial" w:cs="Arial"/>
                <w:b/>
                <w:bCs/>
                <w:sz w:val="16"/>
                <w:szCs w:val="16"/>
              </w:rPr>
            </w:pPr>
            <w:r>
              <w:rPr>
                <w:rFonts w:ascii="Arial" w:hAnsi="Arial" w:cs="Arial"/>
                <w:sz w:val="16"/>
                <w:szCs w:val="16"/>
              </w:rPr>
              <w:t>Director</w:t>
            </w:r>
            <w:r w:rsidR="00BF1CAD" w:rsidRPr="0082261D">
              <w:rPr>
                <w:rFonts w:ascii="Arial" w:hAnsi="Arial" w:cs="Arial"/>
                <w:sz w:val="16"/>
                <w:szCs w:val="16"/>
              </w:rPr>
              <w:t xml:space="preserve"> Adjunt</w:t>
            </w:r>
            <w:r>
              <w:rPr>
                <w:rFonts w:ascii="Arial" w:hAnsi="Arial" w:cs="Arial"/>
                <w:sz w:val="16"/>
                <w:szCs w:val="16"/>
              </w:rPr>
              <w:t>o</w:t>
            </w:r>
            <w:r w:rsidR="00BF1CAD" w:rsidRPr="0082261D">
              <w:rPr>
                <w:rFonts w:ascii="Arial" w:hAnsi="Arial" w:cs="Arial"/>
                <w:sz w:val="16"/>
                <w:szCs w:val="16"/>
              </w:rPr>
              <w:t xml:space="preserve"> de Numera, S. C.</w:t>
            </w:r>
          </w:p>
        </w:tc>
      </w:tr>
      <w:tr w:rsidR="008A0A03" w:rsidRPr="0082261D" w14:paraId="6DA7D437"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2F3DB725" w14:textId="77777777" w:rsidR="008A0A03" w:rsidRPr="0082261D" w:rsidRDefault="008A0A03" w:rsidP="000174E8">
            <w:pPr>
              <w:spacing w:line="276" w:lineRule="auto"/>
              <w:rPr>
                <w:rFonts w:ascii="Arial" w:hAnsi="Arial" w:cs="Arial"/>
                <w:b/>
                <w:bCs/>
                <w:sz w:val="16"/>
                <w:szCs w:val="16"/>
              </w:rPr>
            </w:pPr>
            <w:r w:rsidRPr="00126173">
              <w:rPr>
                <w:rFonts w:ascii="Arial" w:hAnsi="Arial" w:cs="Arial"/>
                <w:b/>
                <w:bCs/>
                <w:sz w:val="16"/>
                <w:szCs w:val="16"/>
              </w:rPr>
              <w:t>4.3 Institución a la que pertenece:</w:t>
            </w:r>
            <w:r w:rsidR="00BF1CAD" w:rsidRPr="0082261D">
              <w:rPr>
                <w:rFonts w:ascii="Arial" w:hAnsi="Arial" w:cs="Arial"/>
                <w:sz w:val="16"/>
                <w:szCs w:val="16"/>
              </w:rPr>
              <w:t xml:space="preserve"> Numera, S. C.</w:t>
            </w:r>
          </w:p>
        </w:tc>
      </w:tr>
      <w:tr w:rsidR="008A0A03" w:rsidRPr="0082261D" w14:paraId="42A83515"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1F38DF56" w14:textId="06AC0752" w:rsidR="00C400AC" w:rsidRDefault="008A0A03" w:rsidP="000174E8">
            <w:pPr>
              <w:spacing w:line="276" w:lineRule="auto"/>
              <w:rPr>
                <w:rFonts w:ascii="Arial" w:hAnsi="Arial" w:cs="Arial"/>
                <w:b/>
                <w:bCs/>
                <w:sz w:val="16"/>
                <w:szCs w:val="16"/>
              </w:rPr>
            </w:pPr>
            <w:r w:rsidRPr="00126173">
              <w:rPr>
                <w:rFonts w:ascii="Arial" w:hAnsi="Arial" w:cs="Arial"/>
                <w:b/>
                <w:bCs/>
                <w:sz w:val="16"/>
                <w:szCs w:val="16"/>
              </w:rPr>
              <w:lastRenderedPageBreak/>
              <w:t xml:space="preserve">4.4 Principales </w:t>
            </w:r>
            <w:r w:rsidR="00C400AC">
              <w:rPr>
                <w:rFonts w:ascii="Arial" w:hAnsi="Arial" w:cs="Arial"/>
                <w:b/>
                <w:bCs/>
                <w:sz w:val="16"/>
                <w:szCs w:val="16"/>
              </w:rPr>
              <w:t>personas colaboradoras</w:t>
            </w:r>
            <w:r w:rsidRPr="00126173">
              <w:rPr>
                <w:rFonts w:ascii="Arial" w:hAnsi="Arial" w:cs="Arial"/>
                <w:b/>
                <w:bCs/>
                <w:sz w:val="16"/>
                <w:szCs w:val="16"/>
              </w:rPr>
              <w:t>:</w:t>
            </w:r>
          </w:p>
          <w:p w14:paraId="6772FE1E" w14:textId="3923E5C0" w:rsidR="00C400AC" w:rsidRDefault="00C400AC" w:rsidP="000174E8">
            <w:pPr>
              <w:spacing w:line="276" w:lineRule="auto"/>
              <w:rPr>
                <w:rFonts w:ascii="Arial" w:hAnsi="Arial" w:cs="Arial"/>
                <w:sz w:val="16"/>
                <w:szCs w:val="16"/>
              </w:rPr>
            </w:pPr>
            <w:r w:rsidRPr="00C400AC">
              <w:rPr>
                <w:rFonts w:ascii="Arial" w:hAnsi="Arial" w:cs="Arial"/>
                <w:sz w:val="16"/>
                <w:szCs w:val="16"/>
              </w:rPr>
              <w:t xml:space="preserve">Dr. Edgar </w:t>
            </w:r>
            <w:r w:rsidR="00A80499">
              <w:rPr>
                <w:rFonts w:ascii="Arial" w:hAnsi="Arial" w:cs="Arial"/>
                <w:sz w:val="16"/>
                <w:szCs w:val="16"/>
              </w:rPr>
              <w:t>Estrada</w:t>
            </w:r>
            <w:r w:rsidRPr="00C400AC">
              <w:rPr>
                <w:rFonts w:ascii="Arial" w:hAnsi="Arial" w:cs="Arial"/>
                <w:sz w:val="16"/>
                <w:szCs w:val="16"/>
              </w:rPr>
              <w:t xml:space="preserve"> Eslava</w:t>
            </w:r>
            <w:r>
              <w:rPr>
                <w:rFonts w:ascii="Arial" w:hAnsi="Arial" w:cs="Arial"/>
                <w:sz w:val="16"/>
                <w:szCs w:val="16"/>
              </w:rPr>
              <w:t xml:space="preserve"> – Investigador A</w:t>
            </w:r>
          </w:p>
          <w:p w14:paraId="3EFA9798" w14:textId="3D0F3126" w:rsidR="00C400AC" w:rsidRDefault="00C400AC" w:rsidP="000174E8">
            <w:pPr>
              <w:spacing w:line="276" w:lineRule="auto"/>
              <w:rPr>
                <w:rFonts w:ascii="Arial" w:hAnsi="Arial" w:cs="Arial"/>
                <w:sz w:val="16"/>
                <w:szCs w:val="16"/>
              </w:rPr>
            </w:pPr>
            <w:r>
              <w:rPr>
                <w:rFonts w:ascii="Arial" w:hAnsi="Arial" w:cs="Arial"/>
                <w:sz w:val="16"/>
                <w:szCs w:val="16"/>
              </w:rPr>
              <w:t>Mtro. Edgar Diaz Navarro – Investigador B</w:t>
            </w:r>
          </w:p>
          <w:p w14:paraId="19EDB60F" w14:textId="15DAB898" w:rsidR="008A0A03" w:rsidRDefault="00BF1CAD" w:rsidP="000174E8">
            <w:pPr>
              <w:spacing w:line="276" w:lineRule="auto"/>
              <w:rPr>
                <w:rFonts w:ascii="Arial" w:hAnsi="Arial" w:cs="Arial"/>
                <w:sz w:val="16"/>
                <w:szCs w:val="16"/>
              </w:rPr>
            </w:pPr>
            <w:r w:rsidRPr="0082261D">
              <w:rPr>
                <w:rFonts w:ascii="Arial" w:hAnsi="Arial" w:cs="Arial"/>
                <w:sz w:val="16"/>
                <w:szCs w:val="16"/>
              </w:rPr>
              <w:t>Lic. Juan Mario Fenech Reynoso</w:t>
            </w:r>
            <w:r w:rsidR="00C400AC">
              <w:rPr>
                <w:rFonts w:ascii="Arial" w:hAnsi="Arial" w:cs="Arial"/>
                <w:sz w:val="16"/>
                <w:szCs w:val="16"/>
              </w:rPr>
              <w:t xml:space="preserve"> – Director general y Representante Legal de Numera, S.C.</w:t>
            </w:r>
          </w:p>
          <w:p w14:paraId="6B978D55" w14:textId="77777777" w:rsidR="00C400AC" w:rsidRPr="00C400AC" w:rsidRDefault="00C400AC" w:rsidP="000174E8">
            <w:pPr>
              <w:spacing w:line="276" w:lineRule="auto"/>
              <w:rPr>
                <w:rFonts w:ascii="Arial" w:hAnsi="Arial" w:cs="Arial"/>
                <w:sz w:val="16"/>
                <w:szCs w:val="16"/>
              </w:rPr>
            </w:pPr>
            <w:r w:rsidRPr="00C400AC">
              <w:rPr>
                <w:rFonts w:ascii="Arial" w:hAnsi="Arial" w:cs="Arial"/>
                <w:sz w:val="16"/>
                <w:szCs w:val="16"/>
              </w:rPr>
              <w:t>Staff de analistas</w:t>
            </w:r>
          </w:p>
          <w:p w14:paraId="5A8530A6" w14:textId="1FD6624C" w:rsidR="00C400AC" w:rsidRPr="0082261D" w:rsidRDefault="00C400AC" w:rsidP="000174E8">
            <w:pPr>
              <w:spacing w:line="276" w:lineRule="auto"/>
              <w:rPr>
                <w:rFonts w:ascii="Arial" w:hAnsi="Arial" w:cs="Arial"/>
                <w:b/>
                <w:bCs/>
                <w:sz w:val="16"/>
                <w:szCs w:val="16"/>
              </w:rPr>
            </w:pPr>
            <w:r w:rsidRPr="00C400AC">
              <w:rPr>
                <w:rFonts w:ascii="Arial" w:hAnsi="Arial" w:cs="Arial"/>
                <w:sz w:val="16"/>
                <w:szCs w:val="16"/>
              </w:rPr>
              <w:t>Staff de diseño y procesamiento</w:t>
            </w:r>
          </w:p>
        </w:tc>
      </w:tr>
      <w:tr w:rsidR="008A0A03" w:rsidRPr="0082261D" w14:paraId="61BE58F6"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4A094C3B" w14:textId="299D98B8" w:rsidR="008A0A03" w:rsidRPr="0082261D" w:rsidRDefault="008A0A03" w:rsidP="000174E8">
            <w:pPr>
              <w:spacing w:line="276" w:lineRule="auto"/>
              <w:rPr>
                <w:rFonts w:ascii="Arial" w:hAnsi="Arial" w:cs="Arial"/>
                <w:b/>
                <w:bCs/>
                <w:sz w:val="16"/>
                <w:szCs w:val="16"/>
              </w:rPr>
            </w:pPr>
            <w:r w:rsidRPr="00126173">
              <w:rPr>
                <w:rFonts w:ascii="Arial" w:hAnsi="Arial" w:cs="Arial"/>
                <w:b/>
                <w:bCs/>
                <w:sz w:val="16"/>
                <w:szCs w:val="16"/>
              </w:rPr>
              <w:t>4.5 Correo electrónico del coordinador de la evaluación:</w:t>
            </w:r>
            <w:r w:rsidR="00BF1CAD" w:rsidRPr="0082261D">
              <w:rPr>
                <w:rFonts w:ascii="Arial" w:hAnsi="Arial" w:cs="Arial"/>
                <w:sz w:val="16"/>
                <w:szCs w:val="16"/>
              </w:rPr>
              <w:t xml:space="preserve"> </w:t>
            </w:r>
            <w:r w:rsidR="000A7F7D" w:rsidRPr="000A7F7D">
              <w:rPr>
                <w:rFonts w:ascii="Arial" w:hAnsi="Arial" w:cs="Arial"/>
                <w:sz w:val="16"/>
                <w:szCs w:val="16"/>
              </w:rPr>
              <w:t>mellado1@me.com</w:t>
            </w:r>
            <w:r w:rsidR="000A7F7D">
              <w:rPr>
                <w:rFonts w:ascii="Arial" w:hAnsi="Arial" w:cs="Arial"/>
                <w:sz w:val="16"/>
                <w:szCs w:val="16"/>
              </w:rPr>
              <w:t xml:space="preserve"> / numerasc@hotmail.com</w:t>
            </w:r>
          </w:p>
        </w:tc>
      </w:tr>
      <w:tr w:rsidR="008A0A03" w:rsidRPr="0082261D" w14:paraId="4B6E6DC7" w14:textId="77777777" w:rsidTr="00BC377F">
        <w:trPr>
          <w:trHeight w:val="464"/>
        </w:trPr>
        <w:tc>
          <w:tcPr>
            <w:tcW w:w="9515" w:type="dxa"/>
            <w:gridSpan w:val="2"/>
            <w:tcBorders>
              <w:top w:val="single" w:sz="4" w:space="0" w:color="D9D9D9" w:themeColor="background1" w:themeShade="D9"/>
              <w:left w:val="nil"/>
              <w:bottom w:val="single" w:sz="4" w:space="0" w:color="auto"/>
              <w:right w:val="nil"/>
            </w:tcBorders>
            <w:vAlign w:val="center"/>
          </w:tcPr>
          <w:p w14:paraId="5E67B3ED" w14:textId="18BDD5C3" w:rsidR="008A0A03" w:rsidRPr="000A7F7D" w:rsidRDefault="008A0A03" w:rsidP="000174E8">
            <w:pPr>
              <w:spacing w:line="276" w:lineRule="auto"/>
              <w:rPr>
                <w:rFonts w:ascii="Arial" w:hAnsi="Arial" w:cs="Arial"/>
                <w:b/>
                <w:bCs/>
                <w:sz w:val="16"/>
                <w:szCs w:val="16"/>
              </w:rPr>
            </w:pPr>
            <w:r w:rsidRPr="000A7F7D">
              <w:rPr>
                <w:rFonts w:ascii="Arial" w:hAnsi="Arial" w:cs="Arial"/>
                <w:b/>
                <w:bCs/>
                <w:sz w:val="16"/>
                <w:szCs w:val="16"/>
              </w:rPr>
              <w:t>4.6 Teléfono (con clave lada):</w:t>
            </w:r>
            <w:r w:rsidR="00BF1CAD" w:rsidRPr="000A7F7D">
              <w:rPr>
                <w:rFonts w:ascii="Arial" w:hAnsi="Arial" w:cs="Arial"/>
                <w:sz w:val="16"/>
                <w:szCs w:val="16"/>
              </w:rPr>
              <w:t xml:space="preserve"> </w:t>
            </w:r>
            <w:r w:rsidR="000A7F7D" w:rsidRPr="000A7F7D">
              <w:rPr>
                <w:rFonts w:ascii="Arial" w:hAnsi="Arial" w:cs="Arial"/>
                <w:sz w:val="16"/>
                <w:szCs w:val="16"/>
              </w:rPr>
              <w:t>612 1656286</w:t>
            </w:r>
          </w:p>
        </w:tc>
      </w:tr>
      <w:tr w:rsidR="008A0A03" w:rsidRPr="0082261D" w14:paraId="638BCC68" w14:textId="77777777" w:rsidTr="00BC377F">
        <w:trPr>
          <w:trHeight w:val="464"/>
        </w:trPr>
        <w:tc>
          <w:tcPr>
            <w:tcW w:w="9515" w:type="dxa"/>
            <w:gridSpan w:val="2"/>
            <w:tcBorders>
              <w:top w:val="single" w:sz="4" w:space="0" w:color="auto"/>
              <w:left w:val="nil"/>
              <w:bottom w:val="single" w:sz="4" w:space="0" w:color="auto"/>
              <w:right w:val="nil"/>
            </w:tcBorders>
            <w:shd w:val="clear" w:color="auto" w:fill="E7E6E6" w:themeFill="background2"/>
            <w:vAlign w:val="center"/>
          </w:tcPr>
          <w:p w14:paraId="66764D99" w14:textId="3143E77A" w:rsidR="008A0A03" w:rsidRPr="0082261D" w:rsidRDefault="008A0A03" w:rsidP="000174E8">
            <w:pPr>
              <w:tabs>
                <w:tab w:val="center" w:pos="4568"/>
                <w:tab w:val="left" w:pos="6564"/>
              </w:tabs>
              <w:spacing w:line="276" w:lineRule="auto"/>
              <w:rPr>
                <w:rFonts w:ascii="Arial" w:hAnsi="Arial" w:cs="Arial"/>
                <w:b/>
                <w:bCs/>
                <w:sz w:val="16"/>
                <w:szCs w:val="16"/>
              </w:rPr>
            </w:pPr>
            <w:r w:rsidRPr="0082261D">
              <w:rPr>
                <w:rFonts w:ascii="Arial" w:hAnsi="Arial" w:cs="Arial"/>
                <w:b/>
                <w:bCs/>
                <w:sz w:val="16"/>
                <w:szCs w:val="16"/>
              </w:rPr>
              <w:t xml:space="preserve">5. IDENTIFICACIÓN DEL (LOS) </w:t>
            </w:r>
            <w:r w:rsidR="00DE3450">
              <w:rPr>
                <w:rFonts w:ascii="Arial" w:hAnsi="Arial" w:cs="Arial"/>
                <w:b/>
                <w:bCs/>
                <w:sz w:val="16"/>
                <w:szCs w:val="16"/>
              </w:rPr>
              <w:t>FONDO</w:t>
            </w:r>
            <w:r w:rsidRPr="0082261D">
              <w:rPr>
                <w:rFonts w:ascii="Arial" w:hAnsi="Arial" w:cs="Arial"/>
                <w:b/>
                <w:bCs/>
                <w:sz w:val="16"/>
                <w:szCs w:val="16"/>
              </w:rPr>
              <w:t>(S)</w:t>
            </w:r>
          </w:p>
        </w:tc>
      </w:tr>
      <w:tr w:rsidR="00FE3DD5" w:rsidRPr="0082261D" w14:paraId="27DE75E9" w14:textId="77777777" w:rsidTr="00BC377F">
        <w:trPr>
          <w:trHeight w:val="464"/>
        </w:trPr>
        <w:tc>
          <w:tcPr>
            <w:tcW w:w="9515" w:type="dxa"/>
            <w:gridSpan w:val="2"/>
            <w:tcBorders>
              <w:top w:val="single" w:sz="4" w:space="0" w:color="auto"/>
              <w:left w:val="nil"/>
              <w:bottom w:val="single" w:sz="4" w:space="0" w:color="D9D9D9" w:themeColor="background1" w:themeShade="D9"/>
              <w:right w:val="nil"/>
            </w:tcBorders>
            <w:vAlign w:val="center"/>
          </w:tcPr>
          <w:p w14:paraId="2EF27E27" w14:textId="4BCE1ADF" w:rsidR="00FE3DD5" w:rsidRPr="00DE3450" w:rsidRDefault="00FE3DD5" w:rsidP="00DE3450">
            <w:pPr>
              <w:spacing w:line="276" w:lineRule="auto"/>
              <w:rPr>
                <w:rFonts w:ascii="Arial" w:hAnsi="Arial" w:cs="Arial"/>
                <w:sz w:val="16"/>
                <w:szCs w:val="16"/>
                <w:lang w:val="es-ES_tradnl"/>
              </w:rPr>
            </w:pPr>
            <w:r w:rsidRPr="001C12AF">
              <w:rPr>
                <w:rFonts w:ascii="Arial" w:hAnsi="Arial" w:cs="Arial"/>
                <w:b/>
                <w:bCs/>
                <w:sz w:val="16"/>
                <w:szCs w:val="16"/>
              </w:rPr>
              <w:t xml:space="preserve">5.1 Nombre del (los) </w:t>
            </w:r>
            <w:r w:rsidR="00DE3450">
              <w:rPr>
                <w:rFonts w:ascii="Arial" w:hAnsi="Arial" w:cs="Arial"/>
                <w:b/>
                <w:bCs/>
                <w:sz w:val="16"/>
                <w:szCs w:val="16"/>
              </w:rPr>
              <w:t>Fondo</w:t>
            </w:r>
            <w:r w:rsidRPr="001C12AF">
              <w:rPr>
                <w:rFonts w:ascii="Arial" w:hAnsi="Arial" w:cs="Arial"/>
                <w:b/>
                <w:bCs/>
                <w:sz w:val="16"/>
                <w:szCs w:val="16"/>
              </w:rPr>
              <w:t>(s) evaluado(s):</w:t>
            </w:r>
            <w:r w:rsidR="00995D51" w:rsidRPr="0082261D">
              <w:rPr>
                <w:rFonts w:ascii="Arial" w:hAnsi="Arial" w:cs="Arial"/>
                <w:sz w:val="16"/>
                <w:szCs w:val="16"/>
              </w:rPr>
              <w:t xml:space="preserve">  </w:t>
            </w:r>
            <w:r w:rsidR="00B473BB" w:rsidRPr="00B473BB">
              <w:rPr>
                <w:rFonts w:ascii="Arial" w:hAnsi="Arial" w:cs="Arial"/>
                <w:bCs/>
                <w:sz w:val="16"/>
                <w:szCs w:val="16"/>
                <w:lang w:val="es-ES_tradnl"/>
              </w:rPr>
              <w:t>Fondo de Aportaciones Múltiples, Infraestructura Educativa</w:t>
            </w:r>
          </w:p>
        </w:tc>
      </w:tr>
      <w:tr w:rsidR="00FE3DD5" w:rsidRPr="0082261D" w14:paraId="26E58800"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10945DF7" w14:textId="22FC8743" w:rsidR="00FE3DD5" w:rsidRPr="0082261D" w:rsidRDefault="00FE3DD5" w:rsidP="000174E8">
            <w:pPr>
              <w:spacing w:line="276" w:lineRule="auto"/>
              <w:rPr>
                <w:rFonts w:ascii="Arial" w:hAnsi="Arial" w:cs="Arial"/>
                <w:b/>
                <w:bCs/>
                <w:sz w:val="16"/>
                <w:szCs w:val="16"/>
              </w:rPr>
            </w:pPr>
            <w:r w:rsidRPr="001C12AF">
              <w:rPr>
                <w:rFonts w:ascii="Arial" w:hAnsi="Arial" w:cs="Arial"/>
                <w:b/>
                <w:bCs/>
                <w:sz w:val="16"/>
                <w:szCs w:val="16"/>
              </w:rPr>
              <w:t>5.2 Siglas:</w:t>
            </w:r>
            <w:r w:rsidR="00995D51" w:rsidRPr="0082261D">
              <w:rPr>
                <w:rFonts w:ascii="Arial" w:hAnsi="Arial" w:cs="Arial"/>
                <w:sz w:val="16"/>
                <w:szCs w:val="16"/>
              </w:rPr>
              <w:t xml:space="preserve"> </w:t>
            </w:r>
            <w:r w:rsidR="00310008" w:rsidRPr="00310008">
              <w:rPr>
                <w:rFonts w:ascii="Arial" w:hAnsi="Arial" w:cs="Arial"/>
                <w:sz w:val="16"/>
                <w:szCs w:val="16"/>
                <w:lang w:val="es-ES_tradnl"/>
              </w:rPr>
              <w:t>[</w:t>
            </w:r>
            <w:r w:rsidR="00BA17A1">
              <w:rPr>
                <w:rFonts w:ascii="Arial" w:hAnsi="Arial" w:cs="Arial"/>
                <w:sz w:val="16"/>
                <w:szCs w:val="16"/>
                <w:lang w:val="es-ES_tradnl"/>
              </w:rPr>
              <w:t>FAM-</w:t>
            </w:r>
            <w:r w:rsidR="00B473BB">
              <w:rPr>
                <w:rFonts w:ascii="Arial" w:hAnsi="Arial" w:cs="Arial"/>
                <w:sz w:val="16"/>
                <w:szCs w:val="16"/>
                <w:lang w:val="es-ES_tradnl"/>
              </w:rPr>
              <w:t>IE</w:t>
            </w:r>
            <w:r w:rsidR="00310008" w:rsidRPr="00310008">
              <w:rPr>
                <w:rFonts w:ascii="Arial" w:hAnsi="Arial" w:cs="Arial"/>
                <w:sz w:val="16"/>
                <w:szCs w:val="16"/>
                <w:lang w:val="es-ES_tradnl"/>
              </w:rPr>
              <w:t>]</w:t>
            </w:r>
          </w:p>
        </w:tc>
      </w:tr>
      <w:tr w:rsidR="00FE3DD5" w:rsidRPr="0082261D" w14:paraId="6381B9B9"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1774AC40" w14:textId="20C2E050" w:rsidR="00B802A7" w:rsidRPr="00B802A7" w:rsidRDefault="00FE3DD5" w:rsidP="000174E8">
            <w:pPr>
              <w:spacing w:line="276" w:lineRule="auto"/>
              <w:rPr>
                <w:rFonts w:ascii="Arial" w:hAnsi="Arial" w:cs="Arial"/>
                <w:sz w:val="16"/>
                <w:szCs w:val="16"/>
              </w:rPr>
            </w:pPr>
            <w:r w:rsidRPr="001C12AF">
              <w:rPr>
                <w:rFonts w:ascii="Arial" w:hAnsi="Arial" w:cs="Arial"/>
                <w:b/>
                <w:bCs/>
                <w:sz w:val="16"/>
                <w:szCs w:val="16"/>
              </w:rPr>
              <w:t xml:space="preserve">5.3 Ente público coordinador del (los) </w:t>
            </w:r>
            <w:r w:rsidR="00C400AC">
              <w:rPr>
                <w:rFonts w:ascii="Arial" w:hAnsi="Arial" w:cs="Arial"/>
                <w:b/>
                <w:bCs/>
                <w:sz w:val="16"/>
                <w:szCs w:val="16"/>
              </w:rPr>
              <w:t>Fondo</w:t>
            </w:r>
            <w:r w:rsidRPr="001C12AF">
              <w:rPr>
                <w:rFonts w:ascii="Arial" w:hAnsi="Arial" w:cs="Arial"/>
                <w:b/>
                <w:bCs/>
                <w:sz w:val="16"/>
                <w:szCs w:val="16"/>
              </w:rPr>
              <w:t>(s):</w:t>
            </w:r>
            <w:r w:rsidR="00393E99" w:rsidRPr="0082261D">
              <w:rPr>
                <w:rFonts w:ascii="Arial" w:hAnsi="Arial" w:cs="Arial"/>
                <w:sz w:val="16"/>
                <w:szCs w:val="16"/>
              </w:rPr>
              <w:t xml:space="preserve"> </w:t>
            </w:r>
            <w:r w:rsidR="00B802A7">
              <w:rPr>
                <w:rFonts w:ascii="Arial" w:hAnsi="Arial" w:cs="Arial"/>
                <w:sz w:val="16"/>
                <w:szCs w:val="16"/>
              </w:rPr>
              <w:t xml:space="preserve"> </w:t>
            </w:r>
            <w:r w:rsidR="00A36C1C" w:rsidRPr="00A36C1C">
              <w:rPr>
                <w:rFonts w:ascii="Cambria" w:hAnsi="Cambria"/>
                <w:bCs/>
                <w:sz w:val="18"/>
                <w:szCs w:val="18"/>
                <w:lang w:val="es-ES_tradnl"/>
              </w:rPr>
              <w:t>Instituto Tamaulipeco de Infraestructura Física Educativa (ITIFE)</w:t>
            </w:r>
          </w:p>
          <w:p w14:paraId="4CD35C1E" w14:textId="77777777" w:rsidR="00FE3DD5" w:rsidRPr="0082261D" w:rsidRDefault="00FE3DD5" w:rsidP="000174E8">
            <w:pPr>
              <w:spacing w:line="276" w:lineRule="auto"/>
              <w:rPr>
                <w:rFonts w:ascii="Arial" w:hAnsi="Arial" w:cs="Arial"/>
                <w:b/>
                <w:bCs/>
                <w:sz w:val="16"/>
                <w:szCs w:val="16"/>
              </w:rPr>
            </w:pPr>
          </w:p>
        </w:tc>
      </w:tr>
      <w:tr w:rsidR="00FE3DD5" w:rsidRPr="0082261D" w14:paraId="6C8BC057"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02BECB59" w14:textId="05F5C4FB" w:rsidR="00FE3DD5" w:rsidRPr="0082261D" w:rsidRDefault="00FE3DD5" w:rsidP="000174E8">
            <w:pPr>
              <w:spacing w:line="276" w:lineRule="auto"/>
              <w:rPr>
                <w:rFonts w:ascii="Arial" w:hAnsi="Arial" w:cs="Arial"/>
                <w:b/>
                <w:bCs/>
                <w:sz w:val="16"/>
                <w:szCs w:val="16"/>
              </w:rPr>
            </w:pPr>
            <w:r w:rsidRPr="001C12AF">
              <w:rPr>
                <w:rFonts w:ascii="Arial" w:hAnsi="Arial" w:cs="Arial"/>
                <w:b/>
                <w:bCs/>
                <w:sz w:val="16"/>
                <w:szCs w:val="16"/>
              </w:rPr>
              <w:t xml:space="preserve">5.4 Poder público al que pertenece(n) el(los) </w:t>
            </w:r>
            <w:r w:rsidR="00C400AC">
              <w:rPr>
                <w:rFonts w:ascii="Arial" w:hAnsi="Arial" w:cs="Arial"/>
                <w:b/>
                <w:bCs/>
                <w:sz w:val="16"/>
                <w:szCs w:val="16"/>
              </w:rPr>
              <w:t>Fondo</w:t>
            </w:r>
            <w:r w:rsidRPr="001C12AF">
              <w:rPr>
                <w:rFonts w:ascii="Arial" w:hAnsi="Arial" w:cs="Arial"/>
                <w:b/>
                <w:bCs/>
                <w:sz w:val="16"/>
                <w:szCs w:val="16"/>
              </w:rPr>
              <w:t>(s):</w:t>
            </w:r>
            <w:r w:rsidR="00393E99" w:rsidRPr="0082261D">
              <w:rPr>
                <w:rFonts w:ascii="Arial" w:hAnsi="Arial" w:cs="Arial"/>
                <w:sz w:val="16"/>
                <w:szCs w:val="16"/>
              </w:rPr>
              <w:t xml:space="preserve"> </w:t>
            </w:r>
            <w:r w:rsidR="00170E5E">
              <w:rPr>
                <w:rFonts w:ascii="Arial" w:hAnsi="Arial" w:cs="Arial"/>
                <w:sz w:val="16"/>
                <w:szCs w:val="16"/>
              </w:rPr>
              <w:t>Federal</w:t>
            </w:r>
          </w:p>
        </w:tc>
      </w:tr>
      <w:tr w:rsidR="00FE3DD5" w:rsidRPr="0082261D" w14:paraId="733263C2"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485EAD7D" w14:textId="77777777" w:rsidR="00FE3DD5" w:rsidRPr="0082261D" w:rsidRDefault="00FE3DD5" w:rsidP="000174E8">
            <w:pPr>
              <w:spacing w:line="276" w:lineRule="auto"/>
              <w:rPr>
                <w:rFonts w:ascii="Arial" w:hAnsi="Arial" w:cs="Arial"/>
                <w:b/>
                <w:bCs/>
                <w:sz w:val="16"/>
                <w:szCs w:val="16"/>
              </w:rPr>
            </w:pPr>
            <w:r w:rsidRPr="0082261D">
              <w:rPr>
                <w:rFonts w:ascii="Arial" w:hAnsi="Arial" w:cs="Arial"/>
                <w:sz w:val="16"/>
                <w:szCs w:val="16"/>
              </w:rPr>
              <w:t>Poder Ejecutivo __</w:t>
            </w:r>
            <w:r w:rsidR="00393E99" w:rsidRPr="0082261D">
              <w:rPr>
                <w:rFonts w:ascii="Arial" w:hAnsi="Arial" w:cs="Arial"/>
                <w:sz w:val="16"/>
                <w:szCs w:val="16"/>
              </w:rPr>
              <w:t>x</w:t>
            </w:r>
            <w:r w:rsidRPr="0082261D">
              <w:rPr>
                <w:rFonts w:ascii="Arial" w:hAnsi="Arial" w:cs="Arial"/>
                <w:sz w:val="16"/>
                <w:szCs w:val="16"/>
              </w:rPr>
              <w:t>_ Poder Legislativo___ Poder Judicial___ Ente Autónomo___</w:t>
            </w:r>
          </w:p>
        </w:tc>
      </w:tr>
      <w:tr w:rsidR="00FE3DD5" w:rsidRPr="0082261D" w14:paraId="0D554648" w14:textId="77777777" w:rsidTr="00170E5E">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shd w:val="clear" w:color="auto" w:fill="F2F2F2" w:themeFill="background1" w:themeFillShade="F2"/>
            <w:vAlign w:val="center"/>
          </w:tcPr>
          <w:p w14:paraId="37107495" w14:textId="7F5FE211" w:rsidR="00FE3DD5" w:rsidRPr="0082261D" w:rsidRDefault="00FE3DD5" w:rsidP="000174E8">
            <w:pPr>
              <w:spacing w:line="276" w:lineRule="auto"/>
              <w:rPr>
                <w:rFonts w:ascii="Arial" w:hAnsi="Arial" w:cs="Arial"/>
                <w:b/>
                <w:bCs/>
                <w:sz w:val="16"/>
                <w:szCs w:val="16"/>
              </w:rPr>
            </w:pPr>
            <w:r w:rsidRPr="001C12AF">
              <w:rPr>
                <w:rFonts w:ascii="Arial" w:hAnsi="Arial" w:cs="Arial"/>
                <w:b/>
                <w:bCs/>
                <w:sz w:val="16"/>
                <w:szCs w:val="16"/>
              </w:rPr>
              <w:t xml:space="preserve">5.5 Ámbito gubernamental al que pertenece(n) el(los) </w:t>
            </w:r>
            <w:r w:rsidR="00C400AC">
              <w:rPr>
                <w:rFonts w:ascii="Arial" w:hAnsi="Arial" w:cs="Arial"/>
                <w:b/>
                <w:bCs/>
                <w:sz w:val="16"/>
                <w:szCs w:val="16"/>
              </w:rPr>
              <w:t>Fondo</w:t>
            </w:r>
            <w:r w:rsidRPr="001C12AF">
              <w:rPr>
                <w:rFonts w:ascii="Arial" w:hAnsi="Arial" w:cs="Arial"/>
                <w:b/>
                <w:bCs/>
                <w:sz w:val="16"/>
                <w:szCs w:val="16"/>
              </w:rPr>
              <w:t>(s)</w:t>
            </w:r>
            <w:r w:rsidR="00393E99" w:rsidRPr="001C12AF">
              <w:rPr>
                <w:rFonts w:ascii="Arial" w:hAnsi="Arial" w:cs="Arial"/>
                <w:b/>
                <w:bCs/>
                <w:sz w:val="16"/>
                <w:szCs w:val="16"/>
              </w:rPr>
              <w:t>:</w:t>
            </w:r>
            <w:r w:rsidR="00393E99" w:rsidRPr="0082261D">
              <w:rPr>
                <w:rFonts w:ascii="Arial" w:hAnsi="Arial" w:cs="Arial"/>
                <w:sz w:val="16"/>
                <w:szCs w:val="16"/>
              </w:rPr>
              <w:t xml:space="preserve"> </w:t>
            </w:r>
          </w:p>
        </w:tc>
      </w:tr>
      <w:tr w:rsidR="00FE3DD5" w:rsidRPr="0082261D" w14:paraId="187579A7"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1B75FCF1" w14:textId="40928555" w:rsidR="00FE3DD5" w:rsidRPr="0082261D" w:rsidRDefault="00FE3DD5" w:rsidP="000174E8">
            <w:pPr>
              <w:spacing w:line="276" w:lineRule="auto"/>
              <w:rPr>
                <w:rFonts w:ascii="Arial" w:hAnsi="Arial" w:cs="Arial"/>
                <w:b/>
                <w:bCs/>
                <w:sz w:val="16"/>
                <w:szCs w:val="16"/>
              </w:rPr>
            </w:pPr>
            <w:r w:rsidRPr="0082261D">
              <w:rPr>
                <w:rFonts w:ascii="Arial" w:hAnsi="Arial" w:cs="Arial"/>
                <w:sz w:val="16"/>
                <w:szCs w:val="16"/>
              </w:rPr>
              <w:t>Federal __ Estatal__</w:t>
            </w:r>
            <w:r w:rsidR="00170E5E" w:rsidRPr="00170E5E">
              <w:rPr>
                <w:rFonts w:ascii="Arial" w:hAnsi="Arial" w:cs="Arial"/>
                <w:sz w:val="16"/>
                <w:szCs w:val="16"/>
                <w:u w:val="single"/>
              </w:rPr>
              <w:t>X</w:t>
            </w:r>
            <w:r w:rsidRPr="0082261D">
              <w:rPr>
                <w:rFonts w:ascii="Arial" w:hAnsi="Arial" w:cs="Arial"/>
                <w:sz w:val="16"/>
                <w:szCs w:val="16"/>
              </w:rPr>
              <w:t>_ Local__</w:t>
            </w:r>
          </w:p>
        </w:tc>
      </w:tr>
      <w:tr w:rsidR="00FE3DD5" w:rsidRPr="0082261D" w14:paraId="47F3C49A" w14:textId="77777777" w:rsidTr="00014CB3">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shd w:val="clear" w:color="auto" w:fill="F2F2F2" w:themeFill="background1" w:themeFillShade="F2"/>
            <w:vAlign w:val="center"/>
          </w:tcPr>
          <w:p w14:paraId="6DC8B5CF" w14:textId="01FD577E" w:rsidR="00FE3DD5" w:rsidRPr="00014CB3" w:rsidRDefault="00FE3DD5" w:rsidP="000174E8">
            <w:pPr>
              <w:spacing w:line="276" w:lineRule="auto"/>
              <w:rPr>
                <w:rFonts w:ascii="Arial" w:hAnsi="Arial" w:cs="Arial"/>
                <w:b/>
                <w:bCs/>
                <w:sz w:val="16"/>
                <w:szCs w:val="16"/>
              </w:rPr>
            </w:pPr>
            <w:r w:rsidRPr="001C12AF">
              <w:rPr>
                <w:rFonts w:ascii="Arial" w:hAnsi="Arial" w:cs="Arial"/>
                <w:b/>
                <w:bCs/>
                <w:sz w:val="16"/>
                <w:szCs w:val="16"/>
              </w:rPr>
              <w:t xml:space="preserve">5.6 Nombre de la(s) unidad(es) administrativa(s) y de (los) titular(es) a cargo del (los) </w:t>
            </w:r>
            <w:r w:rsidR="00170E5E">
              <w:rPr>
                <w:rFonts w:ascii="Arial" w:hAnsi="Arial" w:cs="Arial"/>
                <w:b/>
                <w:bCs/>
                <w:sz w:val="16"/>
                <w:szCs w:val="16"/>
              </w:rPr>
              <w:t>Fondo</w:t>
            </w:r>
            <w:r w:rsidRPr="001C12AF">
              <w:rPr>
                <w:rFonts w:ascii="Arial" w:hAnsi="Arial" w:cs="Arial"/>
                <w:b/>
                <w:bCs/>
                <w:sz w:val="16"/>
                <w:szCs w:val="16"/>
              </w:rPr>
              <w:t>(s)</w:t>
            </w:r>
            <w:r w:rsidR="00393E99" w:rsidRPr="001C12AF">
              <w:rPr>
                <w:rFonts w:ascii="Arial" w:hAnsi="Arial" w:cs="Arial"/>
                <w:b/>
                <w:bCs/>
                <w:sz w:val="16"/>
                <w:szCs w:val="16"/>
              </w:rPr>
              <w:t xml:space="preserve">: </w:t>
            </w:r>
          </w:p>
        </w:tc>
      </w:tr>
      <w:tr w:rsidR="00FE3DD5" w:rsidRPr="0082261D" w14:paraId="00F7513E" w14:textId="77777777" w:rsidTr="00BC377F">
        <w:trPr>
          <w:trHeight w:val="266"/>
        </w:trPr>
        <w:tc>
          <w:tcPr>
            <w:tcW w:w="9515" w:type="dxa"/>
            <w:gridSpan w:val="2"/>
            <w:tcBorders>
              <w:top w:val="single" w:sz="4" w:space="0" w:color="D9D9D9" w:themeColor="background1" w:themeShade="D9"/>
              <w:left w:val="nil"/>
              <w:bottom w:val="nil"/>
              <w:right w:val="nil"/>
            </w:tcBorders>
            <w:vAlign w:val="center"/>
          </w:tcPr>
          <w:p w14:paraId="6DCA3244" w14:textId="77777777" w:rsidR="00FE3DD5" w:rsidRPr="001C12AF" w:rsidRDefault="00FE3DD5" w:rsidP="000174E8">
            <w:pPr>
              <w:spacing w:line="276" w:lineRule="auto"/>
              <w:rPr>
                <w:rFonts w:ascii="Arial" w:hAnsi="Arial" w:cs="Arial"/>
                <w:b/>
                <w:bCs/>
                <w:sz w:val="16"/>
                <w:szCs w:val="16"/>
              </w:rPr>
            </w:pPr>
            <w:r w:rsidRPr="001C12AF">
              <w:rPr>
                <w:rFonts w:ascii="Arial" w:hAnsi="Arial" w:cs="Arial"/>
                <w:b/>
                <w:bCs/>
                <w:sz w:val="16"/>
                <w:szCs w:val="16"/>
              </w:rPr>
              <w:t>5.6.1 Nombre(s) de la(s) unidad(es) administrativa(s) a cargo de (los) programa(s):</w:t>
            </w:r>
          </w:p>
        </w:tc>
      </w:tr>
      <w:tr w:rsidR="00FE3DD5" w:rsidRPr="0082261D" w14:paraId="7FCA98E0" w14:textId="77777777" w:rsidTr="00BC377F">
        <w:trPr>
          <w:trHeight w:val="280"/>
        </w:trPr>
        <w:tc>
          <w:tcPr>
            <w:tcW w:w="9515" w:type="dxa"/>
            <w:gridSpan w:val="2"/>
            <w:tcBorders>
              <w:top w:val="nil"/>
              <w:left w:val="nil"/>
              <w:bottom w:val="single" w:sz="4" w:space="0" w:color="D9D9D9" w:themeColor="background1" w:themeShade="D9"/>
              <w:right w:val="nil"/>
            </w:tcBorders>
            <w:vAlign w:val="center"/>
          </w:tcPr>
          <w:p w14:paraId="2AF478CA" w14:textId="5903EFE5" w:rsidR="00FE3DD5" w:rsidRPr="001C12AF" w:rsidRDefault="00A36C1C" w:rsidP="000174E8">
            <w:pPr>
              <w:spacing w:line="276" w:lineRule="auto"/>
              <w:rPr>
                <w:rFonts w:ascii="Arial" w:hAnsi="Arial" w:cs="Arial"/>
                <w:sz w:val="16"/>
                <w:szCs w:val="16"/>
              </w:rPr>
            </w:pPr>
            <w:r w:rsidRPr="00A36C1C">
              <w:rPr>
                <w:rFonts w:ascii="Cambria" w:hAnsi="Cambria"/>
                <w:bCs/>
                <w:sz w:val="18"/>
                <w:szCs w:val="18"/>
                <w:lang w:val="es-ES_tradnl"/>
              </w:rPr>
              <w:t>Instituto Tamaulipeco de Infraestructura Física Educativa (ITIFE)</w:t>
            </w:r>
          </w:p>
        </w:tc>
      </w:tr>
      <w:tr w:rsidR="00FE3DD5" w:rsidRPr="0082261D" w14:paraId="4BC4439E" w14:textId="77777777" w:rsidTr="00014CB3">
        <w:trPr>
          <w:trHeight w:val="464"/>
        </w:trPr>
        <w:tc>
          <w:tcPr>
            <w:tcW w:w="9515" w:type="dxa"/>
            <w:gridSpan w:val="2"/>
            <w:tcBorders>
              <w:top w:val="single" w:sz="4" w:space="0" w:color="D9D9D9" w:themeColor="background1" w:themeShade="D9"/>
              <w:left w:val="nil"/>
              <w:bottom w:val="nil"/>
              <w:right w:val="nil"/>
            </w:tcBorders>
            <w:shd w:val="clear" w:color="auto" w:fill="F2F2F2" w:themeFill="background1" w:themeFillShade="F2"/>
            <w:vAlign w:val="center"/>
          </w:tcPr>
          <w:p w14:paraId="1A57B743" w14:textId="77777777" w:rsidR="00FE3DD5" w:rsidRPr="001C12AF" w:rsidRDefault="00FE3DD5" w:rsidP="000174E8">
            <w:pPr>
              <w:autoSpaceDE w:val="0"/>
              <w:autoSpaceDN w:val="0"/>
              <w:adjustRightInd w:val="0"/>
              <w:spacing w:line="276" w:lineRule="auto"/>
              <w:rPr>
                <w:rFonts w:ascii="Arial" w:hAnsi="Arial" w:cs="Arial"/>
                <w:b/>
                <w:bCs/>
                <w:sz w:val="16"/>
                <w:szCs w:val="16"/>
              </w:rPr>
            </w:pPr>
            <w:r w:rsidRPr="001C12AF">
              <w:rPr>
                <w:rFonts w:ascii="Arial" w:hAnsi="Arial" w:cs="Arial"/>
                <w:b/>
                <w:bCs/>
                <w:sz w:val="16"/>
                <w:szCs w:val="16"/>
              </w:rPr>
              <w:t>5.6.2 Nombre(s) de (los) titular(es) de la(s) unidad(es) administrativa(s) a cargo de (los) programa(s) (nombre completo,</w:t>
            </w:r>
          </w:p>
          <w:p w14:paraId="321E342C" w14:textId="77777777" w:rsidR="00FE3DD5" w:rsidRPr="0082261D" w:rsidRDefault="00FE3DD5" w:rsidP="000174E8">
            <w:pPr>
              <w:spacing w:line="276" w:lineRule="auto"/>
              <w:rPr>
                <w:rFonts w:ascii="Arial" w:hAnsi="Arial" w:cs="Arial"/>
                <w:b/>
                <w:bCs/>
                <w:sz w:val="16"/>
                <w:szCs w:val="16"/>
              </w:rPr>
            </w:pPr>
            <w:r w:rsidRPr="001C12AF">
              <w:rPr>
                <w:rFonts w:ascii="Arial" w:hAnsi="Arial" w:cs="Arial"/>
                <w:b/>
                <w:bCs/>
                <w:sz w:val="16"/>
                <w:szCs w:val="16"/>
              </w:rPr>
              <w:t>correo electrónico y teléfono con clave lada):</w:t>
            </w:r>
          </w:p>
        </w:tc>
      </w:tr>
      <w:tr w:rsidR="00FE3DD5" w:rsidRPr="0082261D" w14:paraId="1C263067" w14:textId="77777777" w:rsidTr="002A3C6C">
        <w:trPr>
          <w:trHeight w:val="464"/>
        </w:trPr>
        <w:tc>
          <w:tcPr>
            <w:tcW w:w="3544" w:type="dxa"/>
            <w:tcBorders>
              <w:top w:val="single" w:sz="4" w:space="0" w:color="D9D9D9" w:themeColor="background1" w:themeShade="D9"/>
              <w:left w:val="nil"/>
              <w:bottom w:val="single" w:sz="4" w:space="0" w:color="auto"/>
              <w:right w:val="single" w:sz="4" w:space="0" w:color="D9D9D9" w:themeColor="background1" w:themeShade="D9"/>
            </w:tcBorders>
            <w:vAlign w:val="center"/>
          </w:tcPr>
          <w:p w14:paraId="1281876E" w14:textId="67659CFA" w:rsidR="00A36C1C" w:rsidRPr="00A36C1C" w:rsidRDefault="00C57D21" w:rsidP="00A36C1C">
            <w:pPr>
              <w:spacing w:line="276" w:lineRule="auto"/>
              <w:rPr>
                <w:rFonts w:ascii="Arial" w:hAnsi="Arial" w:cs="Arial"/>
                <w:bCs/>
                <w:sz w:val="16"/>
                <w:szCs w:val="16"/>
                <w:lang w:val="es-ES_tradnl"/>
              </w:rPr>
            </w:pPr>
            <w:r>
              <w:rPr>
                <w:rFonts w:ascii="Arial" w:hAnsi="Arial" w:cs="Arial"/>
                <w:bCs/>
                <w:sz w:val="16"/>
                <w:szCs w:val="16"/>
                <w:lang w:val="es-ES_tradnl"/>
              </w:rPr>
              <w:t>C</w:t>
            </w:r>
            <w:r w:rsidR="00A36C1C" w:rsidRPr="00A36C1C">
              <w:rPr>
                <w:rFonts w:ascii="Arial" w:hAnsi="Arial" w:cs="Arial"/>
                <w:bCs/>
                <w:sz w:val="16"/>
                <w:szCs w:val="16"/>
                <w:lang w:val="es-ES_tradnl"/>
              </w:rPr>
              <w:t>.P. Alfonso de Jesús Manrique González</w:t>
            </w:r>
          </w:p>
          <w:p w14:paraId="607EDB14" w14:textId="497664CE" w:rsidR="00310008" w:rsidRPr="00BA17A1" w:rsidRDefault="00A36C1C" w:rsidP="00A36C1C">
            <w:pPr>
              <w:spacing w:line="276" w:lineRule="auto"/>
              <w:rPr>
                <w:rFonts w:ascii="Arial" w:hAnsi="Arial" w:cs="Arial"/>
                <w:bCs/>
                <w:i/>
                <w:iCs/>
                <w:sz w:val="16"/>
                <w:szCs w:val="16"/>
                <w:lang w:val="es-ES_tradnl"/>
              </w:rPr>
            </w:pPr>
            <w:r w:rsidRPr="00A36C1C">
              <w:rPr>
                <w:rFonts w:ascii="Arial" w:hAnsi="Arial" w:cs="Arial"/>
                <w:bCs/>
                <w:i/>
                <w:iCs/>
                <w:sz w:val="16"/>
                <w:szCs w:val="16"/>
                <w:lang w:val="es-ES_tradnl"/>
              </w:rPr>
              <w:t>alfonso.manrique@tamaulipas.gob.mx</w:t>
            </w:r>
            <w:r w:rsidRPr="00A36C1C">
              <w:rPr>
                <w:rFonts w:ascii="Arial" w:hAnsi="Arial" w:cs="Arial"/>
                <w:bCs/>
                <w:sz w:val="16"/>
                <w:szCs w:val="16"/>
                <w:lang w:val="es-ES_tradnl"/>
              </w:rPr>
              <w:t xml:space="preserve"> </w:t>
            </w:r>
            <w:r w:rsidR="001F12A1" w:rsidRPr="001F12A1">
              <w:rPr>
                <w:rFonts w:ascii="Arial" w:hAnsi="Arial" w:cs="Arial"/>
                <w:bCs/>
                <w:sz w:val="16"/>
                <w:szCs w:val="16"/>
                <w:lang w:val="es-ES_tradnl"/>
              </w:rPr>
              <w:t xml:space="preserve">Dirección </w:t>
            </w:r>
            <w:r w:rsidR="00EC6ADA">
              <w:rPr>
                <w:rFonts w:ascii="Arial" w:hAnsi="Arial" w:cs="Arial"/>
                <w:bCs/>
                <w:sz w:val="16"/>
                <w:szCs w:val="16"/>
                <w:lang w:val="es-ES_tradnl"/>
              </w:rPr>
              <w:t>Administrativa</w:t>
            </w:r>
          </w:p>
        </w:tc>
        <w:tc>
          <w:tcPr>
            <w:tcW w:w="5971" w:type="dxa"/>
            <w:tcBorders>
              <w:top w:val="single" w:sz="4" w:space="0" w:color="D9D9D9" w:themeColor="background1" w:themeShade="D9"/>
              <w:left w:val="single" w:sz="4" w:space="0" w:color="D9D9D9" w:themeColor="background1" w:themeShade="D9"/>
              <w:bottom w:val="single" w:sz="4" w:space="0" w:color="auto"/>
              <w:right w:val="nil"/>
            </w:tcBorders>
            <w:vAlign w:val="center"/>
          </w:tcPr>
          <w:p w14:paraId="7DA77451" w14:textId="7726F4DB" w:rsidR="00FE3DD5" w:rsidRPr="0082261D" w:rsidRDefault="00A36C1C" w:rsidP="000174E8">
            <w:pPr>
              <w:spacing w:line="276" w:lineRule="auto"/>
              <w:rPr>
                <w:rFonts w:ascii="Arial" w:hAnsi="Arial" w:cs="Arial"/>
                <w:b/>
                <w:bCs/>
                <w:sz w:val="16"/>
                <w:szCs w:val="16"/>
              </w:rPr>
            </w:pPr>
            <w:r w:rsidRPr="00A36C1C">
              <w:rPr>
                <w:rFonts w:ascii="Arial" w:hAnsi="Arial" w:cs="Arial"/>
                <w:bCs/>
                <w:sz w:val="16"/>
                <w:szCs w:val="16"/>
                <w:lang w:val="es-ES_tradnl"/>
              </w:rPr>
              <w:t>Instituto Tamaulipeco de Infraestructura Física Educativa (ITIFE)</w:t>
            </w:r>
          </w:p>
        </w:tc>
      </w:tr>
      <w:tr w:rsidR="00FE3DD5" w:rsidRPr="0082261D" w14:paraId="3FA24D0D" w14:textId="77777777" w:rsidTr="00BC377F">
        <w:trPr>
          <w:trHeight w:val="329"/>
        </w:trPr>
        <w:tc>
          <w:tcPr>
            <w:tcW w:w="9515" w:type="dxa"/>
            <w:gridSpan w:val="2"/>
            <w:tcBorders>
              <w:top w:val="single" w:sz="4" w:space="0" w:color="auto"/>
              <w:left w:val="nil"/>
              <w:bottom w:val="single" w:sz="4" w:space="0" w:color="auto"/>
              <w:right w:val="nil"/>
            </w:tcBorders>
            <w:shd w:val="clear" w:color="auto" w:fill="E7E6E6" w:themeFill="background2"/>
            <w:vAlign w:val="center"/>
          </w:tcPr>
          <w:p w14:paraId="001BA555" w14:textId="77777777" w:rsidR="00FE3DD5" w:rsidRPr="0082261D" w:rsidRDefault="00FE3DD5" w:rsidP="000174E8">
            <w:pPr>
              <w:spacing w:line="276" w:lineRule="auto"/>
              <w:rPr>
                <w:rFonts w:ascii="Arial" w:hAnsi="Arial" w:cs="Arial"/>
                <w:b/>
                <w:bCs/>
                <w:sz w:val="16"/>
                <w:szCs w:val="16"/>
              </w:rPr>
            </w:pPr>
            <w:r w:rsidRPr="0082261D">
              <w:rPr>
                <w:rFonts w:ascii="Arial" w:hAnsi="Arial" w:cs="Arial"/>
                <w:b/>
                <w:bCs/>
                <w:sz w:val="16"/>
                <w:szCs w:val="16"/>
              </w:rPr>
              <w:t>6. DATOS DE CONTRATACIÓN DE LA EVALUACIÓN</w:t>
            </w:r>
          </w:p>
        </w:tc>
      </w:tr>
      <w:tr w:rsidR="00FE3DD5" w:rsidRPr="0082261D" w14:paraId="5B8E2257" w14:textId="77777777" w:rsidTr="002D45D6">
        <w:trPr>
          <w:trHeight w:val="464"/>
        </w:trPr>
        <w:tc>
          <w:tcPr>
            <w:tcW w:w="9515" w:type="dxa"/>
            <w:gridSpan w:val="2"/>
            <w:tcBorders>
              <w:top w:val="single" w:sz="4" w:space="0" w:color="auto"/>
              <w:left w:val="nil"/>
              <w:bottom w:val="single" w:sz="4" w:space="0" w:color="D9D9D9" w:themeColor="background1" w:themeShade="D9"/>
              <w:right w:val="nil"/>
            </w:tcBorders>
            <w:shd w:val="clear" w:color="auto" w:fill="F2F2F2" w:themeFill="background1" w:themeFillShade="F2"/>
            <w:vAlign w:val="center"/>
          </w:tcPr>
          <w:p w14:paraId="5072B4C7" w14:textId="6AE3AA42" w:rsidR="00FE3DD5" w:rsidRPr="0082261D" w:rsidRDefault="00FE3DD5" w:rsidP="000174E8">
            <w:pPr>
              <w:spacing w:line="276" w:lineRule="auto"/>
              <w:rPr>
                <w:rFonts w:ascii="Arial" w:hAnsi="Arial" w:cs="Arial"/>
                <w:b/>
                <w:bCs/>
                <w:sz w:val="16"/>
                <w:szCs w:val="16"/>
              </w:rPr>
            </w:pPr>
            <w:r w:rsidRPr="007543FF">
              <w:rPr>
                <w:rFonts w:ascii="Arial" w:hAnsi="Arial" w:cs="Arial"/>
                <w:b/>
                <w:bCs/>
                <w:sz w:val="16"/>
                <w:szCs w:val="16"/>
              </w:rPr>
              <w:lastRenderedPageBreak/>
              <w:t>6.1 Tipo de contratación:</w:t>
            </w:r>
            <w:r w:rsidRPr="0082261D">
              <w:rPr>
                <w:rFonts w:ascii="Arial" w:hAnsi="Arial" w:cs="Arial"/>
                <w:sz w:val="16"/>
                <w:szCs w:val="16"/>
              </w:rPr>
              <w:t xml:space="preserve"> </w:t>
            </w:r>
          </w:p>
        </w:tc>
      </w:tr>
      <w:tr w:rsidR="00FE3DD5" w:rsidRPr="0082261D" w14:paraId="22043D8A" w14:textId="77777777" w:rsidTr="00243B6C">
        <w:trPr>
          <w:trHeight w:val="474"/>
        </w:trPr>
        <w:tc>
          <w:tcPr>
            <w:tcW w:w="9515" w:type="dxa"/>
            <w:gridSpan w:val="2"/>
            <w:tcBorders>
              <w:top w:val="single" w:sz="4" w:space="0" w:color="D9D9D9" w:themeColor="background1" w:themeShade="D9"/>
              <w:left w:val="nil"/>
              <w:bottom w:val="single" w:sz="4" w:space="0" w:color="D9D9D9" w:themeColor="background1" w:themeShade="D9"/>
              <w:right w:val="nil"/>
            </w:tcBorders>
          </w:tcPr>
          <w:p w14:paraId="76C83A98" w14:textId="053AA3E7" w:rsidR="00FE3DD5" w:rsidRPr="0082261D" w:rsidRDefault="00FE3DD5" w:rsidP="000174E8">
            <w:pPr>
              <w:autoSpaceDE w:val="0"/>
              <w:autoSpaceDN w:val="0"/>
              <w:adjustRightInd w:val="0"/>
              <w:spacing w:line="276" w:lineRule="auto"/>
              <w:rPr>
                <w:rFonts w:ascii="Arial" w:hAnsi="Arial" w:cs="Arial"/>
                <w:sz w:val="16"/>
                <w:szCs w:val="16"/>
              </w:rPr>
            </w:pPr>
            <w:r w:rsidRPr="0082261D">
              <w:rPr>
                <w:rFonts w:ascii="Arial" w:hAnsi="Arial" w:cs="Arial"/>
                <w:sz w:val="16"/>
                <w:szCs w:val="16"/>
              </w:rPr>
              <w:t xml:space="preserve">6.1.1 Adjudicación Directa </w:t>
            </w:r>
            <w:r w:rsidR="002D45D6">
              <w:rPr>
                <w:rFonts w:ascii="Arial" w:hAnsi="Arial" w:cs="Arial"/>
                <w:sz w:val="16"/>
                <w:szCs w:val="16"/>
              </w:rPr>
              <w:t>__</w:t>
            </w:r>
            <w:r w:rsidRPr="0082261D">
              <w:rPr>
                <w:rFonts w:ascii="Arial" w:hAnsi="Arial" w:cs="Arial"/>
                <w:sz w:val="16"/>
                <w:szCs w:val="16"/>
              </w:rPr>
              <w:t xml:space="preserve">       6.1.2 Invitación a </w:t>
            </w:r>
            <w:r w:rsidR="004956C0" w:rsidRPr="0082261D">
              <w:rPr>
                <w:rFonts w:ascii="Arial" w:hAnsi="Arial" w:cs="Arial"/>
                <w:sz w:val="16"/>
                <w:szCs w:val="16"/>
              </w:rPr>
              <w:t>tres</w:t>
            </w:r>
            <w:r w:rsidRPr="0082261D">
              <w:rPr>
                <w:rFonts w:ascii="Arial" w:hAnsi="Arial" w:cs="Arial"/>
                <w:sz w:val="16"/>
                <w:szCs w:val="16"/>
              </w:rPr>
              <w:t>_</w:t>
            </w:r>
            <w:r w:rsidR="002D45D6" w:rsidRPr="002D45D6">
              <w:rPr>
                <w:rFonts w:ascii="Arial" w:hAnsi="Arial" w:cs="Arial"/>
                <w:sz w:val="16"/>
                <w:szCs w:val="16"/>
                <w:u w:val="single"/>
              </w:rPr>
              <w:t>X</w:t>
            </w:r>
            <w:r w:rsidRPr="0082261D">
              <w:rPr>
                <w:rFonts w:ascii="Arial" w:hAnsi="Arial" w:cs="Arial"/>
                <w:sz w:val="16"/>
                <w:szCs w:val="16"/>
              </w:rPr>
              <w:t>_           6.1.3 Licitación Pública Nacional___</w:t>
            </w:r>
          </w:p>
          <w:p w14:paraId="7A7CD4FF" w14:textId="77777777" w:rsidR="00FE3DD5" w:rsidRPr="0082261D" w:rsidRDefault="00FE3DD5" w:rsidP="000174E8">
            <w:pPr>
              <w:autoSpaceDE w:val="0"/>
              <w:autoSpaceDN w:val="0"/>
              <w:adjustRightInd w:val="0"/>
              <w:spacing w:line="276" w:lineRule="auto"/>
              <w:rPr>
                <w:rFonts w:ascii="Arial" w:hAnsi="Arial" w:cs="Arial"/>
                <w:sz w:val="16"/>
                <w:szCs w:val="16"/>
              </w:rPr>
            </w:pPr>
            <w:r w:rsidRPr="0082261D">
              <w:rPr>
                <w:rFonts w:ascii="Arial" w:hAnsi="Arial" w:cs="Arial"/>
                <w:sz w:val="16"/>
                <w:szCs w:val="16"/>
              </w:rPr>
              <w:t>6.1.4 Licitación Pública Internacional___ 6.1.5 Otro: (Señalar)___</w:t>
            </w:r>
          </w:p>
        </w:tc>
      </w:tr>
      <w:tr w:rsidR="00FE3DD5" w:rsidRPr="0082261D" w14:paraId="45EA3E9E" w14:textId="77777777" w:rsidTr="00BC377F">
        <w:trPr>
          <w:trHeight w:val="464"/>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545B1BA2" w14:textId="77777777" w:rsidR="002D45D6" w:rsidRPr="002D45D6" w:rsidRDefault="00FE3DD5" w:rsidP="002D45D6">
            <w:pPr>
              <w:spacing w:line="276" w:lineRule="auto"/>
              <w:rPr>
                <w:rFonts w:ascii="Arial" w:hAnsi="Arial" w:cs="Arial"/>
                <w:sz w:val="16"/>
                <w:szCs w:val="16"/>
                <w:lang w:val="es-ES"/>
              </w:rPr>
            </w:pPr>
            <w:r w:rsidRPr="007543FF">
              <w:rPr>
                <w:rFonts w:ascii="Arial" w:hAnsi="Arial" w:cs="Arial"/>
                <w:b/>
                <w:bCs/>
                <w:sz w:val="16"/>
                <w:szCs w:val="16"/>
              </w:rPr>
              <w:t>6.2 Unidad administrativa responsable de contratar la evaluación</w:t>
            </w:r>
            <w:r w:rsidRPr="0082261D">
              <w:rPr>
                <w:rFonts w:ascii="Arial" w:hAnsi="Arial" w:cs="Arial"/>
                <w:sz w:val="16"/>
                <w:szCs w:val="16"/>
              </w:rPr>
              <w:t>:</w:t>
            </w:r>
            <w:r w:rsidR="006A0545" w:rsidRPr="0082261D">
              <w:rPr>
                <w:rFonts w:ascii="Arial" w:hAnsi="Arial" w:cs="Arial"/>
                <w:sz w:val="16"/>
                <w:szCs w:val="16"/>
              </w:rPr>
              <w:t xml:space="preserve"> </w:t>
            </w:r>
            <w:r w:rsidR="002D45D6" w:rsidRPr="002D45D6">
              <w:rPr>
                <w:rFonts w:ascii="Arial" w:hAnsi="Arial" w:cs="Arial"/>
                <w:sz w:val="16"/>
                <w:szCs w:val="16"/>
                <w:lang w:val="es-ES"/>
              </w:rPr>
              <w:t xml:space="preserve">Contraloría Gubernamental </w:t>
            </w:r>
          </w:p>
          <w:p w14:paraId="17B99733" w14:textId="463FFC81" w:rsidR="00FE3DD5" w:rsidRPr="002D45D6" w:rsidRDefault="00FE3DD5" w:rsidP="000174E8">
            <w:pPr>
              <w:spacing w:line="276" w:lineRule="auto"/>
              <w:rPr>
                <w:rFonts w:ascii="Arial" w:hAnsi="Arial" w:cs="Arial"/>
                <w:b/>
                <w:bCs/>
                <w:sz w:val="16"/>
                <w:szCs w:val="16"/>
                <w:lang w:val="es-ES"/>
              </w:rPr>
            </w:pPr>
          </w:p>
        </w:tc>
      </w:tr>
      <w:tr w:rsidR="00FE3DD5" w:rsidRPr="0082261D" w14:paraId="79BF72B5" w14:textId="77777777" w:rsidTr="00243B6C">
        <w:trPr>
          <w:trHeight w:val="197"/>
        </w:trPr>
        <w:tc>
          <w:tcPr>
            <w:tcW w:w="9515" w:type="dxa"/>
            <w:gridSpan w:val="2"/>
            <w:tcBorders>
              <w:top w:val="single" w:sz="4" w:space="0" w:color="D9D9D9" w:themeColor="background1" w:themeShade="D9"/>
              <w:left w:val="nil"/>
              <w:bottom w:val="single" w:sz="4" w:space="0" w:color="D9D9D9" w:themeColor="background1" w:themeShade="D9"/>
              <w:right w:val="nil"/>
            </w:tcBorders>
            <w:vAlign w:val="center"/>
          </w:tcPr>
          <w:p w14:paraId="46710AFD" w14:textId="6E34CD5A" w:rsidR="00FE3DD5" w:rsidRPr="0082261D" w:rsidRDefault="00FE3DD5" w:rsidP="000174E8">
            <w:pPr>
              <w:spacing w:line="276" w:lineRule="auto"/>
              <w:rPr>
                <w:rFonts w:ascii="Arial" w:hAnsi="Arial" w:cs="Arial"/>
                <w:b/>
                <w:bCs/>
                <w:sz w:val="16"/>
                <w:szCs w:val="16"/>
              </w:rPr>
            </w:pPr>
            <w:r w:rsidRPr="007543FF">
              <w:rPr>
                <w:rFonts w:ascii="Arial" w:hAnsi="Arial" w:cs="Arial"/>
                <w:b/>
                <w:bCs/>
                <w:sz w:val="16"/>
                <w:szCs w:val="16"/>
              </w:rPr>
              <w:t>6.3 Costo total de la evaluación:</w:t>
            </w:r>
            <w:r w:rsidR="006A0545" w:rsidRPr="0082261D">
              <w:rPr>
                <w:rFonts w:ascii="Arial" w:hAnsi="Arial" w:cs="Arial"/>
                <w:sz w:val="16"/>
                <w:szCs w:val="16"/>
              </w:rPr>
              <w:t xml:space="preserve"> </w:t>
            </w:r>
            <w:r w:rsidR="005838FD" w:rsidRPr="005838FD">
              <w:rPr>
                <w:rFonts w:ascii="Arial" w:hAnsi="Arial" w:cs="Arial"/>
                <w:sz w:val="16"/>
                <w:szCs w:val="16"/>
              </w:rPr>
              <w:t>$140,599.66 (IVA Incluido)</w:t>
            </w:r>
          </w:p>
        </w:tc>
      </w:tr>
      <w:tr w:rsidR="00FE3DD5" w:rsidRPr="0082261D" w14:paraId="6B0FBFC8" w14:textId="77777777" w:rsidTr="00243B6C">
        <w:trPr>
          <w:trHeight w:val="302"/>
        </w:trPr>
        <w:tc>
          <w:tcPr>
            <w:tcW w:w="9515" w:type="dxa"/>
            <w:gridSpan w:val="2"/>
            <w:tcBorders>
              <w:top w:val="single" w:sz="4" w:space="0" w:color="D9D9D9" w:themeColor="background1" w:themeShade="D9"/>
              <w:left w:val="nil"/>
              <w:bottom w:val="single" w:sz="4" w:space="0" w:color="auto"/>
              <w:right w:val="nil"/>
            </w:tcBorders>
            <w:vAlign w:val="center"/>
          </w:tcPr>
          <w:p w14:paraId="40A0920C" w14:textId="4BE50E7B" w:rsidR="00FE3DD5" w:rsidRPr="0082261D" w:rsidRDefault="00FE3DD5" w:rsidP="000174E8">
            <w:pPr>
              <w:spacing w:line="276" w:lineRule="auto"/>
              <w:rPr>
                <w:rFonts w:ascii="Arial" w:hAnsi="Arial" w:cs="Arial"/>
                <w:b/>
                <w:bCs/>
                <w:sz w:val="16"/>
                <w:szCs w:val="16"/>
              </w:rPr>
            </w:pPr>
            <w:r w:rsidRPr="007543FF">
              <w:rPr>
                <w:rFonts w:ascii="Arial" w:hAnsi="Arial" w:cs="Arial"/>
                <w:b/>
                <w:bCs/>
                <w:sz w:val="16"/>
                <w:szCs w:val="16"/>
              </w:rPr>
              <w:t>6.4 Fuente de Financiamiento:</w:t>
            </w:r>
            <w:r w:rsidR="005F4889" w:rsidRPr="0082261D">
              <w:rPr>
                <w:rFonts w:ascii="Arial" w:hAnsi="Arial" w:cs="Arial"/>
                <w:sz w:val="16"/>
                <w:szCs w:val="16"/>
              </w:rPr>
              <w:t xml:space="preserve"> </w:t>
            </w:r>
            <w:r w:rsidR="002D45D6">
              <w:rPr>
                <w:rFonts w:ascii="Arial" w:hAnsi="Arial" w:cs="Arial"/>
                <w:sz w:val="16"/>
                <w:szCs w:val="16"/>
              </w:rPr>
              <w:t xml:space="preserve">Recursos </w:t>
            </w:r>
            <w:r w:rsidR="000544AD">
              <w:rPr>
                <w:rFonts w:ascii="Arial" w:hAnsi="Arial" w:cs="Arial"/>
                <w:sz w:val="16"/>
                <w:szCs w:val="16"/>
              </w:rPr>
              <w:t>Estatales</w:t>
            </w:r>
          </w:p>
        </w:tc>
      </w:tr>
      <w:tr w:rsidR="00FE3DD5" w:rsidRPr="0082261D" w14:paraId="087E9554" w14:textId="77777777" w:rsidTr="00BC377F">
        <w:trPr>
          <w:trHeight w:val="464"/>
        </w:trPr>
        <w:tc>
          <w:tcPr>
            <w:tcW w:w="9515" w:type="dxa"/>
            <w:gridSpan w:val="2"/>
            <w:tcBorders>
              <w:top w:val="single" w:sz="4" w:space="0" w:color="auto"/>
              <w:left w:val="nil"/>
              <w:bottom w:val="single" w:sz="4" w:space="0" w:color="auto"/>
              <w:right w:val="nil"/>
            </w:tcBorders>
            <w:shd w:val="clear" w:color="auto" w:fill="E7E6E6" w:themeFill="background2"/>
            <w:vAlign w:val="center"/>
          </w:tcPr>
          <w:p w14:paraId="563D4B4C" w14:textId="77777777" w:rsidR="00FE3DD5" w:rsidRPr="0082261D" w:rsidRDefault="00FE3DD5" w:rsidP="000174E8">
            <w:pPr>
              <w:spacing w:line="276" w:lineRule="auto"/>
              <w:rPr>
                <w:rFonts w:ascii="Arial" w:hAnsi="Arial" w:cs="Arial"/>
                <w:b/>
                <w:bCs/>
                <w:sz w:val="16"/>
                <w:szCs w:val="16"/>
              </w:rPr>
            </w:pPr>
            <w:r w:rsidRPr="0082261D">
              <w:rPr>
                <w:rFonts w:ascii="Arial" w:hAnsi="Arial" w:cs="Arial"/>
                <w:b/>
                <w:bCs/>
                <w:sz w:val="16"/>
                <w:szCs w:val="16"/>
              </w:rPr>
              <w:t>7. DIFUSIÓN DE LA EVALUACIÓN</w:t>
            </w:r>
          </w:p>
        </w:tc>
      </w:tr>
      <w:tr w:rsidR="00FE3DD5" w:rsidRPr="0082261D" w14:paraId="0FA0853E" w14:textId="77777777" w:rsidTr="002A3C6C">
        <w:trPr>
          <w:trHeight w:val="464"/>
        </w:trPr>
        <w:tc>
          <w:tcPr>
            <w:tcW w:w="3544" w:type="dxa"/>
            <w:tcBorders>
              <w:top w:val="single" w:sz="4" w:space="0" w:color="auto"/>
              <w:left w:val="nil"/>
              <w:bottom w:val="nil"/>
              <w:right w:val="nil"/>
            </w:tcBorders>
            <w:vAlign w:val="center"/>
          </w:tcPr>
          <w:p w14:paraId="7B336E82" w14:textId="77777777" w:rsidR="00FE3DD5" w:rsidRPr="00080FF3" w:rsidRDefault="00FE3DD5" w:rsidP="000174E8">
            <w:pPr>
              <w:spacing w:line="276" w:lineRule="auto"/>
              <w:rPr>
                <w:rFonts w:ascii="Arial" w:hAnsi="Arial" w:cs="Arial"/>
                <w:b/>
                <w:bCs/>
                <w:sz w:val="16"/>
                <w:szCs w:val="16"/>
              </w:rPr>
            </w:pPr>
            <w:r w:rsidRPr="00080FF3">
              <w:rPr>
                <w:rFonts w:ascii="Arial" w:hAnsi="Arial" w:cs="Arial"/>
                <w:b/>
                <w:bCs/>
                <w:sz w:val="16"/>
                <w:szCs w:val="16"/>
              </w:rPr>
              <w:t>7.1 Difusión en internet de la evaluación:</w:t>
            </w:r>
          </w:p>
        </w:tc>
        <w:tc>
          <w:tcPr>
            <w:tcW w:w="5971" w:type="dxa"/>
            <w:tcBorders>
              <w:top w:val="single" w:sz="4" w:space="0" w:color="auto"/>
              <w:left w:val="nil"/>
              <w:bottom w:val="nil"/>
              <w:right w:val="nil"/>
            </w:tcBorders>
          </w:tcPr>
          <w:p w14:paraId="7F237DDD" w14:textId="19FE81F5" w:rsidR="00FE3DD5" w:rsidRPr="0082261D" w:rsidRDefault="00FE3DD5" w:rsidP="002D45D6">
            <w:pPr>
              <w:spacing w:line="276" w:lineRule="auto"/>
              <w:rPr>
                <w:rFonts w:ascii="Arial" w:hAnsi="Arial" w:cs="Arial"/>
                <w:b/>
                <w:bCs/>
                <w:sz w:val="16"/>
                <w:szCs w:val="16"/>
              </w:rPr>
            </w:pPr>
          </w:p>
        </w:tc>
      </w:tr>
      <w:tr w:rsidR="00FE3DD5" w:rsidRPr="0082261D" w14:paraId="21858CDA" w14:textId="77777777" w:rsidTr="002A3C6C">
        <w:trPr>
          <w:trHeight w:val="464"/>
        </w:trPr>
        <w:tc>
          <w:tcPr>
            <w:tcW w:w="3544" w:type="dxa"/>
            <w:tcBorders>
              <w:top w:val="nil"/>
              <w:left w:val="nil"/>
              <w:bottom w:val="single" w:sz="4" w:space="0" w:color="auto"/>
              <w:right w:val="nil"/>
            </w:tcBorders>
            <w:vAlign w:val="center"/>
          </w:tcPr>
          <w:p w14:paraId="1C245C0A" w14:textId="77777777" w:rsidR="00FE3DD5" w:rsidRPr="0082261D" w:rsidRDefault="00FE3DD5" w:rsidP="000174E8">
            <w:pPr>
              <w:spacing w:line="276" w:lineRule="auto"/>
              <w:rPr>
                <w:rFonts w:ascii="Arial" w:hAnsi="Arial" w:cs="Arial"/>
                <w:sz w:val="16"/>
                <w:szCs w:val="16"/>
              </w:rPr>
            </w:pPr>
            <w:r w:rsidRPr="0082261D">
              <w:rPr>
                <w:rFonts w:ascii="Arial" w:hAnsi="Arial" w:cs="Arial"/>
                <w:sz w:val="16"/>
                <w:szCs w:val="16"/>
              </w:rPr>
              <w:t>7.2 Difusión en internet del formato:</w:t>
            </w:r>
          </w:p>
        </w:tc>
        <w:tc>
          <w:tcPr>
            <w:tcW w:w="5971" w:type="dxa"/>
            <w:tcBorders>
              <w:top w:val="nil"/>
              <w:left w:val="nil"/>
              <w:bottom w:val="single" w:sz="4" w:space="0" w:color="auto"/>
              <w:right w:val="nil"/>
            </w:tcBorders>
          </w:tcPr>
          <w:p w14:paraId="39EBAE2B" w14:textId="53CC4F1F" w:rsidR="00FE3DD5" w:rsidRPr="0082261D" w:rsidRDefault="00FE3DD5" w:rsidP="000174E8">
            <w:pPr>
              <w:spacing w:line="276" w:lineRule="auto"/>
              <w:jc w:val="center"/>
              <w:rPr>
                <w:rFonts w:ascii="Arial" w:hAnsi="Arial" w:cs="Arial"/>
                <w:b/>
                <w:bCs/>
                <w:sz w:val="16"/>
                <w:szCs w:val="16"/>
              </w:rPr>
            </w:pPr>
          </w:p>
        </w:tc>
      </w:tr>
    </w:tbl>
    <w:p w14:paraId="1B7949E2" w14:textId="77777777" w:rsidR="0059518E" w:rsidRDefault="0059518E" w:rsidP="0059518E">
      <w:pPr>
        <w:jc w:val="center"/>
        <w:rPr>
          <w:b/>
          <w:bCs/>
        </w:rPr>
      </w:pPr>
    </w:p>
    <w:p w14:paraId="17142FE8" w14:textId="77777777" w:rsidR="00FE3DD5" w:rsidRDefault="00FE3DD5" w:rsidP="0059518E">
      <w:pPr>
        <w:jc w:val="center"/>
        <w:rPr>
          <w:b/>
          <w:bCs/>
        </w:rPr>
      </w:pPr>
    </w:p>
    <w:p w14:paraId="7C7E91B9" w14:textId="77777777" w:rsidR="00FE3DD5" w:rsidRDefault="00FE3DD5" w:rsidP="0059518E">
      <w:pPr>
        <w:jc w:val="center"/>
        <w:rPr>
          <w:b/>
          <w:bCs/>
        </w:rPr>
      </w:pPr>
    </w:p>
    <w:sectPr w:rsidR="00FE3DD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F258" w14:textId="77777777" w:rsidR="00ED14BE" w:rsidRDefault="00ED14BE" w:rsidP="00036365">
      <w:pPr>
        <w:spacing w:after="0" w:line="240" w:lineRule="auto"/>
      </w:pPr>
      <w:r>
        <w:separator/>
      </w:r>
    </w:p>
  </w:endnote>
  <w:endnote w:type="continuationSeparator" w:id="0">
    <w:p w14:paraId="78A8ACED" w14:textId="77777777" w:rsidR="00ED14BE" w:rsidRDefault="00ED14BE" w:rsidP="0003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MT">
    <w:altName w:val="Arial"/>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C72CE" w14:textId="77777777" w:rsidR="00ED14BE" w:rsidRDefault="00ED14BE" w:rsidP="00036365">
      <w:pPr>
        <w:spacing w:after="0" w:line="240" w:lineRule="auto"/>
      </w:pPr>
      <w:r>
        <w:separator/>
      </w:r>
    </w:p>
  </w:footnote>
  <w:footnote w:type="continuationSeparator" w:id="0">
    <w:p w14:paraId="7BC5AEE0" w14:textId="77777777" w:rsidR="00ED14BE" w:rsidRDefault="00ED14BE" w:rsidP="000363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AE1"/>
    <w:multiLevelType w:val="hybridMultilevel"/>
    <w:tmpl w:val="548258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931AEE"/>
    <w:multiLevelType w:val="hybridMultilevel"/>
    <w:tmpl w:val="BD5AC3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4DB5222"/>
    <w:multiLevelType w:val="hybridMultilevel"/>
    <w:tmpl w:val="6AB885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98072F"/>
    <w:multiLevelType w:val="multilevel"/>
    <w:tmpl w:val="CFC8CA9E"/>
    <w:lvl w:ilvl="0">
      <w:start w:val="1"/>
      <w:numFmt w:val="lowerLetter"/>
      <w:lvlText w:val="%1."/>
      <w:lvlJc w:val="left"/>
      <w:pPr>
        <w:ind w:left="720" w:hanging="360"/>
      </w:pPr>
    </w:lvl>
    <w:lvl w:ilvl="1">
      <w:start w:val="1"/>
      <w:numFmt w:val="bullet"/>
      <w:lvlText w:val="●"/>
      <w:lvlJc w:val="left"/>
      <w:pPr>
        <w:ind w:left="644" w:hanging="359"/>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F67BF4"/>
    <w:multiLevelType w:val="hybridMultilevel"/>
    <w:tmpl w:val="91F4BAC0"/>
    <w:lvl w:ilvl="0" w:tplc="040A000F">
      <w:start w:val="1"/>
      <w:numFmt w:val="decimal"/>
      <w:lvlText w:val="%1."/>
      <w:lvlJc w:val="left"/>
      <w:pPr>
        <w:ind w:left="720" w:hanging="360"/>
      </w:pPr>
    </w:lvl>
    <w:lvl w:ilvl="1" w:tplc="E3F82250">
      <w:start w:val="1"/>
      <w:numFmt w:val="lowerLetter"/>
      <w:lvlText w:val="%2)"/>
      <w:lvlJc w:val="left"/>
      <w:pPr>
        <w:ind w:left="1780" w:hanging="70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C83069E"/>
    <w:multiLevelType w:val="hybridMultilevel"/>
    <w:tmpl w:val="164CB5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7A6C70"/>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B506C4"/>
    <w:multiLevelType w:val="hybridMultilevel"/>
    <w:tmpl w:val="8D1296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0E10BF1"/>
    <w:multiLevelType w:val="hybridMultilevel"/>
    <w:tmpl w:val="9320C84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22735485"/>
    <w:multiLevelType w:val="multilevel"/>
    <w:tmpl w:val="B720B3DA"/>
    <w:lvl w:ilvl="0">
      <w:start w:val="1"/>
      <w:numFmt w:val="bullet"/>
      <w:lvlText w:val=""/>
      <w:lvlJc w:val="left"/>
      <w:pPr>
        <w:ind w:left="720" w:hanging="360"/>
      </w:pPr>
      <w:rPr>
        <w:rFonts w:ascii="Symbol" w:hAnsi="Symbol" w:hint="default"/>
      </w:r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388F779F"/>
    <w:multiLevelType w:val="hybridMultilevel"/>
    <w:tmpl w:val="CAF4840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3C6077F5"/>
    <w:multiLevelType w:val="hybridMultilevel"/>
    <w:tmpl w:val="9A94C6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3EB324F4"/>
    <w:multiLevelType w:val="hybridMultilevel"/>
    <w:tmpl w:val="E1AC062C"/>
    <w:lvl w:ilvl="0" w:tplc="4A2CF700">
      <w:start w:val="1"/>
      <w:numFmt w:val="bullet"/>
      <w:lvlText w:val=""/>
      <w:lvlJc w:val="left"/>
      <w:pPr>
        <w:tabs>
          <w:tab w:val="num" w:pos="720"/>
        </w:tabs>
        <w:ind w:left="720" w:hanging="360"/>
      </w:pPr>
      <w:rPr>
        <w:rFonts w:ascii="Symbol" w:hAnsi="Symbol" w:hint="default"/>
      </w:rPr>
    </w:lvl>
    <w:lvl w:ilvl="1" w:tplc="4CBAF740" w:tentative="1">
      <w:start w:val="1"/>
      <w:numFmt w:val="bullet"/>
      <w:lvlText w:val=""/>
      <w:lvlJc w:val="left"/>
      <w:pPr>
        <w:tabs>
          <w:tab w:val="num" w:pos="1440"/>
        </w:tabs>
        <w:ind w:left="1440" w:hanging="360"/>
      </w:pPr>
      <w:rPr>
        <w:rFonts w:ascii="Symbol" w:hAnsi="Symbol" w:hint="default"/>
      </w:rPr>
    </w:lvl>
    <w:lvl w:ilvl="2" w:tplc="F78C5724" w:tentative="1">
      <w:start w:val="1"/>
      <w:numFmt w:val="bullet"/>
      <w:lvlText w:val=""/>
      <w:lvlJc w:val="left"/>
      <w:pPr>
        <w:tabs>
          <w:tab w:val="num" w:pos="2160"/>
        </w:tabs>
        <w:ind w:left="2160" w:hanging="360"/>
      </w:pPr>
      <w:rPr>
        <w:rFonts w:ascii="Symbol" w:hAnsi="Symbol" w:hint="default"/>
      </w:rPr>
    </w:lvl>
    <w:lvl w:ilvl="3" w:tplc="6E984CA4" w:tentative="1">
      <w:start w:val="1"/>
      <w:numFmt w:val="bullet"/>
      <w:lvlText w:val=""/>
      <w:lvlJc w:val="left"/>
      <w:pPr>
        <w:tabs>
          <w:tab w:val="num" w:pos="2880"/>
        </w:tabs>
        <w:ind w:left="2880" w:hanging="360"/>
      </w:pPr>
      <w:rPr>
        <w:rFonts w:ascii="Symbol" w:hAnsi="Symbol" w:hint="default"/>
      </w:rPr>
    </w:lvl>
    <w:lvl w:ilvl="4" w:tplc="87880F96" w:tentative="1">
      <w:start w:val="1"/>
      <w:numFmt w:val="bullet"/>
      <w:lvlText w:val=""/>
      <w:lvlJc w:val="left"/>
      <w:pPr>
        <w:tabs>
          <w:tab w:val="num" w:pos="3600"/>
        </w:tabs>
        <w:ind w:left="3600" w:hanging="360"/>
      </w:pPr>
      <w:rPr>
        <w:rFonts w:ascii="Symbol" w:hAnsi="Symbol" w:hint="default"/>
      </w:rPr>
    </w:lvl>
    <w:lvl w:ilvl="5" w:tplc="43EAF768" w:tentative="1">
      <w:start w:val="1"/>
      <w:numFmt w:val="bullet"/>
      <w:lvlText w:val=""/>
      <w:lvlJc w:val="left"/>
      <w:pPr>
        <w:tabs>
          <w:tab w:val="num" w:pos="4320"/>
        </w:tabs>
        <w:ind w:left="4320" w:hanging="360"/>
      </w:pPr>
      <w:rPr>
        <w:rFonts w:ascii="Symbol" w:hAnsi="Symbol" w:hint="default"/>
      </w:rPr>
    </w:lvl>
    <w:lvl w:ilvl="6" w:tplc="19843E3A" w:tentative="1">
      <w:start w:val="1"/>
      <w:numFmt w:val="bullet"/>
      <w:lvlText w:val=""/>
      <w:lvlJc w:val="left"/>
      <w:pPr>
        <w:tabs>
          <w:tab w:val="num" w:pos="5040"/>
        </w:tabs>
        <w:ind w:left="5040" w:hanging="360"/>
      </w:pPr>
      <w:rPr>
        <w:rFonts w:ascii="Symbol" w:hAnsi="Symbol" w:hint="default"/>
      </w:rPr>
    </w:lvl>
    <w:lvl w:ilvl="7" w:tplc="B4F6CF84" w:tentative="1">
      <w:start w:val="1"/>
      <w:numFmt w:val="bullet"/>
      <w:lvlText w:val=""/>
      <w:lvlJc w:val="left"/>
      <w:pPr>
        <w:tabs>
          <w:tab w:val="num" w:pos="5760"/>
        </w:tabs>
        <w:ind w:left="5760" w:hanging="360"/>
      </w:pPr>
      <w:rPr>
        <w:rFonts w:ascii="Symbol" w:hAnsi="Symbol" w:hint="default"/>
      </w:rPr>
    </w:lvl>
    <w:lvl w:ilvl="8" w:tplc="846201A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1114E71"/>
    <w:multiLevelType w:val="hybridMultilevel"/>
    <w:tmpl w:val="3920CAA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5203135C"/>
    <w:multiLevelType w:val="hybridMultilevel"/>
    <w:tmpl w:val="DBF4C69E"/>
    <w:lvl w:ilvl="0" w:tplc="0C0A0017">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5" w15:restartNumberingAfterBreak="0">
    <w:nsid w:val="54A508E3"/>
    <w:multiLevelType w:val="hybridMultilevel"/>
    <w:tmpl w:val="1DD26F2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5A305B4"/>
    <w:multiLevelType w:val="hybridMultilevel"/>
    <w:tmpl w:val="D8C0FE50"/>
    <w:lvl w:ilvl="0" w:tplc="D7A0A538">
      <w:start w:val="1"/>
      <w:numFmt w:val="decimal"/>
      <w:lvlText w:val="%1."/>
      <w:lvlJc w:val="left"/>
      <w:pPr>
        <w:tabs>
          <w:tab w:val="num" w:pos="720"/>
        </w:tabs>
        <w:ind w:left="720" w:hanging="360"/>
      </w:pPr>
    </w:lvl>
    <w:lvl w:ilvl="1" w:tplc="049AEFB8" w:tentative="1">
      <w:start w:val="1"/>
      <w:numFmt w:val="decimal"/>
      <w:lvlText w:val="%2."/>
      <w:lvlJc w:val="left"/>
      <w:pPr>
        <w:tabs>
          <w:tab w:val="num" w:pos="1440"/>
        </w:tabs>
        <w:ind w:left="1440" w:hanging="360"/>
      </w:pPr>
    </w:lvl>
    <w:lvl w:ilvl="2" w:tplc="22F8D2E8" w:tentative="1">
      <w:start w:val="1"/>
      <w:numFmt w:val="decimal"/>
      <w:lvlText w:val="%3."/>
      <w:lvlJc w:val="left"/>
      <w:pPr>
        <w:tabs>
          <w:tab w:val="num" w:pos="2160"/>
        </w:tabs>
        <w:ind w:left="2160" w:hanging="360"/>
      </w:pPr>
    </w:lvl>
    <w:lvl w:ilvl="3" w:tplc="B8F66B5C" w:tentative="1">
      <w:start w:val="1"/>
      <w:numFmt w:val="decimal"/>
      <w:lvlText w:val="%4."/>
      <w:lvlJc w:val="left"/>
      <w:pPr>
        <w:tabs>
          <w:tab w:val="num" w:pos="2880"/>
        </w:tabs>
        <w:ind w:left="2880" w:hanging="360"/>
      </w:pPr>
    </w:lvl>
    <w:lvl w:ilvl="4" w:tplc="2FBE0E42" w:tentative="1">
      <w:start w:val="1"/>
      <w:numFmt w:val="decimal"/>
      <w:lvlText w:val="%5."/>
      <w:lvlJc w:val="left"/>
      <w:pPr>
        <w:tabs>
          <w:tab w:val="num" w:pos="3600"/>
        </w:tabs>
        <w:ind w:left="3600" w:hanging="360"/>
      </w:pPr>
    </w:lvl>
    <w:lvl w:ilvl="5" w:tplc="6F96458E" w:tentative="1">
      <w:start w:val="1"/>
      <w:numFmt w:val="decimal"/>
      <w:lvlText w:val="%6."/>
      <w:lvlJc w:val="left"/>
      <w:pPr>
        <w:tabs>
          <w:tab w:val="num" w:pos="4320"/>
        </w:tabs>
        <w:ind w:left="4320" w:hanging="360"/>
      </w:pPr>
    </w:lvl>
    <w:lvl w:ilvl="6" w:tplc="BFA23ABA" w:tentative="1">
      <w:start w:val="1"/>
      <w:numFmt w:val="decimal"/>
      <w:lvlText w:val="%7."/>
      <w:lvlJc w:val="left"/>
      <w:pPr>
        <w:tabs>
          <w:tab w:val="num" w:pos="5040"/>
        </w:tabs>
        <w:ind w:left="5040" w:hanging="360"/>
      </w:pPr>
    </w:lvl>
    <w:lvl w:ilvl="7" w:tplc="7AEA0490" w:tentative="1">
      <w:start w:val="1"/>
      <w:numFmt w:val="decimal"/>
      <w:lvlText w:val="%8."/>
      <w:lvlJc w:val="left"/>
      <w:pPr>
        <w:tabs>
          <w:tab w:val="num" w:pos="5760"/>
        </w:tabs>
        <w:ind w:left="5760" w:hanging="360"/>
      </w:pPr>
    </w:lvl>
    <w:lvl w:ilvl="8" w:tplc="588AFDA4" w:tentative="1">
      <w:start w:val="1"/>
      <w:numFmt w:val="decimal"/>
      <w:lvlText w:val="%9."/>
      <w:lvlJc w:val="left"/>
      <w:pPr>
        <w:tabs>
          <w:tab w:val="num" w:pos="6480"/>
        </w:tabs>
        <w:ind w:left="6480" w:hanging="360"/>
      </w:pPr>
    </w:lvl>
  </w:abstractNum>
  <w:abstractNum w:abstractNumId="17" w15:restartNumberingAfterBreak="0">
    <w:nsid w:val="59A54F25"/>
    <w:multiLevelType w:val="hybridMultilevel"/>
    <w:tmpl w:val="69E4DE9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6E948D5"/>
    <w:multiLevelType w:val="hybridMultilevel"/>
    <w:tmpl w:val="B29804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7753E8E"/>
    <w:multiLevelType w:val="hybridMultilevel"/>
    <w:tmpl w:val="3BA450D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6C303FF8"/>
    <w:multiLevelType w:val="hybridMultilevel"/>
    <w:tmpl w:val="EF3C5CE2"/>
    <w:lvl w:ilvl="0" w:tplc="9B00F310">
      <w:start w:val="1"/>
      <w:numFmt w:val="lowerLetter"/>
      <w:lvlText w:val="%1."/>
      <w:lvlJc w:val="left"/>
      <w:pPr>
        <w:ind w:left="720" w:hanging="360"/>
      </w:pPr>
      <w:rPr>
        <w:rFonts w:hint="default"/>
      </w:rPr>
    </w:lvl>
    <w:lvl w:ilvl="1" w:tplc="6EE0105A">
      <w:start w:val="1"/>
      <w:numFmt w:val="bullet"/>
      <w:lvlText w:val=""/>
      <w:lvlJc w:val="left"/>
      <w:pPr>
        <w:ind w:left="1440" w:hanging="360"/>
      </w:pPr>
      <w:rPr>
        <w:rFonts w:ascii="Symbol" w:hAnsi="Symbol" w:hint="default"/>
      </w:rPr>
    </w:lvl>
    <w:lvl w:ilvl="2" w:tplc="C0563886">
      <w:start w:val="1"/>
      <w:numFmt w:val="decimal"/>
      <w:lvlText w:val="%3."/>
      <w:lvlJc w:val="left"/>
      <w:pPr>
        <w:ind w:left="2340" w:hanging="360"/>
      </w:pPr>
      <w:rPr>
        <w:rFonts w:hint="default"/>
      </w:rPr>
    </w:lvl>
    <w:lvl w:ilvl="3" w:tplc="C8ACE1B2" w:tentative="1">
      <w:start w:val="1"/>
      <w:numFmt w:val="decimal"/>
      <w:lvlText w:val="%4."/>
      <w:lvlJc w:val="left"/>
      <w:pPr>
        <w:ind w:left="2880" w:hanging="360"/>
      </w:pPr>
    </w:lvl>
    <w:lvl w:ilvl="4" w:tplc="E780B08C" w:tentative="1">
      <w:start w:val="1"/>
      <w:numFmt w:val="lowerLetter"/>
      <w:lvlText w:val="%5."/>
      <w:lvlJc w:val="left"/>
      <w:pPr>
        <w:ind w:left="3600" w:hanging="360"/>
      </w:pPr>
    </w:lvl>
    <w:lvl w:ilvl="5" w:tplc="6B447134" w:tentative="1">
      <w:start w:val="1"/>
      <w:numFmt w:val="lowerRoman"/>
      <w:lvlText w:val="%6."/>
      <w:lvlJc w:val="right"/>
      <w:pPr>
        <w:ind w:left="4320" w:hanging="180"/>
      </w:pPr>
    </w:lvl>
    <w:lvl w:ilvl="6" w:tplc="4350E12E" w:tentative="1">
      <w:start w:val="1"/>
      <w:numFmt w:val="decimal"/>
      <w:lvlText w:val="%7."/>
      <w:lvlJc w:val="left"/>
      <w:pPr>
        <w:ind w:left="5040" w:hanging="360"/>
      </w:pPr>
    </w:lvl>
    <w:lvl w:ilvl="7" w:tplc="49E8E1FC" w:tentative="1">
      <w:start w:val="1"/>
      <w:numFmt w:val="lowerLetter"/>
      <w:lvlText w:val="%8."/>
      <w:lvlJc w:val="left"/>
      <w:pPr>
        <w:ind w:left="5760" w:hanging="360"/>
      </w:pPr>
    </w:lvl>
    <w:lvl w:ilvl="8" w:tplc="269C7C58" w:tentative="1">
      <w:start w:val="1"/>
      <w:numFmt w:val="lowerRoman"/>
      <w:lvlText w:val="%9."/>
      <w:lvlJc w:val="right"/>
      <w:pPr>
        <w:ind w:left="6480" w:hanging="180"/>
      </w:pPr>
    </w:lvl>
  </w:abstractNum>
  <w:abstractNum w:abstractNumId="21" w15:restartNumberingAfterBreak="0">
    <w:nsid w:val="6EC0189F"/>
    <w:multiLevelType w:val="hybridMultilevel"/>
    <w:tmpl w:val="410CCC0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8983CBF"/>
    <w:multiLevelType w:val="hybridMultilevel"/>
    <w:tmpl w:val="63F41A9A"/>
    <w:lvl w:ilvl="0" w:tplc="E88CCA00">
      <w:start w:val="1"/>
      <w:numFmt w:val="decimal"/>
      <w:lvlText w:val="%1."/>
      <w:lvlJc w:val="left"/>
      <w:pPr>
        <w:tabs>
          <w:tab w:val="num" w:pos="720"/>
        </w:tabs>
        <w:ind w:left="720" w:hanging="360"/>
      </w:pPr>
    </w:lvl>
    <w:lvl w:ilvl="1" w:tplc="F9908FA6" w:tentative="1">
      <w:start w:val="1"/>
      <w:numFmt w:val="decimal"/>
      <w:lvlText w:val="%2."/>
      <w:lvlJc w:val="left"/>
      <w:pPr>
        <w:tabs>
          <w:tab w:val="num" w:pos="1440"/>
        </w:tabs>
        <w:ind w:left="1440" w:hanging="360"/>
      </w:pPr>
    </w:lvl>
    <w:lvl w:ilvl="2" w:tplc="7DBAD6D4" w:tentative="1">
      <w:start w:val="1"/>
      <w:numFmt w:val="decimal"/>
      <w:lvlText w:val="%3."/>
      <w:lvlJc w:val="left"/>
      <w:pPr>
        <w:tabs>
          <w:tab w:val="num" w:pos="2160"/>
        </w:tabs>
        <w:ind w:left="2160" w:hanging="360"/>
      </w:pPr>
    </w:lvl>
    <w:lvl w:ilvl="3" w:tplc="2EE8E69C" w:tentative="1">
      <w:start w:val="1"/>
      <w:numFmt w:val="decimal"/>
      <w:lvlText w:val="%4."/>
      <w:lvlJc w:val="left"/>
      <w:pPr>
        <w:tabs>
          <w:tab w:val="num" w:pos="2880"/>
        </w:tabs>
        <w:ind w:left="2880" w:hanging="360"/>
      </w:pPr>
    </w:lvl>
    <w:lvl w:ilvl="4" w:tplc="9C96BF18" w:tentative="1">
      <w:start w:val="1"/>
      <w:numFmt w:val="decimal"/>
      <w:lvlText w:val="%5."/>
      <w:lvlJc w:val="left"/>
      <w:pPr>
        <w:tabs>
          <w:tab w:val="num" w:pos="3600"/>
        </w:tabs>
        <w:ind w:left="3600" w:hanging="360"/>
      </w:pPr>
    </w:lvl>
    <w:lvl w:ilvl="5" w:tplc="B0FEB530" w:tentative="1">
      <w:start w:val="1"/>
      <w:numFmt w:val="decimal"/>
      <w:lvlText w:val="%6."/>
      <w:lvlJc w:val="left"/>
      <w:pPr>
        <w:tabs>
          <w:tab w:val="num" w:pos="4320"/>
        </w:tabs>
        <w:ind w:left="4320" w:hanging="360"/>
      </w:pPr>
    </w:lvl>
    <w:lvl w:ilvl="6" w:tplc="6C4E5AA0" w:tentative="1">
      <w:start w:val="1"/>
      <w:numFmt w:val="decimal"/>
      <w:lvlText w:val="%7."/>
      <w:lvlJc w:val="left"/>
      <w:pPr>
        <w:tabs>
          <w:tab w:val="num" w:pos="5040"/>
        </w:tabs>
        <w:ind w:left="5040" w:hanging="360"/>
      </w:pPr>
    </w:lvl>
    <w:lvl w:ilvl="7" w:tplc="17324DA2" w:tentative="1">
      <w:start w:val="1"/>
      <w:numFmt w:val="decimal"/>
      <w:lvlText w:val="%8."/>
      <w:lvlJc w:val="left"/>
      <w:pPr>
        <w:tabs>
          <w:tab w:val="num" w:pos="5760"/>
        </w:tabs>
        <w:ind w:left="5760" w:hanging="360"/>
      </w:pPr>
    </w:lvl>
    <w:lvl w:ilvl="8" w:tplc="8FC61AF2" w:tentative="1">
      <w:start w:val="1"/>
      <w:numFmt w:val="decimal"/>
      <w:lvlText w:val="%9."/>
      <w:lvlJc w:val="left"/>
      <w:pPr>
        <w:tabs>
          <w:tab w:val="num" w:pos="6480"/>
        </w:tabs>
        <w:ind w:left="6480" w:hanging="360"/>
      </w:pPr>
    </w:lvl>
  </w:abstractNum>
  <w:abstractNum w:abstractNumId="23" w15:restartNumberingAfterBreak="0">
    <w:nsid w:val="7B944047"/>
    <w:multiLevelType w:val="hybridMultilevel"/>
    <w:tmpl w:val="EA962B18"/>
    <w:lvl w:ilvl="0" w:tplc="040A0001">
      <w:start w:val="1"/>
      <w:numFmt w:val="bullet"/>
      <w:lvlText w:val=""/>
      <w:lvlJc w:val="left"/>
      <w:pPr>
        <w:ind w:left="1004" w:hanging="360"/>
      </w:pPr>
      <w:rPr>
        <w:rFonts w:ascii="Symbol" w:hAnsi="Symbol" w:hint="default"/>
      </w:rPr>
    </w:lvl>
    <w:lvl w:ilvl="1" w:tplc="040A0003">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cs="Wingdings" w:hint="default"/>
      </w:rPr>
    </w:lvl>
    <w:lvl w:ilvl="3" w:tplc="040A0001" w:tentative="1">
      <w:start w:val="1"/>
      <w:numFmt w:val="bullet"/>
      <w:lvlText w:val=""/>
      <w:lvlJc w:val="left"/>
      <w:pPr>
        <w:ind w:left="3164" w:hanging="360"/>
      </w:pPr>
      <w:rPr>
        <w:rFonts w:ascii="Symbol" w:hAnsi="Symbol" w:cs="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cs="Wingdings" w:hint="default"/>
      </w:rPr>
    </w:lvl>
    <w:lvl w:ilvl="6" w:tplc="040A0001" w:tentative="1">
      <w:start w:val="1"/>
      <w:numFmt w:val="bullet"/>
      <w:lvlText w:val=""/>
      <w:lvlJc w:val="left"/>
      <w:pPr>
        <w:ind w:left="5324" w:hanging="360"/>
      </w:pPr>
      <w:rPr>
        <w:rFonts w:ascii="Symbol" w:hAnsi="Symbol" w:cs="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cs="Wingdings" w:hint="default"/>
      </w:rPr>
    </w:lvl>
  </w:abstractNum>
  <w:num w:numId="1" w16cid:durableId="2115897804">
    <w:abstractNumId w:val="8"/>
  </w:num>
  <w:num w:numId="2" w16cid:durableId="658076447">
    <w:abstractNumId w:val="20"/>
  </w:num>
  <w:num w:numId="3" w16cid:durableId="822740375">
    <w:abstractNumId w:val="23"/>
  </w:num>
  <w:num w:numId="4" w16cid:durableId="978652185">
    <w:abstractNumId w:val="9"/>
  </w:num>
  <w:num w:numId="5" w16cid:durableId="199247467">
    <w:abstractNumId w:val="11"/>
  </w:num>
  <w:num w:numId="6" w16cid:durableId="446316485">
    <w:abstractNumId w:val="10"/>
  </w:num>
  <w:num w:numId="7" w16cid:durableId="126554016">
    <w:abstractNumId w:val="4"/>
  </w:num>
  <w:num w:numId="8" w16cid:durableId="1285038186">
    <w:abstractNumId w:val="14"/>
  </w:num>
  <w:num w:numId="9" w16cid:durableId="2126649914">
    <w:abstractNumId w:val="21"/>
  </w:num>
  <w:num w:numId="10" w16cid:durableId="1785885330">
    <w:abstractNumId w:val="17"/>
  </w:num>
  <w:num w:numId="11" w16cid:durableId="1733388042">
    <w:abstractNumId w:val="15"/>
  </w:num>
  <w:num w:numId="12" w16cid:durableId="1336035084">
    <w:abstractNumId w:val="3"/>
  </w:num>
  <w:num w:numId="13" w16cid:durableId="314799325">
    <w:abstractNumId w:val="1"/>
  </w:num>
  <w:num w:numId="14" w16cid:durableId="917783345">
    <w:abstractNumId w:val="6"/>
  </w:num>
  <w:num w:numId="15" w16cid:durableId="47072869">
    <w:abstractNumId w:val="0"/>
  </w:num>
  <w:num w:numId="16" w16cid:durableId="393967972">
    <w:abstractNumId w:val="19"/>
  </w:num>
  <w:num w:numId="17" w16cid:durableId="1373650589">
    <w:abstractNumId w:val="5"/>
  </w:num>
  <w:num w:numId="18" w16cid:durableId="709382056">
    <w:abstractNumId w:val="18"/>
  </w:num>
  <w:num w:numId="19" w16cid:durableId="1707096895">
    <w:abstractNumId w:val="22"/>
  </w:num>
  <w:num w:numId="20" w16cid:durableId="1888102538">
    <w:abstractNumId w:val="7"/>
  </w:num>
  <w:num w:numId="21" w16cid:durableId="1702970841">
    <w:abstractNumId w:val="16"/>
  </w:num>
  <w:num w:numId="22" w16cid:durableId="1099789084">
    <w:abstractNumId w:val="2"/>
  </w:num>
  <w:num w:numId="23" w16cid:durableId="1145315354">
    <w:abstractNumId w:val="13"/>
  </w:num>
  <w:num w:numId="24" w16cid:durableId="7970664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18E"/>
    <w:rsid w:val="00014CB3"/>
    <w:rsid w:val="00016D3E"/>
    <w:rsid w:val="000174E8"/>
    <w:rsid w:val="0003621A"/>
    <w:rsid w:val="00036365"/>
    <w:rsid w:val="000544AD"/>
    <w:rsid w:val="00080FF3"/>
    <w:rsid w:val="00081F91"/>
    <w:rsid w:val="00097103"/>
    <w:rsid w:val="000A7F7D"/>
    <w:rsid w:val="000C694F"/>
    <w:rsid w:val="000D0AA1"/>
    <w:rsid w:val="000E15E6"/>
    <w:rsid w:val="000F7D45"/>
    <w:rsid w:val="00126173"/>
    <w:rsid w:val="00133B3A"/>
    <w:rsid w:val="001453B5"/>
    <w:rsid w:val="00170E5E"/>
    <w:rsid w:val="001812DF"/>
    <w:rsid w:val="00196130"/>
    <w:rsid w:val="001C12AF"/>
    <w:rsid w:val="001D278C"/>
    <w:rsid w:val="001F12A1"/>
    <w:rsid w:val="00221992"/>
    <w:rsid w:val="00243B6C"/>
    <w:rsid w:val="002A2435"/>
    <w:rsid w:val="002A3C6C"/>
    <w:rsid w:val="002D45D6"/>
    <w:rsid w:val="002F3454"/>
    <w:rsid w:val="0030257B"/>
    <w:rsid w:val="00304F42"/>
    <w:rsid w:val="00310008"/>
    <w:rsid w:val="00345033"/>
    <w:rsid w:val="0039063B"/>
    <w:rsid w:val="00393E99"/>
    <w:rsid w:val="003978F3"/>
    <w:rsid w:val="003B768C"/>
    <w:rsid w:val="003D76CD"/>
    <w:rsid w:val="003F13DE"/>
    <w:rsid w:val="00405F40"/>
    <w:rsid w:val="00407DBB"/>
    <w:rsid w:val="00437535"/>
    <w:rsid w:val="0045368B"/>
    <w:rsid w:val="00461CBF"/>
    <w:rsid w:val="00465DFB"/>
    <w:rsid w:val="004956C0"/>
    <w:rsid w:val="004E2FDB"/>
    <w:rsid w:val="00501A01"/>
    <w:rsid w:val="0051136D"/>
    <w:rsid w:val="005838FD"/>
    <w:rsid w:val="0059518E"/>
    <w:rsid w:val="005A12F6"/>
    <w:rsid w:val="005E3375"/>
    <w:rsid w:val="005F4889"/>
    <w:rsid w:val="0069147E"/>
    <w:rsid w:val="006947D9"/>
    <w:rsid w:val="006A0545"/>
    <w:rsid w:val="00710575"/>
    <w:rsid w:val="007272E3"/>
    <w:rsid w:val="007543FF"/>
    <w:rsid w:val="00757B90"/>
    <w:rsid w:val="007B3B50"/>
    <w:rsid w:val="007D182E"/>
    <w:rsid w:val="00820691"/>
    <w:rsid w:val="0082261D"/>
    <w:rsid w:val="008869A8"/>
    <w:rsid w:val="008972E6"/>
    <w:rsid w:val="008A0A03"/>
    <w:rsid w:val="008A0F77"/>
    <w:rsid w:val="008B166D"/>
    <w:rsid w:val="008C6C3F"/>
    <w:rsid w:val="008D6646"/>
    <w:rsid w:val="00901DC6"/>
    <w:rsid w:val="00937DB1"/>
    <w:rsid w:val="00943BB2"/>
    <w:rsid w:val="00970CE1"/>
    <w:rsid w:val="00995D51"/>
    <w:rsid w:val="009A4508"/>
    <w:rsid w:val="009C4DA6"/>
    <w:rsid w:val="009C6A4E"/>
    <w:rsid w:val="009E3DC6"/>
    <w:rsid w:val="009F138A"/>
    <w:rsid w:val="009F220D"/>
    <w:rsid w:val="00A074F2"/>
    <w:rsid w:val="00A36C1C"/>
    <w:rsid w:val="00A510F4"/>
    <w:rsid w:val="00A80499"/>
    <w:rsid w:val="00A9012C"/>
    <w:rsid w:val="00B473BB"/>
    <w:rsid w:val="00B6043B"/>
    <w:rsid w:val="00B60B84"/>
    <w:rsid w:val="00B802A7"/>
    <w:rsid w:val="00B8299B"/>
    <w:rsid w:val="00B9604A"/>
    <w:rsid w:val="00BA0895"/>
    <w:rsid w:val="00BA17A1"/>
    <w:rsid w:val="00BB52A5"/>
    <w:rsid w:val="00BC377F"/>
    <w:rsid w:val="00BF1CAD"/>
    <w:rsid w:val="00C400AC"/>
    <w:rsid w:val="00C41341"/>
    <w:rsid w:val="00C427BE"/>
    <w:rsid w:val="00C57D21"/>
    <w:rsid w:val="00C73839"/>
    <w:rsid w:val="00CA3984"/>
    <w:rsid w:val="00CB06C5"/>
    <w:rsid w:val="00CB3559"/>
    <w:rsid w:val="00CD5A46"/>
    <w:rsid w:val="00CF4EB5"/>
    <w:rsid w:val="00D32F0A"/>
    <w:rsid w:val="00D55D09"/>
    <w:rsid w:val="00D60F3D"/>
    <w:rsid w:val="00D8307A"/>
    <w:rsid w:val="00D919E8"/>
    <w:rsid w:val="00D96F69"/>
    <w:rsid w:val="00DD3945"/>
    <w:rsid w:val="00DE3450"/>
    <w:rsid w:val="00DE4CF0"/>
    <w:rsid w:val="00E12F3C"/>
    <w:rsid w:val="00E34BDE"/>
    <w:rsid w:val="00E71E7A"/>
    <w:rsid w:val="00E7650D"/>
    <w:rsid w:val="00E81757"/>
    <w:rsid w:val="00E8741E"/>
    <w:rsid w:val="00EC05AE"/>
    <w:rsid w:val="00EC6ADA"/>
    <w:rsid w:val="00ED14BE"/>
    <w:rsid w:val="00EF763B"/>
    <w:rsid w:val="00F20F4F"/>
    <w:rsid w:val="00F34D02"/>
    <w:rsid w:val="00F726EA"/>
    <w:rsid w:val="00FA3730"/>
    <w:rsid w:val="00FB6455"/>
    <w:rsid w:val="00FC1BFB"/>
    <w:rsid w:val="00FE3D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3119"/>
  <w15:chartTrackingRefBased/>
  <w15:docId w15:val="{298192ED-2B8B-4530-966F-C638E846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next w:val="Normal"/>
    <w:link w:val="Ttulo4Car"/>
    <w:unhideWhenUsed/>
    <w:qFormat/>
    <w:rsid w:val="00B60B84"/>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es-ES_tradnl"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9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4 Párrafo de lista,Figuras,Dot pt,No Spacing1,List Paragraph Char Char Char,Indicator Text,List Paragraph1,Numbered Para 1,DH1,Listas,lp1,Light Grid - Accent 31,Párrafo Título 3,Footnote,Colorful List - Accent 11,4 Párrafo de l,Bullet 1"/>
    <w:basedOn w:val="Normal"/>
    <w:link w:val="PrrafodelistaCar"/>
    <w:uiPriority w:val="34"/>
    <w:qFormat/>
    <w:rsid w:val="000174E8"/>
    <w:pPr>
      <w:spacing w:after="0" w:line="240" w:lineRule="auto"/>
      <w:ind w:left="720"/>
      <w:contextualSpacing/>
    </w:pPr>
    <w:rPr>
      <w:rFonts w:ascii="Times New Roman" w:eastAsia="Times New Roman" w:hAnsi="Times New Roman" w:cs="Times New Roman"/>
      <w:sz w:val="24"/>
      <w:szCs w:val="24"/>
      <w:lang w:val="es-ES_tradnl" w:eastAsia="es-ES_tradnl"/>
    </w:rPr>
  </w:style>
  <w:style w:type="character" w:customStyle="1" w:styleId="PrrafodelistaCar">
    <w:name w:val="Párrafo de lista Car"/>
    <w:aliases w:val="4 Párrafo de lista Car,Figuras Car,Dot pt Car,No Spacing1 Car,List Paragraph Char Char Char Car,Indicator Text Car,List Paragraph1 Car,Numbered Para 1 Car,DH1 Car,Listas Car,lp1 Car,Light Grid - Accent 31 Car,Párrafo Título 3 Car"/>
    <w:link w:val="Prrafodelista"/>
    <w:uiPriority w:val="34"/>
    <w:qFormat/>
    <w:locked/>
    <w:rsid w:val="000174E8"/>
    <w:rPr>
      <w:rFonts w:ascii="Times New Roman" w:eastAsia="Times New Roman" w:hAnsi="Times New Roman" w:cs="Times New Roman"/>
      <w:sz w:val="24"/>
      <w:szCs w:val="24"/>
      <w:lang w:val="es-ES_tradnl" w:eastAsia="es-ES_tradnl"/>
    </w:rPr>
  </w:style>
  <w:style w:type="paragraph" w:customStyle="1" w:styleId="Default">
    <w:name w:val="Default"/>
    <w:rsid w:val="0082261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82261D"/>
    <w:pPr>
      <w:spacing w:before="100" w:beforeAutospacing="1" w:after="100" w:afterAutospacing="1" w:line="240" w:lineRule="auto"/>
    </w:pPr>
    <w:rPr>
      <w:rFonts w:ascii="Times" w:eastAsia="Times New Roman" w:hAnsi="Times" w:cs="Times New Roman"/>
      <w:sz w:val="20"/>
      <w:szCs w:val="20"/>
      <w:lang w:val="es-ES_tradnl" w:eastAsia="es-ES_tradnl"/>
    </w:rPr>
  </w:style>
  <w:style w:type="table" w:styleId="Tablaconcuadrcula2-nfasis3">
    <w:name w:val="Grid Table 2 Accent 3"/>
    <w:basedOn w:val="Tablanormal"/>
    <w:uiPriority w:val="47"/>
    <w:rsid w:val="0082261D"/>
    <w:pPr>
      <w:spacing w:after="0" w:line="240" w:lineRule="auto"/>
    </w:pPr>
    <w:rPr>
      <w:rFonts w:eastAsiaTheme="minorEastAsia"/>
      <w:sz w:val="24"/>
      <w:szCs w:val="24"/>
      <w:lang w:val="es-ES_tradnl" w:eastAsia="es-E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vnculo">
    <w:name w:val="Hyperlink"/>
    <w:basedOn w:val="Fuentedeprrafopredeter"/>
    <w:uiPriority w:val="99"/>
    <w:unhideWhenUsed/>
    <w:rsid w:val="00036365"/>
    <w:rPr>
      <w:color w:val="0000FF"/>
      <w:u w:val="single"/>
    </w:rPr>
  </w:style>
  <w:style w:type="paragraph" w:styleId="Textonotapie">
    <w:name w:val="footnote text"/>
    <w:aliases w:val=" Car Car Car Car Car Car Car Car Car Car, Car Car Car Car Car Car Car Car Car Car Car, Car Car Car Car Car Car Car Car Car Car Car Car Car,Car Car Car Car Car Car Car Car Car Car,Car Car Car Car Car Car Car Car Car Car Car"/>
    <w:basedOn w:val="Normal"/>
    <w:link w:val="TextonotapieCar"/>
    <w:autoRedefine/>
    <w:unhideWhenUsed/>
    <w:qFormat/>
    <w:rsid w:val="00036365"/>
    <w:pPr>
      <w:spacing w:after="0" w:line="240" w:lineRule="auto"/>
    </w:pPr>
    <w:rPr>
      <w:rFonts w:ascii="Calibri Light" w:eastAsia="Times New Roman" w:hAnsi="Calibri Light" w:cs="Times New Roman"/>
      <w:sz w:val="16"/>
      <w:szCs w:val="20"/>
      <w:lang w:val="es-ES_tradnl" w:eastAsia="es-ES_tradnl"/>
    </w:rPr>
  </w:style>
  <w:style w:type="character" w:customStyle="1" w:styleId="TextonotapieCar">
    <w:name w:val="Texto nota pie Car"/>
    <w:aliases w:val=" Car Car Car Car Car Car Car Car Car Car Car1, Car Car Car Car Car Car Car Car Car Car Car Car, Car Car Car Car Car Car Car Car Car Car Car Car Car Car,Car Car Car Car Car Car Car Car Car Car Car1"/>
    <w:basedOn w:val="Fuentedeprrafopredeter"/>
    <w:link w:val="Textonotapie"/>
    <w:rsid w:val="00036365"/>
    <w:rPr>
      <w:rFonts w:ascii="Calibri Light" w:eastAsia="Times New Roman" w:hAnsi="Calibri Light" w:cs="Times New Roman"/>
      <w:sz w:val="16"/>
      <w:szCs w:val="20"/>
      <w:lang w:val="es-ES_tradnl" w:eastAsia="es-ES_tradnl"/>
    </w:rPr>
  </w:style>
  <w:style w:type="character" w:styleId="Refdenotaalpie">
    <w:name w:val="footnote reference"/>
    <w:basedOn w:val="Fuentedeprrafopredeter"/>
    <w:unhideWhenUsed/>
    <w:rsid w:val="00036365"/>
    <w:rPr>
      <w:vertAlign w:val="superscript"/>
    </w:rPr>
  </w:style>
  <w:style w:type="character" w:styleId="Mencinsinresolver">
    <w:name w:val="Unresolved Mention"/>
    <w:basedOn w:val="Fuentedeprrafopredeter"/>
    <w:uiPriority w:val="99"/>
    <w:semiHidden/>
    <w:unhideWhenUsed/>
    <w:rsid w:val="000A7F7D"/>
    <w:rPr>
      <w:color w:val="605E5C"/>
      <w:shd w:val="clear" w:color="auto" w:fill="E1DFDD"/>
    </w:rPr>
  </w:style>
  <w:style w:type="paragraph" w:styleId="Descripcin">
    <w:name w:val="caption"/>
    <w:basedOn w:val="Normal"/>
    <w:next w:val="Normal"/>
    <w:unhideWhenUsed/>
    <w:qFormat/>
    <w:rsid w:val="00CB3559"/>
    <w:pPr>
      <w:spacing w:after="200" w:line="240" w:lineRule="auto"/>
    </w:pPr>
    <w:rPr>
      <w:rFonts w:ascii="Times New Roman" w:eastAsia="Times New Roman" w:hAnsi="Times New Roman" w:cs="Times New Roman"/>
      <w:i/>
      <w:iCs/>
      <w:color w:val="44546A" w:themeColor="text2"/>
      <w:sz w:val="18"/>
      <w:szCs w:val="18"/>
      <w:lang w:val="es-ES_tradnl" w:eastAsia="es-MX"/>
    </w:rPr>
  </w:style>
  <w:style w:type="character" w:customStyle="1" w:styleId="figurastablas">
    <w:name w:val="figuras tablas"/>
    <w:uiPriority w:val="1"/>
    <w:qFormat/>
    <w:rsid w:val="00CB3559"/>
    <w:rPr>
      <w:rFonts w:ascii="Cambria" w:hAnsi="Cambria"/>
      <w:b w:val="0"/>
      <w:i w:val="0"/>
      <w:color w:val="auto"/>
      <w:spacing w:val="0"/>
      <w:position w:val="0"/>
      <w:sz w:val="24"/>
      <w:u w:val="none"/>
    </w:rPr>
  </w:style>
  <w:style w:type="paragraph" w:customStyle="1" w:styleId="tablas">
    <w:name w:val="tablas"/>
    <w:basedOn w:val="Descripcin"/>
    <w:qFormat/>
    <w:rsid w:val="00EC05AE"/>
    <w:pPr>
      <w:spacing w:after="80" w:line="360" w:lineRule="auto"/>
      <w:jc w:val="both"/>
    </w:pPr>
    <w:rPr>
      <w:rFonts w:ascii="Cambria" w:eastAsiaTheme="minorHAnsi" w:hAnsi="Cambria" w:cstheme="minorBidi"/>
      <w:color w:val="auto"/>
      <w:kern w:val="2"/>
      <w:sz w:val="24"/>
      <w:szCs w:val="20"/>
      <w:lang w:val="es-ES" w:eastAsia="en-US"/>
      <w14:ligatures w14:val="standardContextual"/>
    </w:rPr>
  </w:style>
  <w:style w:type="character" w:customStyle="1" w:styleId="Ttulo4Car">
    <w:name w:val="Título 4 Car"/>
    <w:basedOn w:val="Fuentedeprrafopredeter"/>
    <w:link w:val="Ttulo4"/>
    <w:rsid w:val="00B60B84"/>
    <w:rPr>
      <w:rFonts w:asciiTheme="majorHAnsi" w:eastAsiaTheme="majorEastAsia" w:hAnsiTheme="majorHAnsi" w:cstheme="majorBidi"/>
      <w:i/>
      <w:iCs/>
      <w:color w:val="2E74B5" w:themeColor="accent1" w:themeShade="BF"/>
      <w:sz w:val="24"/>
      <w:szCs w:val="24"/>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94751">
      <w:bodyDiv w:val="1"/>
      <w:marLeft w:val="0"/>
      <w:marRight w:val="0"/>
      <w:marTop w:val="0"/>
      <w:marBottom w:val="0"/>
      <w:divBdr>
        <w:top w:val="none" w:sz="0" w:space="0" w:color="auto"/>
        <w:left w:val="none" w:sz="0" w:space="0" w:color="auto"/>
        <w:bottom w:val="none" w:sz="0" w:space="0" w:color="auto"/>
        <w:right w:val="none" w:sz="0" w:space="0" w:color="auto"/>
      </w:divBdr>
      <w:divsChild>
        <w:div w:id="1411388518">
          <w:marLeft w:val="0"/>
          <w:marRight w:val="0"/>
          <w:marTop w:val="0"/>
          <w:marBottom w:val="0"/>
          <w:divBdr>
            <w:top w:val="none" w:sz="0" w:space="0" w:color="auto"/>
            <w:left w:val="none" w:sz="0" w:space="0" w:color="auto"/>
            <w:bottom w:val="none" w:sz="0" w:space="0" w:color="auto"/>
            <w:right w:val="none" w:sz="0" w:space="0" w:color="auto"/>
          </w:divBdr>
          <w:divsChild>
            <w:div w:id="1758593590">
              <w:marLeft w:val="0"/>
              <w:marRight w:val="0"/>
              <w:marTop w:val="0"/>
              <w:marBottom w:val="0"/>
              <w:divBdr>
                <w:top w:val="none" w:sz="0" w:space="0" w:color="auto"/>
                <w:left w:val="none" w:sz="0" w:space="0" w:color="auto"/>
                <w:bottom w:val="none" w:sz="0" w:space="0" w:color="auto"/>
                <w:right w:val="none" w:sz="0" w:space="0" w:color="auto"/>
              </w:divBdr>
              <w:divsChild>
                <w:div w:id="21066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910628">
      <w:bodyDiv w:val="1"/>
      <w:marLeft w:val="0"/>
      <w:marRight w:val="0"/>
      <w:marTop w:val="0"/>
      <w:marBottom w:val="0"/>
      <w:divBdr>
        <w:top w:val="none" w:sz="0" w:space="0" w:color="auto"/>
        <w:left w:val="none" w:sz="0" w:space="0" w:color="auto"/>
        <w:bottom w:val="none" w:sz="0" w:space="0" w:color="auto"/>
        <w:right w:val="none" w:sz="0" w:space="0" w:color="auto"/>
      </w:divBdr>
      <w:divsChild>
        <w:div w:id="888763941">
          <w:marLeft w:val="0"/>
          <w:marRight w:val="0"/>
          <w:marTop w:val="0"/>
          <w:marBottom w:val="0"/>
          <w:divBdr>
            <w:top w:val="none" w:sz="0" w:space="0" w:color="auto"/>
            <w:left w:val="none" w:sz="0" w:space="0" w:color="auto"/>
            <w:bottom w:val="none" w:sz="0" w:space="0" w:color="auto"/>
            <w:right w:val="none" w:sz="0" w:space="0" w:color="auto"/>
          </w:divBdr>
          <w:divsChild>
            <w:div w:id="1897399881">
              <w:marLeft w:val="0"/>
              <w:marRight w:val="0"/>
              <w:marTop w:val="0"/>
              <w:marBottom w:val="0"/>
              <w:divBdr>
                <w:top w:val="none" w:sz="0" w:space="0" w:color="auto"/>
                <w:left w:val="none" w:sz="0" w:space="0" w:color="auto"/>
                <w:bottom w:val="none" w:sz="0" w:space="0" w:color="auto"/>
                <w:right w:val="none" w:sz="0" w:space="0" w:color="auto"/>
              </w:divBdr>
              <w:divsChild>
                <w:div w:id="74175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6BC26-E5BC-AA49-A98D-9A8D1BC7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4286</Words>
  <Characters>23578</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Fernando Mellado</cp:lastModifiedBy>
  <cp:revision>3</cp:revision>
  <cp:lastPrinted>2023-09-18T14:49:00Z</cp:lastPrinted>
  <dcterms:created xsi:type="dcterms:W3CDTF">2023-09-18T14:49:00Z</dcterms:created>
  <dcterms:modified xsi:type="dcterms:W3CDTF">2023-09-18T14:50:00Z</dcterms:modified>
</cp:coreProperties>
</file>