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EBDC7E" w14:textId="6D5BD8DC" w:rsidR="00AB7E14" w:rsidRPr="00B92ABE" w:rsidRDefault="00F04E90" w:rsidP="00167C8B">
      <w:pPr>
        <w:tabs>
          <w:tab w:val="left" w:pos="2268"/>
        </w:tabs>
        <w:jc w:val="center"/>
        <w:rPr>
          <w:b/>
          <w:sz w:val="36"/>
          <w:szCs w:val="36"/>
        </w:rPr>
      </w:pPr>
      <w:r w:rsidRPr="00B92ABE">
        <w:rPr>
          <w:b/>
          <w:sz w:val="36"/>
          <w:szCs w:val="36"/>
        </w:rPr>
        <w:t xml:space="preserve">EVALUACIÓN </w:t>
      </w:r>
      <w:r w:rsidR="002C552B" w:rsidRPr="00B92ABE">
        <w:rPr>
          <w:b/>
          <w:sz w:val="36"/>
          <w:szCs w:val="36"/>
        </w:rPr>
        <w:t>ESTRATÉGICA AL FONDO DE APORTACIONES PARA EL FORTALECIMIENTO DE LAS ENTIDADES FEDERATIVAS</w:t>
      </w:r>
      <w:r w:rsidR="005D2335" w:rsidRPr="00B92ABE">
        <w:rPr>
          <w:b/>
          <w:sz w:val="36"/>
          <w:szCs w:val="36"/>
        </w:rPr>
        <w:t xml:space="preserve"> </w:t>
      </w:r>
      <w:r w:rsidR="00726241" w:rsidRPr="00B92ABE">
        <w:rPr>
          <w:b/>
          <w:sz w:val="36"/>
          <w:szCs w:val="36"/>
        </w:rPr>
        <w:t>(FAFEF)</w:t>
      </w:r>
      <w:r w:rsidR="002C4BEE" w:rsidRPr="00B92ABE">
        <w:rPr>
          <w:b/>
          <w:sz w:val="36"/>
          <w:szCs w:val="36"/>
        </w:rPr>
        <w:t xml:space="preserve"> EN EL </w:t>
      </w:r>
      <w:r w:rsidR="00192EFA" w:rsidRPr="00B92ABE">
        <w:rPr>
          <w:b/>
          <w:sz w:val="36"/>
          <w:szCs w:val="36"/>
        </w:rPr>
        <w:t xml:space="preserve">ÁMBITO ESTATAL PARA </w:t>
      </w:r>
      <w:r w:rsidR="006762BE" w:rsidRPr="00B92ABE">
        <w:rPr>
          <w:b/>
          <w:sz w:val="36"/>
          <w:szCs w:val="36"/>
        </w:rPr>
        <w:t>TAMAULIPAS</w:t>
      </w:r>
      <w:r w:rsidR="0037791D" w:rsidRPr="00B92ABE">
        <w:rPr>
          <w:b/>
          <w:sz w:val="36"/>
          <w:szCs w:val="36"/>
        </w:rPr>
        <w:t xml:space="preserve">, </w:t>
      </w:r>
      <w:r w:rsidR="00167C8B" w:rsidRPr="00B92ABE">
        <w:rPr>
          <w:b/>
          <w:sz w:val="36"/>
          <w:szCs w:val="36"/>
        </w:rPr>
        <w:t>EN EL MARCO DEL PAE 2018</w:t>
      </w:r>
    </w:p>
    <w:p w14:paraId="433D43E9" w14:textId="79BC51F0" w:rsidR="00B668F0" w:rsidRPr="00B92ABE" w:rsidRDefault="00B668F0" w:rsidP="005244CC">
      <w:pPr>
        <w:tabs>
          <w:tab w:val="left" w:pos="2268"/>
        </w:tabs>
        <w:jc w:val="center"/>
        <w:rPr>
          <w:b/>
          <w:sz w:val="36"/>
          <w:szCs w:val="36"/>
        </w:rPr>
      </w:pPr>
    </w:p>
    <w:p w14:paraId="48A06284" w14:textId="77777777" w:rsidR="007F1F39" w:rsidRPr="00B92ABE" w:rsidRDefault="007F1F39" w:rsidP="005244CC">
      <w:pPr>
        <w:tabs>
          <w:tab w:val="left" w:pos="2268"/>
        </w:tabs>
        <w:jc w:val="center"/>
        <w:rPr>
          <w:b/>
          <w:sz w:val="36"/>
          <w:szCs w:val="36"/>
        </w:rPr>
      </w:pPr>
    </w:p>
    <w:p w14:paraId="61BAC359" w14:textId="222DC7D1" w:rsidR="000D7DAE" w:rsidRPr="00B92ABE" w:rsidRDefault="00907A75" w:rsidP="00907A75">
      <w:pPr>
        <w:jc w:val="center"/>
        <w:rPr>
          <w:b/>
          <w:sz w:val="36"/>
          <w:szCs w:val="36"/>
        </w:rPr>
      </w:pPr>
      <w:r w:rsidRPr="00B92ABE">
        <w:rPr>
          <w:b/>
          <w:sz w:val="36"/>
          <w:szCs w:val="36"/>
        </w:rPr>
        <w:t>SECRETAR</w:t>
      </w:r>
      <w:r w:rsidR="00E01B94" w:rsidRPr="00B92ABE">
        <w:rPr>
          <w:b/>
          <w:sz w:val="36"/>
          <w:szCs w:val="36"/>
        </w:rPr>
        <w:t>Í</w:t>
      </w:r>
      <w:r w:rsidRPr="00B92ABE">
        <w:rPr>
          <w:b/>
          <w:sz w:val="36"/>
          <w:szCs w:val="36"/>
        </w:rPr>
        <w:t xml:space="preserve">A DE </w:t>
      </w:r>
      <w:r w:rsidR="000D7DAE" w:rsidRPr="00B92ABE">
        <w:rPr>
          <w:b/>
          <w:sz w:val="36"/>
          <w:szCs w:val="36"/>
        </w:rPr>
        <w:t>HACIENDA Y CRÉDITO PÚBLICO (SHCP)</w:t>
      </w:r>
    </w:p>
    <w:p w14:paraId="51575F63" w14:textId="008809F4" w:rsidR="003D34BF" w:rsidRDefault="003D34BF" w:rsidP="00907A75">
      <w:pPr>
        <w:jc w:val="center"/>
        <w:rPr>
          <w:b/>
          <w:sz w:val="36"/>
          <w:szCs w:val="36"/>
        </w:rPr>
      </w:pPr>
    </w:p>
    <w:p w14:paraId="7DF2915B" w14:textId="77777777" w:rsidR="00C87671" w:rsidRPr="00B92ABE" w:rsidRDefault="00C87671" w:rsidP="00907A75">
      <w:pPr>
        <w:jc w:val="center"/>
        <w:rPr>
          <w:b/>
          <w:sz w:val="36"/>
          <w:szCs w:val="36"/>
        </w:rPr>
      </w:pPr>
    </w:p>
    <w:p w14:paraId="3551D5FF" w14:textId="35B239C3" w:rsidR="00992F24" w:rsidRPr="00B92ABE" w:rsidRDefault="00E01B94" w:rsidP="005244CC">
      <w:pPr>
        <w:jc w:val="center"/>
        <w:rPr>
          <w:b/>
          <w:bCs/>
          <w:sz w:val="36"/>
          <w:szCs w:val="36"/>
        </w:rPr>
      </w:pPr>
      <w:r w:rsidRPr="00B92ABE">
        <w:rPr>
          <w:b/>
          <w:bCs/>
          <w:sz w:val="36"/>
          <w:szCs w:val="36"/>
        </w:rPr>
        <w:t>SECRETARÍA</w:t>
      </w:r>
      <w:r w:rsidR="003D34BF" w:rsidRPr="00B92ABE">
        <w:rPr>
          <w:b/>
          <w:bCs/>
          <w:sz w:val="36"/>
          <w:szCs w:val="36"/>
        </w:rPr>
        <w:t xml:space="preserve"> </w:t>
      </w:r>
      <w:r w:rsidRPr="00B92ABE">
        <w:rPr>
          <w:b/>
          <w:bCs/>
          <w:sz w:val="36"/>
          <w:szCs w:val="36"/>
        </w:rPr>
        <w:t>DE FINANZAS DEL ESTADO DE TAMAULIPAS</w:t>
      </w:r>
      <w:r w:rsidR="009146B2">
        <w:rPr>
          <w:b/>
          <w:bCs/>
          <w:sz w:val="36"/>
          <w:szCs w:val="36"/>
        </w:rPr>
        <w:t xml:space="preserve"> (SF)</w:t>
      </w:r>
    </w:p>
    <w:p w14:paraId="568E2242" w14:textId="66B77CB2" w:rsidR="00BF2181" w:rsidRDefault="00BF2181" w:rsidP="005244CC">
      <w:pPr>
        <w:jc w:val="center"/>
        <w:rPr>
          <w:b/>
          <w:sz w:val="36"/>
          <w:szCs w:val="36"/>
        </w:rPr>
      </w:pPr>
    </w:p>
    <w:p w14:paraId="2837A83C" w14:textId="77777777" w:rsidR="00B92ABE" w:rsidRPr="00B92ABE" w:rsidRDefault="00B92ABE" w:rsidP="005244CC">
      <w:pPr>
        <w:jc w:val="center"/>
        <w:rPr>
          <w:b/>
          <w:sz w:val="36"/>
          <w:szCs w:val="36"/>
        </w:rPr>
      </w:pPr>
    </w:p>
    <w:p w14:paraId="1C4881F6" w14:textId="77777777" w:rsidR="00992F24" w:rsidRPr="00B92ABE" w:rsidRDefault="00992F24" w:rsidP="005244CC">
      <w:pPr>
        <w:jc w:val="center"/>
        <w:rPr>
          <w:b/>
          <w:sz w:val="36"/>
          <w:szCs w:val="36"/>
        </w:rPr>
      </w:pPr>
    </w:p>
    <w:p w14:paraId="24AE7EB4" w14:textId="77777777" w:rsidR="00992F24" w:rsidRPr="003D34BF" w:rsidRDefault="00992F24" w:rsidP="005244CC">
      <w:pPr>
        <w:jc w:val="center"/>
        <w:rPr>
          <w:b/>
          <w:sz w:val="32"/>
          <w:szCs w:val="32"/>
        </w:rPr>
      </w:pPr>
      <w:r w:rsidRPr="003D34BF">
        <w:rPr>
          <w:b/>
          <w:sz w:val="32"/>
          <w:szCs w:val="32"/>
        </w:rPr>
        <w:t>Entidad Evaluadora</w:t>
      </w:r>
    </w:p>
    <w:p w14:paraId="553F8C0B" w14:textId="3064AD8A" w:rsidR="00992F24" w:rsidRPr="003D34BF" w:rsidRDefault="00992F24" w:rsidP="005244CC">
      <w:pPr>
        <w:jc w:val="center"/>
        <w:rPr>
          <w:sz w:val="32"/>
          <w:szCs w:val="32"/>
        </w:rPr>
      </w:pPr>
      <w:r w:rsidRPr="003D34BF">
        <w:rPr>
          <w:sz w:val="32"/>
          <w:szCs w:val="32"/>
        </w:rPr>
        <w:t>Servicios Profesionales para el Desarrollo Económico S.C.</w:t>
      </w:r>
    </w:p>
    <w:p w14:paraId="0FB845FB" w14:textId="3D234997" w:rsidR="00BF2181" w:rsidRPr="00B92ABE" w:rsidRDefault="006753CB" w:rsidP="005244CC">
      <w:pPr>
        <w:jc w:val="center"/>
        <w:rPr>
          <w:sz w:val="36"/>
          <w:szCs w:val="36"/>
        </w:rPr>
      </w:pPr>
      <w:r>
        <w:rPr>
          <w:rFonts w:ascii="Calibri" w:eastAsia="Calibri" w:hAnsi="Calibri" w:cs="Times New Roman"/>
          <w:noProof/>
          <w:lang w:eastAsia="es-MX"/>
        </w:rPr>
        <mc:AlternateContent>
          <mc:Choice Requires="wps">
            <w:drawing>
              <wp:anchor distT="4294967293" distB="4294967293" distL="114300" distR="114300" simplePos="0" relativeHeight="251659264" behindDoc="0" locked="0" layoutInCell="1" allowOverlap="1" wp14:anchorId="46EA1F49" wp14:editId="165FF079">
                <wp:simplePos x="0" y="0"/>
                <wp:positionH relativeFrom="margin">
                  <wp:posOffset>599752</wp:posOffset>
                </wp:positionH>
                <wp:positionV relativeFrom="paragraph">
                  <wp:posOffset>62757</wp:posOffset>
                </wp:positionV>
                <wp:extent cx="5124090" cy="0"/>
                <wp:effectExtent l="0" t="0" r="0" b="0"/>
                <wp:wrapNone/>
                <wp:docPr id="7" name="Conector recto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124090" cy="0"/>
                        </a:xfrm>
                        <a:prstGeom prst="line">
                          <a:avLst/>
                        </a:prstGeom>
                        <a:noFill/>
                        <a:ln w="12700" cap="flat" cmpd="sng" algn="ctr">
                          <a:solidFill>
                            <a:schemeClr val="accent5">
                              <a:lumMod val="75000"/>
                            </a:schemeClr>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6AF66514" id="Conector recto 7" o:spid="_x0000_s1026" style="position:absolute;flip:y;z-index:251659264;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margin" from="47.2pt,4.95pt" to="450.6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" strokecolor="#2f5496 [2408]" strokeweight="1pt">
                <v:stroke joinstyle="miter"/>
                <o:lock v:ext="edit" shapetype="f"/>
                <w10:wrap anchorx="margin"/>
              </v:line>
            </w:pict>
          </mc:Fallback>
        </mc:AlternateContent>
      </w:r>
    </w:p>
    <w:p w14:paraId="505BBCFD" w14:textId="77777777" w:rsidR="00BF2181" w:rsidRPr="00B92ABE" w:rsidRDefault="00BF2181" w:rsidP="005244CC">
      <w:pPr>
        <w:jc w:val="center"/>
        <w:rPr>
          <w:sz w:val="36"/>
          <w:szCs w:val="36"/>
        </w:rPr>
      </w:pPr>
    </w:p>
    <w:p w14:paraId="5C029D8A" w14:textId="77777777" w:rsidR="00992F24" w:rsidRPr="00B92ABE" w:rsidRDefault="00992F24" w:rsidP="005244CC">
      <w:pPr>
        <w:jc w:val="center"/>
        <w:rPr>
          <w:sz w:val="36"/>
          <w:szCs w:val="36"/>
        </w:rPr>
      </w:pPr>
    </w:p>
    <w:p w14:paraId="3F3B13CF" w14:textId="40A92BA8" w:rsidR="004979B6" w:rsidRDefault="00F20CBE" w:rsidP="00192EFA">
      <w:pPr>
        <w:jc w:val="right"/>
      </w:pPr>
      <w:r>
        <w:rPr>
          <w:sz w:val="32"/>
          <w:szCs w:val="32"/>
        </w:rPr>
        <w:t>Septiembre</w:t>
      </w:r>
      <w:r w:rsidR="002C552B" w:rsidRPr="00BF2181">
        <w:rPr>
          <w:sz w:val="32"/>
          <w:szCs w:val="32"/>
        </w:rPr>
        <w:t xml:space="preserve"> 2020</w:t>
      </w:r>
    </w:p>
    <w:p w14:paraId="5873D4DF" w14:textId="77777777" w:rsidR="00470905" w:rsidRPr="004A18C8" w:rsidRDefault="00470905" w:rsidP="005244CC">
      <w:pPr>
        <w:sectPr w:rsidR="00470905" w:rsidRPr="004A18C8" w:rsidSect="00744333">
          <w:headerReference w:type="default" r:id="rId8"/>
          <w:footerReference w:type="default" r:id="rId9"/>
          <w:headerReference w:type="first" r:id="rId10"/>
          <w:pgSz w:w="12240" w:h="15840"/>
          <w:pgMar w:top="1134" w:right="1134" w:bottom="1134" w:left="1134" w:header="1134" w:footer="708" w:gutter="0"/>
          <w:cols w:space="708"/>
          <w:titlePg/>
          <w:docGrid w:linePitch="360"/>
        </w:sectPr>
      </w:pPr>
    </w:p>
    <w:p w14:paraId="6EBA65B2" w14:textId="5D4BD67B" w:rsidR="00152AC1" w:rsidRPr="00F27F01" w:rsidRDefault="001911D5" w:rsidP="00D44A03">
      <w:pPr>
        <w:spacing w:after="360"/>
        <w:jc w:val="center"/>
        <w:rPr>
          <w:b/>
          <w:bCs/>
          <w:sz w:val="32"/>
          <w:szCs w:val="32"/>
        </w:rPr>
      </w:pPr>
      <w:bookmarkStart w:id="2" w:name="_Toc44244378"/>
      <w:r w:rsidRPr="00F27F01">
        <w:rPr>
          <w:b/>
          <w:bCs/>
          <w:sz w:val="32"/>
          <w:szCs w:val="32"/>
        </w:rPr>
        <w:lastRenderedPageBreak/>
        <w:t>Índice de c</w:t>
      </w:r>
      <w:r w:rsidR="003F6594" w:rsidRPr="00F27F01">
        <w:rPr>
          <w:b/>
          <w:bCs/>
          <w:sz w:val="32"/>
          <w:szCs w:val="32"/>
        </w:rPr>
        <w:t>ontenido</w:t>
      </w:r>
      <w:bookmarkEnd w:id="2"/>
    </w:p>
    <w:p w14:paraId="12DCC53B" w14:textId="6FDF1E94" w:rsidR="00EC553A" w:rsidRDefault="001E6E08">
      <w:pPr>
        <w:pStyle w:val="TDC1"/>
        <w:rPr>
          <w:rFonts w:eastAsiaTheme="minorEastAsia"/>
          <w:noProof/>
          <w:lang w:eastAsia="es-MX"/>
        </w:rPr>
      </w:pPr>
      <w:r w:rsidRPr="00004390">
        <w:rPr>
          <w:i/>
          <w:iCs/>
        </w:rPr>
        <w:fldChar w:fldCharType="begin"/>
      </w:r>
      <w:r w:rsidRPr="00004390">
        <w:rPr>
          <w:i/>
          <w:iCs/>
        </w:rPr>
        <w:instrText xml:space="preserve"> TOC \o "1-2" \h \z \u </w:instrText>
      </w:r>
      <w:r w:rsidRPr="00004390">
        <w:rPr>
          <w:i/>
          <w:iCs/>
        </w:rPr>
        <w:fldChar w:fldCharType="separate"/>
      </w:r>
      <w:hyperlink w:anchor="_Toc61633637" w:history="1">
        <w:r w:rsidR="00EC553A" w:rsidRPr="00090E7B">
          <w:rPr>
            <w:rStyle w:val="Hipervnculo"/>
            <w:noProof/>
          </w:rPr>
          <w:t>I. Resumen ejecutivo</w:t>
        </w:r>
        <w:r w:rsidR="00EC553A">
          <w:rPr>
            <w:noProof/>
            <w:webHidden/>
          </w:rPr>
          <w:tab/>
        </w:r>
        <w:r w:rsidR="00EC553A">
          <w:rPr>
            <w:noProof/>
            <w:webHidden/>
          </w:rPr>
          <w:fldChar w:fldCharType="begin"/>
        </w:r>
        <w:r w:rsidR="00EC553A">
          <w:rPr>
            <w:noProof/>
            <w:webHidden/>
          </w:rPr>
          <w:instrText xml:space="preserve"> PAGEREF _Toc61633637 \h </w:instrText>
        </w:r>
        <w:r w:rsidR="00EC553A">
          <w:rPr>
            <w:noProof/>
            <w:webHidden/>
          </w:rPr>
        </w:r>
        <w:r w:rsidR="00EC553A">
          <w:rPr>
            <w:noProof/>
            <w:webHidden/>
          </w:rPr>
          <w:fldChar w:fldCharType="separate"/>
        </w:r>
        <w:r w:rsidR="00EC553A">
          <w:rPr>
            <w:noProof/>
            <w:webHidden/>
          </w:rPr>
          <w:t>6</w:t>
        </w:r>
        <w:r w:rsidR="00EC553A">
          <w:rPr>
            <w:noProof/>
            <w:webHidden/>
          </w:rPr>
          <w:fldChar w:fldCharType="end"/>
        </w:r>
      </w:hyperlink>
    </w:p>
    <w:p w14:paraId="3A872580" w14:textId="0B359F32" w:rsidR="00EC553A" w:rsidRDefault="00EC553A">
      <w:pPr>
        <w:pStyle w:val="TDC1"/>
        <w:rPr>
          <w:rFonts w:eastAsiaTheme="minorEastAsia"/>
          <w:noProof/>
          <w:lang w:eastAsia="es-MX"/>
        </w:rPr>
      </w:pPr>
      <w:hyperlink w:anchor="_Toc61633638" w:history="1">
        <w:r w:rsidRPr="00090E7B">
          <w:rPr>
            <w:rStyle w:val="Hipervnculo"/>
            <w:noProof/>
          </w:rPr>
          <w:t>II. Introducción</w:t>
        </w:r>
        <w:r>
          <w:rPr>
            <w:noProof/>
            <w:webHidden/>
          </w:rPr>
          <w:tab/>
        </w:r>
        <w:r>
          <w:rPr>
            <w:noProof/>
            <w:webHidden/>
          </w:rPr>
          <w:fldChar w:fldCharType="begin"/>
        </w:r>
        <w:r>
          <w:rPr>
            <w:noProof/>
            <w:webHidden/>
          </w:rPr>
          <w:instrText xml:space="preserve"> PAGEREF _Toc61633638 \h </w:instrText>
        </w:r>
        <w:r>
          <w:rPr>
            <w:noProof/>
            <w:webHidden/>
          </w:rPr>
        </w:r>
        <w:r>
          <w:rPr>
            <w:noProof/>
            <w:webHidden/>
          </w:rPr>
          <w:fldChar w:fldCharType="separate"/>
        </w:r>
        <w:r>
          <w:rPr>
            <w:noProof/>
            <w:webHidden/>
          </w:rPr>
          <w:t>14</w:t>
        </w:r>
        <w:r>
          <w:rPr>
            <w:noProof/>
            <w:webHidden/>
          </w:rPr>
          <w:fldChar w:fldCharType="end"/>
        </w:r>
      </w:hyperlink>
    </w:p>
    <w:p w14:paraId="6DB67AC3" w14:textId="40B861D9" w:rsidR="00EC553A" w:rsidRDefault="00EC553A">
      <w:pPr>
        <w:pStyle w:val="TDC1"/>
        <w:rPr>
          <w:rFonts w:eastAsiaTheme="minorEastAsia"/>
          <w:noProof/>
          <w:lang w:eastAsia="es-MX"/>
        </w:rPr>
      </w:pPr>
      <w:hyperlink w:anchor="_Toc61633639" w:history="1">
        <w:r w:rsidRPr="00090E7B">
          <w:rPr>
            <w:rStyle w:val="Hipervnculo"/>
            <w:noProof/>
          </w:rPr>
          <w:t>III. Módulo 1. Justificación del diseño del Fondo y de su mecanismo de intervención</w:t>
        </w:r>
        <w:r>
          <w:rPr>
            <w:noProof/>
            <w:webHidden/>
          </w:rPr>
          <w:tab/>
        </w:r>
        <w:r>
          <w:rPr>
            <w:noProof/>
            <w:webHidden/>
          </w:rPr>
          <w:fldChar w:fldCharType="begin"/>
        </w:r>
        <w:r>
          <w:rPr>
            <w:noProof/>
            <w:webHidden/>
          </w:rPr>
          <w:instrText xml:space="preserve"> PAGEREF _Toc61633639 \h </w:instrText>
        </w:r>
        <w:r>
          <w:rPr>
            <w:noProof/>
            <w:webHidden/>
          </w:rPr>
        </w:r>
        <w:r>
          <w:rPr>
            <w:noProof/>
            <w:webHidden/>
          </w:rPr>
          <w:fldChar w:fldCharType="separate"/>
        </w:r>
        <w:r>
          <w:rPr>
            <w:noProof/>
            <w:webHidden/>
          </w:rPr>
          <w:t>16</w:t>
        </w:r>
        <w:r>
          <w:rPr>
            <w:noProof/>
            <w:webHidden/>
          </w:rPr>
          <w:fldChar w:fldCharType="end"/>
        </w:r>
      </w:hyperlink>
    </w:p>
    <w:p w14:paraId="0C906DD3" w14:textId="48FA8654" w:rsidR="00EC553A" w:rsidRDefault="00EC553A">
      <w:pPr>
        <w:pStyle w:val="TDC2"/>
        <w:rPr>
          <w:rFonts w:eastAsiaTheme="minorEastAsia"/>
          <w:i w:val="0"/>
          <w:iCs w:val="0"/>
          <w:lang w:eastAsia="es-MX"/>
        </w:rPr>
      </w:pPr>
      <w:hyperlink w:anchor="_Toc61633640" w:history="1">
        <w:r w:rsidRPr="00090E7B">
          <w:rPr>
            <w:rStyle w:val="Hipervnculo"/>
          </w:rPr>
          <w:t>1.1 Características del Fondo en la entidad federativa</w:t>
        </w:r>
        <w:r>
          <w:rPr>
            <w:webHidden/>
          </w:rPr>
          <w:tab/>
        </w:r>
        <w:r>
          <w:rPr>
            <w:webHidden/>
          </w:rPr>
          <w:fldChar w:fldCharType="begin"/>
        </w:r>
        <w:r>
          <w:rPr>
            <w:webHidden/>
          </w:rPr>
          <w:instrText xml:space="preserve"> PAGEREF _Toc61633640 \h </w:instrText>
        </w:r>
        <w:r>
          <w:rPr>
            <w:webHidden/>
          </w:rPr>
        </w:r>
        <w:r>
          <w:rPr>
            <w:webHidden/>
          </w:rPr>
          <w:fldChar w:fldCharType="separate"/>
        </w:r>
        <w:r>
          <w:rPr>
            <w:webHidden/>
          </w:rPr>
          <w:t>16</w:t>
        </w:r>
        <w:r>
          <w:rPr>
            <w:webHidden/>
          </w:rPr>
          <w:fldChar w:fldCharType="end"/>
        </w:r>
      </w:hyperlink>
    </w:p>
    <w:p w14:paraId="1BD1E92F" w14:textId="2E0526F4" w:rsidR="00EC553A" w:rsidRDefault="00EC553A">
      <w:pPr>
        <w:pStyle w:val="TDC2"/>
        <w:rPr>
          <w:rFonts w:eastAsiaTheme="minorEastAsia"/>
          <w:i w:val="0"/>
          <w:iCs w:val="0"/>
          <w:lang w:eastAsia="es-MX"/>
        </w:rPr>
      </w:pPr>
      <w:hyperlink w:anchor="_Toc61633641" w:history="1">
        <w:r w:rsidRPr="00090E7B">
          <w:rPr>
            <w:rStyle w:val="Hipervnculo"/>
          </w:rPr>
          <w:t>1.2 Valoración de la contribución del FAFEF a la o las problemáticas de la entidad federativa</w:t>
        </w:r>
        <w:r>
          <w:rPr>
            <w:webHidden/>
          </w:rPr>
          <w:tab/>
        </w:r>
        <w:r>
          <w:rPr>
            <w:webHidden/>
          </w:rPr>
          <w:fldChar w:fldCharType="begin"/>
        </w:r>
        <w:r>
          <w:rPr>
            <w:webHidden/>
          </w:rPr>
          <w:instrText xml:space="preserve"> PAGEREF _Toc61633641 \h </w:instrText>
        </w:r>
        <w:r>
          <w:rPr>
            <w:webHidden/>
          </w:rPr>
        </w:r>
        <w:r>
          <w:rPr>
            <w:webHidden/>
          </w:rPr>
          <w:fldChar w:fldCharType="separate"/>
        </w:r>
        <w:r>
          <w:rPr>
            <w:webHidden/>
          </w:rPr>
          <w:t>26</w:t>
        </w:r>
        <w:r>
          <w:rPr>
            <w:webHidden/>
          </w:rPr>
          <w:fldChar w:fldCharType="end"/>
        </w:r>
      </w:hyperlink>
    </w:p>
    <w:p w14:paraId="5EEB6605" w14:textId="661BBF3C" w:rsidR="00EC553A" w:rsidRDefault="00EC553A">
      <w:pPr>
        <w:pStyle w:val="TDC1"/>
        <w:rPr>
          <w:rFonts w:eastAsiaTheme="minorEastAsia"/>
          <w:noProof/>
          <w:lang w:eastAsia="es-MX"/>
        </w:rPr>
      </w:pPr>
      <w:hyperlink w:anchor="_Toc61633642" w:history="1">
        <w:r w:rsidRPr="00090E7B">
          <w:rPr>
            <w:rStyle w:val="Hipervnculo"/>
            <w:noProof/>
          </w:rPr>
          <w:t>IV. Módulo 2. Matriz de Indicadores para Resultados (MIR)</w:t>
        </w:r>
        <w:r>
          <w:rPr>
            <w:noProof/>
            <w:webHidden/>
          </w:rPr>
          <w:tab/>
        </w:r>
        <w:r>
          <w:rPr>
            <w:noProof/>
            <w:webHidden/>
          </w:rPr>
          <w:fldChar w:fldCharType="begin"/>
        </w:r>
        <w:r>
          <w:rPr>
            <w:noProof/>
            <w:webHidden/>
          </w:rPr>
          <w:instrText xml:space="preserve"> PAGEREF _Toc61633642 \h </w:instrText>
        </w:r>
        <w:r>
          <w:rPr>
            <w:noProof/>
            <w:webHidden/>
          </w:rPr>
        </w:r>
        <w:r>
          <w:rPr>
            <w:noProof/>
            <w:webHidden/>
          </w:rPr>
          <w:fldChar w:fldCharType="separate"/>
        </w:r>
        <w:r>
          <w:rPr>
            <w:noProof/>
            <w:webHidden/>
          </w:rPr>
          <w:t>29</w:t>
        </w:r>
        <w:r>
          <w:rPr>
            <w:noProof/>
            <w:webHidden/>
          </w:rPr>
          <w:fldChar w:fldCharType="end"/>
        </w:r>
      </w:hyperlink>
    </w:p>
    <w:p w14:paraId="07B5C5A1" w14:textId="42F46B42" w:rsidR="00EC553A" w:rsidRDefault="00EC553A">
      <w:pPr>
        <w:pStyle w:val="TDC1"/>
        <w:rPr>
          <w:rFonts w:eastAsiaTheme="minorEastAsia"/>
          <w:noProof/>
          <w:lang w:eastAsia="es-MX"/>
        </w:rPr>
      </w:pPr>
      <w:hyperlink w:anchor="_Toc61633643" w:history="1">
        <w:r w:rsidRPr="00090E7B">
          <w:rPr>
            <w:rStyle w:val="Hipervnculo"/>
            <w:noProof/>
          </w:rPr>
          <w:t>V. Módulo 3. Consistencia entre los elementos del diseño</w:t>
        </w:r>
        <w:r>
          <w:rPr>
            <w:noProof/>
            <w:webHidden/>
          </w:rPr>
          <w:tab/>
        </w:r>
        <w:r>
          <w:rPr>
            <w:noProof/>
            <w:webHidden/>
          </w:rPr>
          <w:fldChar w:fldCharType="begin"/>
        </w:r>
        <w:r>
          <w:rPr>
            <w:noProof/>
            <w:webHidden/>
          </w:rPr>
          <w:instrText xml:space="preserve"> PAGEREF _Toc61633643 \h </w:instrText>
        </w:r>
        <w:r>
          <w:rPr>
            <w:noProof/>
            <w:webHidden/>
          </w:rPr>
        </w:r>
        <w:r>
          <w:rPr>
            <w:noProof/>
            <w:webHidden/>
          </w:rPr>
          <w:fldChar w:fldCharType="separate"/>
        </w:r>
        <w:r>
          <w:rPr>
            <w:noProof/>
            <w:webHidden/>
          </w:rPr>
          <w:t>32</w:t>
        </w:r>
        <w:r>
          <w:rPr>
            <w:noProof/>
            <w:webHidden/>
          </w:rPr>
          <w:fldChar w:fldCharType="end"/>
        </w:r>
      </w:hyperlink>
    </w:p>
    <w:p w14:paraId="636B75F9" w14:textId="28BBEEF1" w:rsidR="00EC553A" w:rsidRDefault="00EC553A">
      <w:pPr>
        <w:pStyle w:val="TDC1"/>
        <w:rPr>
          <w:rFonts w:eastAsiaTheme="minorEastAsia"/>
          <w:noProof/>
          <w:lang w:eastAsia="es-MX"/>
        </w:rPr>
      </w:pPr>
      <w:hyperlink w:anchor="_Toc61633644" w:history="1">
        <w:r w:rsidRPr="00090E7B">
          <w:rPr>
            <w:rStyle w:val="Hipervnculo"/>
            <w:noProof/>
          </w:rPr>
          <w:t>VI. Módulo 4. Alineación del Fondo a la Planeación Nacional y a los Objetivos de Desarrollo Sostenible</w:t>
        </w:r>
        <w:r>
          <w:rPr>
            <w:noProof/>
            <w:webHidden/>
          </w:rPr>
          <w:tab/>
        </w:r>
        <w:r>
          <w:rPr>
            <w:noProof/>
            <w:webHidden/>
          </w:rPr>
          <w:fldChar w:fldCharType="begin"/>
        </w:r>
        <w:r>
          <w:rPr>
            <w:noProof/>
            <w:webHidden/>
          </w:rPr>
          <w:instrText xml:space="preserve"> PAGEREF _Toc61633644 \h </w:instrText>
        </w:r>
        <w:r>
          <w:rPr>
            <w:noProof/>
            <w:webHidden/>
          </w:rPr>
        </w:r>
        <w:r>
          <w:rPr>
            <w:noProof/>
            <w:webHidden/>
          </w:rPr>
          <w:fldChar w:fldCharType="separate"/>
        </w:r>
        <w:r>
          <w:rPr>
            <w:noProof/>
            <w:webHidden/>
          </w:rPr>
          <w:t>41</w:t>
        </w:r>
        <w:r>
          <w:rPr>
            <w:noProof/>
            <w:webHidden/>
          </w:rPr>
          <w:fldChar w:fldCharType="end"/>
        </w:r>
      </w:hyperlink>
    </w:p>
    <w:p w14:paraId="2C99AC0C" w14:textId="318B3517" w:rsidR="00EC553A" w:rsidRDefault="00EC553A">
      <w:pPr>
        <w:pStyle w:val="TDC1"/>
        <w:rPr>
          <w:rFonts w:eastAsiaTheme="minorEastAsia"/>
          <w:noProof/>
          <w:lang w:eastAsia="es-MX"/>
        </w:rPr>
      </w:pPr>
      <w:hyperlink w:anchor="_Toc61633645" w:history="1">
        <w:r w:rsidRPr="00090E7B">
          <w:rPr>
            <w:rStyle w:val="Hipervnculo"/>
            <w:noProof/>
          </w:rPr>
          <w:t>VII. Módulo 5. Mecanismos de coordinación</w:t>
        </w:r>
        <w:r>
          <w:rPr>
            <w:noProof/>
            <w:webHidden/>
          </w:rPr>
          <w:tab/>
        </w:r>
        <w:r>
          <w:rPr>
            <w:noProof/>
            <w:webHidden/>
          </w:rPr>
          <w:fldChar w:fldCharType="begin"/>
        </w:r>
        <w:r>
          <w:rPr>
            <w:noProof/>
            <w:webHidden/>
          </w:rPr>
          <w:instrText xml:space="preserve"> PAGEREF _Toc61633645 \h </w:instrText>
        </w:r>
        <w:r>
          <w:rPr>
            <w:noProof/>
            <w:webHidden/>
          </w:rPr>
        </w:r>
        <w:r>
          <w:rPr>
            <w:noProof/>
            <w:webHidden/>
          </w:rPr>
          <w:fldChar w:fldCharType="separate"/>
        </w:r>
        <w:r>
          <w:rPr>
            <w:noProof/>
            <w:webHidden/>
          </w:rPr>
          <w:t>46</w:t>
        </w:r>
        <w:r>
          <w:rPr>
            <w:noProof/>
            <w:webHidden/>
          </w:rPr>
          <w:fldChar w:fldCharType="end"/>
        </w:r>
      </w:hyperlink>
    </w:p>
    <w:p w14:paraId="1E6A12FE" w14:textId="2A0112C0" w:rsidR="00EC553A" w:rsidRDefault="00EC553A">
      <w:pPr>
        <w:pStyle w:val="TDC2"/>
        <w:rPr>
          <w:rFonts w:eastAsiaTheme="minorEastAsia"/>
          <w:i w:val="0"/>
          <w:iCs w:val="0"/>
          <w:lang w:eastAsia="es-MX"/>
        </w:rPr>
      </w:pPr>
      <w:hyperlink w:anchor="_Toc61633646" w:history="1">
        <w:r w:rsidRPr="00090E7B">
          <w:rPr>
            <w:rStyle w:val="Hipervnculo"/>
          </w:rPr>
          <w:t>5.1 Gestión, operación y planeación</w:t>
        </w:r>
        <w:r>
          <w:rPr>
            <w:webHidden/>
          </w:rPr>
          <w:tab/>
        </w:r>
        <w:r>
          <w:rPr>
            <w:webHidden/>
          </w:rPr>
          <w:fldChar w:fldCharType="begin"/>
        </w:r>
        <w:r>
          <w:rPr>
            <w:webHidden/>
          </w:rPr>
          <w:instrText xml:space="preserve"> PAGEREF _Toc61633646 \h </w:instrText>
        </w:r>
        <w:r>
          <w:rPr>
            <w:webHidden/>
          </w:rPr>
        </w:r>
        <w:r>
          <w:rPr>
            <w:webHidden/>
          </w:rPr>
          <w:fldChar w:fldCharType="separate"/>
        </w:r>
        <w:r>
          <w:rPr>
            <w:webHidden/>
          </w:rPr>
          <w:t>46</w:t>
        </w:r>
        <w:r>
          <w:rPr>
            <w:webHidden/>
          </w:rPr>
          <w:fldChar w:fldCharType="end"/>
        </w:r>
      </w:hyperlink>
    </w:p>
    <w:p w14:paraId="66674A73" w14:textId="54096147" w:rsidR="00EC553A" w:rsidRDefault="00EC553A">
      <w:pPr>
        <w:pStyle w:val="TDC2"/>
        <w:rPr>
          <w:rFonts w:eastAsiaTheme="minorEastAsia"/>
          <w:i w:val="0"/>
          <w:iCs w:val="0"/>
          <w:lang w:eastAsia="es-MX"/>
        </w:rPr>
      </w:pPr>
      <w:hyperlink w:anchor="_Toc61633647" w:history="1">
        <w:r w:rsidRPr="00090E7B">
          <w:rPr>
            <w:rStyle w:val="Hipervnculo"/>
          </w:rPr>
          <w:t>5.2 Obstáculos para la implementación</w:t>
        </w:r>
        <w:r>
          <w:rPr>
            <w:webHidden/>
          </w:rPr>
          <w:tab/>
        </w:r>
        <w:r>
          <w:rPr>
            <w:webHidden/>
          </w:rPr>
          <w:fldChar w:fldCharType="begin"/>
        </w:r>
        <w:r>
          <w:rPr>
            <w:webHidden/>
          </w:rPr>
          <w:instrText xml:space="preserve"> PAGEREF _Toc61633647 \h </w:instrText>
        </w:r>
        <w:r>
          <w:rPr>
            <w:webHidden/>
          </w:rPr>
        </w:r>
        <w:r>
          <w:rPr>
            <w:webHidden/>
          </w:rPr>
          <w:fldChar w:fldCharType="separate"/>
        </w:r>
        <w:r>
          <w:rPr>
            <w:webHidden/>
          </w:rPr>
          <w:t>54</w:t>
        </w:r>
        <w:r>
          <w:rPr>
            <w:webHidden/>
          </w:rPr>
          <w:fldChar w:fldCharType="end"/>
        </w:r>
      </w:hyperlink>
    </w:p>
    <w:p w14:paraId="23A0161D" w14:textId="47346E43" w:rsidR="00EC553A" w:rsidRDefault="00EC553A">
      <w:pPr>
        <w:pStyle w:val="TDC1"/>
        <w:rPr>
          <w:rFonts w:eastAsiaTheme="minorEastAsia"/>
          <w:noProof/>
          <w:lang w:eastAsia="es-MX"/>
        </w:rPr>
      </w:pPr>
      <w:hyperlink w:anchor="_Toc61633648" w:history="1">
        <w:r w:rsidRPr="00090E7B">
          <w:rPr>
            <w:rStyle w:val="Hipervnculo"/>
            <w:noProof/>
          </w:rPr>
          <w:t>VIII. Módulo 6. Complementariedades y coincidencias</w:t>
        </w:r>
        <w:r>
          <w:rPr>
            <w:noProof/>
            <w:webHidden/>
          </w:rPr>
          <w:tab/>
        </w:r>
        <w:r>
          <w:rPr>
            <w:noProof/>
            <w:webHidden/>
          </w:rPr>
          <w:fldChar w:fldCharType="begin"/>
        </w:r>
        <w:r>
          <w:rPr>
            <w:noProof/>
            <w:webHidden/>
          </w:rPr>
          <w:instrText xml:space="preserve"> PAGEREF _Toc61633648 \h </w:instrText>
        </w:r>
        <w:r>
          <w:rPr>
            <w:noProof/>
            <w:webHidden/>
          </w:rPr>
        </w:r>
        <w:r>
          <w:rPr>
            <w:noProof/>
            <w:webHidden/>
          </w:rPr>
          <w:fldChar w:fldCharType="separate"/>
        </w:r>
        <w:r>
          <w:rPr>
            <w:noProof/>
            <w:webHidden/>
          </w:rPr>
          <w:t>55</w:t>
        </w:r>
        <w:r>
          <w:rPr>
            <w:noProof/>
            <w:webHidden/>
          </w:rPr>
          <w:fldChar w:fldCharType="end"/>
        </w:r>
      </w:hyperlink>
    </w:p>
    <w:p w14:paraId="4F7D256F" w14:textId="12A81DDD" w:rsidR="00EC553A" w:rsidRDefault="00EC553A">
      <w:pPr>
        <w:pStyle w:val="TDC1"/>
        <w:rPr>
          <w:rFonts w:eastAsiaTheme="minorEastAsia"/>
          <w:noProof/>
          <w:lang w:eastAsia="es-MX"/>
        </w:rPr>
      </w:pPr>
      <w:hyperlink w:anchor="_Toc61633649" w:history="1">
        <w:r w:rsidRPr="00090E7B">
          <w:rPr>
            <w:rStyle w:val="Hipervnculo"/>
            <w:noProof/>
          </w:rPr>
          <w:t>IX. Módulo 7. Calidad de la información</w:t>
        </w:r>
        <w:r>
          <w:rPr>
            <w:noProof/>
            <w:webHidden/>
          </w:rPr>
          <w:tab/>
        </w:r>
        <w:r>
          <w:rPr>
            <w:noProof/>
            <w:webHidden/>
          </w:rPr>
          <w:fldChar w:fldCharType="begin"/>
        </w:r>
        <w:r>
          <w:rPr>
            <w:noProof/>
            <w:webHidden/>
          </w:rPr>
          <w:instrText xml:space="preserve"> PAGEREF _Toc61633649 \h </w:instrText>
        </w:r>
        <w:r>
          <w:rPr>
            <w:noProof/>
            <w:webHidden/>
          </w:rPr>
        </w:r>
        <w:r>
          <w:rPr>
            <w:noProof/>
            <w:webHidden/>
          </w:rPr>
          <w:fldChar w:fldCharType="separate"/>
        </w:r>
        <w:r>
          <w:rPr>
            <w:noProof/>
            <w:webHidden/>
          </w:rPr>
          <w:t>60</w:t>
        </w:r>
        <w:r>
          <w:rPr>
            <w:noProof/>
            <w:webHidden/>
          </w:rPr>
          <w:fldChar w:fldCharType="end"/>
        </w:r>
      </w:hyperlink>
    </w:p>
    <w:p w14:paraId="0F11F76F" w14:textId="7CFE52CC" w:rsidR="00EC553A" w:rsidRDefault="00EC553A">
      <w:pPr>
        <w:pStyle w:val="TDC2"/>
        <w:rPr>
          <w:rFonts w:eastAsiaTheme="minorEastAsia"/>
          <w:i w:val="0"/>
          <w:iCs w:val="0"/>
          <w:lang w:eastAsia="es-MX"/>
        </w:rPr>
      </w:pPr>
      <w:hyperlink w:anchor="_Toc61633650" w:history="1">
        <w:r w:rsidRPr="00090E7B">
          <w:rPr>
            <w:rStyle w:val="Hipervnculo"/>
          </w:rPr>
          <w:t>7.1 Generación de información, rendición de cuentas y medición de resultados</w:t>
        </w:r>
        <w:r>
          <w:rPr>
            <w:webHidden/>
          </w:rPr>
          <w:tab/>
        </w:r>
        <w:r>
          <w:rPr>
            <w:webHidden/>
          </w:rPr>
          <w:fldChar w:fldCharType="begin"/>
        </w:r>
        <w:r>
          <w:rPr>
            <w:webHidden/>
          </w:rPr>
          <w:instrText xml:space="preserve"> PAGEREF _Toc61633650 \h </w:instrText>
        </w:r>
        <w:r>
          <w:rPr>
            <w:webHidden/>
          </w:rPr>
        </w:r>
        <w:r>
          <w:rPr>
            <w:webHidden/>
          </w:rPr>
          <w:fldChar w:fldCharType="separate"/>
        </w:r>
        <w:r>
          <w:rPr>
            <w:webHidden/>
          </w:rPr>
          <w:t>60</w:t>
        </w:r>
        <w:r>
          <w:rPr>
            <w:webHidden/>
          </w:rPr>
          <w:fldChar w:fldCharType="end"/>
        </w:r>
      </w:hyperlink>
    </w:p>
    <w:p w14:paraId="3F4E0436" w14:textId="1F7AD5E8" w:rsidR="00EC553A" w:rsidRDefault="00EC553A">
      <w:pPr>
        <w:pStyle w:val="TDC1"/>
        <w:rPr>
          <w:rFonts w:eastAsiaTheme="minorEastAsia"/>
          <w:noProof/>
          <w:lang w:eastAsia="es-MX"/>
        </w:rPr>
      </w:pPr>
      <w:hyperlink w:anchor="_Toc61633651" w:history="1">
        <w:r w:rsidRPr="00090E7B">
          <w:rPr>
            <w:rStyle w:val="Hipervnculo"/>
            <w:noProof/>
          </w:rPr>
          <w:t>X. Análisis de Fortalezas, Oportunidades, Debilidades, Amenazas y Recomendaciones</w:t>
        </w:r>
        <w:r>
          <w:rPr>
            <w:noProof/>
            <w:webHidden/>
          </w:rPr>
          <w:tab/>
        </w:r>
        <w:r>
          <w:rPr>
            <w:noProof/>
            <w:webHidden/>
          </w:rPr>
          <w:fldChar w:fldCharType="begin"/>
        </w:r>
        <w:r>
          <w:rPr>
            <w:noProof/>
            <w:webHidden/>
          </w:rPr>
          <w:instrText xml:space="preserve"> PAGEREF _Toc61633651 \h </w:instrText>
        </w:r>
        <w:r>
          <w:rPr>
            <w:noProof/>
            <w:webHidden/>
          </w:rPr>
        </w:r>
        <w:r>
          <w:rPr>
            <w:noProof/>
            <w:webHidden/>
          </w:rPr>
          <w:fldChar w:fldCharType="separate"/>
        </w:r>
        <w:r>
          <w:rPr>
            <w:noProof/>
            <w:webHidden/>
          </w:rPr>
          <w:t>72</w:t>
        </w:r>
        <w:r>
          <w:rPr>
            <w:noProof/>
            <w:webHidden/>
          </w:rPr>
          <w:fldChar w:fldCharType="end"/>
        </w:r>
      </w:hyperlink>
    </w:p>
    <w:p w14:paraId="2F046FDF" w14:textId="6C531244" w:rsidR="00EC553A" w:rsidRDefault="00EC553A">
      <w:pPr>
        <w:pStyle w:val="TDC1"/>
        <w:rPr>
          <w:rFonts w:eastAsiaTheme="minorEastAsia"/>
          <w:noProof/>
          <w:lang w:eastAsia="es-MX"/>
        </w:rPr>
      </w:pPr>
      <w:hyperlink w:anchor="_Toc61633652" w:history="1">
        <w:r w:rsidRPr="00090E7B">
          <w:rPr>
            <w:rStyle w:val="Hipervnculo"/>
            <w:noProof/>
          </w:rPr>
          <w:t>XI. Conclusiones y valoración de la pertinencia del Fondo en la entidad federativa</w:t>
        </w:r>
        <w:r>
          <w:rPr>
            <w:noProof/>
            <w:webHidden/>
          </w:rPr>
          <w:tab/>
        </w:r>
        <w:r>
          <w:rPr>
            <w:noProof/>
            <w:webHidden/>
          </w:rPr>
          <w:fldChar w:fldCharType="begin"/>
        </w:r>
        <w:r>
          <w:rPr>
            <w:noProof/>
            <w:webHidden/>
          </w:rPr>
          <w:instrText xml:space="preserve"> PAGEREF _Toc61633652 \h </w:instrText>
        </w:r>
        <w:r>
          <w:rPr>
            <w:noProof/>
            <w:webHidden/>
          </w:rPr>
        </w:r>
        <w:r>
          <w:rPr>
            <w:noProof/>
            <w:webHidden/>
          </w:rPr>
          <w:fldChar w:fldCharType="separate"/>
        </w:r>
        <w:r>
          <w:rPr>
            <w:noProof/>
            <w:webHidden/>
          </w:rPr>
          <w:t>76</w:t>
        </w:r>
        <w:r>
          <w:rPr>
            <w:noProof/>
            <w:webHidden/>
          </w:rPr>
          <w:fldChar w:fldCharType="end"/>
        </w:r>
      </w:hyperlink>
    </w:p>
    <w:p w14:paraId="58449933" w14:textId="150B8488" w:rsidR="00EC553A" w:rsidRDefault="00EC553A">
      <w:pPr>
        <w:pStyle w:val="TDC1"/>
        <w:rPr>
          <w:rFonts w:eastAsiaTheme="minorEastAsia"/>
          <w:noProof/>
          <w:lang w:eastAsia="es-MX"/>
        </w:rPr>
      </w:pPr>
      <w:hyperlink w:anchor="_Toc61633653" w:history="1">
        <w:r w:rsidRPr="00090E7B">
          <w:rPr>
            <w:rStyle w:val="Hipervnculo"/>
            <w:noProof/>
          </w:rPr>
          <w:t>XII. Bibliografía</w:t>
        </w:r>
        <w:r>
          <w:rPr>
            <w:noProof/>
            <w:webHidden/>
          </w:rPr>
          <w:tab/>
        </w:r>
        <w:r>
          <w:rPr>
            <w:noProof/>
            <w:webHidden/>
          </w:rPr>
          <w:fldChar w:fldCharType="begin"/>
        </w:r>
        <w:r>
          <w:rPr>
            <w:noProof/>
            <w:webHidden/>
          </w:rPr>
          <w:instrText xml:space="preserve"> PAGEREF _Toc61633653 \h </w:instrText>
        </w:r>
        <w:r>
          <w:rPr>
            <w:noProof/>
            <w:webHidden/>
          </w:rPr>
        </w:r>
        <w:r>
          <w:rPr>
            <w:noProof/>
            <w:webHidden/>
          </w:rPr>
          <w:fldChar w:fldCharType="separate"/>
        </w:r>
        <w:r>
          <w:rPr>
            <w:noProof/>
            <w:webHidden/>
          </w:rPr>
          <w:t>79</w:t>
        </w:r>
        <w:r>
          <w:rPr>
            <w:noProof/>
            <w:webHidden/>
          </w:rPr>
          <w:fldChar w:fldCharType="end"/>
        </w:r>
      </w:hyperlink>
    </w:p>
    <w:p w14:paraId="5AB6158A" w14:textId="43F3F47F" w:rsidR="00EC553A" w:rsidRDefault="00EC553A">
      <w:pPr>
        <w:pStyle w:val="TDC1"/>
        <w:rPr>
          <w:rFonts w:eastAsiaTheme="minorEastAsia"/>
          <w:noProof/>
          <w:lang w:eastAsia="es-MX"/>
        </w:rPr>
      </w:pPr>
      <w:hyperlink w:anchor="_Toc61633654" w:history="1">
        <w:r w:rsidRPr="00090E7B">
          <w:rPr>
            <w:rStyle w:val="Hipervnculo"/>
            <w:noProof/>
          </w:rPr>
          <w:t>XIII. Anexos</w:t>
        </w:r>
        <w:r>
          <w:rPr>
            <w:noProof/>
            <w:webHidden/>
          </w:rPr>
          <w:tab/>
        </w:r>
        <w:r>
          <w:rPr>
            <w:noProof/>
            <w:webHidden/>
          </w:rPr>
          <w:fldChar w:fldCharType="begin"/>
        </w:r>
        <w:r>
          <w:rPr>
            <w:noProof/>
            <w:webHidden/>
          </w:rPr>
          <w:instrText xml:space="preserve"> PAGEREF _Toc61633654 \h </w:instrText>
        </w:r>
        <w:r>
          <w:rPr>
            <w:noProof/>
            <w:webHidden/>
          </w:rPr>
        </w:r>
        <w:r>
          <w:rPr>
            <w:noProof/>
            <w:webHidden/>
          </w:rPr>
          <w:fldChar w:fldCharType="separate"/>
        </w:r>
        <w:r>
          <w:rPr>
            <w:noProof/>
            <w:webHidden/>
          </w:rPr>
          <w:t>82</w:t>
        </w:r>
        <w:r>
          <w:rPr>
            <w:noProof/>
            <w:webHidden/>
          </w:rPr>
          <w:fldChar w:fldCharType="end"/>
        </w:r>
      </w:hyperlink>
    </w:p>
    <w:p w14:paraId="16652B13" w14:textId="37AC16FD" w:rsidR="00EC553A" w:rsidRDefault="00EC553A">
      <w:pPr>
        <w:pStyle w:val="TDC2"/>
        <w:rPr>
          <w:rFonts w:eastAsiaTheme="minorEastAsia"/>
          <w:i w:val="0"/>
          <w:iCs w:val="0"/>
          <w:lang w:eastAsia="es-MX"/>
        </w:rPr>
      </w:pPr>
      <w:hyperlink w:anchor="_Toc61633655" w:history="1">
        <w:r w:rsidRPr="00090E7B">
          <w:rPr>
            <w:rStyle w:val="Hipervnculo"/>
          </w:rPr>
          <w:t>Anexo 1. Indicadores</w:t>
        </w:r>
        <w:r>
          <w:rPr>
            <w:webHidden/>
          </w:rPr>
          <w:tab/>
        </w:r>
        <w:r>
          <w:rPr>
            <w:webHidden/>
          </w:rPr>
          <w:fldChar w:fldCharType="begin"/>
        </w:r>
        <w:r>
          <w:rPr>
            <w:webHidden/>
          </w:rPr>
          <w:instrText xml:space="preserve"> PAGEREF _Toc61633655 \h </w:instrText>
        </w:r>
        <w:r>
          <w:rPr>
            <w:webHidden/>
          </w:rPr>
        </w:r>
        <w:r>
          <w:rPr>
            <w:webHidden/>
          </w:rPr>
          <w:fldChar w:fldCharType="separate"/>
        </w:r>
        <w:r>
          <w:rPr>
            <w:webHidden/>
          </w:rPr>
          <w:t>83</w:t>
        </w:r>
        <w:r>
          <w:rPr>
            <w:webHidden/>
          </w:rPr>
          <w:fldChar w:fldCharType="end"/>
        </w:r>
      </w:hyperlink>
    </w:p>
    <w:p w14:paraId="42322682" w14:textId="38392226" w:rsidR="00EC553A" w:rsidRDefault="00EC553A">
      <w:pPr>
        <w:pStyle w:val="TDC2"/>
        <w:rPr>
          <w:rFonts w:eastAsiaTheme="minorEastAsia"/>
          <w:i w:val="0"/>
          <w:iCs w:val="0"/>
          <w:lang w:eastAsia="es-MX"/>
        </w:rPr>
      </w:pPr>
      <w:hyperlink w:anchor="_Toc61633656" w:history="1">
        <w:r w:rsidRPr="00090E7B">
          <w:rPr>
            <w:rStyle w:val="Hipervnculo"/>
          </w:rPr>
          <w:t>Anexo 2. Metas del Fondo</w:t>
        </w:r>
        <w:r>
          <w:rPr>
            <w:webHidden/>
          </w:rPr>
          <w:tab/>
        </w:r>
        <w:r>
          <w:rPr>
            <w:webHidden/>
          </w:rPr>
          <w:fldChar w:fldCharType="begin"/>
        </w:r>
        <w:r>
          <w:rPr>
            <w:webHidden/>
          </w:rPr>
          <w:instrText xml:space="preserve"> PAGEREF _Toc61633656 \h </w:instrText>
        </w:r>
        <w:r>
          <w:rPr>
            <w:webHidden/>
          </w:rPr>
        </w:r>
        <w:r>
          <w:rPr>
            <w:webHidden/>
          </w:rPr>
          <w:fldChar w:fldCharType="separate"/>
        </w:r>
        <w:r>
          <w:rPr>
            <w:webHidden/>
          </w:rPr>
          <w:t>84</w:t>
        </w:r>
        <w:r>
          <w:rPr>
            <w:webHidden/>
          </w:rPr>
          <w:fldChar w:fldCharType="end"/>
        </w:r>
      </w:hyperlink>
    </w:p>
    <w:p w14:paraId="18FC2252" w14:textId="65319182" w:rsidR="00EC553A" w:rsidRDefault="00EC553A">
      <w:pPr>
        <w:pStyle w:val="TDC2"/>
        <w:rPr>
          <w:rFonts w:eastAsiaTheme="minorEastAsia"/>
          <w:i w:val="0"/>
          <w:iCs w:val="0"/>
          <w:lang w:eastAsia="es-MX"/>
        </w:rPr>
      </w:pPr>
      <w:hyperlink w:anchor="_Toc61633657" w:history="1">
        <w:r w:rsidRPr="00090E7B">
          <w:rPr>
            <w:rStyle w:val="Hipervnculo"/>
          </w:rPr>
          <w:t>“Resultados de los indicadores estratégicos y de gestión del FAFEF”</w:t>
        </w:r>
        <w:r>
          <w:rPr>
            <w:webHidden/>
          </w:rPr>
          <w:tab/>
        </w:r>
        <w:r>
          <w:rPr>
            <w:webHidden/>
          </w:rPr>
          <w:fldChar w:fldCharType="begin"/>
        </w:r>
        <w:r>
          <w:rPr>
            <w:webHidden/>
          </w:rPr>
          <w:instrText xml:space="preserve"> PAGEREF _Toc61633657 \h </w:instrText>
        </w:r>
        <w:r>
          <w:rPr>
            <w:webHidden/>
          </w:rPr>
        </w:r>
        <w:r>
          <w:rPr>
            <w:webHidden/>
          </w:rPr>
          <w:fldChar w:fldCharType="separate"/>
        </w:r>
        <w:r>
          <w:rPr>
            <w:webHidden/>
          </w:rPr>
          <w:t>84</w:t>
        </w:r>
        <w:r>
          <w:rPr>
            <w:webHidden/>
          </w:rPr>
          <w:fldChar w:fldCharType="end"/>
        </w:r>
      </w:hyperlink>
    </w:p>
    <w:p w14:paraId="1BBD5625" w14:textId="71FE7B42" w:rsidR="00EC553A" w:rsidRDefault="00EC553A">
      <w:pPr>
        <w:pStyle w:val="TDC2"/>
        <w:rPr>
          <w:rFonts w:eastAsiaTheme="minorEastAsia"/>
          <w:i w:val="0"/>
          <w:iCs w:val="0"/>
          <w:lang w:eastAsia="es-MX"/>
        </w:rPr>
      </w:pPr>
      <w:hyperlink w:anchor="_Toc61633658" w:history="1">
        <w:r w:rsidRPr="00090E7B">
          <w:rPr>
            <w:rStyle w:val="Hipervnculo"/>
          </w:rPr>
          <w:t>Anexo 3. Propuesta de mejora de la Matriz de Indicadores para Resultados.</w:t>
        </w:r>
        <w:r>
          <w:rPr>
            <w:webHidden/>
          </w:rPr>
          <w:tab/>
        </w:r>
        <w:r>
          <w:rPr>
            <w:webHidden/>
          </w:rPr>
          <w:fldChar w:fldCharType="begin"/>
        </w:r>
        <w:r>
          <w:rPr>
            <w:webHidden/>
          </w:rPr>
          <w:instrText xml:space="preserve"> PAGEREF _Toc61633658 \h </w:instrText>
        </w:r>
        <w:r>
          <w:rPr>
            <w:webHidden/>
          </w:rPr>
        </w:r>
        <w:r>
          <w:rPr>
            <w:webHidden/>
          </w:rPr>
          <w:fldChar w:fldCharType="separate"/>
        </w:r>
        <w:r>
          <w:rPr>
            <w:webHidden/>
          </w:rPr>
          <w:t>85</w:t>
        </w:r>
        <w:r>
          <w:rPr>
            <w:webHidden/>
          </w:rPr>
          <w:fldChar w:fldCharType="end"/>
        </w:r>
      </w:hyperlink>
    </w:p>
    <w:p w14:paraId="499E7F51" w14:textId="355BA7CE" w:rsidR="00EC553A" w:rsidRDefault="00EC553A">
      <w:pPr>
        <w:pStyle w:val="TDC2"/>
        <w:rPr>
          <w:rFonts w:eastAsiaTheme="minorEastAsia"/>
          <w:i w:val="0"/>
          <w:iCs w:val="0"/>
          <w:lang w:eastAsia="es-MX"/>
        </w:rPr>
      </w:pPr>
      <w:hyperlink w:anchor="_Toc61633659" w:history="1">
        <w:r w:rsidRPr="00090E7B">
          <w:rPr>
            <w:rStyle w:val="Hipervnculo"/>
          </w:rPr>
          <w:t>Anexo 4. Evolución de la Cobertura.</w:t>
        </w:r>
        <w:r>
          <w:rPr>
            <w:webHidden/>
          </w:rPr>
          <w:tab/>
        </w:r>
        <w:r>
          <w:rPr>
            <w:webHidden/>
          </w:rPr>
          <w:fldChar w:fldCharType="begin"/>
        </w:r>
        <w:r>
          <w:rPr>
            <w:webHidden/>
          </w:rPr>
          <w:instrText xml:space="preserve"> PAGEREF _Toc61633659 \h </w:instrText>
        </w:r>
        <w:r>
          <w:rPr>
            <w:webHidden/>
          </w:rPr>
        </w:r>
        <w:r>
          <w:rPr>
            <w:webHidden/>
          </w:rPr>
          <w:fldChar w:fldCharType="separate"/>
        </w:r>
        <w:r>
          <w:rPr>
            <w:webHidden/>
          </w:rPr>
          <w:t>86</w:t>
        </w:r>
        <w:r>
          <w:rPr>
            <w:webHidden/>
          </w:rPr>
          <w:fldChar w:fldCharType="end"/>
        </w:r>
      </w:hyperlink>
    </w:p>
    <w:p w14:paraId="608710E7" w14:textId="02581CD4" w:rsidR="00EC553A" w:rsidRDefault="00EC553A">
      <w:pPr>
        <w:pStyle w:val="TDC2"/>
        <w:rPr>
          <w:rFonts w:eastAsiaTheme="minorEastAsia"/>
          <w:i w:val="0"/>
          <w:iCs w:val="0"/>
          <w:lang w:eastAsia="es-MX"/>
        </w:rPr>
      </w:pPr>
      <w:hyperlink w:anchor="_Toc61633660" w:history="1">
        <w:r w:rsidRPr="00090E7B">
          <w:rPr>
            <w:rStyle w:val="Hipervnculo"/>
          </w:rPr>
          <w:t>Anexo 5. Diagramas de flujo de la coordinación del Fondo</w:t>
        </w:r>
        <w:r>
          <w:rPr>
            <w:webHidden/>
          </w:rPr>
          <w:tab/>
        </w:r>
        <w:r>
          <w:rPr>
            <w:webHidden/>
          </w:rPr>
          <w:fldChar w:fldCharType="begin"/>
        </w:r>
        <w:r>
          <w:rPr>
            <w:webHidden/>
          </w:rPr>
          <w:instrText xml:space="preserve"> PAGEREF _Toc61633660 \h </w:instrText>
        </w:r>
        <w:r>
          <w:rPr>
            <w:webHidden/>
          </w:rPr>
        </w:r>
        <w:r>
          <w:rPr>
            <w:webHidden/>
          </w:rPr>
          <w:fldChar w:fldCharType="separate"/>
        </w:r>
        <w:r>
          <w:rPr>
            <w:webHidden/>
          </w:rPr>
          <w:t>87</w:t>
        </w:r>
        <w:r>
          <w:rPr>
            <w:webHidden/>
          </w:rPr>
          <w:fldChar w:fldCharType="end"/>
        </w:r>
      </w:hyperlink>
    </w:p>
    <w:p w14:paraId="38A05CE3" w14:textId="400E2900" w:rsidR="00EC553A" w:rsidRDefault="00EC553A">
      <w:pPr>
        <w:pStyle w:val="TDC2"/>
        <w:rPr>
          <w:rFonts w:eastAsiaTheme="minorEastAsia"/>
          <w:i w:val="0"/>
          <w:iCs w:val="0"/>
          <w:lang w:eastAsia="es-MX"/>
        </w:rPr>
      </w:pPr>
      <w:hyperlink w:anchor="_Toc61633661" w:history="1">
        <w:r w:rsidRPr="00090E7B">
          <w:rPr>
            <w:rStyle w:val="Hipervnculo"/>
          </w:rPr>
          <w:t>Anexo 6. Complementariedades y coincidencias entre programas federales y sinergias con políticas, programas o proyectos locales</w:t>
        </w:r>
        <w:r>
          <w:rPr>
            <w:webHidden/>
          </w:rPr>
          <w:tab/>
        </w:r>
        <w:r>
          <w:rPr>
            <w:webHidden/>
          </w:rPr>
          <w:fldChar w:fldCharType="begin"/>
        </w:r>
        <w:r>
          <w:rPr>
            <w:webHidden/>
          </w:rPr>
          <w:instrText xml:space="preserve"> PAGEREF _Toc61633661 \h </w:instrText>
        </w:r>
        <w:r>
          <w:rPr>
            <w:webHidden/>
          </w:rPr>
        </w:r>
        <w:r>
          <w:rPr>
            <w:webHidden/>
          </w:rPr>
          <w:fldChar w:fldCharType="separate"/>
        </w:r>
        <w:r>
          <w:rPr>
            <w:webHidden/>
          </w:rPr>
          <w:t>93</w:t>
        </w:r>
        <w:r>
          <w:rPr>
            <w:webHidden/>
          </w:rPr>
          <w:fldChar w:fldCharType="end"/>
        </w:r>
      </w:hyperlink>
    </w:p>
    <w:p w14:paraId="7B184AAD" w14:textId="0A8295B3" w:rsidR="00EC553A" w:rsidRDefault="00EC553A">
      <w:pPr>
        <w:pStyle w:val="TDC2"/>
        <w:rPr>
          <w:rFonts w:eastAsiaTheme="minorEastAsia"/>
          <w:i w:val="0"/>
          <w:iCs w:val="0"/>
          <w:lang w:eastAsia="es-MX"/>
        </w:rPr>
      </w:pPr>
      <w:hyperlink w:anchor="_Toc61633662" w:history="1">
        <w:r w:rsidRPr="00090E7B">
          <w:rPr>
            <w:rStyle w:val="Hipervnculo"/>
          </w:rPr>
          <w:t>Anexo 7. Valor agregado de los Programas presupuestarios al Fondo.</w:t>
        </w:r>
        <w:r>
          <w:rPr>
            <w:webHidden/>
          </w:rPr>
          <w:tab/>
        </w:r>
        <w:r>
          <w:rPr>
            <w:webHidden/>
          </w:rPr>
          <w:fldChar w:fldCharType="begin"/>
        </w:r>
        <w:r>
          <w:rPr>
            <w:webHidden/>
          </w:rPr>
          <w:instrText xml:space="preserve"> PAGEREF _Toc61633662 \h </w:instrText>
        </w:r>
        <w:r>
          <w:rPr>
            <w:webHidden/>
          </w:rPr>
        </w:r>
        <w:r>
          <w:rPr>
            <w:webHidden/>
          </w:rPr>
          <w:fldChar w:fldCharType="separate"/>
        </w:r>
        <w:r>
          <w:rPr>
            <w:webHidden/>
          </w:rPr>
          <w:t>95</w:t>
        </w:r>
        <w:r>
          <w:rPr>
            <w:webHidden/>
          </w:rPr>
          <w:fldChar w:fldCharType="end"/>
        </w:r>
      </w:hyperlink>
    </w:p>
    <w:p w14:paraId="6DF5C35C" w14:textId="3A2487D8" w:rsidR="00EC553A" w:rsidRDefault="00EC553A">
      <w:pPr>
        <w:pStyle w:val="TDC2"/>
        <w:rPr>
          <w:rFonts w:eastAsiaTheme="minorEastAsia"/>
          <w:i w:val="0"/>
          <w:iCs w:val="0"/>
          <w:lang w:eastAsia="es-MX"/>
        </w:rPr>
      </w:pPr>
      <w:hyperlink w:anchor="_Toc61633663" w:history="1">
        <w:r w:rsidRPr="00090E7B">
          <w:rPr>
            <w:rStyle w:val="Hipervnculo"/>
          </w:rPr>
          <w:t>Anexo 8. Sinergias con políticas, programas o proyectos locales de Fondos de otras Aportaciones Federales aplicados en la Entidad Federativa</w:t>
        </w:r>
        <w:r>
          <w:rPr>
            <w:webHidden/>
          </w:rPr>
          <w:tab/>
        </w:r>
        <w:r>
          <w:rPr>
            <w:webHidden/>
          </w:rPr>
          <w:fldChar w:fldCharType="begin"/>
        </w:r>
        <w:r>
          <w:rPr>
            <w:webHidden/>
          </w:rPr>
          <w:instrText xml:space="preserve"> PAGEREF _Toc61633663 \h </w:instrText>
        </w:r>
        <w:r>
          <w:rPr>
            <w:webHidden/>
          </w:rPr>
        </w:r>
        <w:r>
          <w:rPr>
            <w:webHidden/>
          </w:rPr>
          <w:fldChar w:fldCharType="separate"/>
        </w:r>
        <w:r>
          <w:rPr>
            <w:webHidden/>
          </w:rPr>
          <w:t>98</w:t>
        </w:r>
        <w:r>
          <w:rPr>
            <w:webHidden/>
          </w:rPr>
          <w:fldChar w:fldCharType="end"/>
        </w:r>
      </w:hyperlink>
    </w:p>
    <w:p w14:paraId="08548BA6" w14:textId="211C4331" w:rsidR="00EC553A" w:rsidRDefault="00EC553A">
      <w:pPr>
        <w:pStyle w:val="TDC2"/>
        <w:rPr>
          <w:rFonts w:eastAsiaTheme="minorEastAsia"/>
          <w:i w:val="0"/>
          <w:iCs w:val="0"/>
          <w:lang w:eastAsia="es-MX"/>
        </w:rPr>
      </w:pPr>
      <w:hyperlink w:anchor="_Toc61633664" w:history="1">
        <w:r w:rsidRPr="00090E7B">
          <w:rPr>
            <w:rStyle w:val="Hipervnculo"/>
          </w:rPr>
          <w:t>Anexo 9. Principales Fortalezas, Oportunidades, Debilidades, Amenazas y Recomendaciones.</w:t>
        </w:r>
        <w:r>
          <w:rPr>
            <w:webHidden/>
          </w:rPr>
          <w:tab/>
        </w:r>
        <w:r>
          <w:rPr>
            <w:webHidden/>
          </w:rPr>
          <w:fldChar w:fldCharType="begin"/>
        </w:r>
        <w:r>
          <w:rPr>
            <w:webHidden/>
          </w:rPr>
          <w:instrText xml:space="preserve"> PAGEREF _Toc61633664 \h </w:instrText>
        </w:r>
        <w:r>
          <w:rPr>
            <w:webHidden/>
          </w:rPr>
        </w:r>
        <w:r>
          <w:rPr>
            <w:webHidden/>
          </w:rPr>
          <w:fldChar w:fldCharType="separate"/>
        </w:r>
        <w:r>
          <w:rPr>
            <w:webHidden/>
          </w:rPr>
          <w:t>103</w:t>
        </w:r>
        <w:r>
          <w:rPr>
            <w:webHidden/>
          </w:rPr>
          <w:fldChar w:fldCharType="end"/>
        </w:r>
      </w:hyperlink>
    </w:p>
    <w:p w14:paraId="2E7E1016" w14:textId="0C7200FA" w:rsidR="00EC553A" w:rsidRDefault="00EC553A">
      <w:pPr>
        <w:pStyle w:val="TDC2"/>
        <w:rPr>
          <w:rFonts w:eastAsiaTheme="minorEastAsia"/>
          <w:i w:val="0"/>
          <w:iCs w:val="0"/>
          <w:lang w:eastAsia="es-MX"/>
        </w:rPr>
      </w:pPr>
      <w:hyperlink w:anchor="_Toc61633665" w:history="1">
        <w:r w:rsidRPr="00090E7B">
          <w:rPr>
            <w:rStyle w:val="Hipervnculo"/>
          </w:rPr>
          <w:t>Anexo 10. Valoración Final del Fondo en la Entidad Federativa</w:t>
        </w:r>
        <w:r>
          <w:rPr>
            <w:webHidden/>
          </w:rPr>
          <w:tab/>
        </w:r>
        <w:r>
          <w:rPr>
            <w:webHidden/>
          </w:rPr>
          <w:fldChar w:fldCharType="begin"/>
        </w:r>
        <w:r>
          <w:rPr>
            <w:webHidden/>
          </w:rPr>
          <w:instrText xml:space="preserve"> PAGEREF _Toc61633665 \h </w:instrText>
        </w:r>
        <w:r>
          <w:rPr>
            <w:webHidden/>
          </w:rPr>
        </w:r>
        <w:r>
          <w:rPr>
            <w:webHidden/>
          </w:rPr>
          <w:fldChar w:fldCharType="separate"/>
        </w:r>
        <w:r>
          <w:rPr>
            <w:webHidden/>
          </w:rPr>
          <w:t>112</w:t>
        </w:r>
        <w:r>
          <w:rPr>
            <w:webHidden/>
          </w:rPr>
          <w:fldChar w:fldCharType="end"/>
        </w:r>
      </w:hyperlink>
    </w:p>
    <w:p w14:paraId="353BD8FC" w14:textId="7EBD4E53" w:rsidR="00EC553A" w:rsidRDefault="00EC553A">
      <w:pPr>
        <w:pStyle w:val="TDC2"/>
        <w:rPr>
          <w:rFonts w:eastAsiaTheme="minorEastAsia"/>
          <w:i w:val="0"/>
          <w:iCs w:val="0"/>
          <w:lang w:eastAsia="es-MX"/>
        </w:rPr>
      </w:pPr>
      <w:hyperlink w:anchor="_Toc61633666" w:history="1">
        <w:r w:rsidRPr="00090E7B">
          <w:rPr>
            <w:rStyle w:val="Hipervnculo"/>
          </w:rPr>
          <w:t>Anexo 11. Ficha Técnica con los datos generales de la evaluación.</w:t>
        </w:r>
        <w:r>
          <w:rPr>
            <w:webHidden/>
          </w:rPr>
          <w:tab/>
        </w:r>
        <w:r>
          <w:rPr>
            <w:webHidden/>
          </w:rPr>
          <w:fldChar w:fldCharType="begin"/>
        </w:r>
        <w:r>
          <w:rPr>
            <w:webHidden/>
          </w:rPr>
          <w:instrText xml:space="preserve"> PAGEREF _Toc61633666 \h </w:instrText>
        </w:r>
        <w:r>
          <w:rPr>
            <w:webHidden/>
          </w:rPr>
        </w:r>
        <w:r>
          <w:rPr>
            <w:webHidden/>
          </w:rPr>
          <w:fldChar w:fldCharType="separate"/>
        </w:r>
        <w:r>
          <w:rPr>
            <w:webHidden/>
          </w:rPr>
          <w:t>115</w:t>
        </w:r>
        <w:r>
          <w:rPr>
            <w:webHidden/>
          </w:rPr>
          <w:fldChar w:fldCharType="end"/>
        </w:r>
      </w:hyperlink>
    </w:p>
    <w:p w14:paraId="7BD968C2" w14:textId="54000FD7" w:rsidR="00933C97" w:rsidRPr="00004390" w:rsidRDefault="001E6E08" w:rsidP="00B04845">
      <w:pPr>
        <w:pStyle w:val="TDC2"/>
        <w:spacing w:after="120"/>
        <w:rPr>
          <w:rFonts w:cstheme="minorHAnsi"/>
        </w:rPr>
      </w:pPr>
      <w:r w:rsidRPr="00004390">
        <w:rPr>
          <w:rFonts w:cstheme="minorHAnsi"/>
          <w:i w:val="0"/>
          <w:iCs w:val="0"/>
          <w:noProof w:val="0"/>
        </w:rPr>
        <w:lastRenderedPageBreak/>
        <w:fldChar w:fldCharType="end"/>
      </w:r>
    </w:p>
    <w:p w14:paraId="57C8CDE1" w14:textId="77777777" w:rsidR="00F20CBE" w:rsidRDefault="00F20CBE" w:rsidP="009D52AC">
      <w:pPr>
        <w:jc w:val="center"/>
        <w:rPr>
          <w:b/>
          <w:bCs/>
          <w:sz w:val="32"/>
          <w:szCs w:val="32"/>
        </w:rPr>
        <w:sectPr w:rsidR="00F20CBE" w:rsidSect="00F20CBE">
          <w:footerReference w:type="default" r:id="rId11"/>
          <w:pgSz w:w="12240" w:h="15840" w:code="1"/>
          <w:pgMar w:top="1134" w:right="1134" w:bottom="1134" w:left="1134" w:header="709" w:footer="709" w:gutter="0"/>
          <w:pgNumType w:fmt="lowerRoman" w:start="1"/>
          <w:cols w:space="708"/>
          <w:docGrid w:linePitch="360"/>
        </w:sectPr>
      </w:pPr>
    </w:p>
    <w:p w14:paraId="6D45F60E" w14:textId="558E8673" w:rsidR="00FA0B9B" w:rsidRPr="00F27F01" w:rsidRDefault="00933C97" w:rsidP="00D44A03">
      <w:pPr>
        <w:spacing w:after="360"/>
        <w:jc w:val="center"/>
        <w:rPr>
          <w:b/>
          <w:bCs/>
          <w:sz w:val="32"/>
          <w:szCs w:val="32"/>
        </w:rPr>
      </w:pPr>
      <w:r w:rsidRPr="00F27F01">
        <w:rPr>
          <w:b/>
          <w:bCs/>
          <w:sz w:val="32"/>
          <w:szCs w:val="32"/>
        </w:rPr>
        <w:lastRenderedPageBreak/>
        <w:t>Índice de cuadros</w:t>
      </w:r>
    </w:p>
    <w:p w14:paraId="58EE7FDC" w14:textId="24DAA5CE" w:rsidR="00770EC0" w:rsidRDefault="00D44A03" w:rsidP="00217FED">
      <w:pPr>
        <w:pStyle w:val="TDC1"/>
        <w:rPr>
          <w:rFonts w:eastAsiaTheme="minorEastAsia"/>
          <w:noProof/>
          <w:lang w:eastAsia="es-MX"/>
        </w:rPr>
      </w:pPr>
      <w:r>
        <w:rPr>
          <w:b/>
          <w:bCs/>
          <w:sz w:val="32"/>
          <w:szCs w:val="32"/>
        </w:rPr>
        <w:fldChar w:fldCharType="begin"/>
      </w:r>
      <w:r>
        <w:rPr>
          <w:b/>
          <w:bCs/>
          <w:sz w:val="32"/>
          <w:szCs w:val="32"/>
        </w:rPr>
        <w:instrText xml:space="preserve"> TOC \h \z \t "Cuadro,1" </w:instrText>
      </w:r>
      <w:r>
        <w:rPr>
          <w:b/>
          <w:bCs/>
          <w:sz w:val="32"/>
          <w:szCs w:val="32"/>
        </w:rPr>
        <w:fldChar w:fldCharType="separate"/>
      </w:r>
      <w:hyperlink w:anchor="_Toc56069928" w:history="1">
        <w:r w:rsidR="00770EC0" w:rsidRPr="002B705A">
          <w:rPr>
            <w:rStyle w:val="Hipervnculo"/>
            <w:noProof/>
          </w:rPr>
          <w:t>Cuadro 1. Apartados que integran el informe final de la evaluación</w:t>
        </w:r>
        <w:r w:rsidR="00770EC0">
          <w:rPr>
            <w:noProof/>
            <w:webHidden/>
          </w:rPr>
          <w:tab/>
        </w:r>
        <w:r w:rsidR="00770EC0">
          <w:rPr>
            <w:noProof/>
            <w:webHidden/>
          </w:rPr>
          <w:fldChar w:fldCharType="begin"/>
        </w:r>
        <w:r w:rsidR="00770EC0">
          <w:rPr>
            <w:noProof/>
            <w:webHidden/>
          </w:rPr>
          <w:instrText xml:space="preserve"> PAGEREF _Toc56069928 \h </w:instrText>
        </w:r>
        <w:r w:rsidR="00770EC0">
          <w:rPr>
            <w:noProof/>
            <w:webHidden/>
          </w:rPr>
        </w:r>
        <w:r w:rsidR="00770EC0">
          <w:rPr>
            <w:noProof/>
            <w:webHidden/>
          </w:rPr>
          <w:fldChar w:fldCharType="separate"/>
        </w:r>
        <w:r w:rsidR="00EC553A">
          <w:rPr>
            <w:noProof/>
            <w:webHidden/>
          </w:rPr>
          <w:t>15</w:t>
        </w:r>
        <w:r w:rsidR="00770EC0">
          <w:rPr>
            <w:noProof/>
            <w:webHidden/>
          </w:rPr>
          <w:fldChar w:fldCharType="end"/>
        </w:r>
      </w:hyperlink>
    </w:p>
    <w:p w14:paraId="50ABF56F" w14:textId="079D904B" w:rsidR="00770EC0" w:rsidRDefault="00EC553A" w:rsidP="00217FED">
      <w:pPr>
        <w:pStyle w:val="TDC1"/>
        <w:rPr>
          <w:rFonts w:eastAsiaTheme="minorEastAsia"/>
          <w:noProof/>
          <w:lang w:eastAsia="es-MX"/>
        </w:rPr>
      </w:pPr>
      <w:hyperlink w:anchor="_Toc56069929" w:history="1">
        <w:r w:rsidR="00770EC0" w:rsidRPr="002B705A">
          <w:rPr>
            <w:rStyle w:val="Hipervnculo"/>
            <w:noProof/>
          </w:rPr>
          <w:t>Cuadro 2. Ejercicio del FAFEF por rubro de gasto y Pp en 2018 (mdp a precios corrientes).</w:t>
        </w:r>
        <w:r w:rsidR="00770EC0">
          <w:rPr>
            <w:noProof/>
            <w:webHidden/>
          </w:rPr>
          <w:tab/>
        </w:r>
        <w:r w:rsidR="00770EC0">
          <w:rPr>
            <w:noProof/>
            <w:webHidden/>
          </w:rPr>
          <w:fldChar w:fldCharType="begin"/>
        </w:r>
        <w:r w:rsidR="00770EC0">
          <w:rPr>
            <w:noProof/>
            <w:webHidden/>
          </w:rPr>
          <w:instrText xml:space="preserve"> PAGEREF _Toc56069929 \h </w:instrText>
        </w:r>
        <w:r w:rsidR="00770EC0">
          <w:rPr>
            <w:noProof/>
            <w:webHidden/>
          </w:rPr>
        </w:r>
        <w:r w:rsidR="00770EC0">
          <w:rPr>
            <w:noProof/>
            <w:webHidden/>
          </w:rPr>
          <w:fldChar w:fldCharType="separate"/>
        </w:r>
        <w:r>
          <w:rPr>
            <w:noProof/>
            <w:webHidden/>
          </w:rPr>
          <w:t>17</w:t>
        </w:r>
        <w:r w:rsidR="00770EC0">
          <w:rPr>
            <w:noProof/>
            <w:webHidden/>
          </w:rPr>
          <w:fldChar w:fldCharType="end"/>
        </w:r>
      </w:hyperlink>
    </w:p>
    <w:p w14:paraId="6FF38D58" w14:textId="2F259F60" w:rsidR="00770EC0" w:rsidRDefault="00EC553A" w:rsidP="00217FED">
      <w:pPr>
        <w:pStyle w:val="TDC1"/>
        <w:rPr>
          <w:rFonts w:eastAsiaTheme="minorEastAsia"/>
          <w:noProof/>
          <w:lang w:eastAsia="es-MX"/>
        </w:rPr>
      </w:pPr>
      <w:hyperlink w:anchor="_Toc56069930" w:history="1">
        <w:r w:rsidR="00770EC0" w:rsidRPr="002B705A">
          <w:rPr>
            <w:rStyle w:val="Hipervnculo"/>
            <w:noProof/>
          </w:rPr>
          <w:t>Cuadro 3. Resumen narrativo de la MIR federal del FAFEF</w:t>
        </w:r>
        <w:r w:rsidR="00770EC0" w:rsidRPr="002B705A">
          <w:rPr>
            <w:rStyle w:val="Hipervnculo"/>
            <w:i/>
            <w:iCs/>
            <w:noProof/>
          </w:rPr>
          <w:t xml:space="preserve"> 2018.</w:t>
        </w:r>
        <w:r w:rsidR="00770EC0">
          <w:rPr>
            <w:noProof/>
            <w:webHidden/>
          </w:rPr>
          <w:tab/>
        </w:r>
        <w:r w:rsidR="00770EC0">
          <w:rPr>
            <w:noProof/>
            <w:webHidden/>
          </w:rPr>
          <w:fldChar w:fldCharType="begin"/>
        </w:r>
        <w:r w:rsidR="00770EC0">
          <w:rPr>
            <w:noProof/>
            <w:webHidden/>
          </w:rPr>
          <w:instrText xml:space="preserve"> PAGEREF _Toc56069930 \h </w:instrText>
        </w:r>
        <w:r w:rsidR="00770EC0">
          <w:rPr>
            <w:noProof/>
            <w:webHidden/>
          </w:rPr>
        </w:r>
        <w:r w:rsidR="00770EC0">
          <w:rPr>
            <w:noProof/>
            <w:webHidden/>
          </w:rPr>
          <w:fldChar w:fldCharType="separate"/>
        </w:r>
        <w:r>
          <w:rPr>
            <w:noProof/>
            <w:webHidden/>
          </w:rPr>
          <w:t>18</w:t>
        </w:r>
        <w:r w:rsidR="00770EC0">
          <w:rPr>
            <w:noProof/>
            <w:webHidden/>
          </w:rPr>
          <w:fldChar w:fldCharType="end"/>
        </w:r>
      </w:hyperlink>
    </w:p>
    <w:p w14:paraId="6D8269FE" w14:textId="04B176C2" w:rsidR="00770EC0" w:rsidRDefault="00EC553A" w:rsidP="00217FED">
      <w:pPr>
        <w:pStyle w:val="TDC1"/>
        <w:rPr>
          <w:rFonts w:eastAsiaTheme="minorEastAsia"/>
          <w:noProof/>
          <w:lang w:eastAsia="es-MX"/>
        </w:rPr>
      </w:pPr>
      <w:hyperlink w:anchor="_Toc56069931" w:history="1">
        <w:r w:rsidR="00770EC0" w:rsidRPr="002B705A">
          <w:rPr>
            <w:rStyle w:val="Hipervnculo"/>
            <w:noProof/>
          </w:rPr>
          <w:t>Cuadro 4. Ejercicio del FAFEF por rubro de gasto en Tamaulipas 2013-2018</w:t>
        </w:r>
        <w:r w:rsidR="00770EC0">
          <w:rPr>
            <w:noProof/>
            <w:webHidden/>
          </w:rPr>
          <w:tab/>
        </w:r>
        <w:r w:rsidR="00770EC0">
          <w:rPr>
            <w:noProof/>
            <w:webHidden/>
          </w:rPr>
          <w:fldChar w:fldCharType="begin"/>
        </w:r>
        <w:r w:rsidR="00770EC0">
          <w:rPr>
            <w:noProof/>
            <w:webHidden/>
          </w:rPr>
          <w:instrText xml:space="preserve"> PAGEREF _Toc56069931 \h </w:instrText>
        </w:r>
        <w:r w:rsidR="00770EC0">
          <w:rPr>
            <w:noProof/>
            <w:webHidden/>
          </w:rPr>
        </w:r>
        <w:r w:rsidR="00770EC0">
          <w:rPr>
            <w:noProof/>
            <w:webHidden/>
          </w:rPr>
          <w:fldChar w:fldCharType="separate"/>
        </w:r>
        <w:r>
          <w:rPr>
            <w:noProof/>
            <w:webHidden/>
          </w:rPr>
          <w:t>19</w:t>
        </w:r>
        <w:r w:rsidR="00770EC0">
          <w:rPr>
            <w:noProof/>
            <w:webHidden/>
          </w:rPr>
          <w:fldChar w:fldCharType="end"/>
        </w:r>
      </w:hyperlink>
    </w:p>
    <w:p w14:paraId="3F292D62" w14:textId="0F51076B" w:rsidR="00770EC0" w:rsidRDefault="00EC553A" w:rsidP="00217FED">
      <w:pPr>
        <w:pStyle w:val="TDC1"/>
        <w:rPr>
          <w:rFonts w:eastAsiaTheme="minorEastAsia"/>
          <w:noProof/>
          <w:lang w:eastAsia="es-MX"/>
        </w:rPr>
      </w:pPr>
      <w:hyperlink w:anchor="_Toc56069932" w:history="1">
        <w:r w:rsidR="00770EC0" w:rsidRPr="002B705A">
          <w:rPr>
            <w:rStyle w:val="Hipervnculo"/>
            <w:noProof/>
          </w:rPr>
          <w:t>Cuadro 5. Evolución del presupuesto FAFEF en Tamaulipas y su importancia en el presupuesto estatal.</w:t>
        </w:r>
        <w:r w:rsidR="00770EC0">
          <w:rPr>
            <w:noProof/>
            <w:webHidden/>
          </w:rPr>
          <w:tab/>
        </w:r>
        <w:r w:rsidR="00770EC0">
          <w:rPr>
            <w:noProof/>
            <w:webHidden/>
          </w:rPr>
          <w:fldChar w:fldCharType="begin"/>
        </w:r>
        <w:r w:rsidR="00770EC0">
          <w:rPr>
            <w:noProof/>
            <w:webHidden/>
          </w:rPr>
          <w:instrText xml:space="preserve"> PAGEREF _Toc56069932 \h </w:instrText>
        </w:r>
        <w:r w:rsidR="00770EC0">
          <w:rPr>
            <w:noProof/>
            <w:webHidden/>
          </w:rPr>
        </w:r>
        <w:r w:rsidR="00770EC0">
          <w:rPr>
            <w:noProof/>
            <w:webHidden/>
          </w:rPr>
          <w:fldChar w:fldCharType="separate"/>
        </w:r>
        <w:r>
          <w:rPr>
            <w:noProof/>
            <w:webHidden/>
          </w:rPr>
          <w:t>21</w:t>
        </w:r>
        <w:r w:rsidR="00770EC0">
          <w:rPr>
            <w:noProof/>
            <w:webHidden/>
          </w:rPr>
          <w:fldChar w:fldCharType="end"/>
        </w:r>
      </w:hyperlink>
    </w:p>
    <w:p w14:paraId="29BEE909" w14:textId="5921C58E" w:rsidR="00770EC0" w:rsidRDefault="00EC553A" w:rsidP="00217FED">
      <w:pPr>
        <w:pStyle w:val="TDC1"/>
        <w:rPr>
          <w:rFonts w:eastAsiaTheme="minorEastAsia"/>
          <w:noProof/>
          <w:lang w:eastAsia="es-MX"/>
        </w:rPr>
      </w:pPr>
      <w:hyperlink w:anchor="_Toc56069933" w:history="1">
        <w:r w:rsidR="00770EC0" w:rsidRPr="002B705A">
          <w:rPr>
            <w:rStyle w:val="Hipervnculo"/>
            <w:noProof/>
          </w:rPr>
          <w:t>Cuadro 6. Contribución del FAFEF al balance de la deuda pública de Tamaulipas 2014-2018 (mdp)</w:t>
        </w:r>
        <w:r w:rsidR="00770EC0">
          <w:rPr>
            <w:noProof/>
            <w:webHidden/>
          </w:rPr>
          <w:tab/>
        </w:r>
        <w:r w:rsidR="00770EC0">
          <w:rPr>
            <w:noProof/>
            <w:webHidden/>
          </w:rPr>
          <w:fldChar w:fldCharType="begin"/>
        </w:r>
        <w:r w:rsidR="00770EC0">
          <w:rPr>
            <w:noProof/>
            <w:webHidden/>
          </w:rPr>
          <w:instrText xml:space="preserve"> PAGEREF _Toc56069933 \h </w:instrText>
        </w:r>
        <w:r w:rsidR="00770EC0">
          <w:rPr>
            <w:noProof/>
            <w:webHidden/>
          </w:rPr>
        </w:r>
        <w:r w:rsidR="00770EC0">
          <w:rPr>
            <w:noProof/>
            <w:webHidden/>
          </w:rPr>
          <w:fldChar w:fldCharType="separate"/>
        </w:r>
        <w:r>
          <w:rPr>
            <w:noProof/>
            <w:webHidden/>
          </w:rPr>
          <w:t>23</w:t>
        </w:r>
        <w:r w:rsidR="00770EC0">
          <w:rPr>
            <w:noProof/>
            <w:webHidden/>
          </w:rPr>
          <w:fldChar w:fldCharType="end"/>
        </w:r>
      </w:hyperlink>
    </w:p>
    <w:p w14:paraId="1BFECF58" w14:textId="75E5B28B" w:rsidR="00770EC0" w:rsidRDefault="00EC553A" w:rsidP="00217FED">
      <w:pPr>
        <w:pStyle w:val="TDC1"/>
        <w:rPr>
          <w:rFonts w:eastAsiaTheme="minorEastAsia"/>
          <w:noProof/>
          <w:lang w:eastAsia="es-MX"/>
        </w:rPr>
      </w:pPr>
      <w:hyperlink w:anchor="_Toc56069934" w:history="1">
        <w:r w:rsidR="00770EC0" w:rsidRPr="002B705A">
          <w:rPr>
            <w:rStyle w:val="Hipervnculo"/>
            <w:noProof/>
          </w:rPr>
          <w:t>Cuadro 7. Principales resultados y recomendaciones de las evaluaciones realizadas al FAFEF en Tamaulipas.</w:t>
        </w:r>
        <w:r w:rsidR="00770EC0">
          <w:rPr>
            <w:noProof/>
            <w:webHidden/>
          </w:rPr>
          <w:tab/>
        </w:r>
        <w:r w:rsidR="00770EC0">
          <w:rPr>
            <w:noProof/>
            <w:webHidden/>
          </w:rPr>
          <w:fldChar w:fldCharType="begin"/>
        </w:r>
        <w:r w:rsidR="00770EC0">
          <w:rPr>
            <w:noProof/>
            <w:webHidden/>
          </w:rPr>
          <w:instrText xml:space="preserve"> PAGEREF _Toc56069934 \h </w:instrText>
        </w:r>
        <w:r w:rsidR="00770EC0">
          <w:rPr>
            <w:noProof/>
            <w:webHidden/>
          </w:rPr>
        </w:r>
        <w:r w:rsidR="00770EC0">
          <w:rPr>
            <w:noProof/>
            <w:webHidden/>
          </w:rPr>
          <w:fldChar w:fldCharType="separate"/>
        </w:r>
        <w:r>
          <w:rPr>
            <w:noProof/>
            <w:webHidden/>
          </w:rPr>
          <w:t>24</w:t>
        </w:r>
        <w:r w:rsidR="00770EC0">
          <w:rPr>
            <w:noProof/>
            <w:webHidden/>
          </w:rPr>
          <w:fldChar w:fldCharType="end"/>
        </w:r>
      </w:hyperlink>
    </w:p>
    <w:p w14:paraId="19652AFA" w14:textId="4F046B76" w:rsidR="00770EC0" w:rsidRDefault="00EC553A" w:rsidP="00217FED">
      <w:pPr>
        <w:pStyle w:val="TDC1"/>
        <w:rPr>
          <w:rFonts w:eastAsiaTheme="minorEastAsia"/>
          <w:noProof/>
          <w:lang w:eastAsia="es-MX"/>
        </w:rPr>
      </w:pPr>
      <w:hyperlink w:anchor="_Toc56069935" w:history="1">
        <w:r w:rsidR="00770EC0" w:rsidRPr="002B705A">
          <w:rPr>
            <w:rStyle w:val="Hipervnculo"/>
            <w:noProof/>
          </w:rPr>
          <w:t>Cuadro 8. Programas presupuestarios financiados con recursos del FAFEF en 2018.</w:t>
        </w:r>
        <w:r w:rsidR="00770EC0">
          <w:rPr>
            <w:noProof/>
            <w:webHidden/>
          </w:rPr>
          <w:tab/>
        </w:r>
        <w:r w:rsidR="00770EC0">
          <w:rPr>
            <w:noProof/>
            <w:webHidden/>
          </w:rPr>
          <w:fldChar w:fldCharType="begin"/>
        </w:r>
        <w:r w:rsidR="00770EC0">
          <w:rPr>
            <w:noProof/>
            <w:webHidden/>
          </w:rPr>
          <w:instrText xml:space="preserve"> PAGEREF _Toc56069935 \h </w:instrText>
        </w:r>
        <w:r w:rsidR="00770EC0">
          <w:rPr>
            <w:noProof/>
            <w:webHidden/>
          </w:rPr>
        </w:r>
        <w:r w:rsidR="00770EC0">
          <w:rPr>
            <w:noProof/>
            <w:webHidden/>
          </w:rPr>
          <w:fldChar w:fldCharType="separate"/>
        </w:r>
        <w:r>
          <w:rPr>
            <w:noProof/>
            <w:webHidden/>
          </w:rPr>
          <w:t>37</w:t>
        </w:r>
        <w:r w:rsidR="00770EC0">
          <w:rPr>
            <w:noProof/>
            <w:webHidden/>
          </w:rPr>
          <w:fldChar w:fldCharType="end"/>
        </w:r>
      </w:hyperlink>
    </w:p>
    <w:p w14:paraId="592E81A6" w14:textId="31F683D5" w:rsidR="00770EC0" w:rsidRDefault="00EC553A" w:rsidP="00217FED">
      <w:pPr>
        <w:pStyle w:val="TDC1"/>
        <w:rPr>
          <w:rFonts w:eastAsiaTheme="minorEastAsia"/>
          <w:noProof/>
          <w:lang w:eastAsia="es-MX"/>
        </w:rPr>
      </w:pPr>
      <w:hyperlink w:anchor="_Toc56069936" w:history="1">
        <w:r w:rsidR="00770EC0" w:rsidRPr="002B705A">
          <w:rPr>
            <w:rStyle w:val="Hipervnculo"/>
            <w:noProof/>
          </w:rPr>
          <w:t>Cuadro 9. Alineación de los objetivos del PED 2016-2022 inherentes a los Pp que recibieron recursos del FAFEF en 2018 con el PND 2013-2018</w:t>
        </w:r>
        <w:r w:rsidR="00770EC0">
          <w:rPr>
            <w:noProof/>
            <w:webHidden/>
          </w:rPr>
          <w:tab/>
        </w:r>
        <w:r w:rsidR="00770EC0">
          <w:rPr>
            <w:noProof/>
            <w:webHidden/>
          </w:rPr>
          <w:fldChar w:fldCharType="begin"/>
        </w:r>
        <w:r w:rsidR="00770EC0">
          <w:rPr>
            <w:noProof/>
            <w:webHidden/>
          </w:rPr>
          <w:instrText xml:space="preserve"> PAGEREF _Toc56069936 \h </w:instrText>
        </w:r>
        <w:r w:rsidR="00770EC0">
          <w:rPr>
            <w:noProof/>
            <w:webHidden/>
          </w:rPr>
        </w:r>
        <w:r w:rsidR="00770EC0">
          <w:rPr>
            <w:noProof/>
            <w:webHidden/>
          </w:rPr>
          <w:fldChar w:fldCharType="separate"/>
        </w:r>
        <w:r>
          <w:rPr>
            <w:noProof/>
            <w:webHidden/>
          </w:rPr>
          <w:t>41</w:t>
        </w:r>
        <w:r w:rsidR="00770EC0">
          <w:rPr>
            <w:noProof/>
            <w:webHidden/>
          </w:rPr>
          <w:fldChar w:fldCharType="end"/>
        </w:r>
      </w:hyperlink>
    </w:p>
    <w:p w14:paraId="6830AC6C" w14:textId="48EF1AE1" w:rsidR="00770EC0" w:rsidRDefault="00EC553A" w:rsidP="00217FED">
      <w:pPr>
        <w:pStyle w:val="TDC1"/>
        <w:rPr>
          <w:rFonts w:eastAsiaTheme="minorEastAsia"/>
          <w:noProof/>
          <w:lang w:eastAsia="es-MX"/>
        </w:rPr>
      </w:pPr>
      <w:hyperlink w:anchor="_Toc56069937" w:history="1">
        <w:r w:rsidR="00770EC0" w:rsidRPr="002B705A">
          <w:rPr>
            <w:rStyle w:val="Hipervnculo"/>
            <w:noProof/>
          </w:rPr>
          <w:t>Cuadro 10. Contribución de la ejecución del FAFEF a los ODS</w:t>
        </w:r>
        <w:r w:rsidR="00770EC0">
          <w:rPr>
            <w:noProof/>
            <w:webHidden/>
          </w:rPr>
          <w:tab/>
        </w:r>
        <w:r w:rsidR="00770EC0">
          <w:rPr>
            <w:noProof/>
            <w:webHidden/>
          </w:rPr>
          <w:fldChar w:fldCharType="begin"/>
        </w:r>
        <w:r w:rsidR="00770EC0">
          <w:rPr>
            <w:noProof/>
            <w:webHidden/>
          </w:rPr>
          <w:instrText xml:space="preserve"> PAGEREF _Toc56069937 \h </w:instrText>
        </w:r>
        <w:r w:rsidR="00770EC0">
          <w:rPr>
            <w:noProof/>
            <w:webHidden/>
          </w:rPr>
        </w:r>
        <w:r w:rsidR="00770EC0">
          <w:rPr>
            <w:noProof/>
            <w:webHidden/>
          </w:rPr>
          <w:fldChar w:fldCharType="separate"/>
        </w:r>
        <w:r>
          <w:rPr>
            <w:noProof/>
            <w:webHidden/>
          </w:rPr>
          <w:t>44</w:t>
        </w:r>
        <w:r w:rsidR="00770EC0">
          <w:rPr>
            <w:noProof/>
            <w:webHidden/>
          </w:rPr>
          <w:fldChar w:fldCharType="end"/>
        </w:r>
      </w:hyperlink>
    </w:p>
    <w:p w14:paraId="2E539363" w14:textId="082BE144" w:rsidR="00770EC0" w:rsidRDefault="00EC553A" w:rsidP="00217FED">
      <w:pPr>
        <w:pStyle w:val="TDC1"/>
        <w:rPr>
          <w:rFonts w:eastAsiaTheme="minorEastAsia"/>
          <w:noProof/>
          <w:lang w:eastAsia="es-MX"/>
        </w:rPr>
      </w:pPr>
      <w:hyperlink w:anchor="_Toc56069938" w:history="1">
        <w:r w:rsidR="00770EC0" w:rsidRPr="002B705A">
          <w:rPr>
            <w:rStyle w:val="Hipervnculo"/>
            <w:noProof/>
          </w:rPr>
          <w:t>Cuadro 11. Dependencias ejecutoras de los Pp que recibieron recursos del FAFEF en 2018.</w:t>
        </w:r>
        <w:r w:rsidR="00770EC0">
          <w:rPr>
            <w:noProof/>
            <w:webHidden/>
          </w:rPr>
          <w:tab/>
        </w:r>
        <w:r w:rsidR="00770EC0">
          <w:rPr>
            <w:noProof/>
            <w:webHidden/>
          </w:rPr>
          <w:fldChar w:fldCharType="begin"/>
        </w:r>
        <w:r w:rsidR="00770EC0">
          <w:rPr>
            <w:noProof/>
            <w:webHidden/>
          </w:rPr>
          <w:instrText xml:space="preserve"> PAGEREF _Toc56069938 \h </w:instrText>
        </w:r>
        <w:r w:rsidR="00770EC0">
          <w:rPr>
            <w:noProof/>
            <w:webHidden/>
          </w:rPr>
        </w:r>
        <w:r w:rsidR="00770EC0">
          <w:rPr>
            <w:noProof/>
            <w:webHidden/>
          </w:rPr>
          <w:fldChar w:fldCharType="separate"/>
        </w:r>
        <w:r>
          <w:rPr>
            <w:noProof/>
            <w:webHidden/>
          </w:rPr>
          <w:t>50</w:t>
        </w:r>
        <w:r w:rsidR="00770EC0">
          <w:rPr>
            <w:noProof/>
            <w:webHidden/>
          </w:rPr>
          <w:fldChar w:fldCharType="end"/>
        </w:r>
      </w:hyperlink>
    </w:p>
    <w:p w14:paraId="574A02DF" w14:textId="65E500E1" w:rsidR="00770EC0" w:rsidRDefault="00EC553A" w:rsidP="00217FED">
      <w:pPr>
        <w:pStyle w:val="TDC1"/>
        <w:rPr>
          <w:rFonts w:eastAsiaTheme="minorEastAsia"/>
          <w:noProof/>
          <w:lang w:eastAsia="es-MX"/>
        </w:rPr>
      </w:pPr>
      <w:hyperlink w:anchor="_Toc56069939" w:history="1">
        <w:r w:rsidR="00770EC0" w:rsidRPr="002B705A">
          <w:rPr>
            <w:rStyle w:val="Hipervnculo"/>
            <w:noProof/>
          </w:rPr>
          <w:t>Cuadro 12. Análisis de complementariedades y coincidencias con programas o proyectos locales.</w:t>
        </w:r>
        <w:r w:rsidR="00770EC0">
          <w:rPr>
            <w:noProof/>
            <w:webHidden/>
          </w:rPr>
          <w:tab/>
        </w:r>
        <w:r w:rsidR="00770EC0">
          <w:rPr>
            <w:noProof/>
            <w:webHidden/>
          </w:rPr>
          <w:fldChar w:fldCharType="begin"/>
        </w:r>
        <w:r w:rsidR="00770EC0">
          <w:rPr>
            <w:noProof/>
            <w:webHidden/>
          </w:rPr>
          <w:instrText xml:space="preserve"> PAGEREF _Toc56069939 \h </w:instrText>
        </w:r>
        <w:r w:rsidR="00770EC0">
          <w:rPr>
            <w:noProof/>
            <w:webHidden/>
          </w:rPr>
        </w:r>
        <w:r w:rsidR="00770EC0">
          <w:rPr>
            <w:noProof/>
            <w:webHidden/>
          </w:rPr>
          <w:fldChar w:fldCharType="separate"/>
        </w:r>
        <w:r>
          <w:rPr>
            <w:noProof/>
            <w:webHidden/>
          </w:rPr>
          <w:t>55</w:t>
        </w:r>
        <w:r w:rsidR="00770EC0">
          <w:rPr>
            <w:noProof/>
            <w:webHidden/>
          </w:rPr>
          <w:fldChar w:fldCharType="end"/>
        </w:r>
      </w:hyperlink>
    </w:p>
    <w:p w14:paraId="4D5D10E8" w14:textId="0D517D7D" w:rsidR="00770EC0" w:rsidRDefault="00EC553A" w:rsidP="00217FED">
      <w:pPr>
        <w:pStyle w:val="TDC1"/>
        <w:rPr>
          <w:rFonts w:eastAsiaTheme="minorEastAsia"/>
          <w:noProof/>
          <w:lang w:eastAsia="es-MX"/>
        </w:rPr>
      </w:pPr>
      <w:hyperlink w:anchor="_Toc56069940" w:history="1">
        <w:r w:rsidR="00770EC0" w:rsidRPr="002B705A">
          <w:rPr>
            <w:rStyle w:val="Hipervnculo"/>
            <w:noProof/>
          </w:rPr>
          <w:t>Cuadro 13. Sinergias del FAFEF con programas y proyectos Locales.</w:t>
        </w:r>
        <w:r w:rsidR="00770EC0">
          <w:rPr>
            <w:noProof/>
            <w:webHidden/>
          </w:rPr>
          <w:tab/>
        </w:r>
        <w:r w:rsidR="00770EC0">
          <w:rPr>
            <w:noProof/>
            <w:webHidden/>
          </w:rPr>
          <w:fldChar w:fldCharType="begin"/>
        </w:r>
        <w:r w:rsidR="00770EC0">
          <w:rPr>
            <w:noProof/>
            <w:webHidden/>
          </w:rPr>
          <w:instrText xml:space="preserve"> PAGEREF _Toc56069940 \h </w:instrText>
        </w:r>
        <w:r w:rsidR="00770EC0">
          <w:rPr>
            <w:noProof/>
            <w:webHidden/>
          </w:rPr>
        </w:r>
        <w:r w:rsidR="00770EC0">
          <w:rPr>
            <w:noProof/>
            <w:webHidden/>
          </w:rPr>
          <w:fldChar w:fldCharType="separate"/>
        </w:r>
        <w:r>
          <w:rPr>
            <w:noProof/>
            <w:webHidden/>
          </w:rPr>
          <w:t>58</w:t>
        </w:r>
        <w:r w:rsidR="00770EC0">
          <w:rPr>
            <w:noProof/>
            <w:webHidden/>
          </w:rPr>
          <w:fldChar w:fldCharType="end"/>
        </w:r>
      </w:hyperlink>
    </w:p>
    <w:p w14:paraId="065E83B4" w14:textId="1363CEFC" w:rsidR="00770EC0" w:rsidRDefault="00EC553A" w:rsidP="00217FED">
      <w:pPr>
        <w:pStyle w:val="TDC1"/>
        <w:rPr>
          <w:rFonts w:eastAsiaTheme="minorEastAsia"/>
          <w:noProof/>
          <w:lang w:eastAsia="es-MX"/>
        </w:rPr>
      </w:pPr>
      <w:hyperlink w:anchor="_Toc56069941" w:history="1">
        <w:r w:rsidR="00770EC0" w:rsidRPr="002B705A">
          <w:rPr>
            <w:rStyle w:val="Hipervnculo"/>
            <w:noProof/>
          </w:rPr>
          <w:t>Cuadro 14. Tipo de evaluaciones o análisis externos sugeridos al FAFEF en Tamaulipas.</w:t>
        </w:r>
        <w:r w:rsidR="00770EC0">
          <w:rPr>
            <w:noProof/>
            <w:webHidden/>
          </w:rPr>
          <w:tab/>
        </w:r>
        <w:r w:rsidR="00770EC0">
          <w:rPr>
            <w:noProof/>
            <w:webHidden/>
          </w:rPr>
          <w:fldChar w:fldCharType="begin"/>
        </w:r>
        <w:r w:rsidR="00770EC0">
          <w:rPr>
            <w:noProof/>
            <w:webHidden/>
          </w:rPr>
          <w:instrText xml:space="preserve"> PAGEREF _Toc56069941 \h </w:instrText>
        </w:r>
        <w:r w:rsidR="00770EC0">
          <w:rPr>
            <w:noProof/>
            <w:webHidden/>
          </w:rPr>
        </w:r>
        <w:r w:rsidR="00770EC0">
          <w:rPr>
            <w:noProof/>
            <w:webHidden/>
          </w:rPr>
          <w:fldChar w:fldCharType="separate"/>
        </w:r>
        <w:r>
          <w:rPr>
            <w:noProof/>
            <w:webHidden/>
          </w:rPr>
          <w:t>68</w:t>
        </w:r>
        <w:r w:rsidR="00770EC0">
          <w:rPr>
            <w:noProof/>
            <w:webHidden/>
          </w:rPr>
          <w:fldChar w:fldCharType="end"/>
        </w:r>
      </w:hyperlink>
    </w:p>
    <w:p w14:paraId="72EF47AF" w14:textId="5D84A15D" w:rsidR="00770EC0" w:rsidRDefault="00EC553A" w:rsidP="00217FED">
      <w:pPr>
        <w:pStyle w:val="TDC1"/>
        <w:rPr>
          <w:rFonts w:eastAsiaTheme="minorEastAsia"/>
          <w:noProof/>
          <w:lang w:eastAsia="es-MX"/>
        </w:rPr>
      </w:pPr>
      <w:hyperlink w:anchor="_Toc56069942" w:history="1">
        <w:r w:rsidR="00770EC0" w:rsidRPr="002B705A">
          <w:rPr>
            <w:rStyle w:val="Hipervnculo"/>
            <w:noProof/>
          </w:rPr>
          <w:t>Cuadro 15. Principales resultados de evaluaciones externas realizadas al FAFEF en Tamaulipas</w:t>
        </w:r>
        <w:r w:rsidR="00770EC0">
          <w:rPr>
            <w:noProof/>
            <w:webHidden/>
          </w:rPr>
          <w:tab/>
        </w:r>
        <w:r w:rsidR="00770EC0">
          <w:rPr>
            <w:noProof/>
            <w:webHidden/>
          </w:rPr>
          <w:fldChar w:fldCharType="begin"/>
        </w:r>
        <w:r w:rsidR="00770EC0">
          <w:rPr>
            <w:noProof/>
            <w:webHidden/>
          </w:rPr>
          <w:instrText xml:space="preserve"> PAGEREF _Toc56069942 \h </w:instrText>
        </w:r>
        <w:r w:rsidR="00770EC0">
          <w:rPr>
            <w:noProof/>
            <w:webHidden/>
          </w:rPr>
        </w:r>
        <w:r w:rsidR="00770EC0">
          <w:rPr>
            <w:noProof/>
            <w:webHidden/>
          </w:rPr>
          <w:fldChar w:fldCharType="separate"/>
        </w:r>
        <w:r>
          <w:rPr>
            <w:noProof/>
            <w:webHidden/>
          </w:rPr>
          <w:t>70</w:t>
        </w:r>
        <w:r w:rsidR="00770EC0">
          <w:rPr>
            <w:noProof/>
            <w:webHidden/>
          </w:rPr>
          <w:fldChar w:fldCharType="end"/>
        </w:r>
      </w:hyperlink>
    </w:p>
    <w:p w14:paraId="6526BBE9" w14:textId="609E06B9" w:rsidR="00F20CBE" w:rsidRDefault="00D44A03" w:rsidP="009D52AC">
      <w:pPr>
        <w:jc w:val="center"/>
        <w:rPr>
          <w:b/>
          <w:bCs/>
          <w:sz w:val="32"/>
          <w:szCs w:val="32"/>
        </w:rPr>
      </w:pPr>
      <w:r>
        <w:rPr>
          <w:b/>
          <w:bCs/>
          <w:sz w:val="32"/>
          <w:szCs w:val="32"/>
        </w:rPr>
        <w:fldChar w:fldCharType="end"/>
      </w:r>
    </w:p>
    <w:p w14:paraId="1CB5BA74" w14:textId="77777777" w:rsidR="00D44A03" w:rsidRDefault="00D44A03" w:rsidP="009D52AC">
      <w:pPr>
        <w:jc w:val="center"/>
        <w:rPr>
          <w:b/>
          <w:bCs/>
          <w:sz w:val="32"/>
          <w:szCs w:val="32"/>
        </w:rPr>
      </w:pPr>
    </w:p>
    <w:p w14:paraId="077274F4" w14:textId="1A03BEA7" w:rsidR="00D44A03" w:rsidRDefault="00D44A03" w:rsidP="009D52AC">
      <w:pPr>
        <w:jc w:val="center"/>
        <w:rPr>
          <w:b/>
          <w:bCs/>
          <w:sz w:val="32"/>
          <w:szCs w:val="32"/>
        </w:rPr>
        <w:sectPr w:rsidR="00D44A03" w:rsidSect="00F20CBE">
          <w:pgSz w:w="12240" w:h="15840" w:code="1"/>
          <w:pgMar w:top="1134" w:right="1134" w:bottom="1134" w:left="1134" w:header="709" w:footer="709" w:gutter="0"/>
          <w:pgNumType w:fmt="lowerRoman"/>
          <w:cols w:space="708"/>
          <w:docGrid w:linePitch="360"/>
        </w:sectPr>
      </w:pPr>
    </w:p>
    <w:p w14:paraId="0B2D61A7" w14:textId="77777777" w:rsidR="00DF7070" w:rsidRPr="008C54FC" w:rsidRDefault="00933C97" w:rsidP="00D44A03">
      <w:pPr>
        <w:spacing w:after="360"/>
        <w:jc w:val="center"/>
        <w:rPr>
          <w:b/>
          <w:bCs/>
          <w:sz w:val="32"/>
          <w:szCs w:val="32"/>
        </w:rPr>
      </w:pPr>
      <w:r w:rsidRPr="008C54FC">
        <w:rPr>
          <w:b/>
          <w:bCs/>
          <w:sz w:val="32"/>
          <w:szCs w:val="32"/>
        </w:rPr>
        <w:lastRenderedPageBreak/>
        <w:t xml:space="preserve">Listado de Anexos </w:t>
      </w:r>
    </w:p>
    <w:p w14:paraId="635322AA" w14:textId="5C193D8D" w:rsidR="00D57CE4" w:rsidRDefault="00B81E48">
      <w:pPr>
        <w:pStyle w:val="TDC1"/>
        <w:rPr>
          <w:rFonts w:eastAsiaTheme="minorEastAsia"/>
          <w:noProof/>
          <w:lang w:eastAsia="es-MX"/>
        </w:rPr>
      </w:pPr>
      <w:r w:rsidRPr="00650672">
        <w:fldChar w:fldCharType="begin"/>
      </w:r>
      <w:r w:rsidRPr="00650672">
        <w:instrText xml:space="preserve"> TOC \h \z \t "Anexo,1" </w:instrText>
      </w:r>
      <w:r w:rsidRPr="00650672">
        <w:fldChar w:fldCharType="separate"/>
      </w:r>
      <w:hyperlink w:anchor="_Toc56496629" w:history="1">
        <w:r w:rsidR="00D57CE4" w:rsidRPr="00D436B0">
          <w:rPr>
            <w:rStyle w:val="Hipervnculo"/>
            <w:noProof/>
          </w:rPr>
          <w:t xml:space="preserve">Anexo 1. </w:t>
        </w:r>
        <w:r w:rsidR="00D57CE4" w:rsidRPr="00D436B0">
          <w:rPr>
            <w:rStyle w:val="Hipervnculo"/>
            <w:iCs/>
            <w:noProof/>
          </w:rPr>
          <w:t>Indicadores</w:t>
        </w:r>
        <w:r w:rsidR="00D57CE4">
          <w:rPr>
            <w:noProof/>
            <w:webHidden/>
          </w:rPr>
          <w:tab/>
        </w:r>
        <w:r w:rsidR="00D57CE4">
          <w:rPr>
            <w:noProof/>
            <w:webHidden/>
          </w:rPr>
          <w:fldChar w:fldCharType="begin"/>
        </w:r>
        <w:r w:rsidR="00D57CE4">
          <w:rPr>
            <w:noProof/>
            <w:webHidden/>
          </w:rPr>
          <w:instrText xml:space="preserve"> PAGEREF _Toc56496629 \h </w:instrText>
        </w:r>
        <w:r w:rsidR="00D57CE4">
          <w:rPr>
            <w:noProof/>
            <w:webHidden/>
          </w:rPr>
        </w:r>
        <w:r w:rsidR="00D57CE4">
          <w:rPr>
            <w:noProof/>
            <w:webHidden/>
          </w:rPr>
          <w:fldChar w:fldCharType="separate"/>
        </w:r>
        <w:r w:rsidR="00EC553A">
          <w:rPr>
            <w:noProof/>
            <w:webHidden/>
          </w:rPr>
          <w:t>83</w:t>
        </w:r>
        <w:r w:rsidR="00D57CE4">
          <w:rPr>
            <w:noProof/>
            <w:webHidden/>
          </w:rPr>
          <w:fldChar w:fldCharType="end"/>
        </w:r>
      </w:hyperlink>
    </w:p>
    <w:p w14:paraId="0765B338" w14:textId="2BA859A1" w:rsidR="00D57CE4" w:rsidRDefault="00EC553A">
      <w:pPr>
        <w:pStyle w:val="TDC1"/>
        <w:rPr>
          <w:rFonts w:eastAsiaTheme="minorEastAsia"/>
          <w:noProof/>
          <w:lang w:eastAsia="es-MX"/>
        </w:rPr>
      </w:pPr>
      <w:hyperlink w:anchor="_Toc56496630" w:history="1">
        <w:r w:rsidR="00D57CE4" w:rsidRPr="00D436B0">
          <w:rPr>
            <w:rStyle w:val="Hipervnculo"/>
            <w:noProof/>
          </w:rPr>
          <w:t>Anexo 2. Metas del Fondo</w:t>
        </w:r>
        <w:r w:rsidR="00D57CE4">
          <w:rPr>
            <w:noProof/>
            <w:webHidden/>
          </w:rPr>
          <w:tab/>
        </w:r>
        <w:r w:rsidR="00D57CE4">
          <w:rPr>
            <w:noProof/>
            <w:webHidden/>
          </w:rPr>
          <w:fldChar w:fldCharType="begin"/>
        </w:r>
        <w:r w:rsidR="00D57CE4">
          <w:rPr>
            <w:noProof/>
            <w:webHidden/>
          </w:rPr>
          <w:instrText xml:space="preserve"> PAGEREF _Toc56496630 \h </w:instrText>
        </w:r>
        <w:r w:rsidR="00D57CE4">
          <w:rPr>
            <w:noProof/>
            <w:webHidden/>
          </w:rPr>
        </w:r>
        <w:r w:rsidR="00D57CE4">
          <w:rPr>
            <w:noProof/>
            <w:webHidden/>
          </w:rPr>
          <w:fldChar w:fldCharType="separate"/>
        </w:r>
        <w:r>
          <w:rPr>
            <w:noProof/>
            <w:webHidden/>
          </w:rPr>
          <w:t>84</w:t>
        </w:r>
        <w:r w:rsidR="00D57CE4">
          <w:rPr>
            <w:noProof/>
            <w:webHidden/>
          </w:rPr>
          <w:fldChar w:fldCharType="end"/>
        </w:r>
      </w:hyperlink>
    </w:p>
    <w:p w14:paraId="069BD4CE" w14:textId="4F82BB9A" w:rsidR="00D57CE4" w:rsidRDefault="00EC553A">
      <w:pPr>
        <w:pStyle w:val="TDC1"/>
        <w:rPr>
          <w:rFonts w:eastAsiaTheme="minorEastAsia"/>
          <w:noProof/>
          <w:lang w:eastAsia="es-MX"/>
        </w:rPr>
      </w:pPr>
      <w:hyperlink w:anchor="_Toc56496632" w:history="1">
        <w:r w:rsidR="00D57CE4" w:rsidRPr="00D436B0">
          <w:rPr>
            <w:rStyle w:val="Hipervnculo"/>
            <w:noProof/>
          </w:rPr>
          <w:t>Anexo 3. Propuesta de mejora de la Matriz de Indicadores para Resultados.</w:t>
        </w:r>
        <w:r w:rsidR="00D57CE4">
          <w:rPr>
            <w:noProof/>
            <w:webHidden/>
          </w:rPr>
          <w:tab/>
        </w:r>
        <w:r w:rsidR="00D57CE4">
          <w:rPr>
            <w:noProof/>
            <w:webHidden/>
          </w:rPr>
          <w:fldChar w:fldCharType="begin"/>
        </w:r>
        <w:r w:rsidR="00D57CE4">
          <w:rPr>
            <w:noProof/>
            <w:webHidden/>
          </w:rPr>
          <w:instrText xml:space="preserve"> PAGEREF _Toc56496632 \h </w:instrText>
        </w:r>
        <w:r w:rsidR="00D57CE4">
          <w:rPr>
            <w:noProof/>
            <w:webHidden/>
          </w:rPr>
        </w:r>
        <w:r w:rsidR="00D57CE4">
          <w:rPr>
            <w:noProof/>
            <w:webHidden/>
          </w:rPr>
          <w:fldChar w:fldCharType="separate"/>
        </w:r>
        <w:r>
          <w:rPr>
            <w:noProof/>
            <w:webHidden/>
          </w:rPr>
          <w:t>85</w:t>
        </w:r>
        <w:r w:rsidR="00D57CE4">
          <w:rPr>
            <w:noProof/>
            <w:webHidden/>
          </w:rPr>
          <w:fldChar w:fldCharType="end"/>
        </w:r>
      </w:hyperlink>
    </w:p>
    <w:p w14:paraId="233FA6CC" w14:textId="34379173" w:rsidR="00D57CE4" w:rsidRDefault="00EC553A">
      <w:pPr>
        <w:pStyle w:val="TDC1"/>
        <w:rPr>
          <w:rFonts w:eastAsiaTheme="minorEastAsia"/>
          <w:noProof/>
          <w:lang w:eastAsia="es-MX"/>
        </w:rPr>
      </w:pPr>
      <w:hyperlink w:anchor="_Toc56496633" w:history="1">
        <w:r w:rsidR="00D57CE4" w:rsidRPr="00D436B0">
          <w:rPr>
            <w:rStyle w:val="Hipervnculo"/>
            <w:noProof/>
          </w:rPr>
          <w:t>Anexo 4. Evolución de la Cobertura.</w:t>
        </w:r>
        <w:r w:rsidR="00D57CE4">
          <w:rPr>
            <w:noProof/>
            <w:webHidden/>
          </w:rPr>
          <w:tab/>
        </w:r>
        <w:r w:rsidR="00D57CE4">
          <w:rPr>
            <w:noProof/>
            <w:webHidden/>
          </w:rPr>
          <w:fldChar w:fldCharType="begin"/>
        </w:r>
        <w:r w:rsidR="00D57CE4">
          <w:rPr>
            <w:noProof/>
            <w:webHidden/>
          </w:rPr>
          <w:instrText xml:space="preserve"> PAGEREF _Toc56496633 \h </w:instrText>
        </w:r>
        <w:r w:rsidR="00D57CE4">
          <w:rPr>
            <w:noProof/>
            <w:webHidden/>
          </w:rPr>
        </w:r>
        <w:r w:rsidR="00D57CE4">
          <w:rPr>
            <w:noProof/>
            <w:webHidden/>
          </w:rPr>
          <w:fldChar w:fldCharType="separate"/>
        </w:r>
        <w:r>
          <w:rPr>
            <w:noProof/>
            <w:webHidden/>
          </w:rPr>
          <w:t>86</w:t>
        </w:r>
        <w:r w:rsidR="00D57CE4">
          <w:rPr>
            <w:noProof/>
            <w:webHidden/>
          </w:rPr>
          <w:fldChar w:fldCharType="end"/>
        </w:r>
      </w:hyperlink>
    </w:p>
    <w:p w14:paraId="5BEEB048" w14:textId="0A6FB0A3" w:rsidR="00D57CE4" w:rsidRDefault="00EC553A">
      <w:pPr>
        <w:pStyle w:val="TDC1"/>
        <w:rPr>
          <w:rFonts w:eastAsiaTheme="minorEastAsia"/>
          <w:noProof/>
          <w:lang w:eastAsia="es-MX"/>
        </w:rPr>
      </w:pPr>
      <w:hyperlink w:anchor="_Toc56496634" w:history="1">
        <w:r w:rsidR="00D57CE4" w:rsidRPr="00D436B0">
          <w:rPr>
            <w:rStyle w:val="Hipervnculo"/>
            <w:noProof/>
          </w:rPr>
          <w:t>Anexo 5.</w:t>
        </w:r>
        <w:r w:rsidR="00826CDE">
          <w:rPr>
            <w:rStyle w:val="Hipervnculo"/>
            <w:noProof/>
          </w:rPr>
          <w:t xml:space="preserve"> </w:t>
        </w:r>
        <w:r w:rsidR="00D57CE4" w:rsidRPr="00D436B0">
          <w:rPr>
            <w:rStyle w:val="Hipervnculo"/>
            <w:noProof/>
          </w:rPr>
          <w:t>Diagramas de flujo de la coordinación del Fondo</w:t>
        </w:r>
        <w:r w:rsidR="00D57CE4">
          <w:rPr>
            <w:noProof/>
            <w:webHidden/>
          </w:rPr>
          <w:tab/>
        </w:r>
        <w:r w:rsidR="00D57CE4">
          <w:rPr>
            <w:noProof/>
            <w:webHidden/>
          </w:rPr>
          <w:fldChar w:fldCharType="begin"/>
        </w:r>
        <w:r w:rsidR="00D57CE4">
          <w:rPr>
            <w:noProof/>
            <w:webHidden/>
          </w:rPr>
          <w:instrText xml:space="preserve"> PAGEREF _Toc56496634 \h </w:instrText>
        </w:r>
        <w:r w:rsidR="00D57CE4">
          <w:rPr>
            <w:noProof/>
            <w:webHidden/>
          </w:rPr>
        </w:r>
        <w:r w:rsidR="00D57CE4">
          <w:rPr>
            <w:noProof/>
            <w:webHidden/>
          </w:rPr>
          <w:fldChar w:fldCharType="separate"/>
        </w:r>
        <w:r>
          <w:rPr>
            <w:noProof/>
            <w:webHidden/>
          </w:rPr>
          <w:t>87</w:t>
        </w:r>
        <w:r w:rsidR="00D57CE4">
          <w:rPr>
            <w:noProof/>
            <w:webHidden/>
          </w:rPr>
          <w:fldChar w:fldCharType="end"/>
        </w:r>
      </w:hyperlink>
    </w:p>
    <w:p w14:paraId="6EEDA1A1" w14:textId="641AA650" w:rsidR="00D57CE4" w:rsidRDefault="00EC553A">
      <w:pPr>
        <w:pStyle w:val="TDC1"/>
        <w:rPr>
          <w:rFonts w:eastAsiaTheme="minorEastAsia"/>
          <w:noProof/>
          <w:lang w:eastAsia="es-MX"/>
        </w:rPr>
      </w:pPr>
      <w:hyperlink w:anchor="_Toc56496635" w:history="1">
        <w:r w:rsidR="00D57CE4" w:rsidRPr="00D436B0">
          <w:rPr>
            <w:rStyle w:val="Hipervnculo"/>
            <w:noProof/>
          </w:rPr>
          <w:t>Anexo 6. Complementariedades y coincidencias entre programas federales y sinergias con políticas, programas o proyectos locales</w:t>
        </w:r>
        <w:r w:rsidR="00D57CE4">
          <w:rPr>
            <w:noProof/>
            <w:webHidden/>
          </w:rPr>
          <w:tab/>
        </w:r>
        <w:r w:rsidR="00D57CE4">
          <w:rPr>
            <w:noProof/>
            <w:webHidden/>
          </w:rPr>
          <w:fldChar w:fldCharType="begin"/>
        </w:r>
        <w:r w:rsidR="00D57CE4">
          <w:rPr>
            <w:noProof/>
            <w:webHidden/>
          </w:rPr>
          <w:instrText xml:space="preserve"> PAGEREF _Toc56496635 \h </w:instrText>
        </w:r>
        <w:r w:rsidR="00D57CE4">
          <w:rPr>
            <w:noProof/>
            <w:webHidden/>
          </w:rPr>
        </w:r>
        <w:r w:rsidR="00D57CE4">
          <w:rPr>
            <w:noProof/>
            <w:webHidden/>
          </w:rPr>
          <w:fldChar w:fldCharType="separate"/>
        </w:r>
        <w:r>
          <w:rPr>
            <w:noProof/>
            <w:webHidden/>
          </w:rPr>
          <w:t>93</w:t>
        </w:r>
        <w:r w:rsidR="00D57CE4">
          <w:rPr>
            <w:noProof/>
            <w:webHidden/>
          </w:rPr>
          <w:fldChar w:fldCharType="end"/>
        </w:r>
      </w:hyperlink>
    </w:p>
    <w:p w14:paraId="2D5E97C6" w14:textId="6A40BD96" w:rsidR="00D57CE4" w:rsidRDefault="00EC553A">
      <w:pPr>
        <w:pStyle w:val="TDC1"/>
        <w:rPr>
          <w:rFonts w:eastAsiaTheme="minorEastAsia"/>
          <w:noProof/>
          <w:lang w:eastAsia="es-MX"/>
        </w:rPr>
      </w:pPr>
      <w:hyperlink w:anchor="_Toc56496636" w:history="1">
        <w:r w:rsidR="00D57CE4" w:rsidRPr="00D436B0">
          <w:rPr>
            <w:rStyle w:val="Hipervnculo"/>
            <w:noProof/>
          </w:rPr>
          <w:t>Anexo 7. Valor agregado de los Programas presupuestarios al Fondo.</w:t>
        </w:r>
        <w:r w:rsidR="00D57CE4">
          <w:rPr>
            <w:noProof/>
            <w:webHidden/>
          </w:rPr>
          <w:tab/>
        </w:r>
        <w:r w:rsidR="00D57CE4">
          <w:rPr>
            <w:noProof/>
            <w:webHidden/>
          </w:rPr>
          <w:fldChar w:fldCharType="begin"/>
        </w:r>
        <w:r w:rsidR="00D57CE4">
          <w:rPr>
            <w:noProof/>
            <w:webHidden/>
          </w:rPr>
          <w:instrText xml:space="preserve"> PAGEREF _Toc56496636 \h </w:instrText>
        </w:r>
        <w:r w:rsidR="00D57CE4">
          <w:rPr>
            <w:noProof/>
            <w:webHidden/>
          </w:rPr>
        </w:r>
        <w:r w:rsidR="00D57CE4">
          <w:rPr>
            <w:noProof/>
            <w:webHidden/>
          </w:rPr>
          <w:fldChar w:fldCharType="separate"/>
        </w:r>
        <w:r>
          <w:rPr>
            <w:noProof/>
            <w:webHidden/>
          </w:rPr>
          <w:t>95</w:t>
        </w:r>
        <w:r w:rsidR="00D57CE4">
          <w:rPr>
            <w:noProof/>
            <w:webHidden/>
          </w:rPr>
          <w:fldChar w:fldCharType="end"/>
        </w:r>
      </w:hyperlink>
    </w:p>
    <w:p w14:paraId="20F14B31" w14:textId="26659D2A" w:rsidR="00D57CE4" w:rsidRDefault="00EC553A">
      <w:pPr>
        <w:pStyle w:val="TDC1"/>
        <w:rPr>
          <w:rFonts w:eastAsiaTheme="minorEastAsia"/>
          <w:noProof/>
          <w:lang w:eastAsia="es-MX"/>
        </w:rPr>
      </w:pPr>
      <w:hyperlink w:anchor="_Toc56496637" w:history="1">
        <w:r w:rsidR="00D57CE4" w:rsidRPr="00D436B0">
          <w:rPr>
            <w:rStyle w:val="Hipervnculo"/>
            <w:noProof/>
          </w:rPr>
          <w:t>Anexo 8. Sinergias con políticas, programas o proyectos locales de Fondos de otras Aportaciones Federales aplicados en la Entidad Federativa</w:t>
        </w:r>
        <w:r w:rsidR="00D57CE4">
          <w:rPr>
            <w:noProof/>
            <w:webHidden/>
          </w:rPr>
          <w:tab/>
        </w:r>
        <w:r w:rsidR="00D57CE4">
          <w:rPr>
            <w:noProof/>
            <w:webHidden/>
          </w:rPr>
          <w:fldChar w:fldCharType="begin"/>
        </w:r>
        <w:r w:rsidR="00D57CE4">
          <w:rPr>
            <w:noProof/>
            <w:webHidden/>
          </w:rPr>
          <w:instrText xml:space="preserve"> PAGEREF _Toc56496637 \h </w:instrText>
        </w:r>
        <w:r w:rsidR="00D57CE4">
          <w:rPr>
            <w:noProof/>
            <w:webHidden/>
          </w:rPr>
        </w:r>
        <w:r w:rsidR="00D57CE4">
          <w:rPr>
            <w:noProof/>
            <w:webHidden/>
          </w:rPr>
          <w:fldChar w:fldCharType="separate"/>
        </w:r>
        <w:r>
          <w:rPr>
            <w:noProof/>
            <w:webHidden/>
          </w:rPr>
          <w:t>98</w:t>
        </w:r>
        <w:r w:rsidR="00D57CE4">
          <w:rPr>
            <w:noProof/>
            <w:webHidden/>
          </w:rPr>
          <w:fldChar w:fldCharType="end"/>
        </w:r>
      </w:hyperlink>
    </w:p>
    <w:p w14:paraId="63DE5C7B" w14:textId="3039542D" w:rsidR="00D57CE4" w:rsidRDefault="00EC553A">
      <w:pPr>
        <w:pStyle w:val="TDC1"/>
        <w:rPr>
          <w:rFonts w:eastAsiaTheme="minorEastAsia"/>
          <w:noProof/>
          <w:lang w:eastAsia="es-MX"/>
        </w:rPr>
      </w:pPr>
      <w:hyperlink w:anchor="_Toc56496638" w:history="1">
        <w:r w:rsidR="00D57CE4" w:rsidRPr="00D436B0">
          <w:rPr>
            <w:rStyle w:val="Hipervnculo"/>
            <w:noProof/>
          </w:rPr>
          <w:t>Anexo 9. Principales Fortalezas, Oportunidades, Debilidades, Amenazas y Recomendaciones.</w:t>
        </w:r>
        <w:r w:rsidR="00D57CE4">
          <w:rPr>
            <w:noProof/>
            <w:webHidden/>
          </w:rPr>
          <w:tab/>
        </w:r>
        <w:r w:rsidR="00D57CE4">
          <w:rPr>
            <w:noProof/>
            <w:webHidden/>
          </w:rPr>
          <w:fldChar w:fldCharType="begin"/>
        </w:r>
        <w:r w:rsidR="00D57CE4">
          <w:rPr>
            <w:noProof/>
            <w:webHidden/>
          </w:rPr>
          <w:instrText xml:space="preserve"> PAGEREF _Toc56496638 \h </w:instrText>
        </w:r>
        <w:r w:rsidR="00D57CE4">
          <w:rPr>
            <w:noProof/>
            <w:webHidden/>
          </w:rPr>
        </w:r>
        <w:r w:rsidR="00D57CE4">
          <w:rPr>
            <w:noProof/>
            <w:webHidden/>
          </w:rPr>
          <w:fldChar w:fldCharType="separate"/>
        </w:r>
        <w:r>
          <w:rPr>
            <w:noProof/>
            <w:webHidden/>
          </w:rPr>
          <w:t>103</w:t>
        </w:r>
        <w:r w:rsidR="00D57CE4">
          <w:rPr>
            <w:noProof/>
            <w:webHidden/>
          </w:rPr>
          <w:fldChar w:fldCharType="end"/>
        </w:r>
      </w:hyperlink>
    </w:p>
    <w:p w14:paraId="648ED809" w14:textId="3934C4F4" w:rsidR="00D57CE4" w:rsidRDefault="00EC553A">
      <w:pPr>
        <w:pStyle w:val="TDC1"/>
        <w:rPr>
          <w:rFonts w:eastAsiaTheme="minorEastAsia"/>
          <w:noProof/>
          <w:lang w:eastAsia="es-MX"/>
        </w:rPr>
      </w:pPr>
      <w:hyperlink w:anchor="_Toc56496639" w:history="1">
        <w:r w:rsidR="00D57CE4" w:rsidRPr="00D436B0">
          <w:rPr>
            <w:rStyle w:val="Hipervnculo"/>
            <w:noProof/>
          </w:rPr>
          <w:t>Anexo 10. Valoración Final del Fondo en la Entidad Federativa</w:t>
        </w:r>
        <w:r w:rsidR="00D57CE4">
          <w:rPr>
            <w:noProof/>
            <w:webHidden/>
          </w:rPr>
          <w:tab/>
        </w:r>
        <w:r w:rsidR="00D57CE4">
          <w:rPr>
            <w:noProof/>
            <w:webHidden/>
          </w:rPr>
          <w:fldChar w:fldCharType="begin"/>
        </w:r>
        <w:r w:rsidR="00D57CE4">
          <w:rPr>
            <w:noProof/>
            <w:webHidden/>
          </w:rPr>
          <w:instrText xml:space="preserve"> PAGEREF _Toc56496639 \h </w:instrText>
        </w:r>
        <w:r w:rsidR="00D57CE4">
          <w:rPr>
            <w:noProof/>
            <w:webHidden/>
          </w:rPr>
        </w:r>
        <w:r w:rsidR="00D57CE4">
          <w:rPr>
            <w:noProof/>
            <w:webHidden/>
          </w:rPr>
          <w:fldChar w:fldCharType="separate"/>
        </w:r>
        <w:r>
          <w:rPr>
            <w:noProof/>
            <w:webHidden/>
          </w:rPr>
          <w:t>112</w:t>
        </w:r>
        <w:r w:rsidR="00D57CE4">
          <w:rPr>
            <w:noProof/>
            <w:webHidden/>
          </w:rPr>
          <w:fldChar w:fldCharType="end"/>
        </w:r>
      </w:hyperlink>
    </w:p>
    <w:p w14:paraId="5702CD0D" w14:textId="35EAED5B" w:rsidR="00D57CE4" w:rsidRDefault="00EC553A">
      <w:pPr>
        <w:pStyle w:val="TDC1"/>
        <w:rPr>
          <w:rFonts w:eastAsiaTheme="minorEastAsia"/>
          <w:noProof/>
          <w:lang w:eastAsia="es-MX"/>
        </w:rPr>
      </w:pPr>
      <w:hyperlink w:anchor="_Toc56496640" w:history="1">
        <w:r w:rsidR="00D57CE4" w:rsidRPr="00D436B0">
          <w:rPr>
            <w:rStyle w:val="Hipervnculo"/>
            <w:noProof/>
          </w:rPr>
          <w:t>Anexo 11. Ficha Técnica con los datos generales de la evaluación.</w:t>
        </w:r>
        <w:r w:rsidR="00D57CE4">
          <w:rPr>
            <w:noProof/>
            <w:webHidden/>
          </w:rPr>
          <w:tab/>
        </w:r>
        <w:r w:rsidR="00D57CE4">
          <w:rPr>
            <w:noProof/>
            <w:webHidden/>
          </w:rPr>
          <w:fldChar w:fldCharType="begin"/>
        </w:r>
        <w:r w:rsidR="00D57CE4">
          <w:rPr>
            <w:noProof/>
            <w:webHidden/>
          </w:rPr>
          <w:instrText xml:space="preserve"> PAGEREF _Toc56496640 \h </w:instrText>
        </w:r>
        <w:r w:rsidR="00D57CE4">
          <w:rPr>
            <w:noProof/>
            <w:webHidden/>
          </w:rPr>
        </w:r>
        <w:r w:rsidR="00D57CE4">
          <w:rPr>
            <w:noProof/>
            <w:webHidden/>
          </w:rPr>
          <w:fldChar w:fldCharType="separate"/>
        </w:r>
        <w:r>
          <w:rPr>
            <w:noProof/>
            <w:webHidden/>
          </w:rPr>
          <w:t>115</w:t>
        </w:r>
        <w:r w:rsidR="00D57CE4">
          <w:rPr>
            <w:noProof/>
            <w:webHidden/>
          </w:rPr>
          <w:fldChar w:fldCharType="end"/>
        </w:r>
      </w:hyperlink>
    </w:p>
    <w:p w14:paraId="46ABD42A" w14:textId="21814843" w:rsidR="00287D06" w:rsidRDefault="00B81E48" w:rsidP="00D44A03">
      <w:pPr>
        <w:spacing w:after="360"/>
        <w:jc w:val="center"/>
      </w:pPr>
      <w:r w:rsidRPr="00650672">
        <w:fldChar w:fldCharType="end"/>
      </w:r>
      <w:bookmarkStart w:id="3" w:name="_Toc44244379"/>
      <w:bookmarkStart w:id="4" w:name="_Hlk51325064"/>
    </w:p>
    <w:p w14:paraId="4C103FD7" w14:textId="77777777" w:rsidR="00287D06" w:rsidRDefault="00287D06">
      <w:pPr>
        <w:spacing w:before="0" w:after="160" w:line="259" w:lineRule="auto"/>
        <w:jc w:val="left"/>
      </w:pPr>
      <w:r>
        <w:br w:type="page"/>
      </w:r>
    </w:p>
    <w:p w14:paraId="6E9F9C60" w14:textId="48F72341" w:rsidR="00BC6200" w:rsidRPr="00B81E48" w:rsidRDefault="0012146B" w:rsidP="00D44A03">
      <w:pPr>
        <w:spacing w:after="360"/>
        <w:jc w:val="center"/>
        <w:rPr>
          <w:b/>
          <w:bCs/>
          <w:sz w:val="32"/>
          <w:szCs w:val="32"/>
        </w:rPr>
      </w:pPr>
      <w:r w:rsidRPr="00B81E48">
        <w:rPr>
          <w:b/>
          <w:bCs/>
          <w:sz w:val="32"/>
          <w:szCs w:val="32"/>
        </w:rPr>
        <w:lastRenderedPageBreak/>
        <w:t xml:space="preserve">Siglas y </w:t>
      </w:r>
      <w:r w:rsidR="00E27391" w:rsidRPr="00B81E48">
        <w:rPr>
          <w:b/>
          <w:bCs/>
          <w:sz w:val="32"/>
          <w:szCs w:val="32"/>
        </w:rPr>
        <w:t>a</w:t>
      </w:r>
      <w:r w:rsidRPr="00B81E48">
        <w:rPr>
          <w:b/>
          <w:bCs/>
          <w:sz w:val="32"/>
          <w:szCs w:val="32"/>
        </w:rPr>
        <w:t>crónimos</w:t>
      </w:r>
      <w:bookmarkEnd w:id="3"/>
    </w:p>
    <w:tbl>
      <w:tblPr>
        <w:tblStyle w:val="Tablaconcuadrcula"/>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8221"/>
      </w:tblGrid>
      <w:tr w:rsidR="003768BE" w:rsidRPr="00525DB4" w14:paraId="7DF59CB3" w14:textId="77777777" w:rsidTr="0070094C">
        <w:tc>
          <w:tcPr>
            <w:tcW w:w="1701" w:type="dxa"/>
            <w:shd w:val="clear" w:color="auto" w:fill="auto"/>
            <w:vAlign w:val="center"/>
          </w:tcPr>
          <w:p w14:paraId="59158068" w14:textId="77777777" w:rsidR="003768BE" w:rsidRPr="008C54FC" w:rsidRDefault="003768BE" w:rsidP="0070094C">
            <w:pPr>
              <w:spacing w:before="0" w:after="0"/>
            </w:pPr>
            <w:r w:rsidRPr="008C54FC">
              <w:t>ASM</w:t>
            </w:r>
          </w:p>
        </w:tc>
        <w:tc>
          <w:tcPr>
            <w:tcW w:w="8221" w:type="dxa"/>
            <w:shd w:val="clear" w:color="auto" w:fill="auto"/>
            <w:vAlign w:val="center"/>
          </w:tcPr>
          <w:p w14:paraId="28EBED26" w14:textId="77777777" w:rsidR="003768BE" w:rsidRPr="00525DB4" w:rsidRDefault="003768BE" w:rsidP="0070094C">
            <w:pPr>
              <w:spacing w:before="0" w:after="0"/>
              <w:jc w:val="left"/>
            </w:pPr>
            <w:r>
              <w:t>Aspectos Susceptibles de Mejora</w:t>
            </w:r>
          </w:p>
        </w:tc>
      </w:tr>
      <w:tr w:rsidR="003768BE" w:rsidRPr="00525DB4" w14:paraId="47002554" w14:textId="77777777" w:rsidTr="0070094C">
        <w:tc>
          <w:tcPr>
            <w:tcW w:w="1701" w:type="dxa"/>
            <w:shd w:val="clear" w:color="auto" w:fill="auto"/>
            <w:vAlign w:val="center"/>
          </w:tcPr>
          <w:p w14:paraId="52896D52" w14:textId="77777777" w:rsidR="003768BE" w:rsidRPr="008C54FC" w:rsidRDefault="003768BE" w:rsidP="0070094C">
            <w:pPr>
              <w:spacing w:before="0" w:after="0"/>
            </w:pPr>
            <w:r w:rsidRPr="008C54FC">
              <w:t>APF</w:t>
            </w:r>
          </w:p>
        </w:tc>
        <w:tc>
          <w:tcPr>
            <w:tcW w:w="8221" w:type="dxa"/>
            <w:shd w:val="clear" w:color="auto" w:fill="auto"/>
            <w:vAlign w:val="center"/>
          </w:tcPr>
          <w:p w14:paraId="7D33CB03" w14:textId="77777777" w:rsidR="003768BE" w:rsidRDefault="003768BE" w:rsidP="0070094C">
            <w:pPr>
              <w:spacing w:before="0" w:after="0"/>
              <w:jc w:val="left"/>
            </w:pPr>
            <w:r w:rsidRPr="00310044">
              <w:rPr>
                <w:rFonts w:cstheme="minorHAnsi"/>
              </w:rPr>
              <w:t>Administración Pública Federal</w:t>
            </w:r>
          </w:p>
        </w:tc>
      </w:tr>
      <w:tr w:rsidR="003768BE" w:rsidRPr="00525DB4" w14:paraId="7A446FEA" w14:textId="77777777" w:rsidTr="0070094C">
        <w:tc>
          <w:tcPr>
            <w:tcW w:w="1701" w:type="dxa"/>
            <w:shd w:val="clear" w:color="auto" w:fill="auto"/>
            <w:vAlign w:val="center"/>
          </w:tcPr>
          <w:p w14:paraId="6BA4EF70" w14:textId="77777777" w:rsidR="003768BE" w:rsidRPr="008C54FC" w:rsidRDefault="003768BE" w:rsidP="0070094C">
            <w:pPr>
              <w:spacing w:before="0" w:after="0"/>
            </w:pPr>
            <w:r w:rsidRPr="008C54FC">
              <w:t>CONEVAL</w:t>
            </w:r>
          </w:p>
        </w:tc>
        <w:tc>
          <w:tcPr>
            <w:tcW w:w="8221" w:type="dxa"/>
            <w:shd w:val="clear" w:color="auto" w:fill="auto"/>
            <w:vAlign w:val="center"/>
          </w:tcPr>
          <w:p w14:paraId="3182996B" w14:textId="77777777" w:rsidR="003768BE" w:rsidRPr="00525DB4" w:rsidRDefault="003768BE" w:rsidP="0070094C">
            <w:pPr>
              <w:spacing w:before="0" w:after="0"/>
              <w:jc w:val="left"/>
            </w:pPr>
            <w:r w:rsidRPr="00525DB4">
              <w:t>Consejo Nacional de Evaluación de la Política de Desarrollo Social</w:t>
            </w:r>
          </w:p>
        </w:tc>
      </w:tr>
      <w:tr w:rsidR="003768BE" w:rsidRPr="00525DB4" w14:paraId="1310ECD0" w14:textId="77777777" w:rsidTr="0070094C">
        <w:tc>
          <w:tcPr>
            <w:tcW w:w="1701" w:type="dxa"/>
            <w:shd w:val="clear" w:color="auto" w:fill="auto"/>
            <w:vAlign w:val="center"/>
          </w:tcPr>
          <w:p w14:paraId="2E86603E" w14:textId="77777777" w:rsidR="003768BE" w:rsidRPr="008C54FC" w:rsidRDefault="003768BE" w:rsidP="0070094C">
            <w:pPr>
              <w:spacing w:before="0" w:after="0"/>
            </w:pPr>
            <w:r w:rsidRPr="008C54FC">
              <w:t>DC</w:t>
            </w:r>
          </w:p>
        </w:tc>
        <w:tc>
          <w:tcPr>
            <w:tcW w:w="8221" w:type="dxa"/>
            <w:shd w:val="clear" w:color="auto" w:fill="auto"/>
            <w:vAlign w:val="center"/>
          </w:tcPr>
          <w:p w14:paraId="7426E44A" w14:textId="77777777" w:rsidR="003768BE" w:rsidRPr="00525DB4" w:rsidRDefault="003768BE" w:rsidP="0070094C">
            <w:pPr>
              <w:spacing w:before="0" w:after="0"/>
              <w:jc w:val="left"/>
            </w:pPr>
            <w:r>
              <w:t>Dirección de contabilidad</w:t>
            </w:r>
          </w:p>
        </w:tc>
      </w:tr>
      <w:tr w:rsidR="003768BE" w:rsidRPr="00525DB4" w14:paraId="60B50B79" w14:textId="77777777" w:rsidTr="0070094C">
        <w:tc>
          <w:tcPr>
            <w:tcW w:w="1701" w:type="dxa"/>
            <w:shd w:val="clear" w:color="auto" w:fill="auto"/>
            <w:vAlign w:val="center"/>
          </w:tcPr>
          <w:p w14:paraId="0B5999D8" w14:textId="77777777" w:rsidR="003768BE" w:rsidRPr="008C54FC" w:rsidRDefault="003768BE" w:rsidP="0070094C">
            <w:pPr>
              <w:spacing w:before="0" w:after="0"/>
            </w:pPr>
            <w:r w:rsidRPr="008C54FC">
              <w:t>DGPYP “A”</w:t>
            </w:r>
          </w:p>
        </w:tc>
        <w:tc>
          <w:tcPr>
            <w:tcW w:w="8221" w:type="dxa"/>
            <w:shd w:val="clear" w:color="auto" w:fill="auto"/>
            <w:vAlign w:val="center"/>
          </w:tcPr>
          <w:p w14:paraId="076FA261" w14:textId="77777777" w:rsidR="003768BE" w:rsidRPr="00525DB4" w:rsidRDefault="003768BE" w:rsidP="0070094C">
            <w:pPr>
              <w:spacing w:before="0" w:after="0"/>
              <w:jc w:val="left"/>
            </w:pPr>
            <w:r w:rsidRPr="00525DB4">
              <w:t>Dirección General de Programación y Presupuesto “A”</w:t>
            </w:r>
            <w:r>
              <w:t xml:space="preserve"> de la SHCP</w:t>
            </w:r>
          </w:p>
        </w:tc>
      </w:tr>
      <w:tr w:rsidR="003768BE" w:rsidRPr="00525DB4" w14:paraId="1193A6C3" w14:textId="77777777" w:rsidTr="0070094C">
        <w:tc>
          <w:tcPr>
            <w:tcW w:w="1701" w:type="dxa"/>
            <w:shd w:val="clear" w:color="auto" w:fill="auto"/>
            <w:vAlign w:val="center"/>
          </w:tcPr>
          <w:p w14:paraId="1C860F8E" w14:textId="77777777" w:rsidR="003768BE" w:rsidRPr="008C54FC" w:rsidRDefault="003768BE" w:rsidP="0070094C">
            <w:pPr>
              <w:spacing w:before="0" w:after="0"/>
            </w:pPr>
            <w:r w:rsidRPr="008C54FC">
              <w:t>DOF</w:t>
            </w:r>
          </w:p>
        </w:tc>
        <w:tc>
          <w:tcPr>
            <w:tcW w:w="8221" w:type="dxa"/>
            <w:shd w:val="clear" w:color="auto" w:fill="auto"/>
            <w:vAlign w:val="center"/>
          </w:tcPr>
          <w:p w14:paraId="5E0F71F5" w14:textId="77777777" w:rsidR="003768BE" w:rsidRPr="004B7EBB" w:rsidRDefault="003768BE" w:rsidP="0070094C">
            <w:pPr>
              <w:spacing w:before="0" w:after="0"/>
              <w:jc w:val="left"/>
            </w:pPr>
            <w:r w:rsidRPr="004B7EBB">
              <w:t>Diario Oficial de la Federación</w:t>
            </w:r>
          </w:p>
        </w:tc>
      </w:tr>
      <w:tr w:rsidR="003768BE" w:rsidRPr="00525DB4" w14:paraId="42E158F3" w14:textId="77777777" w:rsidTr="0070094C">
        <w:tc>
          <w:tcPr>
            <w:tcW w:w="1701" w:type="dxa"/>
            <w:shd w:val="clear" w:color="auto" w:fill="auto"/>
          </w:tcPr>
          <w:p w14:paraId="687149C0" w14:textId="77777777" w:rsidR="003768BE" w:rsidRPr="008C54FC" w:rsidRDefault="003768BE" w:rsidP="0070094C">
            <w:pPr>
              <w:spacing w:before="0" w:after="0"/>
            </w:pPr>
            <w:r w:rsidRPr="008C54FC">
              <w:t>DPE</w:t>
            </w:r>
          </w:p>
        </w:tc>
        <w:tc>
          <w:tcPr>
            <w:tcW w:w="8221" w:type="dxa"/>
            <w:shd w:val="clear" w:color="auto" w:fill="auto"/>
          </w:tcPr>
          <w:p w14:paraId="5D272C74" w14:textId="77777777" w:rsidR="003768BE" w:rsidRDefault="003768BE" w:rsidP="0070094C">
            <w:pPr>
              <w:spacing w:before="0" w:after="0"/>
              <w:jc w:val="left"/>
            </w:pPr>
            <w:r>
              <w:t>Dirección de Planeación Estratégica</w:t>
            </w:r>
          </w:p>
        </w:tc>
      </w:tr>
      <w:tr w:rsidR="003768BE" w:rsidRPr="00525DB4" w14:paraId="2B5A44B9" w14:textId="77777777" w:rsidTr="0070094C">
        <w:tc>
          <w:tcPr>
            <w:tcW w:w="1701" w:type="dxa"/>
            <w:shd w:val="clear" w:color="auto" w:fill="auto"/>
          </w:tcPr>
          <w:p w14:paraId="5A1E30F3" w14:textId="77777777" w:rsidR="003768BE" w:rsidRPr="008C54FC" w:rsidRDefault="003768BE" w:rsidP="0070094C">
            <w:pPr>
              <w:spacing w:before="0" w:after="0"/>
            </w:pPr>
            <w:r w:rsidRPr="008C54FC">
              <w:t>DPCH</w:t>
            </w:r>
          </w:p>
        </w:tc>
        <w:tc>
          <w:tcPr>
            <w:tcW w:w="8221" w:type="dxa"/>
            <w:shd w:val="clear" w:color="auto" w:fill="auto"/>
          </w:tcPr>
          <w:p w14:paraId="5348CFD7" w14:textId="77777777" w:rsidR="003768BE" w:rsidRDefault="003768BE" w:rsidP="0070094C">
            <w:pPr>
              <w:spacing w:before="0" w:after="0"/>
              <w:jc w:val="left"/>
            </w:pPr>
            <w:r w:rsidRPr="00B07D1B">
              <w:t>Direcci</w:t>
            </w:r>
            <w:r>
              <w:t>ó</w:t>
            </w:r>
            <w:r w:rsidRPr="00B07D1B">
              <w:t>n de Planeación y Control Hacendario</w:t>
            </w:r>
          </w:p>
        </w:tc>
      </w:tr>
      <w:tr w:rsidR="003768BE" w:rsidRPr="00525DB4" w14:paraId="565EB3B8" w14:textId="77777777" w:rsidTr="0070094C">
        <w:tc>
          <w:tcPr>
            <w:tcW w:w="1701" w:type="dxa"/>
            <w:shd w:val="clear" w:color="auto" w:fill="auto"/>
          </w:tcPr>
          <w:p w14:paraId="410B29F9" w14:textId="77777777" w:rsidR="003768BE" w:rsidRPr="008C54FC" w:rsidRDefault="003768BE" w:rsidP="0070094C">
            <w:pPr>
              <w:spacing w:before="0" w:after="0"/>
            </w:pPr>
            <w:r w:rsidRPr="008C54FC">
              <w:t>DUI</w:t>
            </w:r>
          </w:p>
        </w:tc>
        <w:tc>
          <w:tcPr>
            <w:tcW w:w="8221" w:type="dxa"/>
            <w:shd w:val="clear" w:color="auto" w:fill="auto"/>
          </w:tcPr>
          <w:p w14:paraId="64561B35" w14:textId="77777777" w:rsidR="003768BE" w:rsidRPr="00B07D1B" w:rsidRDefault="003768BE" w:rsidP="0070094C">
            <w:pPr>
              <w:spacing w:before="0" w:after="0"/>
              <w:jc w:val="left"/>
            </w:pPr>
            <w:r w:rsidRPr="00B07D1B">
              <w:t>Direcci</w:t>
            </w:r>
            <w:r>
              <w:t>ó</w:t>
            </w:r>
            <w:r w:rsidRPr="00B07D1B">
              <w:t>n de la Unidad de Inversión</w:t>
            </w:r>
          </w:p>
        </w:tc>
      </w:tr>
      <w:tr w:rsidR="003768BE" w:rsidRPr="00525DB4" w14:paraId="78242369" w14:textId="77777777" w:rsidTr="0070094C">
        <w:tc>
          <w:tcPr>
            <w:tcW w:w="1701" w:type="dxa"/>
            <w:shd w:val="clear" w:color="auto" w:fill="auto"/>
            <w:vAlign w:val="center"/>
          </w:tcPr>
          <w:p w14:paraId="0A21702A" w14:textId="77777777" w:rsidR="003768BE" w:rsidRPr="008C54FC" w:rsidRDefault="003768BE" w:rsidP="0070094C">
            <w:pPr>
              <w:spacing w:before="0" w:after="0"/>
            </w:pPr>
            <w:r w:rsidRPr="008C54FC">
              <w:t>FAF</w:t>
            </w:r>
          </w:p>
        </w:tc>
        <w:tc>
          <w:tcPr>
            <w:tcW w:w="8221" w:type="dxa"/>
            <w:shd w:val="clear" w:color="auto" w:fill="auto"/>
            <w:vAlign w:val="center"/>
          </w:tcPr>
          <w:p w14:paraId="3FD8B853" w14:textId="77777777" w:rsidR="003768BE" w:rsidRPr="00525DB4" w:rsidRDefault="003768BE" w:rsidP="0070094C">
            <w:pPr>
              <w:spacing w:before="0" w:after="0"/>
              <w:jc w:val="left"/>
            </w:pPr>
            <w:r w:rsidRPr="00525DB4">
              <w:t>Fondo de Aportaciones Federales</w:t>
            </w:r>
          </w:p>
        </w:tc>
      </w:tr>
      <w:tr w:rsidR="003768BE" w:rsidRPr="00525DB4" w14:paraId="1477294A" w14:textId="77777777" w:rsidTr="0070094C">
        <w:tc>
          <w:tcPr>
            <w:tcW w:w="1701" w:type="dxa"/>
            <w:shd w:val="clear" w:color="auto" w:fill="auto"/>
            <w:vAlign w:val="center"/>
          </w:tcPr>
          <w:p w14:paraId="1D6F7C7E" w14:textId="77777777" w:rsidR="003768BE" w:rsidRPr="008C54FC" w:rsidRDefault="003768BE" w:rsidP="0070094C">
            <w:pPr>
              <w:spacing w:before="0" w:after="0"/>
            </w:pPr>
            <w:r w:rsidRPr="008C54FC">
              <w:t>FAFEF</w:t>
            </w:r>
          </w:p>
        </w:tc>
        <w:tc>
          <w:tcPr>
            <w:tcW w:w="8221" w:type="dxa"/>
            <w:shd w:val="clear" w:color="auto" w:fill="auto"/>
            <w:vAlign w:val="center"/>
          </w:tcPr>
          <w:p w14:paraId="59079F4D" w14:textId="77777777" w:rsidR="003768BE" w:rsidRPr="00525DB4" w:rsidRDefault="003768BE" w:rsidP="0070094C">
            <w:pPr>
              <w:spacing w:before="0" w:after="0"/>
              <w:jc w:val="left"/>
            </w:pPr>
            <w:r w:rsidRPr="00525DB4">
              <w:t>Fondo de Aportaciones para el Fortalecimiento de las Entidades Federativas</w:t>
            </w:r>
          </w:p>
        </w:tc>
      </w:tr>
      <w:tr w:rsidR="003768BE" w:rsidRPr="00525DB4" w14:paraId="7D19D45A" w14:textId="77777777" w:rsidTr="0070094C">
        <w:tc>
          <w:tcPr>
            <w:tcW w:w="1701" w:type="dxa"/>
            <w:shd w:val="clear" w:color="auto" w:fill="auto"/>
          </w:tcPr>
          <w:p w14:paraId="3A77A6F8" w14:textId="77777777" w:rsidR="003768BE" w:rsidRPr="008C54FC" w:rsidRDefault="003768BE" w:rsidP="0070094C">
            <w:pPr>
              <w:spacing w:before="0" w:after="0"/>
            </w:pPr>
            <w:r w:rsidRPr="008C54FC">
              <w:t>FID</w:t>
            </w:r>
          </w:p>
        </w:tc>
        <w:tc>
          <w:tcPr>
            <w:tcW w:w="8221" w:type="dxa"/>
            <w:shd w:val="clear" w:color="auto" w:fill="auto"/>
          </w:tcPr>
          <w:p w14:paraId="1B4D3C95" w14:textId="77777777" w:rsidR="003768BE" w:rsidRPr="00A934FE" w:rsidRDefault="003768BE" w:rsidP="0070094C">
            <w:pPr>
              <w:spacing w:before="0" w:after="0"/>
              <w:jc w:val="left"/>
            </w:pPr>
            <w:r w:rsidRPr="00AB112C">
              <w:t>Fichas de Indicadores de Desempeño</w:t>
            </w:r>
          </w:p>
        </w:tc>
      </w:tr>
      <w:tr w:rsidR="003768BE" w:rsidRPr="00525DB4" w14:paraId="42BB97A8" w14:textId="77777777" w:rsidTr="0070094C">
        <w:tc>
          <w:tcPr>
            <w:tcW w:w="1701" w:type="dxa"/>
            <w:shd w:val="clear" w:color="auto" w:fill="auto"/>
            <w:vAlign w:val="center"/>
          </w:tcPr>
          <w:p w14:paraId="62F471AF" w14:textId="77777777" w:rsidR="003768BE" w:rsidRPr="008C54FC" w:rsidRDefault="003768BE" w:rsidP="0070094C">
            <w:pPr>
              <w:spacing w:before="0" w:after="0"/>
            </w:pPr>
            <w:r w:rsidRPr="008C54FC">
              <w:t>FIDEFAF</w:t>
            </w:r>
          </w:p>
        </w:tc>
        <w:tc>
          <w:tcPr>
            <w:tcW w:w="8221" w:type="dxa"/>
            <w:shd w:val="clear" w:color="auto" w:fill="auto"/>
            <w:vAlign w:val="center"/>
          </w:tcPr>
          <w:p w14:paraId="56BA437B" w14:textId="77777777" w:rsidR="003768BE" w:rsidRPr="00525DB4" w:rsidRDefault="003768BE" w:rsidP="0070094C">
            <w:pPr>
              <w:spacing w:before="0" w:after="0"/>
              <w:jc w:val="left"/>
            </w:pPr>
            <w:r w:rsidRPr="00525DB4">
              <w:t>Fideicomiso para la Evaluación de los Fondos de Aportaciones Federales</w:t>
            </w:r>
          </w:p>
        </w:tc>
      </w:tr>
      <w:tr w:rsidR="003768BE" w:rsidRPr="00525DB4" w14:paraId="219D23EE" w14:textId="77777777" w:rsidTr="0070094C">
        <w:tc>
          <w:tcPr>
            <w:tcW w:w="1701" w:type="dxa"/>
            <w:shd w:val="clear" w:color="auto" w:fill="auto"/>
            <w:vAlign w:val="center"/>
          </w:tcPr>
          <w:p w14:paraId="31B5D6EF" w14:textId="77777777" w:rsidR="003768BE" w:rsidRPr="008C54FC" w:rsidRDefault="003768BE" w:rsidP="0070094C">
            <w:pPr>
              <w:spacing w:before="0" w:after="0"/>
            </w:pPr>
            <w:r w:rsidRPr="008C54FC">
              <w:t>FODA</w:t>
            </w:r>
          </w:p>
        </w:tc>
        <w:tc>
          <w:tcPr>
            <w:tcW w:w="8221" w:type="dxa"/>
            <w:shd w:val="clear" w:color="auto" w:fill="auto"/>
            <w:vAlign w:val="center"/>
          </w:tcPr>
          <w:p w14:paraId="28034C91" w14:textId="77777777" w:rsidR="003768BE" w:rsidRPr="00525DB4" w:rsidRDefault="003768BE" w:rsidP="0070094C">
            <w:pPr>
              <w:spacing w:before="0" w:after="0"/>
              <w:jc w:val="left"/>
            </w:pPr>
            <w:r>
              <w:t>Fortalezas, Oportunidades, Debilidades, Amenazas</w:t>
            </w:r>
          </w:p>
        </w:tc>
      </w:tr>
      <w:tr w:rsidR="003768BE" w:rsidRPr="00525DB4" w14:paraId="4EDDAC1D" w14:textId="77777777" w:rsidTr="0070094C">
        <w:tc>
          <w:tcPr>
            <w:tcW w:w="1701" w:type="dxa"/>
            <w:shd w:val="clear" w:color="auto" w:fill="auto"/>
            <w:vAlign w:val="center"/>
          </w:tcPr>
          <w:p w14:paraId="24781F5B" w14:textId="77777777" w:rsidR="003768BE" w:rsidRPr="008C54FC" w:rsidRDefault="003768BE" w:rsidP="0070094C">
            <w:pPr>
              <w:spacing w:before="0" w:after="0"/>
            </w:pPr>
            <w:r w:rsidRPr="008C54FC">
              <w:t>LCF</w:t>
            </w:r>
          </w:p>
        </w:tc>
        <w:tc>
          <w:tcPr>
            <w:tcW w:w="8221" w:type="dxa"/>
            <w:shd w:val="clear" w:color="auto" w:fill="auto"/>
            <w:vAlign w:val="center"/>
          </w:tcPr>
          <w:p w14:paraId="2F579AE2" w14:textId="77777777" w:rsidR="003768BE" w:rsidRPr="00525DB4" w:rsidRDefault="003768BE" w:rsidP="0070094C">
            <w:pPr>
              <w:spacing w:before="0" w:after="0"/>
              <w:jc w:val="left"/>
            </w:pPr>
            <w:r w:rsidRPr="00525DB4">
              <w:t xml:space="preserve">Ley de Coordinación Fiscal </w:t>
            </w:r>
          </w:p>
        </w:tc>
      </w:tr>
      <w:tr w:rsidR="003768BE" w:rsidRPr="00525DB4" w14:paraId="4A8DEB30" w14:textId="77777777" w:rsidTr="0070094C">
        <w:tc>
          <w:tcPr>
            <w:tcW w:w="1701" w:type="dxa"/>
            <w:shd w:val="clear" w:color="auto" w:fill="auto"/>
            <w:vAlign w:val="center"/>
          </w:tcPr>
          <w:p w14:paraId="2920B079" w14:textId="77777777" w:rsidR="003768BE" w:rsidRPr="008C54FC" w:rsidRDefault="003768BE" w:rsidP="0070094C">
            <w:pPr>
              <w:spacing w:before="0" w:after="0"/>
            </w:pPr>
            <w:r w:rsidRPr="008C54FC">
              <w:t>LFPRH</w:t>
            </w:r>
          </w:p>
        </w:tc>
        <w:tc>
          <w:tcPr>
            <w:tcW w:w="8221" w:type="dxa"/>
            <w:shd w:val="clear" w:color="auto" w:fill="auto"/>
            <w:vAlign w:val="center"/>
          </w:tcPr>
          <w:p w14:paraId="661EE6EC" w14:textId="77777777" w:rsidR="003768BE" w:rsidRPr="00525DB4" w:rsidRDefault="003768BE" w:rsidP="0070094C">
            <w:pPr>
              <w:spacing w:before="0" w:after="0"/>
              <w:jc w:val="left"/>
            </w:pPr>
            <w:r w:rsidRPr="00525DB4">
              <w:t>Ley Federal de Presupuesto y Responsabilidad Hacendaria</w:t>
            </w:r>
          </w:p>
        </w:tc>
      </w:tr>
      <w:tr w:rsidR="003768BE" w:rsidRPr="00525DB4" w14:paraId="411B3543" w14:textId="77777777" w:rsidTr="0070094C">
        <w:tc>
          <w:tcPr>
            <w:tcW w:w="1701" w:type="dxa"/>
            <w:shd w:val="clear" w:color="auto" w:fill="auto"/>
            <w:vAlign w:val="center"/>
          </w:tcPr>
          <w:p w14:paraId="41846927" w14:textId="77777777" w:rsidR="003768BE" w:rsidRPr="008C54FC" w:rsidRDefault="003768BE" w:rsidP="0070094C">
            <w:pPr>
              <w:spacing w:before="0" w:after="0"/>
            </w:pPr>
            <w:r w:rsidRPr="008C54FC">
              <w:t>LFRCF</w:t>
            </w:r>
          </w:p>
        </w:tc>
        <w:tc>
          <w:tcPr>
            <w:tcW w:w="8221" w:type="dxa"/>
            <w:shd w:val="clear" w:color="auto" w:fill="auto"/>
            <w:vAlign w:val="center"/>
          </w:tcPr>
          <w:p w14:paraId="0FC2D968" w14:textId="77777777" w:rsidR="003768BE" w:rsidRPr="00525DB4" w:rsidRDefault="003768BE" w:rsidP="0070094C">
            <w:pPr>
              <w:spacing w:before="0" w:after="0"/>
              <w:jc w:val="left"/>
            </w:pPr>
            <w:r>
              <w:t>Ley de Fiscalización y Rendición de Cuentas de la Federación</w:t>
            </w:r>
          </w:p>
        </w:tc>
      </w:tr>
      <w:tr w:rsidR="003768BE" w:rsidRPr="00525DB4" w14:paraId="48429123" w14:textId="77777777" w:rsidTr="0070094C">
        <w:tc>
          <w:tcPr>
            <w:tcW w:w="1701" w:type="dxa"/>
            <w:shd w:val="clear" w:color="auto" w:fill="auto"/>
            <w:vAlign w:val="center"/>
          </w:tcPr>
          <w:p w14:paraId="4BD713F2" w14:textId="77777777" w:rsidR="003768BE" w:rsidRPr="008C54FC" w:rsidRDefault="003768BE" w:rsidP="0070094C">
            <w:pPr>
              <w:spacing w:before="0" w:after="0"/>
            </w:pPr>
            <w:r w:rsidRPr="008C54FC">
              <w:t>LGCG</w:t>
            </w:r>
          </w:p>
        </w:tc>
        <w:tc>
          <w:tcPr>
            <w:tcW w:w="8221" w:type="dxa"/>
            <w:shd w:val="clear" w:color="auto" w:fill="auto"/>
            <w:vAlign w:val="center"/>
          </w:tcPr>
          <w:p w14:paraId="15250521" w14:textId="77777777" w:rsidR="003768BE" w:rsidRDefault="003768BE" w:rsidP="0070094C">
            <w:pPr>
              <w:spacing w:before="0" w:after="0"/>
              <w:jc w:val="left"/>
            </w:pPr>
            <w:r>
              <w:t>Ley General de Contabilidad Gubernamental</w:t>
            </w:r>
          </w:p>
        </w:tc>
      </w:tr>
      <w:tr w:rsidR="003768BE" w:rsidRPr="00525DB4" w14:paraId="7A3B0C1B" w14:textId="77777777" w:rsidTr="0070094C">
        <w:tc>
          <w:tcPr>
            <w:tcW w:w="1701" w:type="dxa"/>
            <w:shd w:val="clear" w:color="auto" w:fill="auto"/>
            <w:vAlign w:val="center"/>
          </w:tcPr>
          <w:p w14:paraId="3CC6D6DD" w14:textId="77777777" w:rsidR="003768BE" w:rsidRPr="008C54FC" w:rsidRDefault="003768BE" w:rsidP="0070094C">
            <w:pPr>
              <w:spacing w:before="0" w:after="0"/>
            </w:pPr>
            <w:r w:rsidRPr="008C54FC">
              <w:t>MiPyME</w:t>
            </w:r>
          </w:p>
        </w:tc>
        <w:tc>
          <w:tcPr>
            <w:tcW w:w="8221" w:type="dxa"/>
            <w:shd w:val="clear" w:color="auto" w:fill="auto"/>
            <w:vAlign w:val="center"/>
          </w:tcPr>
          <w:p w14:paraId="332DAC62" w14:textId="77777777" w:rsidR="003768BE" w:rsidRDefault="003768BE" w:rsidP="0070094C">
            <w:pPr>
              <w:spacing w:before="0" w:after="0"/>
              <w:jc w:val="left"/>
            </w:pPr>
            <w:r>
              <w:t>Micro, Pequeña y Mediana Empresa</w:t>
            </w:r>
          </w:p>
        </w:tc>
      </w:tr>
      <w:tr w:rsidR="003768BE" w:rsidRPr="00525DB4" w14:paraId="434260B9" w14:textId="77777777" w:rsidTr="0070094C">
        <w:tc>
          <w:tcPr>
            <w:tcW w:w="1701" w:type="dxa"/>
            <w:shd w:val="clear" w:color="auto" w:fill="auto"/>
            <w:vAlign w:val="center"/>
          </w:tcPr>
          <w:p w14:paraId="464C6636" w14:textId="77777777" w:rsidR="003768BE" w:rsidRPr="008C54FC" w:rsidRDefault="003768BE" w:rsidP="0070094C">
            <w:pPr>
              <w:spacing w:before="0" w:after="0"/>
            </w:pPr>
            <w:r w:rsidRPr="008C54FC">
              <w:t>MIR</w:t>
            </w:r>
          </w:p>
        </w:tc>
        <w:tc>
          <w:tcPr>
            <w:tcW w:w="8221" w:type="dxa"/>
            <w:shd w:val="clear" w:color="auto" w:fill="auto"/>
            <w:vAlign w:val="center"/>
          </w:tcPr>
          <w:p w14:paraId="7BFA0FF0" w14:textId="77777777" w:rsidR="003768BE" w:rsidRPr="00525DB4" w:rsidRDefault="003768BE" w:rsidP="0070094C">
            <w:pPr>
              <w:spacing w:before="0" w:after="0"/>
              <w:jc w:val="left"/>
            </w:pPr>
            <w:bookmarkStart w:id="5" w:name="_Hlk51325754"/>
            <w:r>
              <w:t>Matriz de Indicadores para Resultados</w:t>
            </w:r>
            <w:bookmarkEnd w:id="5"/>
          </w:p>
        </w:tc>
      </w:tr>
      <w:tr w:rsidR="003768BE" w:rsidRPr="00525DB4" w14:paraId="1D1BD92E" w14:textId="77777777" w:rsidTr="0070094C">
        <w:tc>
          <w:tcPr>
            <w:tcW w:w="1701" w:type="dxa"/>
            <w:shd w:val="clear" w:color="auto" w:fill="auto"/>
            <w:vAlign w:val="center"/>
          </w:tcPr>
          <w:p w14:paraId="648580D5" w14:textId="77777777" w:rsidR="003768BE" w:rsidRPr="008C54FC" w:rsidRDefault="003768BE" w:rsidP="0070094C">
            <w:pPr>
              <w:spacing w:before="0" w:after="0"/>
            </w:pPr>
            <w:r w:rsidRPr="008C54FC">
              <w:t>MML</w:t>
            </w:r>
          </w:p>
        </w:tc>
        <w:tc>
          <w:tcPr>
            <w:tcW w:w="8221" w:type="dxa"/>
            <w:shd w:val="clear" w:color="auto" w:fill="auto"/>
            <w:vAlign w:val="center"/>
          </w:tcPr>
          <w:p w14:paraId="70AC4D3C" w14:textId="77777777" w:rsidR="003768BE" w:rsidRDefault="003768BE" w:rsidP="0070094C">
            <w:pPr>
              <w:spacing w:before="0" w:after="0"/>
              <w:jc w:val="left"/>
            </w:pPr>
            <w:r>
              <w:t>Metodología de Marco Lógico</w:t>
            </w:r>
          </w:p>
        </w:tc>
      </w:tr>
      <w:tr w:rsidR="003768BE" w:rsidRPr="00525DB4" w14:paraId="2352C7CB" w14:textId="77777777" w:rsidTr="0070094C">
        <w:tc>
          <w:tcPr>
            <w:tcW w:w="1701" w:type="dxa"/>
            <w:shd w:val="clear" w:color="auto" w:fill="auto"/>
            <w:vAlign w:val="center"/>
          </w:tcPr>
          <w:p w14:paraId="50678038" w14:textId="77777777" w:rsidR="003768BE" w:rsidRPr="008C54FC" w:rsidRDefault="003768BE" w:rsidP="0070094C">
            <w:pPr>
              <w:spacing w:before="0" w:after="0"/>
            </w:pPr>
            <w:r w:rsidRPr="008C54FC">
              <w:t>Modelo de TdR</w:t>
            </w:r>
          </w:p>
        </w:tc>
        <w:tc>
          <w:tcPr>
            <w:tcW w:w="8221" w:type="dxa"/>
            <w:shd w:val="clear" w:color="auto" w:fill="auto"/>
            <w:vAlign w:val="center"/>
          </w:tcPr>
          <w:p w14:paraId="2DAEBB43" w14:textId="77777777" w:rsidR="003768BE" w:rsidRPr="00525DB4" w:rsidRDefault="003768BE" w:rsidP="0070094C">
            <w:pPr>
              <w:spacing w:before="0" w:after="0"/>
              <w:jc w:val="left"/>
            </w:pPr>
            <w:r>
              <w:t xml:space="preserve">Modelo de </w:t>
            </w:r>
            <w:r w:rsidRPr="00525DB4">
              <w:t xml:space="preserve">Términos de Referencia </w:t>
            </w:r>
            <w:r>
              <w:t>emitido por el CONEVAL</w:t>
            </w:r>
          </w:p>
        </w:tc>
      </w:tr>
      <w:tr w:rsidR="003768BE" w:rsidRPr="00525DB4" w14:paraId="7D61ACAD" w14:textId="77777777" w:rsidTr="0070094C">
        <w:tc>
          <w:tcPr>
            <w:tcW w:w="1701" w:type="dxa"/>
            <w:shd w:val="clear" w:color="auto" w:fill="auto"/>
            <w:vAlign w:val="center"/>
          </w:tcPr>
          <w:p w14:paraId="39C7710A" w14:textId="77777777" w:rsidR="003768BE" w:rsidRPr="008C54FC" w:rsidRDefault="003768BE" w:rsidP="0070094C">
            <w:pPr>
              <w:spacing w:before="0" w:after="0"/>
            </w:pPr>
            <w:r w:rsidRPr="008C54FC">
              <w:t>ODS</w:t>
            </w:r>
          </w:p>
        </w:tc>
        <w:tc>
          <w:tcPr>
            <w:tcW w:w="8221" w:type="dxa"/>
            <w:shd w:val="clear" w:color="auto" w:fill="auto"/>
            <w:vAlign w:val="center"/>
          </w:tcPr>
          <w:p w14:paraId="3348729C" w14:textId="77777777" w:rsidR="003768BE" w:rsidRPr="00525DB4" w:rsidRDefault="003768BE" w:rsidP="0070094C">
            <w:pPr>
              <w:spacing w:before="0" w:after="0"/>
            </w:pPr>
            <w:r>
              <w:t>Objetivos de Desarrollo Sostenible</w:t>
            </w:r>
          </w:p>
        </w:tc>
      </w:tr>
      <w:tr w:rsidR="003768BE" w:rsidRPr="00525DB4" w14:paraId="3515D022" w14:textId="77777777" w:rsidTr="0070094C">
        <w:tc>
          <w:tcPr>
            <w:tcW w:w="1701" w:type="dxa"/>
            <w:shd w:val="clear" w:color="auto" w:fill="auto"/>
            <w:vAlign w:val="center"/>
          </w:tcPr>
          <w:p w14:paraId="272A592B" w14:textId="77777777" w:rsidR="003768BE" w:rsidRPr="008C54FC" w:rsidRDefault="003768BE" w:rsidP="0070094C">
            <w:pPr>
              <w:spacing w:before="0" w:after="0"/>
            </w:pPr>
            <w:r w:rsidRPr="008C54FC">
              <w:t>PAE18</w:t>
            </w:r>
          </w:p>
        </w:tc>
        <w:tc>
          <w:tcPr>
            <w:tcW w:w="8221" w:type="dxa"/>
            <w:shd w:val="clear" w:color="auto" w:fill="auto"/>
            <w:vAlign w:val="center"/>
          </w:tcPr>
          <w:p w14:paraId="1EAB84E4" w14:textId="77777777" w:rsidR="003768BE" w:rsidRPr="00525DB4" w:rsidRDefault="003768BE" w:rsidP="0070094C">
            <w:pPr>
              <w:spacing w:before="0" w:after="0"/>
            </w:pPr>
            <w:r w:rsidRPr="00525DB4">
              <w:t>Programas Anuales de Evaluación</w:t>
            </w:r>
            <w:r>
              <w:t xml:space="preserve"> de los Programas Federales y de los Fondos de Aportaciones Federales para el Ejercicio Fiscal 2018.</w:t>
            </w:r>
          </w:p>
        </w:tc>
      </w:tr>
      <w:tr w:rsidR="003768BE" w:rsidRPr="00525DB4" w14:paraId="0A8C313F" w14:textId="77777777" w:rsidTr="0070094C">
        <w:tc>
          <w:tcPr>
            <w:tcW w:w="1701" w:type="dxa"/>
            <w:shd w:val="clear" w:color="auto" w:fill="auto"/>
            <w:vAlign w:val="center"/>
          </w:tcPr>
          <w:p w14:paraId="20DE6FC3" w14:textId="77777777" w:rsidR="003768BE" w:rsidRPr="008C54FC" w:rsidRDefault="003768BE" w:rsidP="0070094C">
            <w:pPr>
              <w:spacing w:before="0" w:after="0"/>
            </w:pPr>
            <w:r w:rsidRPr="008C54FC">
              <w:t>PASH</w:t>
            </w:r>
          </w:p>
        </w:tc>
        <w:tc>
          <w:tcPr>
            <w:tcW w:w="8221" w:type="dxa"/>
            <w:shd w:val="clear" w:color="auto" w:fill="auto"/>
            <w:vAlign w:val="center"/>
          </w:tcPr>
          <w:p w14:paraId="1072434A" w14:textId="77777777" w:rsidR="003768BE" w:rsidRPr="00525DB4" w:rsidRDefault="003768BE" w:rsidP="0070094C">
            <w:pPr>
              <w:spacing w:before="0" w:after="0"/>
            </w:pPr>
            <w:r>
              <w:t>Portal Aplicativo de la Secretaría de Hacienda</w:t>
            </w:r>
          </w:p>
        </w:tc>
      </w:tr>
      <w:tr w:rsidR="003768BE" w:rsidRPr="00525DB4" w14:paraId="0F002D63" w14:textId="77777777" w:rsidTr="0070094C">
        <w:tc>
          <w:tcPr>
            <w:tcW w:w="1701" w:type="dxa"/>
            <w:shd w:val="clear" w:color="auto" w:fill="auto"/>
            <w:vAlign w:val="center"/>
          </w:tcPr>
          <w:p w14:paraId="3F49FCAD" w14:textId="77777777" w:rsidR="003768BE" w:rsidRPr="008C54FC" w:rsidRDefault="003768BE" w:rsidP="0070094C">
            <w:pPr>
              <w:spacing w:before="0" w:after="0"/>
            </w:pPr>
            <w:r w:rsidRPr="008C54FC">
              <w:t>PAT</w:t>
            </w:r>
          </w:p>
        </w:tc>
        <w:tc>
          <w:tcPr>
            <w:tcW w:w="8221" w:type="dxa"/>
            <w:shd w:val="clear" w:color="auto" w:fill="auto"/>
            <w:vAlign w:val="center"/>
          </w:tcPr>
          <w:p w14:paraId="146F5AEF" w14:textId="77777777" w:rsidR="003768BE" w:rsidRDefault="003768BE" w:rsidP="0070094C">
            <w:pPr>
              <w:spacing w:before="0" w:after="0"/>
            </w:pPr>
            <w:r>
              <w:t>Plan Anual de Trabajo del FAFEF</w:t>
            </w:r>
          </w:p>
        </w:tc>
      </w:tr>
      <w:tr w:rsidR="003768BE" w:rsidRPr="00525DB4" w14:paraId="20982AFA" w14:textId="77777777" w:rsidTr="0070094C">
        <w:tc>
          <w:tcPr>
            <w:tcW w:w="1701" w:type="dxa"/>
            <w:shd w:val="clear" w:color="auto" w:fill="auto"/>
            <w:vAlign w:val="center"/>
          </w:tcPr>
          <w:p w14:paraId="14D9E90A" w14:textId="77777777" w:rsidR="003768BE" w:rsidRPr="008C54FC" w:rsidRDefault="003768BE" w:rsidP="0070094C">
            <w:pPr>
              <w:spacing w:before="0" w:after="0"/>
            </w:pPr>
            <w:r w:rsidRPr="008C54FC">
              <w:t>PbR</w:t>
            </w:r>
          </w:p>
        </w:tc>
        <w:tc>
          <w:tcPr>
            <w:tcW w:w="8221" w:type="dxa"/>
            <w:shd w:val="clear" w:color="auto" w:fill="auto"/>
            <w:vAlign w:val="center"/>
          </w:tcPr>
          <w:p w14:paraId="06CDCF59" w14:textId="77777777" w:rsidR="003768BE" w:rsidRPr="007C5D37" w:rsidRDefault="003768BE" w:rsidP="0070094C">
            <w:pPr>
              <w:spacing w:before="0" w:after="0"/>
            </w:pPr>
            <w:r w:rsidRPr="007C5D37">
              <w:t xml:space="preserve">Presupuesto </w:t>
            </w:r>
            <w:r>
              <w:t>b</w:t>
            </w:r>
            <w:r w:rsidRPr="007C5D37">
              <w:t xml:space="preserve">asado en </w:t>
            </w:r>
            <w:r>
              <w:t>r</w:t>
            </w:r>
            <w:r w:rsidRPr="007C5D37">
              <w:t>esultados</w:t>
            </w:r>
          </w:p>
        </w:tc>
      </w:tr>
      <w:tr w:rsidR="003768BE" w:rsidRPr="00525DB4" w14:paraId="2A529363" w14:textId="77777777" w:rsidTr="0070094C">
        <w:tc>
          <w:tcPr>
            <w:tcW w:w="1701" w:type="dxa"/>
            <w:shd w:val="clear" w:color="auto" w:fill="auto"/>
            <w:vAlign w:val="center"/>
          </w:tcPr>
          <w:p w14:paraId="08B581A8" w14:textId="77777777" w:rsidR="003768BE" w:rsidRPr="008C54FC" w:rsidRDefault="003768BE" w:rsidP="0070094C">
            <w:pPr>
              <w:spacing w:before="0" w:after="0"/>
            </w:pPr>
            <w:r w:rsidRPr="008C54FC">
              <w:t>PED 2016-2022</w:t>
            </w:r>
          </w:p>
        </w:tc>
        <w:tc>
          <w:tcPr>
            <w:tcW w:w="8221" w:type="dxa"/>
            <w:shd w:val="clear" w:color="auto" w:fill="auto"/>
            <w:vAlign w:val="center"/>
          </w:tcPr>
          <w:p w14:paraId="363BAC6D" w14:textId="77777777" w:rsidR="003768BE" w:rsidRPr="007C5D37" w:rsidRDefault="003768BE" w:rsidP="0070094C">
            <w:pPr>
              <w:spacing w:before="0" w:after="0"/>
            </w:pPr>
            <w:r w:rsidRPr="007C5D37">
              <w:t>Plan Estatal de Desarrollo</w:t>
            </w:r>
            <w:r>
              <w:t xml:space="preserve"> 2016-2022 de Tamaulipas</w:t>
            </w:r>
          </w:p>
        </w:tc>
      </w:tr>
      <w:tr w:rsidR="003768BE" w:rsidRPr="00525DB4" w14:paraId="2A5983B4" w14:textId="77777777" w:rsidTr="0070094C">
        <w:tc>
          <w:tcPr>
            <w:tcW w:w="1701" w:type="dxa"/>
            <w:shd w:val="clear" w:color="auto" w:fill="auto"/>
            <w:vAlign w:val="center"/>
          </w:tcPr>
          <w:p w14:paraId="3CED02E0" w14:textId="77777777" w:rsidR="003768BE" w:rsidRPr="008C54FC" w:rsidRDefault="003768BE" w:rsidP="0070094C">
            <w:pPr>
              <w:spacing w:before="0" w:after="0"/>
            </w:pPr>
            <w:r w:rsidRPr="008C54FC">
              <w:t>PEF</w:t>
            </w:r>
          </w:p>
        </w:tc>
        <w:tc>
          <w:tcPr>
            <w:tcW w:w="8221" w:type="dxa"/>
            <w:shd w:val="clear" w:color="auto" w:fill="auto"/>
            <w:vAlign w:val="center"/>
          </w:tcPr>
          <w:p w14:paraId="6B9410E8" w14:textId="77777777" w:rsidR="003768BE" w:rsidRPr="00737270" w:rsidRDefault="003768BE" w:rsidP="0070094C">
            <w:pPr>
              <w:spacing w:before="0" w:after="0"/>
            </w:pPr>
            <w:r w:rsidRPr="00737270">
              <w:t>Presupuesto de Egresos de la Federación</w:t>
            </w:r>
          </w:p>
        </w:tc>
      </w:tr>
      <w:tr w:rsidR="003768BE" w:rsidRPr="00525DB4" w14:paraId="63A23E7E" w14:textId="77777777" w:rsidTr="0070094C">
        <w:tc>
          <w:tcPr>
            <w:tcW w:w="1701" w:type="dxa"/>
            <w:shd w:val="clear" w:color="auto" w:fill="auto"/>
            <w:vAlign w:val="center"/>
          </w:tcPr>
          <w:p w14:paraId="471E47C3" w14:textId="77777777" w:rsidR="003768BE" w:rsidRPr="008C54FC" w:rsidRDefault="003768BE" w:rsidP="0070094C">
            <w:pPr>
              <w:spacing w:before="0" w:after="0"/>
            </w:pPr>
            <w:r w:rsidRPr="008C54FC">
              <w:t>PND</w:t>
            </w:r>
          </w:p>
        </w:tc>
        <w:tc>
          <w:tcPr>
            <w:tcW w:w="8221" w:type="dxa"/>
            <w:shd w:val="clear" w:color="auto" w:fill="auto"/>
            <w:vAlign w:val="center"/>
          </w:tcPr>
          <w:p w14:paraId="6FB3E698" w14:textId="77777777" w:rsidR="003768BE" w:rsidRPr="007C5D37" w:rsidRDefault="003768BE" w:rsidP="0070094C">
            <w:pPr>
              <w:spacing w:before="0" w:after="0"/>
            </w:pPr>
            <w:r w:rsidRPr="007C5D37">
              <w:t>Plan Nacional de Desarrollo 2013-2018</w:t>
            </w:r>
          </w:p>
        </w:tc>
      </w:tr>
      <w:tr w:rsidR="003768BE" w:rsidRPr="00525DB4" w14:paraId="1027D28F" w14:textId="77777777" w:rsidTr="0070094C">
        <w:tc>
          <w:tcPr>
            <w:tcW w:w="1701" w:type="dxa"/>
            <w:shd w:val="clear" w:color="auto" w:fill="auto"/>
            <w:vAlign w:val="center"/>
          </w:tcPr>
          <w:p w14:paraId="6244498E" w14:textId="77777777" w:rsidR="003768BE" w:rsidRPr="008C54FC" w:rsidRDefault="003768BE" w:rsidP="0070094C">
            <w:pPr>
              <w:spacing w:before="0" w:after="0"/>
            </w:pPr>
            <w:r w:rsidRPr="008C54FC">
              <w:t>PED</w:t>
            </w:r>
          </w:p>
        </w:tc>
        <w:tc>
          <w:tcPr>
            <w:tcW w:w="8221" w:type="dxa"/>
            <w:shd w:val="clear" w:color="auto" w:fill="auto"/>
            <w:vAlign w:val="center"/>
          </w:tcPr>
          <w:p w14:paraId="70C6A7FF" w14:textId="77777777" w:rsidR="003768BE" w:rsidRPr="007C5D37" w:rsidRDefault="003768BE" w:rsidP="0070094C">
            <w:pPr>
              <w:spacing w:before="0" w:after="0"/>
            </w:pPr>
            <w:r>
              <w:t>Plan Estatal de Desarrollo 2016-2022</w:t>
            </w:r>
          </w:p>
        </w:tc>
      </w:tr>
      <w:tr w:rsidR="003768BE" w:rsidRPr="00525DB4" w14:paraId="55101D53" w14:textId="77777777" w:rsidTr="0070094C">
        <w:tc>
          <w:tcPr>
            <w:tcW w:w="1701" w:type="dxa"/>
            <w:shd w:val="clear" w:color="auto" w:fill="auto"/>
            <w:vAlign w:val="center"/>
          </w:tcPr>
          <w:p w14:paraId="62C5613C" w14:textId="77777777" w:rsidR="003768BE" w:rsidRPr="008C54FC" w:rsidRDefault="003768BE" w:rsidP="0070094C">
            <w:pPr>
              <w:spacing w:before="0" w:after="0"/>
            </w:pPr>
            <w:r w:rsidRPr="008C54FC">
              <w:t>Pp</w:t>
            </w:r>
          </w:p>
        </w:tc>
        <w:tc>
          <w:tcPr>
            <w:tcW w:w="8221" w:type="dxa"/>
            <w:shd w:val="clear" w:color="auto" w:fill="auto"/>
            <w:vAlign w:val="center"/>
          </w:tcPr>
          <w:p w14:paraId="493017DC" w14:textId="77777777" w:rsidR="003768BE" w:rsidRPr="00525DB4" w:rsidRDefault="003768BE" w:rsidP="0070094C">
            <w:pPr>
              <w:spacing w:before="0" w:after="0"/>
              <w:jc w:val="left"/>
            </w:pPr>
            <w:r w:rsidRPr="00525DB4">
              <w:t>Programa presupuestario</w:t>
            </w:r>
          </w:p>
        </w:tc>
      </w:tr>
      <w:tr w:rsidR="003768BE" w:rsidRPr="00525DB4" w14:paraId="03C6E9A5" w14:textId="77777777" w:rsidTr="0070094C">
        <w:tc>
          <w:tcPr>
            <w:tcW w:w="1701" w:type="dxa"/>
            <w:shd w:val="clear" w:color="auto" w:fill="auto"/>
            <w:vAlign w:val="center"/>
          </w:tcPr>
          <w:p w14:paraId="6641E127" w14:textId="77777777" w:rsidR="003768BE" w:rsidRPr="008C54FC" w:rsidRDefault="003768BE" w:rsidP="0070094C">
            <w:pPr>
              <w:spacing w:before="0" w:after="0"/>
            </w:pPr>
            <w:r w:rsidRPr="008C54FC">
              <w:t>PbR</w:t>
            </w:r>
          </w:p>
        </w:tc>
        <w:tc>
          <w:tcPr>
            <w:tcW w:w="8221" w:type="dxa"/>
            <w:shd w:val="clear" w:color="auto" w:fill="auto"/>
            <w:vAlign w:val="center"/>
          </w:tcPr>
          <w:p w14:paraId="08677382" w14:textId="77777777" w:rsidR="003768BE" w:rsidRPr="00525DB4" w:rsidRDefault="003768BE" w:rsidP="0070094C">
            <w:pPr>
              <w:spacing w:before="0" w:after="0"/>
              <w:jc w:val="left"/>
            </w:pPr>
            <w:r w:rsidRPr="00753EAF">
              <w:t xml:space="preserve">Presupuesto basado en </w:t>
            </w:r>
            <w:r>
              <w:t>r</w:t>
            </w:r>
            <w:r w:rsidRPr="00753EAF">
              <w:t>esultados</w:t>
            </w:r>
          </w:p>
        </w:tc>
      </w:tr>
      <w:tr w:rsidR="003768BE" w:rsidRPr="00525DB4" w14:paraId="39623779" w14:textId="77777777" w:rsidTr="0070094C">
        <w:tc>
          <w:tcPr>
            <w:tcW w:w="1701" w:type="dxa"/>
            <w:shd w:val="clear" w:color="auto" w:fill="auto"/>
          </w:tcPr>
          <w:p w14:paraId="00FE00E3" w14:textId="77777777" w:rsidR="003768BE" w:rsidRPr="008C54FC" w:rsidRDefault="003768BE" w:rsidP="0070094C">
            <w:pPr>
              <w:spacing w:before="0" w:after="0"/>
            </w:pPr>
            <w:r w:rsidRPr="008C54FC">
              <w:t>RFT</w:t>
            </w:r>
          </w:p>
        </w:tc>
        <w:tc>
          <w:tcPr>
            <w:tcW w:w="8221" w:type="dxa"/>
            <w:shd w:val="clear" w:color="auto" w:fill="auto"/>
          </w:tcPr>
          <w:p w14:paraId="2B74C2CF" w14:textId="77777777" w:rsidR="003768BE" w:rsidRPr="00A934FE" w:rsidRDefault="003768BE" w:rsidP="0070094C">
            <w:pPr>
              <w:spacing w:before="0" w:after="0"/>
              <w:jc w:val="left"/>
            </w:pPr>
            <w:r w:rsidRPr="00A934FE">
              <w:t>Recursos Federales Transferidos</w:t>
            </w:r>
          </w:p>
        </w:tc>
      </w:tr>
      <w:tr w:rsidR="003768BE" w:rsidRPr="00525DB4" w14:paraId="7F917C3C" w14:textId="77777777" w:rsidTr="0070094C">
        <w:tc>
          <w:tcPr>
            <w:tcW w:w="1701" w:type="dxa"/>
            <w:shd w:val="clear" w:color="auto" w:fill="auto"/>
          </w:tcPr>
          <w:p w14:paraId="07F6EBBF" w14:textId="77777777" w:rsidR="003768BE" w:rsidRPr="008C54FC" w:rsidRDefault="003768BE" w:rsidP="0070094C">
            <w:pPr>
              <w:spacing w:before="0" w:after="0"/>
            </w:pPr>
            <w:r w:rsidRPr="008C54FC">
              <w:t>SE</w:t>
            </w:r>
          </w:p>
        </w:tc>
        <w:tc>
          <w:tcPr>
            <w:tcW w:w="8221" w:type="dxa"/>
            <w:shd w:val="clear" w:color="auto" w:fill="auto"/>
          </w:tcPr>
          <w:p w14:paraId="26BEC4D2" w14:textId="77777777" w:rsidR="003768BE" w:rsidRPr="00A934FE" w:rsidRDefault="003768BE" w:rsidP="0070094C">
            <w:pPr>
              <w:spacing w:before="0" w:after="0"/>
              <w:jc w:val="left"/>
            </w:pPr>
            <w:r>
              <w:t>Subsecretaría de Egresos de la Secretaría de Finanzas de Tamaulipas</w:t>
            </w:r>
          </w:p>
        </w:tc>
      </w:tr>
      <w:tr w:rsidR="003768BE" w:rsidRPr="00525DB4" w14:paraId="6AAE0738" w14:textId="77777777" w:rsidTr="0070094C">
        <w:tc>
          <w:tcPr>
            <w:tcW w:w="1701" w:type="dxa"/>
            <w:shd w:val="clear" w:color="auto" w:fill="auto"/>
          </w:tcPr>
          <w:p w14:paraId="0B5802BC" w14:textId="77777777" w:rsidR="003768BE" w:rsidRPr="008C54FC" w:rsidRDefault="003768BE" w:rsidP="0070094C">
            <w:pPr>
              <w:spacing w:before="0" w:after="0"/>
            </w:pPr>
            <w:r w:rsidRPr="008C54FC">
              <w:t>SED</w:t>
            </w:r>
          </w:p>
        </w:tc>
        <w:tc>
          <w:tcPr>
            <w:tcW w:w="8221" w:type="dxa"/>
            <w:shd w:val="clear" w:color="auto" w:fill="auto"/>
          </w:tcPr>
          <w:p w14:paraId="4A6DA05E" w14:textId="77777777" w:rsidR="003768BE" w:rsidRPr="00A934FE" w:rsidRDefault="003768BE" w:rsidP="0070094C">
            <w:pPr>
              <w:spacing w:before="0" w:after="0"/>
              <w:jc w:val="left"/>
            </w:pPr>
            <w:r>
              <w:t>Sistema de Evaluación del Desempeño</w:t>
            </w:r>
          </w:p>
        </w:tc>
      </w:tr>
      <w:tr w:rsidR="003768BE" w:rsidRPr="00525DB4" w14:paraId="6FB78BD1" w14:textId="77777777" w:rsidTr="0070094C">
        <w:tc>
          <w:tcPr>
            <w:tcW w:w="1701" w:type="dxa"/>
            <w:shd w:val="clear" w:color="auto" w:fill="auto"/>
          </w:tcPr>
          <w:p w14:paraId="3157DDB7" w14:textId="77777777" w:rsidR="003768BE" w:rsidRPr="008C54FC" w:rsidRDefault="003768BE" w:rsidP="0070094C">
            <w:pPr>
              <w:spacing w:before="0" w:after="0"/>
            </w:pPr>
            <w:r w:rsidRPr="008C54FC">
              <w:t>SF</w:t>
            </w:r>
          </w:p>
        </w:tc>
        <w:tc>
          <w:tcPr>
            <w:tcW w:w="8221" w:type="dxa"/>
            <w:shd w:val="clear" w:color="auto" w:fill="auto"/>
          </w:tcPr>
          <w:p w14:paraId="12E17E50" w14:textId="77777777" w:rsidR="003768BE" w:rsidRDefault="003768BE" w:rsidP="0070094C">
            <w:pPr>
              <w:spacing w:before="0" w:after="0"/>
              <w:jc w:val="left"/>
            </w:pPr>
            <w:r>
              <w:t>Secretaría de Finanzas del Estado de Tamaulipas</w:t>
            </w:r>
          </w:p>
        </w:tc>
      </w:tr>
      <w:tr w:rsidR="003768BE" w:rsidRPr="00525DB4" w14:paraId="2DCB15B3" w14:textId="77777777" w:rsidTr="0070094C">
        <w:tc>
          <w:tcPr>
            <w:tcW w:w="1701" w:type="dxa"/>
            <w:shd w:val="clear" w:color="auto" w:fill="auto"/>
            <w:vAlign w:val="center"/>
          </w:tcPr>
          <w:p w14:paraId="6F7BB913" w14:textId="77777777" w:rsidR="003768BE" w:rsidRPr="008C54FC" w:rsidRDefault="003768BE" w:rsidP="0070094C">
            <w:pPr>
              <w:spacing w:before="0" w:after="0"/>
            </w:pPr>
            <w:r w:rsidRPr="008C54FC">
              <w:t>SFU</w:t>
            </w:r>
          </w:p>
        </w:tc>
        <w:tc>
          <w:tcPr>
            <w:tcW w:w="8221" w:type="dxa"/>
            <w:shd w:val="clear" w:color="auto" w:fill="auto"/>
            <w:vAlign w:val="center"/>
          </w:tcPr>
          <w:p w14:paraId="7877FA52" w14:textId="77777777" w:rsidR="003768BE" w:rsidRPr="00525DB4" w:rsidRDefault="003768BE" w:rsidP="0070094C">
            <w:pPr>
              <w:spacing w:before="0" w:after="0"/>
              <w:jc w:val="left"/>
            </w:pPr>
            <w:r>
              <w:t>Sistema del Formato Único</w:t>
            </w:r>
          </w:p>
        </w:tc>
      </w:tr>
      <w:tr w:rsidR="003768BE" w:rsidRPr="00525DB4" w14:paraId="3C99506B" w14:textId="77777777" w:rsidTr="0070094C">
        <w:tc>
          <w:tcPr>
            <w:tcW w:w="1701" w:type="dxa"/>
            <w:shd w:val="clear" w:color="auto" w:fill="auto"/>
            <w:vAlign w:val="center"/>
          </w:tcPr>
          <w:p w14:paraId="630C3BE2" w14:textId="77777777" w:rsidR="003768BE" w:rsidRPr="008C54FC" w:rsidRDefault="003768BE" w:rsidP="0070094C">
            <w:pPr>
              <w:spacing w:before="0" w:after="0"/>
            </w:pPr>
            <w:r w:rsidRPr="008C54FC">
              <w:t xml:space="preserve">SHCP </w:t>
            </w:r>
          </w:p>
        </w:tc>
        <w:tc>
          <w:tcPr>
            <w:tcW w:w="8221" w:type="dxa"/>
            <w:shd w:val="clear" w:color="auto" w:fill="auto"/>
            <w:vAlign w:val="center"/>
          </w:tcPr>
          <w:p w14:paraId="67622E5B" w14:textId="77777777" w:rsidR="003768BE" w:rsidRPr="00525DB4" w:rsidRDefault="003768BE" w:rsidP="0070094C">
            <w:pPr>
              <w:spacing w:before="0" w:after="0"/>
              <w:jc w:val="left"/>
            </w:pPr>
            <w:r w:rsidRPr="00525DB4">
              <w:t xml:space="preserve">Secretaria de Hacienda y Crédito Público </w:t>
            </w:r>
          </w:p>
        </w:tc>
      </w:tr>
      <w:tr w:rsidR="003768BE" w:rsidRPr="00525DB4" w14:paraId="03F459FC" w14:textId="77777777" w:rsidTr="0070094C">
        <w:tc>
          <w:tcPr>
            <w:tcW w:w="1701" w:type="dxa"/>
            <w:shd w:val="clear" w:color="auto" w:fill="auto"/>
          </w:tcPr>
          <w:p w14:paraId="60AF0045" w14:textId="77777777" w:rsidR="003768BE" w:rsidRPr="008C54FC" w:rsidRDefault="003768BE" w:rsidP="0070094C">
            <w:pPr>
              <w:spacing w:before="0" w:after="0"/>
            </w:pPr>
            <w:r w:rsidRPr="008C54FC">
              <w:t>SIMIR</w:t>
            </w:r>
          </w:p>
        </w:tc>
        <w:tc>
          <w:tcPr>
            <w:tcW w:w="8221" w:type="dxa"/>
            <w:shd w:val="clear" w:color="auto" w:fill="auto"/>
          </w:tcPr>
          <w:p w14:paraId="34AA4A62" w14:textId="77777777" w:rsidR="003768BE" w:rsidRDefault="003768BE" w:rsidP="0070094C">
            <w:pPr>
              <w:spacing w:before="0" w:after="0"/>
              <w:jc w:val="left"/>
            </w:pPr>
            <w:bookmarkStart w:id="6" w:name="_Hlk51331610"/>
            <w:r w:rsidRPr="00A934FE">
              <w:t>Sistema de Monitoreo de Indicadores para Resultados</w:t>
            </w:r>
            <w:bookmarkEnd w:id="6"/>
          </w:p>
        </w:tc>
      </w:tr>
      <w:tr w:rsidR="003768BE" w:rsidRPr="00525DB4" w14:paraId="37919D90" w14:textId="77777777" w:rsidTr="0070094C">
        <w:tc>
          <w:tcPr>
            <w:tcW w:w="1701" w:type="dxa"/>
            <w:shd w:val="clear" w:color="auto" w:fill="auto"/>
            <w:vAlign w:val="center"/>
          </w:tcPr>
          <w:p w14:paraId="502CDDDB" w14:textId="77777777" w:rsidR="003768BE" w:rsidRPr="008C54FC" w:rsidRDefault="003768BE" w:rsidP="0070094C">
            <w:pPr>
              <w:spacing w:before="0" w:after="0"/>
            </w:pPr>
            <w:r w:rsidRPr="008C54FC">
              <w:t>SRFT</w:t>
            </w:r>
          </w:p>
        </w:tc>
        <w:tc>
          <w:tcPr>
            <w:tcW w:w="8221" w:type="dxa"/>
            <w:shd w:val="clear" w:color="auto" w:fill="auto"/>
            <w:vAlign w:val="center"/>
          </w:tcPr>
          <w:p w14:paraId="6447F512" w14:textId="77777777" w:rsidR="003768BE" w:rsidRDefault="003768BE" w:rsidP="0070094C">
            <w:pPr>
              <w:spacing w:before="0" w:after="0"/>
              <w:jc w:val="left"/>
            </w:pPr>
            <w:bookmarkStart w:id="7" w:name="_Hlk53059469"/>
            <w:r>
              <w:t>Sistema de Reporte de Recursos Federales Transferidos</w:t>
            </w:r>
            <w:bookmarkEnd w:id="7"/>
          </w:p>
        </w:tc>
      </w:tr>
      <w:tr w:rsidR="003768BE" w:rsidRPr="00525DB4" w14:paraId="7DCF724A" w14:textId="77777777" w:rsidTr="0070094C">
        <w:tc>
          <w:tcPr>
            <w:tcW w:w="1701" w:type="dxa"/>
            <w:shd w:val="clear" w:color="auto" w:fill="auto"/>
            <w:vAlign w:val="center"/>
          </w:tcPr>
          <w:p w14:paraId="685677F9" w14:textId="77777777" w:rsidR="003768BE" w:rsidRPr="008C54FC" w:rsidRDefault="003768BE" w:rsidP="0070094C">
            <w:pPr>
              <w:spacing w:before="0" w:after="0"/>
            </w:pPr>
            <w:r w:rsidRPr="008C54FC">
              <w:t>TdR</w:t>
            </w:r>
          </w:p>
        </w:tc>
        <w:tc>
          <w:tcPr>
            <w:tcW w:w="8221" w:type="dxa"/>
            <w:shd w:val="clear" w:color="auto" w:fill="auto"/>
            <w:vAlign w:val="center"/>
          </w:tcPr>
          <w:p w14:paraId="5845836B" w14:textId="77777777" w:rsidR="003768BE" w:rsidRPr="00525DB4" w:rsidRDefault="003768BE" w:rsidP="0070094C">
            <w:pPr>
              <w:spacing w:before="0" w:after="0"/>
              <w:jc w:val="left"/>
            </w:pPr>
            <w:r>
              <w:t>Términos de Referencia diseñados para la evaluación</w:t>
            </w:r>
          </w:p>
        </w:tc>
      </w:tr>
      <w:tr w:rsidR="003768BE" w:rsidRPr="00525DB4" w14:paraId="74D2A7F3" w14:textId="77777777" w:rsidTr="0070094C">
        <w:tc>
          <w:tcPr>
            <w:tcW w:w="1701" w:type="dxa"/>
            <w:shd w:val="clear" w:color="auto" w:fill="auto"/>
          </w:tcPr>
          <w:p w14:paraId="1A607998" w14:textId="77777777" w:rsidR="003768BE" w:rsidRPr="008C54FC" w:rsidRDefault="003768BE" w:rsidP="0070094C">
            <w:pPr>
              <w:spacing w:before="0" w:after="0"/>
            </w:pPr>
            <w:r w:rsidRPr="008C54FC">
              <w:t>UED</w:t>
            </w:r>
          </w:p>
        </w:tc>
        <w:tc>
          <w:tcPr>
            <w:tcW w:w="8221" w:type="dxa"/>
            <w:shd w:val="clear" w:color="auto" w:fill="auto"/>
          </w:tcPr>
          <w:p w14:paraId="022587AD" w14:textId="77777777" w:rsidR="003768BE" w:rsidRPr="00525DB4" w:rsidRDefault="003768BE" w:rsidP="0070094C">
            <w:pPr>
              <w:spacing w:before="0" w:after="0"/>
              <w:jc w:val="left"/>
            </w:pPr>
            <w:r>
              <w:t xml:space="preserve">Unidad de Evaluación de Desempeño </w:t>
            </w:r>
            <w:r w:rsidRPr="007C5D37">
              <w:t>de la SHCP</w:t>
            </w:r>
          </w:p>
        </w:tc>
      </w:tr>
    </w:tbl>
    <w:p w14:paraId="51DC3100" w14:textId="29FC00C1" w:rsidR="003768BE" w:rsidRPr="003768BE" w:rsidRDefault="003768BE" w:rsidP="003768BE">
      <w:pPr>
        <w:sectPr w:rsidR="003768BE" w:rsidRPr="003768BE" w:rsidSect="00F20CBE">
          <w:pgSz w:w="12240" w:h="15840" w:code="1"/>
          <w:pgMar w:top="1134" w:right="1134" w:bottom="1134" w:left="1134" w:header="709" w:footer="709" w:gutter="0"/>
          <w:pgNumType w:fmt="lowerRoman"/>
          <w:cols w:space="708"/>
          <w:docGrid w:linePitch="360"/>
        </w:sectPr>
      </w:pPr>
    </w:p>
    <w:p w14:paraId="729E3AF3" w14:textId="5FFB32F6" w:rsidR="00550792" w:rsidRDefault="00807AD3" w:rsidP="00807AD3">
      <w:pPr>
        <w:pStyle w:val="Ttulo1"/>
        <w:ind w:left="357"/>
      </w:pPr>
      <w:bookmarkStart w:id="8" w:name="_Toc61633637"/>
      <w:bookmarkEnd w:id="4"/>
      <w:r>
        <w:lastRenderedPageBreak/>
        <w:t xml:space="preserve">I. </w:t>
      </w:r>
      <w:r w:rsidR="00550792">
        <w:t>Resumen ejecutivo</w:t>
      </w:r>
      <w:bookmarkEnd w:id="8"/>
    </w:p>
    <w:p w14:paraId="4EFF2F8C" w14:textId="52737678" w:rsidR="00170C37" w:rsidRPr="00C0759A" w:rsidRDefault="00170C37" w:rsidP="00170C37">
      <w:pPr>
        <w:rPr>
          <w:rFonts w:ascii="Calibri" w:eastAsia="Calibri" w:hAnsi="Calibri" w:cs="Times New Roman"/>
        </w:rPr>
      </w:pPr>
      <w:r w:rsidRPr="00C0759A">
        <w:rPr>
          <w:rFonts w:ascii="Calibri" w:eastAsia="Calibri" w:hAnsi="Calibri" w:cs="Times New Roman"/>
        </w:rPr>
        <w:t>La presente evaluación forma parte del Sistema de Evaluación del Desempeño (SED), mecanismo que permite conocer los resultados de la aplicación de los recursos públicos federales y el impacto de los programas y políticas de la Administración Pública Federal (APF). La Evaluación Estratégica del Fondo de Aportaciones para el Fortalecimiento de las Entidades Federativas (FAFEF) en el Estado de Tamaulipas, en el marco del Programa Anual de Evaluación (PAE 2018), tiene el objetivo de “</w:t>
      </w:r>
      <w:r w:rsidRPr="00D521CC">
        <w:rPr>
          <w:rFonts w:ascii="Calibri" w:eastAsia="Calibri" w:hAnsi="Calibri" w:cs="Times New Roman"/>
          <w:i/>
          <w:iCs/>
        </w:rPr>
        <w:t xml:space="preserve">Analizar y valorar la operación del FAFEF y su orientación a resultados </w:t>
      </w:r>
      <w:r w:rsidR="00D521CC">
        <w:rPr>
          <w:rFonts w:ascii="Calibri" w:eastAsia="Calibri" w:hAnsi="Calibri" w:cs="Times New Roman"/>
          <w:i/>
          <w:iCs/>
        </w:rPr>
        <w:t>en el Estado de Tamaulipas</w:t>
      </w:r>
      <w:r w:rsidRPr="00D521CC">
        <w:rPr>
          <w:rFonts w:ascii="Calibri" w:eastAsia="Calibri" w:hAnsi="Calibri" w:cs="Times New Roman"/>
          <w:i/>
          <w:iCs/>
        </w:rPr>
        <w:t>, para la identificación de áreas de mejora que mediante su atención permitan mejorar su operación y desempeño</w:t>
      </w:r>
      <w:r w:rsidRPr="00C0759A">
        <w:rPr>
          <w:rFonts w:ascii="Calibri" w:eastAsia="Calibri" w:hAnsi="Calibri" w:cs="Times New Roman"/>
        </w:rPr>
        <w:t>”.</w:t>
      </w:r>
    </w:p>
    <w:p w14:paraId="2ECFDEDC" w14:textId="3971E0BF" w:rsidR="00170C37" w:rsidRPr="00C0759A" w:rsidRDefault="00170C37" w:rsidP="00170C37">
      <w:pPr>
        <w:rPr>
          <w:rFonts w:ascii="Calibri" w:eastAsia="Calibri" w:hAnsi="Calibri" w:cs="Times New Roman"/>
        </w:rPr>
      </w:pPr>
      <w:r w:rsidRPr="00C0759A">
        <w:rPr>
          <w:rFonts w:ascii="Calibri" w:eastAsia="Calibri" w:hAnsi="Calibri" w:cs="Times New Roman"/>
        </w:rPr>
        <w:t xml:space="preserve">La evaluación se realizó de acuerdo con lo establecido en el Modelo de Términos de Referencia (TdR) para la Evaluación Estratégica al Fondo de Aportaciones para el Fortalecimiento de las Entidades Federativas (FAFEF) en el ámbito estatal, 2018, emitidos por la Unidad de Evaluación del Desempeño (UED) de la Secretaría de Hacienda y Crédito Público (SHCP). Para ello, se realizó trabajo de gabinete y trabajo de campo; el primero consistió en el análisis documental de la normativa federal y estatal relacionada, </w:t>
      </w:r>
      <w:r>
        <w:rPr>
          <w:rFonts w:ascii="Calibri" w:eastAsia="Calibri" w:hAnsi="Calibri" w:cs="Times New Roman"/>
        </w:rPr>
        <w:t xml:space="preserve">de los </w:t>
      </w:r>
      <w:r w:rsidRPr="00C0759A">
        <w:rPr>
          <w:rFonts w:ascii="Calibri" w:eastAsia="Calibri" w:hAnsi="Calibri" w:cs="Times New Roman"/>
        </w:rPr>
        <w:t>documentos conceptuales del Fondo</w:t>
      </w:r>
      <w:r>
        <w:rPr>
          <w:rFonts w:ascii="Calibri" w:eastAsia="Calibri" w:hAnsi="Calibri" w:cs="Times New Roman"/>
        </w:rPr>
        <w:t xml:space="preserve">, </w:t>
      </w:r>
      <w:r>
        <w:t>así como de la información proporcionada por la Dirección General de Programación y Presupuesto “A” (DGPYP “A”) la cual fue integrada por la Unidad de Coordinación con Entidades Federativas (UCEF)</w:t>
      </w:r>
      <w:r w:rsidRPr="00C0759A">
        <w:rPr>
          <w:rFonts w:ascii="Calibri" w:eastAsia="Calibri" w:hAnsi="Calibri" w:cs="Times New Roman"/>
        </w:rPr>
        <w:t xml:space="preserve"> y de la información proporcionada por la Secretaría de Finanzas del Gobierno del Estado de Tamaulipas, entre otros documentos. Por su parte, el trabajo de campo consistió en la aplicación de una entrevista semiestructurada a funcionarios encargados de la operación del Fondo en </w:t>
      </w:r>
      <w:r w:rsidR="0000518D">
        <w:rPr>
          <w:rFonts w:ascii="Calibri" w:eastAsia="Calibri" w:hAnsi="Calibri" w:cs="Times New Roman"/>
        </w:rPr>
        <w:t>Tamaulipas</w:t>
      </w:r>
      <w:r>
        <w:rPr>
          <w:rFonts w:ascii="Calibri" w:eastAsia="Calibri" w:hAnsi="Calibri" w:cs="Times New Roman"/>
        </w:rPr>
        <w:t xml:space="preserve">, la cual se aplicó vía electrónica y </w:t>
      </w:r>
      <w:r w:rsidRPr="001F5E39">
        <w:rPr>
          <w:rFonts w:ascii="Calibri" w:eastAsia="Calibri" w:hAnsi="Calibri" w:cs="Times New Roman"/>
        </w:rPr>
        <w:t xml:space="preserve">enlaces vía telefónica con el Director de Planeación Estratégica de la Subsecretaria de Egresos de la Secretaría de Finanzas en el </w:t>
      </w:r>
      <w:r w:rsidR="0099399F">
        <w:rPr>
          <w:rFonts w:ascii="Calibri" w:eastAsia="Calibri" w:hAnsi="Calibri" w:cs="Times New Roman"/>
        </w:rPr>
        <w:t>E</w:t>
      </w:r>
      <w:r w:rsidRPr="001F5E39">
        <w:rPr>
          <w:rFonts w:ascii="Calibri" w:eastAsia="Calibri" w:hAnsi="Calibri" w:cs="Times New Roman"/>
        </w:rPr>
        <w:t>stado de Tamaulipas, el cuestionario a su vez fue turnado a los diferentes involucrados en la ejecución de los recursos del Fondo en el la entidad</w:t>
      </w:r>
      <w:r w:rsidR="00FF65E4">
        <w:rPr>
          <w:rFonts w:ascii="Calibri" w:eastAsia="Calibri" w:hAnsi="Calibri" w:cs="Times New Roman"/>
        </w:rPr>
        <w:t xml:space="preserve"> federativa</w:t>
      </w:r>
      <w:r w:rsidRPr="001F5E39">
        <w:rPr>
          <w:rFonts w:ascii="Calibri" w:eastAsia="Calibri" w:hAnsi="Calibri" w:cs="Times New Roman"/>
        </w:rPr>
        <w:t xml:space="preserve">. </w:t>
      </w:r>
    </w:p>
    <w:p w14:paraId="77A55EF5" w14:textId="77777777" w:rsidR="00170C37" w:rsidRPr="00C0759A" w:rsidRDefault="00170C37" w:rsidP="001E06D8">
      <w:pPr>
        <w:rPr>
          <w:rFonts w:ascii="Calibri" w:eastAsia="Calibri" w:hAnsi="Calibri" w:cs="Times New Roman"/>
        </w:rPr>
      </w:pPr>
      <w:r w:rsidRPr="00C0759A">
        <w:rPr>
          <w:rFonts w:ascii="Calibri" w:eastAsia="Calibri" w:hAnsi="Calibri" w:cs="Times New Roman"/>
        </w:rPr>
        <w:t>El informe está conformado por siete módulos, los cuales responden a los objetivos y especificaciones del modelo de TdR. A continuación, se presenta un análisis breve con los aspectos más relevantes de la evaluación, resultados de los principales hallazgos y recomendaciones.</w:t>
      </w:r>
    </w:p>
    <w:p w14:paraId="1E38D052" w14:textId="1F52444D" w:rsidR="00170C37" w:rsidRDefault="00170C37" w:rsidP="00170C37">
      <w:pPr>
        <w:rPr>
          <w:rFonts w:ascii="Calibri" w:eastAsia="Calibri" w:hAnsi="Calibri" w:cs="Times New Roman"/>
          <w:b/>
          <w:bCs/>
        </w:rPr>
      </w:pPr>
      <w:r w:rsidRPr="00C0759A">
        <w:rPr>
          <w:rFonts w:ascii="Calibri" w:eastAsia="Calibri" w:hAnsi="Calibri" w:cs="Times New Roman"/>
          <w:b/>
          <w:bCs/>
        </w:rPr>
        <w:t xml:space="preserve">Características del FAFEF en </w:t>
      </w:r>
      <w:r w:rsidR="008C54FC">
        <w:rPr>
          <w:rFonts w:ascii="Calibri" w:eastAsia="Calibri" w:hAnsi="Calibri" w:cs="Times New Roman"/>
          <w:b/>
          <w:bCs/>
        </w:rPr>
        <w:t>Tamaulipas</w:t>
      </w:r>
    </w:p>
    <w:p w14:paraId="2C7CC825" w14:textId="77777777" w:rsidR="0033334D" w:rsidRDefault="0033334D" w:rsidP="00170C37">
      <w:pPr>
        <w:rPr>
          <w:rFonts w:ascii="Calibri" w:eastAsia="Calibri" w:hAnsi="Calibri" w:cs="Times New Roman"/>
        </w:rPr>
      </w:pPr>
      <w:r w:rsidRPr="0033334D">
        <w:rPr>
          <w:rFonts w:ascii="Calibri" w:eastAsia="Calibri" w:hAnsi="Calibri" w:cs="Times New Roman"/>
        </w:rPr>
        <w:t>Los recursos del FAFEF tienen como marco normativo los Artículos 46 y 47 de la Ley de Coordinación Fiscal (LCF), su objetivo es fortalecer los presupuestos de las entidades federativas y podrán destinarse a: I. Inversión en infraestructura física; II. Saneamiento financiero; III. Saneamiento de pensiones; IV. Modernización de registros públicos e la propiedad y comercio locales, modernización de los catastros para hacer más eficiente la recaudación de contribuciones; V. Modernizar los sistemas de recaudación; VI. Fortalecimiento de proyectos de investigación científica y tecnológica; VII. Sistemas de protección civil, VIII. Apoyar la educación pública y IX. Apoyar proyectos de infraestructura concesionada o donde se combinen recursos públicos y privados.</w:t>
      </w:r>
    </w:p>
    <w:p w14:paraId="0809172B" w14:textId="4A16F262" w:rsidR="00170C37" w:rsidRPr="00C0759A" w:rsidRDefault="00170C37" w:rsidP="00170C37">
      <w:pPr>
        <w:rPr>
          <w:rFonts w:ascii="Calibri" w:eastAsia="Calibri" w:hAnsi="Calibri" w:cs="Times New Roman"/>
        </w:rPr>
      </w:pPr>
      <w:r w:rsidRPr="00C0759A">
        <w:rPr>
          <w:rFonts w:ascii="Calibri" w:eastAsia="Calibri" w:hAnsi="Calibri" w:cs="Times New Roman"/>
        </w:rPr>
        <w:t>La cantidad de recursos presupuestarios asignados al FAFEF en el Estado de Tamaulipas, durante los ejercicios fiscales del 2013 al 2018, ha tenido una tasa de crecimiento anual promedio de 4.75%. Con respecto al presupuesto total del FAFEF a nivel federal, en el mismo periodo de tiempo, la cantidad asignada al Estado ha representado un 2.67%. Asimismo, la cantidad de recursos presupuestarios recibida por concepto del FAFEF, respecto del presupuesto total en el Estado, ha representado un 1.77%.</w:t>
      </w:r>
    </w:p>
    <w:p w14:paraId="0D97BC4B" w14:textId="77777777" w:rsidR="00D521CC" w:rsidRDefault="00170C37" w:rsidP="00170C37">
      <w:pPr>
        <w:rPr>
          <w:rFonts w:ascii="Calibri" w:eastAsia="Calibri" w:hAnsi="Calibri" w:cs="Times New Roman"/>
        </w:rPr>
      </w:pPr>
      <w:r w:rsidRPr="00C0759A">
        <w:rPr>
          <w:rFonts w:ascii="Calibri" w:eastAsia="Calibri" w:hAnsi="Calibri" w:cs="Times New Roman"/>
        </w:rPr>
        <w:t xml:space="preserve">Hasta el ejercicio 2016, el 100% de los recursos se aplicó al saneamiento financiero, a través de la amortización de capital y pago de intereses de deuda pública. Sin embargo, a partir del ejercicio 2017, se comenzó a diversificar la utilización de los recursos del Fondo, determinando en principio utilizar un 47.13% del total de los recursos asignados al FAFEF para ese año hacia obra pública. </w:t>
      </w:r>
    </w:p>
    <w:p w14:paraId="14967D19" w14:textId="77777777" w:rsidR="00D521CC" w:rsidRDefault="00170C37" w:rsidP="00170C37">
      <w:r w:rsidRPr="00F33087">
        <w:rPr>
          <w:rFonts w:ascii="Calibri" w:eastAsia="Calibri" w:hAnsi="Calibri" w:cs="Times New Roman"/>
        </w:rPr>
        <w:t xml:space="preserve">Para el ejercicio 2018, </w:t>
      </w:r>
      <w:r w:rsidR="00D521CC">
        <w:rPr>
          <w:rFonts w:ascii="Calibri" w:eastAsia="Calibri" w:hAnsi="Calibri" w:cs="Times New Roman"/>
        </w:rPr>
        <w:t xml:space="preserve">los </w:t>
      </w:r>
      <w:r w:rsidR="00D521CC">
        <w:t>r</w:t>
      </w:r>
      <w:r w:rsidRPr="00F33087">
        <w:t xml:space="preserve">ecursos del FAFEF </w:t>
      </w:r>
      <w:r w:rsidR="00D521CC">
        <w:t xml:space="preserve">fueron </w:t>
      </w:r>
      <w:r w:rsidRPr="00F33087">
        <w:t xml:space="preserve">1,068.7 mdp. La SF administró directamente los recursos del fondo y los destinó </w:t>
      </w:r>
      <w:r w:rsidR="00D521CC">
        <w:t>de la siguiente manera:</w:t>
      </w:r>
    </w:p>
    <w:p w14:paraId="6A811736" w14:textId="5D143420" w:rsidR="00D521CC" w:rsidRDefault="00BA3F18" w:rsidP="00D521CC">
      <w:pPr>
        <w:pStyle w:val="Prrafodelista"/>
        <w:numPr>
          <w:ilvl w:val="0"/>
          <w:numId w:val="39"/>
        </w:numPr>
      </w:pPr>
      <w:r>
        <w:lastRenderedPageBreak/>
        <w:t xml:space="preserve">Rubro I. </w:t>
      </w:r>
      <w:r w:rsidR="00170C37" w:rsidRPr="00F33087">
        <w:t>Inversión en infraestructura física por 843.2 mdp (78.90 %)</w:t>
      </w:r>
    </w:p>
    <w:p w14:paraId="26FAD1F7" w14:textId="6F5BD079" w:rsidR="00D521CC" w:rsidRDefault="00BA3F18" w:rsidP="00D521CC">
      <w:pPr>
        <w:pStyle w:val="Prrafodelista"/>
        <w:numPr>
          <w:ilvl w:val="0"/>
          <w:numId w:val="39"/>
        </w:numPr>
      </w:pPr>
      <w:r>
        <w:t xml:space="preserve">Rubro II. </w:t>
      </w:r>
      <w:r w:rsidR="00D521CC">
        <w:t>S</w:t>
      </w:r>
      <w:r w:rsidR="00170C37" w:rsidRPr="00F33087">
        <w:t>aneamiento financiero por 142.2 mdp (13.30%)</w:t>
      </w:r>
    </w:p>
    <w:p w14:paraId="18CA9A67" w14:textId="1A91A3B4" w:rsidR="00D521CC" w:rsidRDefault="00BA3F18" w:rsidP="00D521CC">
      <w:pPr>
        <w:pStyle w:val="Prrafodelista"/>
        <w:numPr>
          <w:ilvl w:val="0"/>
          <w:numId w:val="39"/>
        </w:numPr>
      </w:pPr>
      <w:r>
        <w:t xml:space="preserve">Rubro V. </w:t>
      </w:r>
      <w:r w:rsidR="00D521CC">
        <w:t>M</w:t>
      </w:r>
      <w:r w:rsidR="00170C37" w:rsidRPr="00F33087">
        <w:t>odernización de sistemas de recaudación por 43.7 mdp (4.10%)</w:t>
      </w:r>
    </w:p>
    <w:p w14:paraId="1836A5DF" w14:textId="1662B616" w:rsidR="00D521CC" w:rsidRPr="00D521CC" w:rsidRDefault="00BA3F18" w:rsidP="00BD513F">
      <w:pPr>
        <w:pStyle w:val="Prrafodelista"/>
        <w:numPr>
          <w:ilvl w:val="0"/>
          <w:numId w:val="39"/>
        </w:numPr>
        <w:rPr>
          <w:rFonts w:ascii="CIDFont+F1" w:hAnsi="CIDFont+F1" w:cs="CIDFont+F1"/>
        </w:rPr>
      </w:pPr>
      <w:r>
        <w:t>Rubro VIII.</w:t>
      </w:r>
      <w:r w:rsidR="00D521CC">
        <w:t>A</w:t>
      </w:r>
      <w:r w:rsidR="00170C37" w:rsidRPr="00F33087">
        <w:t>poyos a la educación</w:t>
      </w:r>
      <w:r>
        <w:t xml:space="preserve"> pública</w:t>
      </w:r>
      <w:r w:rsidR="00170C37" w:rsidRPr="00F33087">
        <w:t xml:space="preserve"> por 39.5 mdp (3.70%)</w:t>
      </w:r>
    </w:p>
    <w:p w14:paraId="761CD6B3" w14:textId="158D65EB" w:rsidR="00170C37" w:rsidRPr="00D521CC" w:rsidRDefault="00170C37" w:rsidP="00D521CC">
      <w:pPr>
        <w:rPr>
          <w:rFonts w:ascii="CIDFont+F1" w:hAnsi="CIDFont+F1" w:cs="CIDFont+F1"/>
        </w:rPr>
      </w:pPr>
      <w:r w:rsidRPr="00D521CC">
        <w:rPr>
          <w:rFonts w:ascii="CIDFont+F1" w:hAnsi="CIDFont+F1" w:cs="CIDFont+F1"/>
        </w:rPr>
        <w:t xml:space="preserve">Para el ejercicio de los recursos, </w:t>
      </w:r>
      <w:r w:rsidR="00FF65E4" w:rsidRPr="00D521CC">
        <w:rPr>
          <w:rFonts w:ascii="CIDFont+F1" w:hAnsi="CIDFont+F1" w:cs="CIDFont+F1"/>
        </w:rPr>
        <w:t>Tamaulipas</w:t>
      </w:r>
      <w:r w:rsidRPr="00D521CC">
        <w:rPr>
          <w:rFonts w:ascii="CIDFont+F1" w:hAnsi="CIDFont+F1" w:cs="CIDFont+F1"/>
        </w:rPr>
        <w:t xml:space="preserve"> se apoyó de </w:t>
      </w:r>
      <w:r w:rsidR="006415F5" w:rsidRPr="00D521CC">
        <w:rPr>
          <w:rFonts w:ascii="CIDFont+F1" w:hAnsi="CIDFont+F1" w:cs="CIDFont+F1"/>
        </w:rPr>
        <w:t xml:space="preserve">17 </w:t>
      </w:r>
      <w:r w:rsidRPr="00D521CC">
        <w:rPr>
          <w:rFonts w:ascii="CIDFont+F1" w:hAnsi="CIDFont+F1" w:cs="CIDFont+F1"/>
        </w:rPr>
        <w:t>programas y proyectos de su estructura programática estatal (Pp), los cuales a su vez reciben recursos de otras fuentes de financiamiento que corresponden a otros fondos federales o a recursos propios de la entidad</w:t>
      </w:r>
      <w:r w:rsidR="00FF65E4" w:rsidRPr="00D521CC">
        <w:rPr>
          <w:rFonts w:ascii="CIDFont+F1" w:hAnsi="CIDFont+F1" w:cs="CIDFont+F1"/>
        </w:rPr>
        <w:t xml:space="preserve"> federativa</w:t>
      </w:r>
      <w:r w:rsidRPr="00D521CC">
        <w:rPr>
          <w:rFonts w:ascii="CIDFont+F1" w:hAnsi="CIDFont+F1" w:cs="CIDFont+F1"/>
        </w:rPr>
        <w:t xml:space="preserve">. En materia de saneamiento financiero se apoyó del Programa D191 “Costo Financiero y deuda”; para el rubro de modernización de sistemas de recaudación en el programa M05 “Actividades de apoyo administrativo; en cuanto al rubro de apoyos a la educación en el Programa S131 “Programa con mis útiles a la escuela”, y para el rubro de inversión en infraestructura física en un total de </w:t>
      </w:r>
      <w:r w:rsidR="006415F5" w:rsidRPr="00D521CC">
        <w:rPr>
          <w:rFonts w:ascii="CIDFont+F1" w:hAnsi="CIDFont+F1" w:cs="CIDFont+F1"/>
        </w:rPr>
        <w:t xml:space="preserve">14 </w:t>
      </w:r>
      <w:r w:rsidRPr="00D521CC">
        <w:rPr>
          <w:rFonts w:ascii="CIDFont+F1" w:hAnsi="CIDFont+F1" w:cs="CIDFont+F1"/>
        </w:rPr>
        <w:t>proyectos ejecutados en la modalidad K “Proyectos de Inversión.</w:t>
      </w:r>
    </w:p>
    <w:p w14:paraId="4B658E88" w14:textId="399D513B" w:rsidR="00170C37" w:rsidRPr="00C0759A" w:rsidRDefault="00524157" w:rsidP="00170C37">
      <w:pPr>
        <w:rPr>
          <w:rFonts w:ascii="Calibri" w:eastAsia="Calibri" w:hAnsi="Calibri" w:cs="Times New Roman"/>
          <w:b/>
        </w:rPr>
      </w:pPr>
      <w:r>
        <w:rPr>
          <w:rFonts w:ascii="Calibri" w:eastAsia="Calibri" w:hAnsi="Calibri" w:cs="Times New Roman"/>
          <w:b/>
        </w:rPr>
        <w:t>Módulo 1</w:t>
      </w:r>
      <w:r w:rsidR="00170C37" w:rsidRPr="00C0759A">
        <w:rPr>
          <w:rFonts w:ascii="Calibri" w:eastAsia="Calibri" w:hAnsi="Calibri" w:cs="Times New Roman"/>
          <w:b/>
        </w:rPr>
        <w:t>. Justificación del diseño del Fondo y de su mecanismo de intervención</w:t>
      </w:r>
    </w:p>
    <w:p w14:paraId="1219DAD7" w14:textId="57D6A0D7" w:rsidR="00170C37" w:rsidRPr="00C0759A" w:rsidRDefault="00170C37" w:rsidP="00170C37">
      <w:pPr>
        <w:rPr>
          <w:rFonts w:ascii="Calibri" w:eastAsia="Calibri" w:hAnsi="Calibri" w:cs="Calibri"/>
        </w:rPr>
      </w:pPr>
      <w:r w:rsidRPr="00C0759A">
        <w:rPr>
          <w:rFonts w:ascii="Calibri" w:eastAsia="Calibri" w:hAnsi="Calibri" w:cs="Calibri"/>
        </w:rPr>
        <w:t>La operación del FAFEF en</w:t>
      </w:r>
      <w:r w:rsidR="00FF65E4">
        <w:rPr>
          <w:rFonts w:ascii="Calibri" w:eastAsia="Calibri" w:hAnsi="Calibri" w:cs="Calibri"/>
        </w:rPr>
        <w:t xml:space="preserve"> Tamaulipas </w:t>
      </w:r>
      <w:r w:rsidRPr="00C0759A">
        <w:rPr>
          <w:rFonts w:ascii="Calibri" w:eastAsia="Calibri" w:hAnsi="Calibri" w:cs="Calibri"/>
        </w:rPr>
        <w:t>dispone de un documento Diagnóstico como un mecanismo estratégico e institucional para determinar la asignación de recursos provenientes de dicho Fondo, no obstante, la problemática referida en éste, enunciada como “la insuficiencia de recursos para atender diversas prioridades en las entidades federativas”, limita la realización de una valoración de los efectos de la aplicación de los recursos sobre la población atendida.</w:t>
      </w:r>
    </w:p>
    <w:p w14:paraId="04ED1F02" w14:textId="29B11F38" w:rsidR="00170C37" w:rsidRPr="00C0759A" w:rsidRDefault="00170C37" w:rsidP="00170C37">
      <w:pPr>
        <w:rPr>
          <w:rFonts w:ascii="Calibri" w:eastAsia="Calibri" w:hAnsi="Calibri" w:cs="Calibri"/>
        </w:rPr>
      </w:pPr>
      <w:r w:rsidRPr="00C0759A">
        <w:rPr>
          <w:rFonts w:ascii="Calibri" w:eastAsia="Calibri" w:hAnsi="Calibri" w:cs="Times New Roman"/>
        </w:rPr>
        <w:t xml:space="preserve">La multiplicidad de destinos del </w:t>
      </w:r>
      <w:r w:rsidR="007A6404">
        <w:rPr>
          <w:rFonts w:ascii="Calibri" w:eastAsia="Calibri" w:hAnsi="Calibri" w:cs="Times New Roman"/>
        </w:rPr>
        <w:t>F</w:t>
      </w:r>
      <w:r w:rsidRPr="00C0759A">
        <w:rPr>
          <w:rFonts w:ascii="Calibri" w:eastAsia="Calibri" w:hAnsi="Calibri" w:cs="Times New Roman"/>
        </w:rPr>
        <w:t>ondo permite a la entidad</w:t>
      </w:r>
      <w:r w:rsidR="00FF65E4">
        <w:rPr>
          <w:rFonts w:ascii="Calibri" w:eastAsia="Calibri" w:hAnsi="Calibri" w:cs="Times New Roman"/>
        </w:rPr>
        <w:t xml:space="preserve"> federativa</w:t>
      </w:r>
      <w:r w:rsidRPr="00C0759A">
        <w:rPr>
          <w:rFonts w:ascii="Calibri" w:eastAsia="Calibri" w:hAnsi="Calibri" w:cs="Times New Roman"/>
        </w:rPr>
        <w:t xml:space="preserve"> disponer de una fuente de financiamiento para atender sus requerimientos en diversas materias; sin embargo, esa diversidad de destinos dificulta la evaluación de sus resultados.</w:t>
      </w:r>
    </w:p>
    <w:p w14:paraId="17CB4C59" w14:textId="79BE6D08" w:rsidR="00170C37" w:rsidRDefault="00170C37" w:rsidP="00170C37">
      <w:pPr>
        <w:rPr>
          <w:rFonts w:ascii="Calibri" w:eastAsia="Calibri" w:hAnsi="Calibri" w:cs="Times New Roman"/>
        </w:rPr>
      </w:pPr>
      <w:r w:rsidRPr="00C0759A">
        <w:rPr>
          <w:rFonts w:ascii="Calibri" w:eastAsia="Calibri" w:hAnsi="Calibri" w:cs="Times New Roman"/>
        </w:rPr>
        <w:t xml:space="preserve">En ese sentido, se establece que los resultados del uso de sus recursos se analizarán en función de las MIR de los Pp, cuyo presupuesto contenga parte o todos sus recursos provenientes del Fondo en cada ejercicio fiscal, sin embargo, no se identificó evidencia documental de las MIR de los Pp, ni de los demás elementos de Metodología de Marco Lógico (árbol de problemas, árbol de objetivos) que contribuyan a mejorar el proceso de programación y administración de los recursos del FAFEF en </w:t>
      </w:r>
      <w:r w:rsidR="00FF65E4">
        <w:rPr>
          <w:rFonts w:ascii="Calibri" w:eastAsia="Calibri" w:hAnsi="Calibri" w:cs="Times New Roman"/>
        </w:rPr>
        <w:t>el Estado</w:t>
      </w:r>
      <w:r w:rsidRPr="00C0759A">
        <w:rPr>
          <w:rFonts w:ascii="Calibri" w:eastAsia="Calibri" w:hAnsi="Calibri" w:cs="Times New Roman"/>
        </w:rPr>
        <w:t>.</w:t>
      </w:r>
    </w:p>
    <w:p w14:paraId="6D3CA3C8" w14:textId="35F601E9" w:rsidR="00170C37" w:rsidRDefault="004527AF" w:rsidP="00170C37">
      <w:pPr>
        <w:rPr>
          <w:rFonts w:ascii="Calibri" w:eastAsia="Calibri" w:hAnsi="Calibri" w:cs="Times New Roman"/>
        </w:rPr>
      </w:pPr>
      <w:r>
        <w:rPr>
          <w:rFonts w:ascii="Calibri" w:eastAsia="Calibri" w:hAnsi="Calibri" w:cs="Times New Roman"/>
        </w:rPr>
        <w:t>El estado de Tamaulipas</w:t>
      </w:r>
      <w:r w:rsidR="00170C37">
        <w:rPr>
          <w:rFonts w:ascii="Calibri" w:eastAsia="Calibri" w:hAnsi="Calibri" w:cs="Times New Roman"/>
        </w:rPr>
        <w:t xml:space="preserve"> no cuenta con un documento de planeación estratégica específico para el Fondo, el documento rector de planeación referido por los entrevistados es el Plan Estatal de Desarrollo 2016-2022 (PED 2016-2022), sin embargo, no se evidencia una alineación directa del FAFEF con los objetivos de este, puesto que la contribución del Fondo al logro de objetivos del PED 2016-2022 se determina en función de la alineación de los Pp a través de los cuales se ejercen los recursos del Fondo.</w:t>
      </w:r>
    </w:p>
    <w:p w14:paraId="7212EA1F" w14:textId="101DBAFB" w:rsidR="00F17FF7" w:rsidRPr="00F17FF7" w:rsidRDefault="00F17FF7" w:rsidP="00F17FF7">
      <w:pPr>
        <w:rPr>
          <w:rFonts w:ascii="Calibri" w:eastAsia="Calibri" w:hAnsi="Calibri" w:cs="Times New Roman"/>
        </w:rPr>
      </w:pPr>
      <w:r>
        <w:rPr>
          <w:rFonts w:ascii="Calibri" w:eastAsia="Calibri" w:hAnsi="Calibri" w:cs="Times New Roman"/>
        </w:rPr>
        <w:t>Cabe señalar que, e</w:t>
      </w:r>
      <w:r w:rsidRPr="00F17FF7">
        <w:rPr>
          <w:rFonts w:ascii="Calibri" w:eastAsia="Calibri" w:hAnsi="Calibri" w:cs="Times New Roman"/>
        </w:rPr>
        <w:t xml:space="preserve">n 2018 se crea el Grupo de Trabajo de la Subsecretaría de Egresos, en el que participan todos los Directores de Área, así como el titular de dicha Subsecretaría; como una instancia institucional administrativa y ejecutora de los recursos del FAFEF cuyo principal objetivo es identificar, de manera más precisa, las prioridades sobre las cuales se deben asignar los recursos del Fondo y por ende, los Pp de la estructura programática estatal que serán sujetos a recibir y operar estos recursos, conforme a sus propias modalidades de gasto. Asimismo, el Grupo de Trabajo tiene la función de coordinar acciones conducentes a la implementación de la estrategia del PbR llevando a cabo acciones y medidas para reforzar la planeación, programación y monitoreo de los resultados esperados de la aplicación de los recursos del FAFEF en Tamaulipas. Este Grupo de Trabajo, representa un adecuado mecanismo para la toma decisiones en materia presupuestaria, al contribuir a identificar de manera precisa las prioridades sobre las cuales se deberán asignar los recursos del FAFEF. </w:t>
      </w:r>
    </w:p>
    <w:p w14:paraId="4A642B5D" w14:textId="7679573E" w:rsidR="00170C37" w:rsidRPr="00C0759A" w:rsidRDefault="00524157" w:rsidP="00170C37">
      <w:pPr>
        <w:rPr>
          <w:rFonts w:ascii="Calibri" w:eastAsia="Calibri" w:hAnsi="Calibri" w:cs="Times New Roman"/>
          <w:b/>
        </w:rPr>
      </w:pPr>
      <w:r>
        <w:rPr>
          <w:rFonts w:ascii="Calibri" w:eastAsia="Calibri" w:hAnsi="Calibri" w:cs="Times New Roman"/>
          <w:b/>
        </w:rPr>
        <w:t xml:space="preserve">Módulo </w:t>
      </w:r>
      <w:r w:rsidR="00170C37" w:rsidRPr="00C0759A">
        <w:rPr>
          <w:rFonts w:ascii="Calibri" w:eastAsia="Calibri" w:hAnsi="Calibri" w:cs="Times New Roman"/>
          <w:b/>
        </w:rPr>
        <w:t>2. Matriz de Indicadores para Resultados (MIR)</w:t>
      </w:r>
    </w:p>
    <w:p w14:paraId="7FE0646D" w14:textId="63C11061" w:rsidR="00170C37" w:rsidRDefault="00170C37" w:rsidP="00170C37">
      <w:r>
        <w:t xml:space="preserve">La </w:t>
      </w:r>
      <w:r w:rsidR="00B37BC6">
        <w:t>e</w:t>
      </w:r>
      <w:r w:rsidR="00BC7AC5">
        <w:t>ntidad federativa</w:t>
      </w:r>
      <w:r>
        <w:t xml:space="preserve"> no cuenta con una MIR específica para el FAFEF. Los resultados de las aportaciones del Fondo en la </w:t>
      </w:r>
      <w:r w:rsidR="00C116AF">
        <w:t xml:space="preserve">Tamaulipas </w:t>
      </w:r>
      <w:r>
        <w:t>son medidos a través de los indicadores de la MIR federal, evaluaciones externas y resultados de las auditorías.</w:t>
      </w:r>
      <w:r w:rsidR="00826CDE">
        <w:t xml:space="preserve"> </w:t>
      </w:r>
    </w:p>
    <w:p w14:paraId="5E799B0A" w14:textId="154C919A" w:rsidR="00170C37" w:rsidRDefault="00170C37" w:rsidP="00170C37">
      <w:pPr>
        <w:rPr>
          <w:rFonts w:ascii="Calibri" w:eastAsia="Calibri" w:hAnsi="Calibri" w:cs="Times New Roman"/>
        </w:rPr>
      </w:pPr>
      <w:r>
        <w:lastRenderedPageBreak/>
        <w:t xml:space="preserve">Referente a los indicadores de la MIR federal, </w:t>
      </w:r>
      <w:r w:rsidRPr="002B3391">
        <w:t xml:space="preserve">el FAFEF en el </w:t>
      </w:r>
      <w:r w:rsidR="0099399F">
        <w:t>E</w:t>
      </w:r>
      <w:r w:rsidRPr="002B3391">
        <w:t xml:space="preserve">stado contribuye a dos indicadores </w:t>
      </w:r>
      <w:r>
        <w:t>de esta</w:t>
      </w:r>
      <w:r w:rsidRPr="002B3391">
        <w:t xml:space="preserve">: </w:t>
      </w:r>
      <w:r w:rsidRPr="002B3391">
        <w:rPr>
          <w:i/>
          <w:iCs/>
        </w:rPr>
        <w:t xml:space="preserve">índice de impacto de deuda pública </w:t>
      </w:r>
      <w:r w:rsidRPr="002B3391">
        <w:t>y</w:t>
      </w:r>
      <w:r w:rsidRPr="002B3391">
        <w:rPr>
          <w:i/>
          <w:iCs/>
        </w:rPr>
        <w:t xml:space="preserve"> avance en el cumplimiento de las metas</w:t>
      </w:r>
      <w:r w:rsidRPr="002B3391">
        <w:t>, indicadores que se reportan a la SHCP</w:t>
      </w:r>
      <w:r>
        <w:t xml:space="preserve"> de manera trimestral</w:t>
      </w:r>
      <w:r w:rsidR="004E1C98">
        <w:t xml:space="preserve">. </w:t>
      </w:r>
      <w:r w:rsidR="00161FFB">
        <w:t xml:space="preserve">El Estado informa </w:t>
      </w:r>
      <w:r w:rsidRPr="007065D3">
        <w:t>sobre los Recursos Federales Transferidos a las Entidades Federativas, Municipios y Demarcaciones territoriales del Distrito Federal, y de operación de los recursos del Ramo General 33</w:t>
      </w:r>
      <w:r w:rsidRPr="001E1258">
        <w:rPr>
          <w:vertAlign w:val="superscript"/>
        </w:rPr>
        <w:footnoteReference w:id="1"/>
      </w:r>
      <w:r w:rsidRPr="007065D3">
        <w:t xml:space="preserve">, a través del </w:t>
      </w:r>
      <w:r>
        <w:t>Sistema de Reporte de Recursos Federales Transferidos</w:t>
      </w:r>
      <w:r w:rsidRPr="007065D3">
        <w:t xml:space="preserve"> </w:t>
      </w:r>
      <w:r>
        <w:t>(S</w:t>
      </w:r>
      <w:r w:rsidRPr="007065D3">
        <w:t>RFT</w:t>
      </w:r>
      <w:r>
        <w:t>).</w:t>
      </w:r>
      <w:r w:rsidR="00826CDE">
        <w:t xml:space="preserve"> </w:t>
      </w:r>
      <w:r>
        <w:t>Cabe señalar que los indicadores de la MIR federal</w:t>
      </w:r>
      <w:r w:rsidRPr="00C0759A">
        <w:rPr>
          <w:rFonts w:ascii="Calibri" w:eastAsia="Calibri" w:hAnsi="Calibri" w:cs="Times New Roman"/>
        </w:rPr>
        <w:t xml:space="preserve"> contribuyen a mostrar de manera agregada el efecto del Fondo a nivel nacional, sin embargo, limitan la identificación particular de los efectos del Fondo en la población beneficiaria o atendida en la entidad</w:t>
      </w:r>
      <w:r w:rsidR="00C116AF">
        <w:rPr>
          <w:rFonts w:ascii="Calibri" w:eastAsia="Calibri" w:hAnsi="Calibri" w:cs="Times New Roman"/>
        </w:rPr>
        <w:t xml:space="preserve"> federativa</w:t>
      </w:r>
      <w:r w:rsidRPr="00C0759A">
        <w:rPr>
          <w:rFonts w:ascii="Calibri" w:eastAsia="Calibri" w:hAnsi="Calibri" w:cs="Times New Roman"/>
        </w:rPr>
        <w:t>.</w:t>
      </w:r>
      <w:r>
        <w:rPr>
          <w:rFonts w:ascii="Calibri" w:eastAsia="Calibri" w:hAnsi="Calibri" w:cs="Times New Roman"/>
        </w:rPr>
        <w:t xml:space="preserve"> </w:t>
      </w:r>
      <w:r w:rsidRPr="00C0759A">
        <w:rPr>
          <w:rFonts w:ascii="Calibri" w:eastAsia="Calibri" w:hAnsi="Calibri" w:cs="Times New Roman"/>
        </w:rPr>
        <w:t xml:space="preserve">Con base en lo anterior, la medición de los resultados del </w:t>
      </w:r>
      <w:r w:rsidR="007B2702">
        <w:rPr>
          <w:rFonts w:ascii="Calibri" w:eastAsia="Calibri" w:hAnsi="Calibri" w:cs="Times New Roman"/>
        </w:rPr>
        <w:t>F</w:t>
      </w:r>
      <w:r w:rsidRPr="00C0759A">
        <w:rPr>
          <w:rFonts w:ascii="Calibri" w:eastAsia="Calibri" w:hAnsi="Calibri" w:cs="Times New Roman"/>
        </w:rPr>
        <w:t xml:space="preserve">ondo a partir de este instrumento de planeación no permite disponer de elementos para coadyuvar al mejoramiento de su gestión y limita el proceso de rendición de cuentas de los efectos del </w:t>
      </w:r>
      <w:r w:rsidR="007B2702">
        <w:rPr>
          <w:rFonts w:ascii="Calibri" w:eastAsia="Calibri" w:hAnsi="Calibri" w:cs="Times New Roman"/>
        </w:rPr>
        <w:t>F</w:t>
      </w:r>
      <w:r w:rsidRPr="00C0759A">
        <w:rPr>
          <w:rFonts w:ascii="Calibri" w:eastAsia="Calibri" w:hAnsi="Calibri" w:cs="Times New Roman"/>
        </w:rPr>
        <w:t xml:space="preserve">ondo en </w:t>
      </w:r>
      <w:r w:rsidR="00C116AF">
        <w:rPr>
          <w:rFonts w:ascii="Calibri" w:eastAsia="Calibri" w:hAnsi="Calibri" w:cs="Times New Roman"/>
        </w:rPr>
        <w:t>Tamaulipas</w:t>
      </w:r>
      <w:r w:rsidRPr="00C0759A">
        <w:rPr>
          <w:rFonts w:ascii="Calibri" w:eastAsia="Calibri" w:hAnsi="Calibri" w:cs="Times New Roman"/>
        </w:rPr>
        <w:t>.</w:t>
      </w:r>
    </w:p>
    <w:p w14:paraId="7A3DA8C5" w14:textId="5F5C5C59" w:rsidR="00170C37" w:rsidRPr="007065D3" w:rsidRDefault="00170C37" w:rsidP="00170C37">
      <w:r w:rsidRPr="001F0503">
        <w:t xml:space="preserve">En lo que respecta al monitoreo en el ámbito estatal, </w:t>
      </w:r>
      <w:r w:rsidR="00D67FC7">
        <w:rPr>
          <w:rFonts w:cstheme="minorHAnsi"/>
        </w:rPr>
        <w:t>el Estado de Tamaulipas</w:t>
      </w:r>
      <w:r w:rsidRPr="001F0503">
        <w:rPr>
          <w:rFonts w:cstheme="minorHAnsi"/>
        </w:rPr>
        <w:t xml:space="preserve"> documenta los resultados de las aportaciones del FAFEF</w:t>
      </w:r>
      <w:r w:rsidRPr="007065D3">
        <w:t xml:space="preserve"> mediante la realización de evaluaciones externas</w:t>
      </w:r>
      <w:r w:rsidR="000A1366">
        <w:t>. E</w:t>
      </w:r>
      <w:r w:rsidRPr="007065D3">
        <w:t xml:space="preserve">n </w:t>
      </w:r>
      <w:r w:rsidR="000E7D9D">
        <w:t xml:space="preserve">el </w:t>
      </w:r>
      <w:r w:rsidRPr="007065D3">
        <w:t xml:space="preserve">sitio oficial </w:t>
      </w:r>
      <w:r>
        <w:t>de transparencia presupuestaria de la entidad</w:t>
      </w:r>
      <w:r w:rsidR="000E7D9D">
        <w:t xml:space="preserve"> federativa</w:t>
      </w:r>
      <w:r>
        <w:t xml:space="preserve"> </w:t>
      </w:r>
      <w:r w:rsidRPr="007065D3">
        <w:t xml:space="preserve">es posible </w:t>
      </w:r>
      <w:r>
        <w:t>consultar</w:t>
      </w:r>
      <w:r w:rsidRPr="007065D3">
        <w:t xml:space="preserve"> los documentos de las evaluaciones aplicadas al FAFEF en el Estado en los ejercicios fiscales 2014, 2015, 2016 y 2018.</w:t>
      </w:r>
    </w:p>
    <w:p w14:paraId="2A807B1D" w14:textId="71D218DB" w:rsidR="00170C37" w:rsidRDefault="00170C37" w:rsidP="00170C37">
      <w:r>
        <w:t>Adicionalmente</w:t>
      </w:r>
      <w:r w:rsidRPr="007065D3">
        <w:t>,</w:t>
      </w:r>
      <w:r>
        <w:t xml:space="preserve"> a partir del ejercicio 2019</w:t>
      </w:r>
      <w:r w:rsidR="007F1893">
        <w:t xml:space="preserve"> </w:t>
      </w:r>
      <w:r w:rsidRPr="007065D3">
        <w:t>se documentan los resultados observados a través de los indicadores de desempeño de los Pp que reciben recursos del FAFEF como parte de su presupuesto y que forman parte de la estructura programática estatal</w:t>
      </w:r>
      <w:r w:rsidR="008C4C4E">
        <w:t xml:space="preserve">. </w:t>
      </w:r>
      <w:r w:rsidR="00C45E77">
        <w:t xml:space="preserve">El avance en los indicadores </w:t>
      </w:r>
      <w:r w:rsidRPr="007065D3">
        <w:t>se reporta</w:t>
      </w:r>
      <w:r w:rsidRPr="007065D3">
        <w:rPr>
          <w:rFonts w:cstheme="minorHAnsi"/>
        </w:rPr>
        <w:t xml:space="preserve"> conforme a lo establecido en los Lineamientos</w:t>
      </w:r>
      <w:r w:rsidRPr="007065D3">
        <w:t xml:space="preserve"> para la revisión y actualización de metas, mejora, calendarización y seguimiento de la MIR de los Pp</w:t>
      </w:r>
      <w:r w:rsidR="00A81552">
        <w:t xml:space="preserve">. Lo anterior </w:t>
      </w:r>
      <w:r w:rsidR="00A81552" w:rsidRPr="007065D3">
        <w:t xml:space="preserve">previo proceso de </w:t>
      </w:r>
      <w:r w:rsidR="00A81552" w:rsidRPr="007065D3">
        <w:rPr>
          <w:rFonts w:cstheme="minorHAnsi"/>
        </w:rPr>
        <w:t>revisión y validación</w:t>
      </w:r>
      <w:r w:rsidR="00A81552">
        <w:rPr>
          <w:rFonts w:cstheme="minorHAnsi"/>
        </w:rPr>
        <w:t>. E</w:t>
      </w:r>
      <w:r w:rsidRPr="007065D3">
        <w:t>l SIMIR</w:t>
      </w:r>
      <w:r w:rsidR="00A81552">
        <w:t xml:space="preserve"> </w:t>
      </w:r>
      <w:r w:rsidRPr="007065D3">
        <w:t xml:space="preserve">es </w:t>
      </w:r>
      <w:r w:rsidR="00A81552">
        <w:t xml:space="preserve">la </w:t>
      </w:r>
      <w:r w:rsidRPr="007065D3">
        <w:t>fuente oficial de información sobre el desempeño de los Pp para realizar la evaluación del gasto público en la entidad</w:t>
      </w:r>
      <w:r w:rsidR="0030382C">
        <w:t xml:space="preserve"> federativa</w:t>
      </w:r>
      <w:r w:rsidRPr="007065D3">
        <w:t xml:space="preserve">. </w:t>
      </w:r>
      <w:r w:rsidR="00EA55E9">
        <w:t>L</w:t>
      </w:r>
      <w:r w:rsidRPr="007065D3">
        <w:t xml:space="preserve">a creación de este sistema fue </w:t>
      </w:r>
      <w:r w:rsidR="00EA55E9">
        <w:t xml:space="preserve">en </w:t>
      </w:r>
      <w:r w:rsidRPr="007065D3">
        <w:t>el ejercicio 2019, por lo que no se cuenta con información en dicho sistema de ejercicios fiscales anteriores</w:t>
      </w:r>
      <w:r>
        <w:t>.</w:t>
      </w:r>
    </w:p>
    <w:p w14:paraId="1DFFD098" w14:textId="02575B28" w:rsidR="00170C37" w:rsidRDefault="00170C37" w:rsidP="00170C37">
      <w:r>
        <w:t xml:space="preserve">Respecto a la definición de metas, es el </w:t>
      </w:r>
      <w:bookmarkStart w:id="9" w:name="_Hlk53658895"/>
      <w:r>
        <w:t xml:space="preserve">Grupo de Trabajo </w:t>
      </w:r>
      <w:r w:rsidRPr="00287E62">
        <w:t xml:space="preserve">de la Subsecretaría de Egresos, </w:t>
      </w:r>
      <w:r>
        <w:t xml:space="preserve">en el que </w:t>
      </w:r>
      <w:r w:rsidRPr="00287E62">
        <w:t>participan todos los Directores de Área, así como el titular de dicha Subsecretaría</w:t>
      </w:r>
      <w:r>
        <w:t xml:space="preserve"> como </w:t>
      </w:r>
      <w:r w:rsidRPr="003C39A1">
        <w:t xml:space="preserve">instancia institucional administrativa y ejecutora de los recursos del FAFEF </w:t>
      </w:r>
      <w:bookmarkEnd w:id="9"/>
      <w:r w:rsidRPr="003C39A1">
        <w:t>en la entidad</w:t>
      </w:r>
      <w:r w:rsidR="004D495A">
        <w:t xml:space="preserve"> federativa</w:t>
      </w:r>
      <w:r>
        <w:t xml:space="preserve">, la instancia responsable de la definición de las metas para los indicadores de la MIR. De acuerdo con la información disponible, la definición de las metas responde al objetivo que pretende alcanzar el indicador en el periodo reportado, sin embargo, no se contó con información en la que se puede verificar el método de cálculo. </w:t>
      </w:r>
    </w:p>
    <w:p w14:paraId="79F20E83" w14:textId="0ADCC05E" w:rsidR="00170C37" w:rsidRPr="00C0759A" w:rsidRDefault="00524157" w:rsidP="00170C37">
      <w:pPr>
        <w:rPr>
          <w:rFonts w:ascii="Calibri" w:eastAsia="Calibri" w:hAnsi="Calibri" w:cs="Times New Roman"/>
          <w:b/>
        </w:rPr>
      </w:pPr>
      <w:r>
        <w:rPr>
          <w:rFonts w:ascii="Calibri" w:eastAsia="Calibri" w:hAnsi="Calibri" w:cs="Times New Roman"/>
          <w:b/>
        </w:rPr>
        <w:t xml:space="preserve">Módulo </w:t>
      </w:r>
      <w:r w:rsidR="00170C37" w:rsidRPr="00C0759A">
        <w:rPr>
          <w:rFonts w:ascii="Calibri" w:eastAsia="Calibri" w:hAnsi="Calibri" w:cs="Times New Roman"/>
          <w:b/>
        </w:rPr>
        <w:t>3. Consistencia entre los elementos del diseño</w:t>
      </w:r>
    </w:p>
    <w:p w14:paraId="5623B9BD" w14:textId="77777777" w:rsidR="00170C37" w:rsidRDefault="00170C37" w:rsidP="00170C37">
      <w:pPr>
        <w:rPr>
          <w:rFonts w:ascii="Calibri" w:eastAsia="Calibri" w:hAnsi="Calibri" w:cs="Times New Roman"/>
        </w:rPr>
      </w:pPr>
      <w:r w:rsidRPr="00C0759A">
        <w:rPr>
          <w:rFonts w:ascii="Calibri" w:eastAsia="Calibri" w:hAnsi="Calibri" w:cs="Times New Roman"/>
        </w:rPr>
        <w:t>Los procesos de evaluación al FAFEF han derivado en recomendaciones que ponen de manifiesto la necesidad de definir y establecer mecanismos estratégicos e institucionales que contribuyan, por un lado, a la toma de decisiones en materia presupuestaria, identificando de manera más precisa las prioridades sobre las cuales se deberán asignar los recursos del FAFEF y, por otro lado, el establecimiento de mecanismos de seguimiento</w:t>
      </w:r>
      <w:r>
        <w:rPr>
          <w:rFonts w:ascii="Calibri" w:eastAsia="Calibri" w:hAnsi="Calibri" w:cs="Times New Roman"/>
        </w:rPr>
        <w:t xml:space="preserve"> que</w:t>
      </w:r>
      <w:r w:rsidRPr="00C0759A">
        <w:rPr>
          <w:rFonts w:ascii="Calibri" w:eastAsia="Calibri" w:hAnsi="Calibri" w:cs="Times New Roman"/>
        </w:rPr>
        <w:t xml:space="preserve"> permitan identificar de manera particular los efectos del Fondo en la población </w:t>
      </w:r>
      <w:r>
        <w:rPr>
          <w:rFonts w:ascii="Calibri" w:eastAsia="Calibri" w:hAnsi="Calibri" w:cs="Times New Roman"/>
        </w:rPr>
        <w:t>que se beneficia de las obras y acciones ejecutadas</w:t>
      </w:r>
      <w:r w:rsidRPr="00C0759A">
        <w:rPr>
          <w:rFonts w:ascii="Calibri" w:eastAsia="Calibri" w:hAnsi="Calibri" w:cs="Times New Roman"/>
        </w:rPr>
        <w:t>.</w:t>
      </w:r>
    </w:p>
    <w:p w14:paraId="33997522" w14:textId="6385D7B0" w:rsidR="00170C37" w:rsidRDefault="00170C37" w:rsidP="00170C37">
      <w:pPr>
        <w:rPr>
          <w:rFonts w:ascii="Calibri" w:eastAsia="Calibri" w:hAnsi="Calibri" w:cs="Times New Roman"/>
        </w:rPr>
      </w:pPr>
      <w:r>
        <w:rPr>
          <w:rFonts w:ascii="Calibri" w:eastAsia="Calibri" w:hAnsi="Calibri" w:cs="Times New Roman"/>
        </w:rPr>
        <w:t xml:space="preserve">Existen evidencias, en la minuta de reunión de la primera sesión del Grupo de Trabajo, que en </w:t>
      </w:r>
      <w:r w:rsidR="004D495A">
        <w:rPr>
          <w:rFonts w:ascii="Calibri" w:eastAsia="Calibri" w:hAnsi="Calibri" w:cs="Times New Roman"/>
        </w:rPr>
        <w:t>Tamaulipas</w:t>
      </w:r>
      <w:r>
        <w:rPr>
          <w:rFonts w:ascii="Calibri" w:eastAsia="Calibri" w:hAnsi="Calibri" w:cs="Times New Roman"/>
        </w:rPr>
        <w:t xml:space="preserve"> se considera la información derivada de evaluaciones y auditorias en las decisiones tomadas para la asignación de recursos y el establecimiento de metas, sin embargo, esta información no se contempla en el diagnóstico del Fondo. La distribución de actividades y la selección geográfica de la población a atenderse </w:t>
      </w:r>
      <w:r w:rsidR="006848B9">
        <w:rPr>
          <w:rFonts w:ascii="Calibri" w:eastAsia="Calibri" w:hAnsi="Calibri" w:cs="Times New Roman"/>
        </w:rPr>
        <w:t>está</w:t>
      </w:r>
      <w:r>
        <w:rPr>
          <w:rFonts w:ascii="Calibri" w:eastAsia="Calibri" w:hAnsi="Calibri" w:cs="Times New Roman"/>
        </w:rPr>
        <w:t xml:space="preserve"> condicionada a los Pp que reciban recursos del FAFEF, en cada ejercicio fiscal. En el proceso de evaluación, además de los resultados de las evaluaciones externas, no se encontró evidencia de que la información del desempeño del FAFEF en los ejercicios previos, sea considerada en para los puntos señalados en el párrafo que antecede. Es </w:t>
      </w:r>
      <w:r>
        <w:rPr>
          <w:rFonts w:ascii="Calibri" w:eastAsia="Calibri" w:hAnsi="Calibri" w:cs="Times New Roman"/>
        </w:rPr>
        <w:lastRenderedPageBreak/>
        <w:t>importante precisar que con la puesta en marcha del seguimiento a indicadores de los Pp de la estructura programática estatal será posible contar con información valiosa sobre el logro de objetivos de los Pp que reciben recursos del Fondo, que pueda servir de insumo para la toma de decisiones en el Grupo de Trabajo.</w:t>
      </w:r>
    </w:p>
    <w:p w14:paraId="212F5B4A" w14:textId="34806C45" w:rsidR="00170C37" w:rsidRDefault="00170C37" w:rsidP="00170C37">
      <w:r w:rsidRPr="00753EAF">
        <w:t xml:space="preserve">No </w:t>
      </w:r>
      <w:r>
        <w:t xml:space="preserve">se encontró evidencia documental de la definición de </w:t>
      </w:r>
      <w:r w:rsidRPr="00753EAF">
        <w:t>un plan estratégico para el FAFEF en la entidad</w:t>
      </w:r>
      <w:r w:rsidR="004D495A">
        <w:t xml:space="preserve"> federativa</w:t>
      </w:r>
      <w:r>
        <w:t>, su mecanismo de planeación, asignación, ejecución y seguimiento le corresponde en primera instancia al Grupo de Trabajo, así como a la normatividad que rige la operación de los distintos Pp financiados con el FAFEF. Asimismo, como se explica en la primera sección de este resumen, la entidad</w:t>
      </w:r>
      <w:r w:rsidR="00786BD6">
        <w:t xml:space="preserve"> federativa</w:t>
      </w:r>
      <w:r>
        <w:t xml:space="preserve"> toma como documento rector de su planeación al PED 2016-2022.</w:t>
      </w:r>
    </w:p>
    <w:p w14:paraId="30CDF9BB" w14:textId="459B81A9" w:rsidR="00170C37" w:rsidRDefault="00170C37" w:rsidP="00170C37">
      <w:r w:rsidRPr="00AD5195">
        <w:t xml:space="preserve">El FAFEF en </w:t>
      </w:r>
      <w:r w:rsidR="006C1341">
        <w:t>Tamaulipas</w:t>
      </w:r>
      <w:r w:rsidRPr="00AD5195">
        <w:t xml:space="preserve"> no cuenta con un Plan Anual de Trabajo (PAT) que contenga las necesidades prioritarias definidas en el diagnóstico específico del FAFEF en la entidad</w:t>
      </w:r>
      <w:r w:rsidR="00BB6B5A">
        <w:t xml:space="preserve"> federativa</w:t>
      </w:r>
      <w:r w:rsidRPr="00AD5195">
        <w:t xml:space="preserve">, los entregables o componentes producidos con el presupuesto del Fondo, los objetivos y propósitos del trabajo anual, actualizados y coherentes con los recursos viables a realizarse en un año, dimensionar los objetivos que se pretenden alcanzar al cabo de un año, las estrategias para lograr los objetivos y metas, las actividades y acciones que se desarrollarán, las instancias que participarán y, por último, la metodología para evaluar lo programado, de tal manera que se garantice el adecuado ejercicio del Fondo en </w:t>
      </w:r>
      <w:r w:rsidR="00BB6B5A">
        <w:t>el Estado</w:t>
      </w:r>
      <w:r w:rsidRPr="00AD5195">
        <w:t>.</w:t>
      </w:r>
      <w:r>
        <w:t xml:space="preserve"> </w:t>
      </w:r>
    </w:p>
    <w:p w14:paraId="68F23839" w14:textId="77777777" w:rsidR="00170C37" w:rsidRDefault="00170C37" w:rsidP="00170C37">
      <w:r>
        <w:t xml:space="preserve">A excepción del “Programa con mis útiles a la escuela” S131 (49% de sus recursos ejercidos provinieron del Fondo), los Pp que ejercieron recursos del FAFEF en el ejercicio 2018 no benefician de manera directa a las personas u hogares, sin embargo, en ninguno de los casos se encontró información respecto a la condición socioeconómica de los beneficiados con las obras o acciones derivadas de la ejecución de los recursos del FAFEF. Cabe resaltar que, </w:t>
      </w:r>
      <w:r w:rsidRPr="00220CA0">
        <w:t>En el Periódico Oficial, con fecha 29 de octubre de 2018, se publicaron los Lineamientos Generales para la elaboración de Reglas de Operación de los Programas Presupuestarios y Modificaciones a las ya existentes. En estos Lineamientos Generales,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p>
    <w:p w14:paraId="2F63D2E0" w14:textId="0980E744" w:rsidR="00170C37" w:rsidRDefault="00524157" w:rsidP="00170C37">
      <w:pPr>
        <w:rPr>
          <w:rFonts w:ascii="Calibri" w:eastAsia="Calibri" w:hAnsi="Calibri" w:cs="Times New Roman"/>
          <w:b/>
        </w:rPr>
      </w:pPr>
      <w:r>
        <w:rPr>
          <w:rFonts w:ascii="Calibri" w:eastAsia="Calibri" w:hAnsi="Calibri" w:cs="Times New Roman"/>
          <w:b/>
        </w:rPr>
        <w:t xml:space="preserve">Módulo </w:t>
      </w:r>
      <w:r w:rsidR="00170C37" w:rsidRPr="00C0759A">
        <w:rPr>
          <w:rFonts w:ascii="Calibri" w:eastAsia="Calibri" w:hAnsi="Calibri" w:cs="Times New Roman"/>
          <w:b/>
        </w:rPr>
        <w:t>4. Alineación del Fondo a la Planeación Nacional y a los Objetivos de Desarrollo Sostenible</w:t>
      </w:r>
    </w:p>
    <w:p w14:paraId="239DB1FF" w14:textId="77777777" w:rsidR="00170C37" w:rsidRDefault="00170C37" w:rsidP="00170C37">
      <w:pPr>
        <w:rPr>
          <w:rFonts w:ascii="Calibri" w:eastAsia="Calibri" w:hAnsi="Calibri" w:cs="Times New Roman"/>
          <w:bCs/>
        </w:rPr>
      </w:pPr>
      <w:r>
        <w:rPr>
          <w:rFonts w:ascii="Calibri" w:eastAsia="Calibri" w:hAnsi="Calibri" w:cs="Times New Roman"/>
          <w:bCs/>
        </w:rPr>
        <w:t>Los Pp que ejercieron recursos del Fondo en 2018 se alinean con los ejes de Desarrollo Económico Sostenible, Seguridad Ciudadana y Bienestar Social del PED 2016-2022, a su vez estos se encuentran alineado con el PND 2013-2018 en las metas Nacionales México Próspero, y México con Educación de Calidad. El programa de costo financiero y deuda se alinea con el objetivo nacional 4.1.</w:t>
      </w:r>
      <w:r w:rsidRPr="00463C6F">
        <w:rPr>
          <w:rFonts w:ascii="Calibri" w:eastAsia="Calibri" w:hAnsi="Calibri" w:cs="Times New Roman"/>
          <w:bCs/>
          <w:i/>
          <w:iCs/>
        </w:rPr>
        <w:t xml:space="preserve"> Mantener la estabilidad macroeconómica del País</w:t>
      </w:r>
      <w:r>
        <w:rPr>
          <w:rFonts w:ascii="Calibri" w:eastAsia="Calibri" w:hAnsi="Calibri" w:cs="Times New Roman"/>
          <w:bCs/>
        </w:rPr>
        <w:t xml:space="preserve"> a través de la estrategia 3.2.1. </w:t>
      </w:r>
      <w:r w:rsidRPr="005D3ACD">
        <w:rPr>
          <w:rFonts w:ascii="Calibri" w:eastAsia="Calibri" w:hAnsi="Calibri" w:cs="Times New Roman"/>
          <w:bCs/>
          <w:i/>
          <w:iCs/>
        </w:rPr>
        <w:t>Proteger las finanzas públicas ante riesgos del entorno macroeconómico</w:t>
      </w:r>
      <w:r>
        <w:rPr>
          <w:rFonts w:ascii="Calibri" w:eastAsia="Calibri" w:hAnsi="Calibri" w:cs="Times New Roman"/>
          <w:bCs/>
        </w:rPr>
        <w:t xml:space="preserve">. </w:t>
      </w:r>
    </w:p>
    <w:p w14:paraId="73C23636" w14:textId="77777777" w:rsidR="00170C37" w:rsidRDefault="00170C37" w:rsidP="00170C37">
      <w:pPr>
        <w:rPr>
          <w:rFonts w:ascii="Calibri" w:eastAsia="Calibri" w:hAnsi="Calibri" w:cs="Times New Roman"/>
          <w:bCs/>
        </w:rPr>
      </w:pPr>
      <w:r>
        <w:rPr>
          <w:rFonts w:ascii="Calibri" w:eastAsia="Calibri" w:hAnsi="Calibri" w:cs="Times New Roman"/>
          <w:bCs/>
        </w:rPr>
        <w:t xml:space="preserve">Considerando la diversidad de proyectos de inversión en infraestructura que se llevaron a cabo con financiamiento de los recursos del Fondo en 2018, es posible determinar su alineación con distintos ODS tales como, </w:t>
      </w:r>
      <w:r w:rsidRPr="005D3ACD">
        <w:rPr>
          <w:rFonts w:ascii="Calibri" w:eastAsia="Calibri" w:hAnsi="Calibri" w:cs="Times New Roman"/>
          <w:bCs/>
        </w:rPr>
        <w:t>3) Salud y bienestar, 4) Educación de calidad, 6) Agua limpia y saneamiento, 9) industria, innovación e infraestructura, 11) ciudades y comunidades sostenibles, 16) Paz, justicia e instituciones sólidas, y 17) Alianzas para lograr los objetivos.</w:t>
      </w:r>
    </w:p>
    <w:p w14:paraId="2058451C" w14:textId="742F3C15" w:rsidR="00170C37" w:rsidRDefault="00524157" w:rsidP="00170C37">
      <w:pPr>
        <w:rPr>
          <w:rFonts w:ascii="Calibri" w:eastAsia="Calibri" w:hAnsi="Calibri" w:cs="Times New Roman"/>
          <w:b/>
        </w:rPr>
      </w:pPr>
      <w:r>
        <w:rPr>
          <w:rFonts w:ascii="Calibri" w:eastAsia="Calibri" w:hAnsi="Calibri" w:cs="Times New Roman"/>
          <w:b/>
        </w:rPr>
        <w:t xml:space="preserve">Módulo </w:t>
      </w:r>
      <w:r w:rsidR="00170C37" w:rsidRPr="00C0759A">
        <w:rPr>
          <w:rFonts w:ascii="Calibri" w:eastAsia="Calibri" w:hAnsi="Calibri" w:cs="Times New Roman"/>
          <w:b/>
        </w:rPr>
        <w:t>5. Mecanismo</w:t>
      </w:r>
      <w:r w:rsidR="00971201">
        <w:rPr>
          <w:rFonts w:ascii="Calibri" w:eastAsia="Calibri" w:hAnsi="Calibri" w:cs="Times New Roman"/>
          <w:b/>
        </w:rPr>
        <w:t>s</w:t>
      </w:r>
      <w:r w:rsidR="00170C37" w:rsidRPr="00C0759A">
        <w:rPr>
          <w:rFonts w:ascii="Calibri" w:eastAsia="Calibri" w:hAnsi="Calibri" w:cs="Times New Roman"/>
          <w:b/>
        </w:rPr>
        <w:t xml:space="preserve"> de coordinación</w:t>
      </w:r>
    </w:p>
    <w:p w14:paraId="755FF48C" w14:textId="1EE306FB" w:rsidR="00170C37" w:rsidRDefault="00170C37" w:rsidP="00170C37">
      <w:pPr>
        <w:rPr>
          <w:rFonts w:cstheme="minorHAnsi"/>
          <w:bCs/>
        </w:rPr>
      </w:pPr>
      <w:r>
        <w:rPr>
          <w:rFonts w:ascii="Calibri" w:eastAsia="Calibri" w:hAnsi="Calibri" w:cs="Times New Roman"/>
          <w:bCs/>
        </w:rPr>
        <w:t xml:space="preserve">El análisis de los procesos clave en la gestión y operación de las aportaciones del FAFEF en </w:t>
      </w:r>
      <w:r w:rsidR="007C14BB">
        <w:rPr>
          <w:rFonts w:ascii="Calibri" w:eastAsia="Calibri" w:hAnsi="Calibri" w:cs="Times New Roman"/>
          <w:bCs/>
        </w:rPr>
        <w:t>Tamaulipas</w:t>
      </w:r>
      <w:r>
        <w:rPr>
          <w:rFonts w:ascii="Calibri" w:eastAsia="Calibri" w:hAnsi="Calibri" w:cs="Times New Roman"/>
          <w:bCs/>
        </w:rPr>
        <w:t xml:space="preserve"> (asignación, ejercicio y seguimiento) demuestra que a pesar que en la entidad </w:t>
      </w:r>
      <w:r w:rsidR="007C14BB">
        <w:rPr>
          <w:rFonts w:ascii="Calibri" w:eastAsia="Calibri" w:hAnsi="Calibri" w:cs="Times New Roman"/>
          <w:bCs/>
        </w:rPr>
        <w:t xml:space="preserve">federativa </w:t>
      </w:r>
      <w:r>
        <w:rPr>
          <w:rFonts w:ascii="Calibri" w:eastAsia="Calibri" w:hAnsi="Calibri" w:cs="Times New Roman"/>
          <w:bCs/>
        </w:rPr>
        <w:t>no existe un proceso homogéneo para la ejecución de los recursos del Fondo, así como tampoco se cuenta con un manual</w:t>
      </w:r>
      <w:r w:rsidRPr="004A1269">
        <w:rPr>
          <w:rFonts w:cstheme="minorHAnsi"/>
          <w:bCs/>
        </w:rPr>
        <w:t xml:space="preserve"> de procedimientos o lineamientos </w:t>
      </w:r>
      <w:r>
        <w:rPr>
          <w:rFonts w:cstheme="minorHAnsi"/>
          <w:bCs/>
        </w:rPr>
        <w:t xml:space="preserve">específicos, </w:t>
      </w:r>
      <w:r w:rsidRPr="004A1269">
        <w:rPr>
          <w:rFonts w:cstheme="minorHAnsi"/>
          <w:bCs/>
        </w:rPr>
        <w:t>que regulen el funcionamiento del Fondo</w:t>
      </w:r>
      <w:r>
        <w:rPr>
          <w:rFonts w:cstheme="minorHAnsi"/>
          <w:bCs/>
        </w:rPr>
        <w:t xml:space="preserve">, cada unidad ejecutora de los recursos cuenta con sus propios manuales de organización y de procedimientos. Adicionalmente, el Grupo de Trabajo tiene dentro de sus funciones coordinar acciones conducentes a la implementación de la estrategia del PbR implementando acciones y medidas para reforzar la planeación, programación y monitoreo de los resultados del FAFEF en Tamaulipas. </w:t>
      </w:r>
    </w:p>
    <w:p w14:paraId="7D359398" w14:textId="26BF6B68" w:rsidR="00170C37" w:rsidRDefault="00170C37" w:rsidP="00170C37">
      <w:r>
        <w:rPr>
          <w:rFonts w:ascii="Calibri" w:eastAsia="Calibri" w:hAnsi="Calibri" w:cs="Times New Roman"/>
          <w:bCs/>
        </w:rPr>
        <w:lastRenderedPageBreak/>
        <w:t xml:space="preserve">A nivel estatal, el primer paso para la planeación y programación de los recursos del Fondo se da tras la elaboración de su propuesta de Ley de ingresos y del Proyecto de Presupuesto de Egresos del </w:t>
      </w:r>
      <w:r w:rsidR="0099399F">
        <w:rPr>
          <w:rFonts w:ascii="Calibri" w:eastAsia="Calibri" w:hAnsi="Calibri" w:cs="Times New Roman"/>
          <w:bCs/>
        </w:rPr>
        <w:t>E</w:t>
      </w:r>
      <w:r>
        <w:rPr>
          <w:rFonts w:ascii="Calibri" w:eastAsia="Calibri" w:hAnsi="Calibri" w:cs="Times New Roman"/>
          <w:bCs/>
        </w:rPr>
        <w:t>stado, el cual se elabora con base en los montos que se determinan en el Proyecto de Presupuesto de Egresos de la Federación. De manera particular, una vez que se conoce el monto presupuestario, así como el calendario de ministraciones</w:t>
      </w:r>
      <w:r>
        <w:rPr>
          <w:rStyle w:val="Refdenotaalpie"/>
          <w:rFonts w:ascii="Calibri" w:eastAsia="Calibri" w:hAnsi="Calibri" w:cs="Times New Roman"/>
          <w:bCs/>
        </w:rPr>
        <w:footnoteReference w:id="2"/>
      </w:r>
      <w:r>
        <w:rPr>
          <w:rFonts w:ascii="Calibri" w:eastAsia="Calibri" w:hAnsi="Calibri" w:cs="Times New Roman"/>
          <w:bCs/>
        </w:rPr>
        <w:t xml:space="preserve">, corresponde al Grupo de Trabajo </w:t>
      </w:r>
      <w:r>
        <w:t>realizar un análisis del presupuesto asignado al FAFEF en el Estado, y con base en el análisis de los resultados de las evaluaciones externas de los recursos del Fondo, Auditorías y los diagnósticos sectoriales del PED 2016-2024, determinar el destino de gasto y/o objetivos a alcanzar con dicho recurso y asignar los Pp y</w:t>
      </w:r>
      <w:r w:rsidR="00826CDE">
        <w:t xml:space="preserve"> </w:t>
      </w:r>
      <w:r>
        <w:t>proyectos de ejecución para ejercer el recurso del Fondo, siempre acorde a los rubros de gasto establecidos en la LCF.</w:t>
      </w:r>
      <w:r w:rsidR="00826CDE">
        <w:t xml:space="preserve"> </w:t>
      </w:r>
      <w:r>
        <w:t xml:space="preserve">En la etapa de </w:t>
      </w:r>
      <w:r w:rsidRPr="0003587B">
        <w:t>planeación</w:t>
      </w:r>
      <w:r>
        <w:t>, la creación del Grupo de Trabajo representa una estrategia adecuada para determinar prioridades de gasto en el ejercicio de los recursos del Fondo, lo cual a su vez se documenta en las minutas de reunión de dicho grupo.</w:t>
      </w:r>
    </w:p>
    <w:p w14:paraId="0B6C2E6D" w14:textId="3EB04D48" w:rsidR="00170C37" w:rsidRDefault="00170C37" w:rsidP="00170C37">
      <w:r>
        <w:t xml:space="preserve">Respecto al ejercicio de los recursos, en el rubro de inversión en infraestructura física ha sido la Secretaría de Finanzas la encargada de administrar los recursos que </w:t>
      </w:r>
      <w:r w:rsidR="00324D9F">
        <w:t>Tamaulipas</w:t>
      </w:r>
      <w:r>
        <w:t xml:space="preserve"> recibe del FAFEF. En este sentido a las diferentes instancias ejecutoras les corresponde la contratación, ejecución y seguimiento de las obras y acciones, así como de gestionar los pagos correspondientes a través de la captura de la información (recibos de pago y/o traspasos) de las obras que ya se encuentran contratadas, para posteriormente ingresar dichos documentos a la Dirección de Planeación y Control Hacendario (DPCH), y proceder a la fiscalización y posterior trámite de pago. </w:t>
      </w:r>
      <w:r w:rsidRPr="00C83B76">
        <w:t>Respecto al ejercicio de los recursos correspondiente al rubro de saneamiento financiero son ejercidos en su totalidad por la Secretaría de Finanzas de conformidad con los establecido en la Ley de Deuda Pública Estatal y Municipal de Tamaulipas</w:t>
      </w:r>
      <w:r w:rsidR="00826CDE">
        <w:t xml:space="preserve"> </w:t>
      </w:r>
      <w:r w:rsidRPr="00C83B76">
        <w:t xml:space="preserve">la cual establece dentro de las funciones de esta Secretaría elaborar el programa de financiamiento estatal, celebrar contratos para la obtención o reestructuración de los créditos y, previa aprobación del congreso, comprometer como garantía de pago las participaciones e inclusive aportaciones federales que le corresponden al </w:t>
      </w:r>
      <w:r w:rsidR="0099399F">
        <w:t>E</w:t>
      </w:r>
      <w:r w:rsidRPr="00C83B76">
        <w:t>stado.</w:t>
      </w:r>
    </w:p>
    <w:p w14:paraId="503DB6FB" w14:textId="77777777" w:rsidR="00170C37" w:rsidRDefault="00170C37" w:rsidP="00170C37">
      <w:r>
        <w:t xml:space="preserve">En relación con el seguimiento desde el ámbito federal </w:t>
      </w:r>
      <w:r>
        <w:rPr>
          <w:rFonts w:cstheme="minorHAnsi"/>
          <w:bCs/>
        </w:rPr>
        <w:t xml:space="preserve">este se realiza conforme a lo establecido en el </w:t>
      </w:r>
      <w:r w:rsidRPr="003A7B6D">
        <w:rPr>
          <w:rFonts w:cstheme="minorHAnsi"/>
          <w:bCs/>
        </w:rPr>
        <w:t>Artículo</w:t>
      </w:r>
      <w:r>
        <w:rPr>
          <w:rFonts w:cstheme="minorHAnsi"/>
          <w:bCs/>
        </w:rPr>
        <w:t xml:space="preserve"> 85 de la Ley Federal de Presupuesto y Responsabilidad Hacendaria a través del Sistema de Seguimiento de los Recursos Federales Transferidos</w:t>
      </w:r>
      <w:r>
        <w:t xml:space="preserve"> (SRFT) y comprende la c</w:t>
      </w:r>
      <w:r w:rsidRPr="00D36BDE">
        <w:t xml:space="preserve">aptura trimestral del origen y destino de los </w:t>
      </w:r>
      <w:r>
        <w:t>mismos</w:t>
      </w:r>
      <w:r w:rsidRPr="00D36BDE">
        <w:t xml:space="preserve"> en sus </w:t>
      </w:r>
      <w:r>
        <w:t>cuatro</w:t>
      </w:r>
      <w:r w:rsidRPr="00D36BDE">
        <w:t xml:space="preserve"> módulos (Destino del Gasto, Ejercicio del Gasto, Indicadores y Evaluaciones)</w:t>
      </w:r>
      <w:r>
        <w:t>.</w:t>
      </w:r>
    </w:p>
    <w:p w14:paraId="6AA19B8A" w14:textId="7FBCD253" w:rsidR="00170C37" w:rsidRDefault="00170C37" w:rsidP="00170C37">
      <w:pPr>
        <w:rPr>
          <w:rFonts w:cstheme="minorHAnsi"/>
        </w:rPr>
      </w:pPr>
      <w:r>
        <w:t xml:space="preserve">En Tamaulipas el </w:t>
      </w:r>
      <w:r w:rsidRPr="00753EAF">
        <w:t xml:space="preserve">Grupo de Trabajo representa un mecanismo estratégico e institucional para la generación y/o administración de información sobre la operación del FAFEF, que contribuye a mejorar su desempeño, respecto a la identificación de las necesidades y priorización en la asignación de los recursos asignados al Fondo en la entidad </w:t>
      </w:r>
      <w:r w:rsidR="006214CC">
        <w:t xml:space="preserve">federativa </w:t>
      </w:r>
      <w:r w:rsidRPr="00753EAF">
        <w:t>para cada ejercicio fiscal, contribuyendo con esta medida a solventar las dificultades que enfrenta la operación del Fondo en materia de asignación y ejercicio de los recursos</w:t>
      </w:r>
      <w:r>
        <w:t xml:space="preserve">. Asimismo, posterior al ejercicio 2018 </w:t>
      </w:r>
      <w:r w:rsidRPr="00753EAF">
        <w:t>se han establecido mecanismos y/o procesos para la generación o administración de información sobre la operación de</w:t>
      </w:r>
      <w:r>
        <w:t xml:space="preserve"> los Pp de la estructura programática estatal </w:t>
      </w:r>
      <w:r w:rsidRPr="00753EAF">
        <w:t>que contribuyen a mejorar su desempeño, tales como los Criterios para implantar la estrategia del PbR y el Sistema de Monitoreo de Indic</w:t>
      </w:r>
      <w:r>
        <w:t xml:space="preserve">adores para Resultados (SIMIR). Adicionalmente </w:t>
      </w:r>
      <w:r w:rsidR="006214CC">
        <w:t>Tamaulipas</w:t>
      </w:r>
      <w:r w:rsidRPr="00B01707">
        <w:rPr>
          <w:rFonts w:cstheme="minorHAnsi"/>
        </w:rPr>
        <w:t xml:space="preserve"> cuenta con procesos y formatos estandarizados</w:t>
      </w:r>
      <w:r>
        <w:rPr>
          <w:rFonts w:cstheme="minorHAnsi"/>
        </w:rPr>
        <w:t xml:space="preserve"> y sistematizados</w:t>
      </w:r>
      <w:r w:rsidRPr="00B01707">
        <w:rPr>
          <w:rFonts w:cstheme="minorHAnsi"/>
        </w:rPr>
        <w:t xml:space="preserve"> para supervisar el ejercicio de los recursos del FAFEF, que permiten identificar si los apoyos o proyectos que se entregan u otorgan son acordes a lo establecido en los documentos normativos o institucionales del Fondo</w:t>
      </w:r>
      <w:r>
        <w:rPr>
          <w:rFonts w:cstheme="minorHAnsi"/>
        </w:rPr>
        <w:t xml:space="preserve">, tales como: </w:t>
      </w:r>
      <w:r w:rsidRPr="00D23DAA">
        <w:rPr>
          <w:rFonts w:cstheme="minorHAnsi"/>
        </w:rPr>
        <w:t>1. Formato de Solicitud de Apertura de cuenta; 2. Oficio de Aprobación (Proyectos); 3. Aviso de disponibilidad Bancaria; 4. Recibos de pago; 5. Reportes mensuales ingresos vs egresos; 6. Oficios de Solicitud de Traspaso; y, 7. Oficios de Solicitud de Cancelación Cuentas.</w:t>
      </w:r>
    </w:p>
    <w:p w14:paraId="54D8ED99" w14:textId="5D3A0AFB" w:rsidR="00170C37" w:rsidRDefault="00524157" w:rsidP="00170C37">
      <w:pPr>
        <w:rPr>
          <w:rFonts w:ascii="Calibri" w:eastAsia="Calibri" w:hAnsi="Calibri" w:cs="Times New Roman"/>
          <w:b/>
        </w:rPr>
      </w:pPr>
      <w:r>
        <w:rPr>
          <w:rFonts w:ascii="Calibri" w:eastAsia="Calibri" w:hAnsi="Calibri" w:cs="Times New Roman"/>
          <w:b/>
        </w:rPr>
        <w:lastRenderedPageBreak/>
        <w:t xml:space="preserve">Módulo </w:t>
      </w:r>
      <w:r w:rsidR="00170C37" w:rsidRPr="00C0759A">
        <w:rPr>
          <w:rFonts w:ascii="Calibri" w:eastAsia="Calibri" w:hAnsi="Calibri" w:cs="Times New Roman"/>
          <w:b/>
        </w:rPr>
        <w:t>6. Complementariedades y coincidencias</w:t>
      </w:r>
    </w:p>
    <w:p w14:paraId="211FF913" w14:textId="73CCF33D" w:rsidR="00170C37" w:rsidRDefault="00170C37" w:rsidP="00170C37">
      <w:r w:rsidRPr="002F1227">
        <w:t>Considerando los rub</w:t>
      </w:r>
      <w:r>
        <w:t xml:space="preserve">ros de gasto permitidos en el </w:t>
      </w:r>
      <w:r w:rsidR="00AF6898">
        <w:t>A</w:t>
      </w:r>
      <w:r>
        <w:t xml:space="preserve">rtículo 47 de la LCF, los recursos del FAFEF pueden tener complementariedad con otros fondos federales, incluidos los </w:t>
      </w:r>
      <w:r w:rsidRPr="00CF6D93">
        <w:t>del mismo ramo 33</w:t>
      </w:r>
      <w:r>
        <w:t>, principalmente con aquellos cuyos objetivos están dirigidos a atender la infraestructura de tipo social,</w:t>
      </w:r>
      <w:r w:rsidRPr="00CF6D93">
        <w:t xml:space="preserve"> como son: Fondo para Entidades Federativas y Municipios Productores de Hidrocarburos, Fondo de Infraestructura Social Estatal</w:t>
      </w:r>
      <w:r>
        <w:t xml:space="preserve"> (FISE)</w:t>
      </w:r>
      <w:r w:rsidRPr="00CF6D93">
        <w:t>, Fideicomiso para la Infraestructura de los Estados (FIE</w:t>
      </w:r>
      <w:r>
        <w:t>S</w:t>
      </w:r>
      <w:r w:rsidRPr="00CF6D93">
        <w:t>), FASP, FONE gastos de operación, FASSA, FAIS, FAM Infraestructura Educativa Básica y FAM Infraestructura Educativa Media Superior y Superior.</w:t>
      </w:r>
      <w:r>
        <w:t xml:space="preserve"> </w:t>
      </w:r>
    </w:p>
    <w:p w14:paraId="62A3165B" w14:textId="77777777" w:rsidR="00170C37" w:rsidRPr="00466175" w:rsidRDefault="00170C37" w:rsidP="00170C37">
      <w:r>
        <w:t xml:space="preserve">Asimismo, al </w:t>
      </w:r>
      <w:r w:rsidRPr="00466175">
        <w:t>revisar los Fondos de Aportaciones Federales (FAF) establecidos dentro del Ramo General 33, cada uno de los cuales se constituye por uno o más Programas presupuestarios (Pp), así como los destinos que se le pueden dar a los recursos del FAFEF, de acuerdo al Artículo 47 de la LCF, se asume la existencia de sinergias que pueden contribuir a potenciar y/o fortalecer los resultados de los objetivos o en la población atendida</w:t>
      </w:r>
      <w:r>
        <w:t xml:space="preserve">. </w:t>
      </w:r>
      <w:r w:rsidRPr="00466175">
        <w:t>Por ejemplo, para los recursos del FAFEF destinados a la inversión en infraestructura física, se presume que existe</w:t>
      </w:r>
      <w:r>
        <w:t xml:space="preserve">n </w:t>
      </w:r>
      <w:r w:rsidRPr="00466175">
        <w:t>sinergia</w:t>
      </w:r>
      <w:r>
        <w:t>s</w:t>
      </w:r>
      <w:r w:rsidRPr="00466175">
        <w:t xml:space="preserve"> con los objetivos o en la población atendida a través de los Pp del Fondo de Aportaciones para la Infraestructura Social (FAIS)</w:t>
      </w:r>
      <w:r>
        <w:t xml:space="preserve">. </w:t>
      </w:r>
      <w:r w:rsidRPr="00466175">
        <w:t>En cuanto a los recursos del FAFEF orientados a apoyar la educación pública, se asume la existencia de sinergias con las acciones apoyadas a través del Fondo de Aportaciones Múltiples (FAM), principalmente en su objetivo encaminado a la atención de la infraestructura educativa; así como con el Fondo de Aportaciones para la Educación Tecnológica y de Adultos (FAETA), en cuanto a la aplicación de sus recursos a la enseñanza de nivel profesional técnico, así como para la construcción y rehabilitación de infraestructura educativa.</w:t>
      </w:r>
    </w:p>
    <w:p w14:paraId="240EA59C" w14:textId="06C5A9D2" w:rsidR="00170C37" w:rsidRPr="00C0759A" w:rsidRDefault="00524157" w:rsidP="00170C37">
      <w:pPr>
        <w:rPr>
          <w:rFonts w:ascii="Calibri" w:eastAsia="Calibri" w:hAnsi="Calibri" w:cs="Times New Roman"/>
          <w:b/>
        </w:rPr>
      </w:pPr>
      <w:r>
        <w:rPr>
          <w:rFonts w:ascii="Calibri" w:eastAsia="Calibri" w:hAnsi="Calibri" w:cs="Times New Roman"/>
          <w:b/>
        </w:rPr>
        <w:t xml:space="preserve">Módulo </w:t>
      </w:r>
      <w:r w:rsidR="00170C37" w:rsidRPr="00C0759A">
        <w:rPr>
          <w:rFonts w:ascii="Calibri" w:eastAsia="Calibri" w:hAnsi="Calibri" w:cs="Times New Roman"/>
          <w:b/>
        </w:rPr>
        <w:t>7. Calidad de la información</w:t>
      </w:r>
    </w:p>
    <w:p w14:paraId="60F4261D" w14:textId="48A40C33" w:rsidR="00170C37" w:rsidRPr="00C0759A" w:rsidRDefault="00170C37" w:rsidP="00170C37">
      <w:pPr>
        <w:rPr>
          <w:rFonts w:ascii="Calibri" w:eastAsia="Calibri" w:hAnsi="Calibri" w:cs="Times New Roman"/>
        </w:rPr>
      </w:pPr>
      <w:r>
        <w:rPr>
          <w:rFonts w:ascii="Calibri" w:eastAsia="Calibri" w:hAnsi="Calibri" w:cs="Times New Roman"/>
        </w:rPr>
        <w:t xml:space="preserve">Como se ha especificado en puntos anteriores </w:t>
      </w:r>
      <w:r>
        <w:rPr>
          <w:rFonts w:cstheme="minorHAnsi"/>
          <w:bCs/>
        </w:rPr>
        <w:t>l</w:t>
      </w:r>
      <w:r w:rsidRPr="005B6923">
        <w:rPr>
          <w:rFonts w:cstheme="minorHAnsi"/>
          <w:bCs/>
        </w:rPr>
        <w:t>a entidad</w:t>
      </w:r>
      <w:r w:rsidR="00423B39">
        <w:rPr>
          <w:rFonts w:cstheme="minorHAnsi"/>
          <w:bCs/>
        </w:rPr>
        <w:t xml:space="preserve"> federativa</w:t>
      </w:r>
      <w:r w:rsidRPr="005B6923">
        <w:rPr>
          <w:rFonts w:cstheme="minorHAnsi"/>
          <w:bCs/>
        </w:rPr>
        <w:t xml:space="preserve"> no cuenta con una MIR estatal para el FAFEF, que permita conocer y dar seguimiento a los objetivos y rubros de gasto establecidos en las LCF</w:t>
      </w:r>
      <w:r>
        <w:rPr>
          <w:rFonts w:cstheme="minorHAnsi"/>
          <w:bCs/>
        </w:rPr>
        <w:t xml:space="preserve">, sus resultados se documentan a través de los indicadores del MIR federal del Fondo, que se reportan a través del SRFT. </w:t>
      </w:r>
      <w:r w:rsidRPr="00C0759A">
        <w:rPr>
          <w:rFonts w:ascii="Calibri" w:eastAsia="Calibri" w:hAnsi="Calibri" w:cs="Times New Roman"/>
        </w:rPr>
        <w:t>En el ámbito estatal, aunado a la realización de evaluaciones externas y auditorias aplicadas al FAFEF, los resultados se documentan a través de los indicadores de desempeño de los Pp que reciben recursos del FAFEF como parte de su presupuesto y que forman parte de la estructura programática estatal, lo cual se reporta a través del Sistema de Monitoreo de Indicadores para Resultados (SIMIR). No obstante, es importante destacar que la creación de este sistema fue durante el ejercicio 2019, por lo que no se cuenta con información en dicho sistema de ejercicios fiscales anteriores.</w:t>
      </w:r>
      <w:r>
        <w:rPr>
          <w:rFonts w:ascii="Calibri" w:eastAsia="Calibri" w:hAnsi="Calibri" w:cs="Times New Roman"/>
        </w:rPr>
        <w:t xml:space="preserve"> A partir de este último mecanismo de seguimiento </w:t>
      </w:r>
      <w:r w:rsidRPr="00332DDF">
        <w:rPr>
          <w:rFonts w:ascii="Calibri" w:eastAsia="Calibri" w:hAnsi="Calibri" w:cs="Times New Roman"/>
        </w:rPr>
        <w:t xml:space="preserve">se recomienda revisar la congruencia de los indicadores de la MIR federal reportados trimestralmente, con respecto al uso real de los recursos del FAFEF en la </w:t>
      </w:r>
      <w:r w:rsidR="006C5D2E">
        <w:rPr>
          <w:rFonts w:ascii="Calibri" w:eastAsia="Calibri" w:hAnsi="Calibri" w:cs="Times New Roman"/>
        </w:rPr>
        <w:t>e</w:t>
      </w:r>
      <w:r w:rsidR="00BC7AC5">
        <w:rPr>
          <w:rFonts w:ascii="Calibri" w:eastAsia="Calibri" w:hAnsi="Calibri" w:cs="Times New Roman"/>
        </w:rPr>
        <w:t>ntidad federativa</w:t>
      </w:r>
      <w:r w:rsidRPr="00332DDF">
        <w:rPr>
          <w:rFonts w:ascii="Calibri" w:eastAsia="Calibri" w:hAnsi="Calibri" w:cs="Times New Roman"/>
        </w:rPr>
        <w:t xml:space="preserve"> (en cada Pp). Es decir, debe coincidir lo reportado con el destino que se les da a los recursos del Fondo en </w:t>
      </w:r>
      <w:r w:rsidR="00423B39">
        <w:rPr>
          <w:rFonts w:ascii="Calibri" w:eastAsia="Calibri" w:hAnsi="Calibri" w:cs="Times New Roman"/>
        </w:rPr>
        <w:t>el Estado.</w:t>
      </w:r>
    </w:p>
    <w:p w14:paraId="11671B94" w14:textId="7A5D4790" w:rsidR="00170C37" w:rsidRPr="00C0759A" w:rsidRDefault="00170C37" w:rsidP="00170C37">
      <w:pPr>
        <w:rPr>
          <w:rFonts w:ascii="Calibri" w:eastAsia="Calibri" w:hAnsi="Calibri" w:cs="Times New Roman"/>
        </w:rPr>
      </w:pPr>
      <w:r>
        <w:rPr>
          <w:rFonts w:ascii="Calibri" w:eastAsia="Calibri" w:hAnsi="Calibri" w:cs="Times New Roman"/>
        </w:rPr>
        <w:t>L</w:t>
      </w:r>
      <w:r w:rsidRPr="00C0759A">
        <w:rPr>
          <w:rFonts w:ascii="Calibri" w:eastAsia="Calibri" w:hAnsi="Calibri" w:cs="Times New Roman"/>
        </w:rPr>
        <w:t xml:space="preserve">os resultados principales del FAFEF son difundidos en la página de Internet de la </w:t>
      </w:r>
      <w:r w:rsidR="006C5D2E">
        <w:rPr>
          <w:rFonts w:ascii="Calibri" w:eastAsia="Calibri" w:hAnsi="Calibri" w:cs="Times New Roman"/>
        </w:rPr>
        <w:t>e</w:t>
      </w:r>
      <w:r w:rsidR="00BC7AC5">
        <w:rPr>
          <w:rFonts w:ascii="Calibri" w:eastAsia="Calibri" w:hAnsi="Calibri" w:cs="Times New Roman"/>
        </w:rPr>
        <w:t>ntidad federativa</w:t>
      </w:r>
      <w:r w:rsidRPr="00C0759A">
        <w:rPr>
          <w:rFonts w:ascii="Calibri" w:eastAsia="Calibri" w:hAnsi="Calibri" w:cs="Times New Roman"/>
        </w:rPr>
        <w:t xml:space="preserve"> de manera accesible, y puedan ser localizados a través de un buscador funcional a partir de su página principal. En dicha página se pueden observar los informes del ejercicio y destino de los recursos federales en forma trimestral y su informe definitivo por ejercicio fiscal del 2014 al 2019, en los rubros de nivel financiero, gestión de proyectos e indicadores.</w:t>
      </w:r>
    </w:p>
    <w:p w14:paraId="3B99A59A" w14:textId="10E8E57B" w:rsidR="00170C37" w:rsidRPr="00C0759A" w:rsidRDefault="00170C37" w:rsidP="00170C37">
      <w:pPr>
        <w:rPr>
          <w:rFonts w:ascii="Calibri" w:eastAsia="Calibri" w:hAnsi="Calibri" w:cs="Times New Roman"/>
        </w:rPr>
      </w:pPr>
      <w:r w:rsidRPr="00C0759A">
        <w:rPr>
          <w:rFonts w:ascii="Calibri" w:eastAsia="Calibri" w:hAnsi="Calibri" w:cs="Times New Roman"/>
        </w:rPr>
        <w:t xml:space="preserve">De acuerdo con lo anterior, la información con que cuenta </w:t>
      </w:r>
      <w:r w:rsidR="00E836A6">
        <w:rPr>
          <w:rFonts w:ascii="Calibri" w:eastAsia="Calibri" w:hAnsi="Calibri" w:cs="Times New Roman"/>
        </w:rPr>
        <w:t>el estado de Tamaulipas</w:t>
      </w:r>
      <w:r w:rsidRPr="00C0759A">
        <w:rPr>
          <w:rFonts w:ascii="Calibri" w:eastAsia="Calibri" w:hAnsi="Calibri" w:cs="Times New Roman"/>
        </w:rPr>
        <w:t xml:space="preserve"> para monitorear el desempeño del FAFEF es oportuna dado que se presenta de manera trimestral para el caso del Índice en el Ejercicio de Recursos, en forma semestral para el índice de Fortalecimiento Financiero y el índice Impulso al Gasto de Inversión y en el caso del índice de Impacto de Deuda Pública la información se presenta en forma anual. En este mismo portal, se puede observar documentos normativos del FAFEF en la entidad</w:t>
      </w:r>
      <w:r w:rsidR="00E836A6">
        <w:rPr>
          <w:rFonts w:ascii="Calibri" w:eastAsia="Calibri" w:hAnsi="Calibri" w:cs="Times New Roman"/>
        </w:rPr>
        <w:t xml:space="preserve"> federativa</w:t>
      </w:r>
      <w:r w:rsidRPr="00C0759A">
        <w:rPr>
          <w:rFonts w:ascii="Calibri" w:eastAsia="Calibri" w:hAnsi="Calibri" w:cs="Times New Roman"/>
        </w:rPr>
        <w:t xml:space="preserve">, tales como los Lineamientos Generales para la elaboración de Reglas de Operación de los Programas Presupuestarios (Pp) y Modificaciones a las ya existentes, los criterios para la incorporación de la estrategia del PbR en el </w:t>
      </w:r>
      <w:r w:rsidR="0099399F">
        <w:rPr>
          <w:rFonts w:ascii="Calibri" w:eastAsia="Calibri" w:hAnsi="Calibri" w:cs="Times New Roman"/>
        </w:rPr>
        <w:t>E</w:t>
      </w:r>
      <w:r w:rsidRPr="00C0759A">
        <w:rPr>
          <w:rFonts w:ascii="Calibri" w:eastAsia="Calibri" w:hAnsi="Calibri" w:cs="Times New Roman"/>
        </w:rPr>
        <w:t xml:space="preserve">stado de Tamaulipas, así como el histórico de evaluaciones realizadas al FAFEF. Sobre esto último un aspecto a considerar en ejercicios futuros de evaluación para el FAFEF, se refiere a la valoración de los resultados de la </w:t>
      </w:r>
      <w:r w:rsidRPr="00C0759A">
        <w:rPr>
          <w:rFonts w:ascii="Calibri" w:eastAsia="Calibri" w:hAnsi="Calibri" w:cs="Times New Roman"/>
        </w:rPr>
        <w:lastRenderedPageBreak/>
        <w:t>implementación de la estrategia del PbR en el desempeño del Fondo en la entidad</w:t>
      </w:r>
      <w:r w:rsidR="00E836A6">
        <w:rPr>
          <w:rFonts w:ascii="Calibri" w:eastAsia="Calibri" w:hAnsi="Calibri" w:cs="Times New Roman"/>
        </w:rPr>
        <w:t xml:space="preserve"> federativa</w:t>
      </w:r>
      <w:r w:rsidRPr="00C0759A">
        <w:rPr>
          <w:rFonts w:ascii="Calibri" w:eastAsia="Calibri" w:hAnsi="Calibri" w:cs="Times New Roman"/>
        </w:rPr>
        <w:t xml:space="preserve">; analizando si la operación de este esquema cumple con su objetivo de consolidar la utilización de una estructura programática con base en los Pp para orientar la asignación de recursos al cumplimiento de objetivos específicos para resolver problemas públicos, atender necesidades o aprovechar oportunidades, de tal forma que los resultados del análisis permitan conocer con mayor precisión los impactos de la ejecución de los recursos del Fondo </w:t>
      </w:r>
      <w:r w:rsidR="00E836A6">
        <w:rPr>
          <w:rFonts w:ascii="Calibri" w:eastAsia="Calibri" w:hAnsi="Calibri" w:cs="Times New Roman"/>
        </w:rPr>
        <w:t>en el Estado de Tamaulipas</w:t>
      </w:r>
      <w:r w:rsidRPr="00C0759A">
        <w:rPr>
          <w:rFonts w:ascii="Calibri" w:eastAsia="Calibri" w:hAnsi="Calibri" w:cs="Times New Roman"/>
        </w:rPr>
        <w:t>.</w:t>
      </w:r>
    </w:p>
    <w:p w14:paraId="1072DE90" w14:textId="77777777" w:rsidR="00170C37" w:rsidRPr="00C0759A" w:rsidRDefault="00170C37" w:rsidP="00170C37">
      <w:pPr>
        <w:rPr>
          <w:rFonts w:ascii="Calibri" w:eastAsia="Calibri" w:hAnsi="Calibri" w:cs="Times New Roman"/>
          <w:b/>
        </w:rPr>
      </w:pPr>
      <w:r w:rsidRPr="00C0759A">
        <w:rPr>
          <w:rFonts w:ascii="Calibri" w:eastAsia="Calibri" w:hAnsi="Calibri" w:cs="Times New Roman"/>
          <w:b/>
        </w:rPr>
        <w:t>Principales recomendaciones</w:t>
      </w:r>
    </w:p>
    <w:p w14:paraId="21D0F715" w14:textId="3D6E7A23" w:rsidR="00170C37" w:rsidRPr="00C0759A" w:rsidRDefault="00170C37" w:rsidP="001247D2">
      <w:pPr>
        <w:numPr>
          <w:ilvl w:val="0"/>
          <w:numId w:val="13"/>
        </w:numPr>
        <w:ind w:left="714" w:hanging="357"/>
        <w:rPr>
          <w:rFonts w:ascii="Calibri" w:eastAsia="Calibri" w:hAnsi="Calibri" w:cs="Times New Roman"/>
        </w:rPr>
      </w:pPr>
      <w:r w:rsidRPr="00C0759A">
        <w:rPr>
          <w:rFonts w:ascii="Calibri" w:eastAsia="Calibri" w:hAnsi="Calibri" w:cs="Times New Roman"/>
        </w:rPr>
        <w:t xml:space="preserve">Mejorar el documento de Diagnóstico integrando en este las problemáticas detectadas en cada uno de los Pp a los cuales se destinan recursos del FAFEF. Una forma de poder integrar las problemáticas detectadas en los Pp es mediante la elaboración de varias MIR (en cascada) cuya metodología se describe en el Manual </w:t>
      </w:r>
      <w:r w:rsidRPr="00C0759A">
        <w:rPr>
          <w:rFonts w:ascii="Calibri" w:eastAsia="Calibri" w:hAnsi="Calibri" w:cs="Times New Roman"/>
          <w:b/>
          <w:bCs/>
          <w:i/>
          <w:iCs/>
        </w:rPr>
        <w:t>Formulación de Programas con la Metodología del Marco Lógico</w:t>
      </w:r>
      <w:r w:rsidRPr="00C0759A">
        <w:rPr>
          <w:rFonts w:ascii="Calibri" w:eastAsia="Calibri" w:hAnsi="Calibri" w:cs="Times New Roman"/>
          <w:vertAlign w:val="superscript"/>
        </w:rPr>
        <w:footnoteReference w:id="3"/>
      </w:r>
      <w:r w:rsidRPr="00C0759A">
        <w:rPr>
          <w:rFonts w:ascii="Calibri" w:eastAsia="Calibri" w:hAnsi="Calibri" w:cs="Times New Roman"/>
        </w:rPr>
        <w:t>considerando la integralidad, y definiendo el árbol de problemas, el árbol de objetivos,</w:t>
      </w:r>
      <w:r w:rsidR="00826CDE">
        <w:rPr>
          <w:rFonts w:ascii="Calibri" w:eastAsia="Calibri" w:hAnsi="Calibri" w:cs="Times New Roman"/>
        </w:rPr>
        <w:t xml:space="preserve"> </w:t>
      </w:r>
      <w:r w:rsidRPr="00C0759A">
        <w:rPr>
          <w:rFonts w:ascii="Calibri" w:eastAsia="Calibri" w:hAnsi="Calibri" w:cs="Times New Roman"/>
        </w:rPr>
        <w:t>la aportación del Fondo a los objetivos del Plan Estatal de Desarrollo, la identificación,</w:t>
      </w:r>
      <w:r w:rsidR="00826CDE">
        <w:rPr>
          <w:rFonts w:ascii="Calibri" w:eastAsia="Calibri" w:hAnsi="Calibri" w:cs="Times New Roman"/>
        </w:rPr>
        <w:t xml:space="preserve"> </w:t>
      </w:r>
      <w:r w:rsidRPr="00C0759A">
        <w:rPr>
          <w:rFonts w:ascii="Calibri" w:eastAsia="Calibri" w:hAnsi="Calibri" w:cs="Times New Roman"/>
        </w:rPr>
        <w:t>caracterización y cuantificación de la población objetivo y potencial y su frecuencia de actualización,</w:t>
      </w:r>
      <w:r w:rsidR="00826CDE">
        <w:rPr>
          <w:rFonts w:ascii="Calibri" w:eastAsia="Calibri" w:hAnsi="Calibri" w:cs="Times New Roman"/>
        </w:rPr>
        <w:t xml:space="preserve"> </w:t>
      </w:r>
      <w:r w:rsidRPr="00C0759A">
        <w:rPr>
          <w:rFonts w:ascii="Calibri" w:eastAsia="Calibri" w:hAnsi="Calibri" w:cs="Times New Roman"/>
        </w:rPr>
        <w:t>para cada uno de los rubros de gasto permitidos en la LCF.</w:t>
      </w:r>
    </w:p>
    <w:p w14:paraId="68A3A004" w14:textId="77777777" w:rsidR="00170C37" w:rsidRDefault="00170C37" w:rsidP="001247D2">
      <w:pPr>
        <w:numPr>
          <w:ilvl w:val="0"/>
          <w:numId w:val="13"/>
        </w:numPr>
        <w:ind w:left="714" w:hanging="357"/>
        <w:rPr>
          <w:rFonts w:ascii="Calibri" w:eastAsia="Calibri" w:hAnsi="Calibri" w:cs="Times New Roman"/>
        </w:rPr>
      </w:pPr>
      <w:r w:rsidRPr="001175F7">
        <w:rPr>
          <w:rFonts w:ascii="Calibri" w:eastAsia="Calibri" w:hAnsi="Calibri" w:cs="Times New Roman"/>
        </w:rPr>
        <w:t>Elaborar un documento de Planeación Estratégica que contribuya al ejercicio eficaz y eficiente de los recursos del Fondo. En su elaboración es necesario se retome la problemática, a partir de la cual se lleva a cabo la determinación de prioridades que serán atendidas por el Fondo en cada ejercicio fiscal y que se identifican dentro de la estructura programática estatal, definiendo, además, la magnitud o dimensión de la misma, la planeación en el corto, mediano y largo plazos para su atención, así como la relación entre el presupuesto requerido para cada año y las metas de cobertura</w:t>
      </w:r>
      <w:r w:rsidRPr="00C0759A">
        <w:rPr>
          <w:rFonts w:ascii="Calibri" w:eastAsia="Calibri" w:hAnsi="Calibri" w:cs="Times New Roman"/>
        </w:rPr>
        <w:t xml:space="preserve">. </w:t>
      </w:r>
    </w:p>
    <w:p w14:paraId="683EACEA" w14:textId="77777777" w:rsidR="00170C37" w:rsidRDefault="00170C37" w:rsidP="001247D2">
      <w:pPr>
        <w:numPr>
          <w:ilvl w:val="0"/>
          <w:numId w:val="13"/>
        </w:numPr>
        <w:ind w:left="714" w:hanging="357"/>
        <w:rPr>
          <w:rFonts w:ascii="Calibri" w:eastAsia="Calibri" w:hAnsi="Calibri" w:cs="Times New Roman"/>
        </w:rPr>
      </w:pPr>
      <w:r w:rsidRPr="004C1953">
        <w:rPr>
          <w:rFonts w:ascii="Calibri" w:eastAsia="Calibri" w:hAnsi="Calibri" w:cs="Times New Roman"/>
        </w:rPr>
        <w:t>Monitorear los resultados en forma gradual a través de las MIR o Fichas de Indicadores de Desempeño (FID) de los programas presupuestarios estatales que sean receptores de los recursos del FAFEF, identificando y diferenciando la aportación porcentual del FAFEF a cada Pp con la finalidad de poder establecer la contribución del Fondo al logro de objetivos de los Pp.</w:t>
      </w:r>
    </w:p>
    <w:p w14:paraId="477C89B0" w14:textId="31158534" w:rsidR="00170C37" w:rsidRDefault="00170C37" w:rsidP="001247D2">
      <w:pPr>
        <w:numPr>
          <w:ilvl w:val="0"/>
          <w:numId w:val="13"/>
        </w:numPr>
        <w:ind w:left="714" w:hanging="357"/>
        <w:rPr>
          <w:rFonts w:ascii="Calibri" w:eastAsia="Calibri" w:hAnsi="Calibri" w:cs="Times New Roman"/>
        </w:rPr>
      </w:pPr>
      <w:r w:rsidRPr="009066A9">
        <w:rPr>
          <w:rFonts w:ascii="Calibri" w:eastAsia="Calibri" w:hAnsi="Calibri" w:cs="Times New Roman"/>
        </w:rPr>
        <w:t xml:space="preserve">Se recomienda que sea el Grupo de Trabajo en la </w:t>
      </w:r>
      <w:r w:rsidR="006833DC" w:rsidRPr="009066A9">
        <w:rPr>
          <w:rFonts w:ascii="Calibri" w:eastAsia="Calibri" w:hAnsi="Calibri" w:cs="Times New Roman"/>
        </w:rPr>
        <w:t>e</w:t>
      </w:r>
      <w:r w:rsidR="00BC7AC5" w:rsidRPr="009066A9">
        <w:rPr>
          <w:rFonts w:ascii="Calibri" w:eastAsia="Calibri" w:hAnsi="Calibri" w:cs="Times New Roman"/>
        </w:rPr>
        <w:t>ntidad federativa</w:t>
      </w:r>
      <w:r w:rsidR="00560981" w:rsidRPr="009066A9">
        <w:rPr>
          <w:rFonts w:ascii="Calibri" w:eastAsia="Calibri" w:hAnsi="Calibri" w:cs="Times New Roman"/>
        </w:rPr>
        <w:t>,</w:t>
      </w:r>
      <w:r w:rsidRPr="009066A9">
        <w:rPr>
          <w:rFonts w:ascii="Calibri" w:eastAsia="Calibri" w:hAnsi="Calibri" w:cs="Times New Roman"/>
        </w:rPr>
        <w:t xml:space="preserve"> quién plantee las metas </w:t>
      </w:r>
      <w:r w:rsidR="00560981" w:rsidRPr="009066A9">
        <w:rPr>
          <w:rFonts w:ascii="Calibri" w:eastAsia="Calibri" w:hAnsi="Calibri" w:cs="Times New Roman"/>
        </w:rPr>
        <w:t xml:space="preserve">estatales </w:t>
      </w:r>
      <w:r w:rsidRPr="009066A9">
        <w:rPr>
          <w:rFonts w:ascii="Calibri" w:eastAsia="Calibri" w:hAnsi="Calibri" w:cs="Times New Roman"/>
        </w:rPr>
        <w:t>para cada indicador de la MIR Federal del Fondo</w:t>
      </w:r>
      <w:r w:rsidR="00560981" w:rsidRPr="009066A9">
        <w:rPr>
          <w:rFonts w:ascii="Calibri" w:eastAsia="Calibri" w:hAnsi="Calibri" w:cs="Times New Roman"/>
        </w:rPr>
        <w:t xml:space="preserve"> que el estado reporta a través del SRFT</w:t>
      </w:r>
      <w:r w:rsidR="009066A9" w:rsidRPr="009066A9">
        <w:rPr>
          <w:rFonts w:ascii="Calibri" w:eastAsia="Calibri" w:hAnsi="Calibri" w:cs="Times New Roman"/>
        </w:rPr>
        <w:t>,</w:t>
      </w:r>
      <w:r w:rsidRPr="009066A9">
        <w:rPr>
          <w:rFonts w:ascii="Calibri" w:eastAsia="Calibri" w:hAnsi="Calibri" w:cs="Times New Roman"/>
        </w:rPr>
        <w:t xml:space="preserve"> ya que su definición es un trabajo de planeación estratégica que debe estar a cargo de los ejecutores de los programas y del área de planeación. Asimismo, tener en cuenta que, para establecer metas se debe asegurar que sean cuantificables y que estén directamente relacionadas con el objetivo; además, que deben estar orientadas a mejorar los resultados del desempeño, es decir debe ser retadora y ser factible de alcanzar (estas condiciones también se deben observar en el establecimiento de metas de los indicadores de los Pp que reciben recursos del Fondo). Cuando los recursos se destinen a un rubro de gasto con ejercicio en años anteriores se deberá considerar el nivel alcanzado en las metas de dichos rubros.</w:t>
      </w:r>
    </w:p>
    <w:p w14:paraId="21A3DE21" w14:textId="04052823" w:rsidR="00285CF9" w:rsidRPr="009066A9" w:rsidRDefault="00285CF9" w:rsidP="001247D2">
      <w:pPr>
        <w:numPr>
          <w:ilvl w:val="0"/>
          <w:numId w:val="13"/>
        </w:numPr>
        <w:ind w:left="714" w:hanging="357"/>
        <w:rPr>
          <w:rFonts w:ascii="Calibri" w:eastAsia="Calibri" w:hAnsi="Calibri" w:cs="Times New Roman"/>
        </w:rPr>
      </w:pPr>
      <w:r w:rsidRPr="00285CF9">
        <w:rPr>
          <w:rFonts w:ascii="Calibri" w:eastAsia="Calibri" w:hAnsi="Calibri" w:cs="Times New Roman"/>
        </w:rPr>
        <w:t xml:space="preserve">Es conveniente que como requisito para la dispersión de los recursos de FAFEF hacia los </w:t>
      </w:r>
      <w:proofErr w:type="spellStart"/>
      <w:r w:rsidRPr="00285CF9">
        <w:rPr>
          <w:rFonts w:ascii="Calibri" w:eastAsia="Calibri" w:hAnsi="Calibri" w:cs="Times New Roman"/>
        </w:rPr>
        <w:t>Pp</w:t>
      </w:r>
      <w:proofErr w:type="spellEnd"/>
      <w:r w:rsidRPr="00285CF9">
        <w:rPr>
          <w:rFonts w:ascii="Calibri" w:eastAsia="Calibri" w:hAnsi="Calibri" w:cs="Times New Roman"/>
        </w:rPr>
        <w:t xml:space="preserve"> se le dé seguimiento la obligatoriedad de determinar la población objetivo y atendida, de tal forma que permita su identificación, caracterización y definición de la población, y, por lo tanto, esto facilite la determinación de la cobertura del FAFEF en el Estado</w:t>
      </w:r>
      <w:r>
        <w:rPr>
          <w:rFonts w:ascii="Calibri" w:eastAsia="Calibri" w:hAnsi="Calibri" w:cs="Times New Roman"/>
        </w:rPr>
        <w:t>.</w:t>
      </w:r>
    </w:p>
    <w:p w14:paraId="153CD96A" w14:textId="77777777" w:rsidR="00170C37" w:rsidRDefault="00170C37" w:rsidP="001247D2">
      <w:pPr>
        <w:numPr>
          <w:ilvl w:val="0"/>
          <w:numId w:val="13"/>
        </w:numPr>
        <w:ind w:left="714" w:hanging="357"/>
        <w:rPr>
          <w:rFonts w:ascii="Calibri" w:eastAsia="Calibri" w:hAnsi="Calibri" w:cs="Times New Roman"/>
        </w:rPr>
      </w:pPr>
      <w:r w:rsidRPr="004C1953">
        <w:rPr>
          <w:rFonts w:ascii="Calibri" w:eastAsia="Calibri" w:hAnsi="Calibri" w:cs="Times New Roman"/>
        </w:rPr>
        <w:t xml:space="preserve">Definir un plan estratégico de mediano plazo (de 5 años) por el Grupo de Trabajo en el cual se establezcan los resultados que se pretenden alcanzar con la ejecución del Fondo, así como indicadores pertinentes que permitan medir los avances en el logro de sus objetivos consistentes con lo establecido en su MIR. </w:t>
      </w:r>
      <w:r w:rsidRPr="004C1953">
        <w:rPr>
          <w:rFonts w:ascii="Calibri" w:eastAsia="Calibri" w:hAnsi="Calibri" w:cs="Times New Roman"/>
        </w:rPr>
        <w:lastRenderedPageBreak/>
        <w:t>A la par con el plan estratégico, se recomienda también la definición de una MIR estatal (considerando las recomendaciones vertidas en la respuesta a la pregunta 1), de tal forma que el plan estratégico, sea consistente con el Fin y Propósito definidos en dicha MIR.</w:t>
      </w:r>
    </w:p>
    <w:p w14:paraId="5A6D7420" w14:textId="1D7C99D7" w:rsidR="00170C37" w:rsidRDefault="00170C37" w:rsidP="001247D2">
      <w:pPr>
        <w:numPr>
          <w:ilvl w:val="0"/>
          <w:numId w:val="13"/>
        </w:numPr>
        <w:ind w:left="714" w:hanging="357"/>
        <w:rPr>
          <w:rFonts w:ascii="Calibri" w:eastAsia="Calibri" w:hAnsi="Calibri" w:cs="Times New Roman"/>
        </w:rPr>
      </w:pPr>
      <w:r w:rsidRPr="002028BA">
        <w:rPr>
          <w:rFonts w:ascii="Calibri" w:eastAsia="Calibri" w:hAnsi="Calibri" w:cs="Times New Roman"/>
        </w:rPr>
        <w:t xml:space="preserve">Elaborar un </w:t>
      </w:r>
      <w:r>
        <w:rPr>
          <w:rFonts w:ascii="Calibri" w:eastAsia="Calibri" w:hAnsi="Calibri" w:cs="Times New Roman"/>
        </w:rPr>
        <w:t>Programa Anual de Trabajo (</w:t>
      </w:r>
      <w:r w:rsidRPr="002028BA">
        <w:rPr>
          <w:rFonts w:ascii="Calibri" w:eastAsia="Calibri" w:hAnsi="Calibri" w:cs="Times New Roman"/>
        </w:rPr>
        <w:t>PAT</w:t>
      </w:r>
      <w:r>
        <w:rPr>
          <w:rFonts w:ascii="Calibri" w:eastAsia="Calibri" w:hAnsi="Calibri" w:cs="Times New Roman"/>
        </w:rPr>
        <w:t>)</w:t>
      </w:r>
      <w:r w:rsidRPr="002028BA">
        <w:rPr>
          <w:rFonts w:ascii="Calibri" w:eastAsia="Calibri" w:hAnsi="Calibri" w:cs="Times New Roman"/>
        </w:rPr>
        <w:t xml:space="preserve"> producto de ejercicios de planeación institucionalizados, que contenga las necesidades prioritarias definidas en el diagnóstico específico del FAFEF en la entidad</w:t>
      </w:r>
      <w:r w:rsidR="00867BFA">
        <w:rPr>
          <w:rFonts w:ascii="Calibri" w:eastAsia="Calibri" w:hAnsi="Calibri" w:cs="Times New Roman"/>
        </w:rPr>
        <w:t xml:space="preserve"> federativa</w:t>
      </w:r>
      <w:r w:rsidRPr="002028BA">
        <w:rPr>
          <w:rFonts w:ascii="Calibri" w:eastAsia="Calibri" w:hAnsi="Calibri" w:cs="Times New Roman"/>
        </w:rPr>
        <w:t xml:space="preserve">, los entregables o componentes producidos con el presupuesto del Fondo, los objetivos y propósitos del trabajo anual, actualizados y coherentes con los recursos viables a realizarse en un año, dimensionar los objetivos que se pretenden alcanzar al cabo de un año, las estrategias para lograr los objetivos y metas, las actividades y acciones que se desarrollarán, las instancias que participarán y, por último, la metodología para evaluar lo programado, de tal manera que se garantice el adecuado ejercicio del Fondo en </w:t>
      </w:r>
      <w:r w:rsidR="003D18F4">
        <w:rPr>
          <w:rFonts w:ascii="Calibri" w:eastAsia="Calibri" w:hAnsi="Calibri" w:cs="Times New Roman"/>
        </w:rPr>
        <w:t>Tamaulipas</w:t>
      </w:r>
      <w:r w:rsidRPr="002028BA">
        <w:rPr>
          <w:rFonts w:ascii="Calibri" w:eastAsia="Calibri" w:hAnsi="Calibri" w:cs="Times New Roman"/>
        </w:rPr>
        <w:t>.</w:t>
      </w:r>
    </w:p>
    <w:p w14:paraId="50269ABB" w14:textId="09EC5266" w:rsidR="00F91427" w:rsidRDefault="00F91427" w:rsidP="001247D2">
      <w:pPr>
        <w:numPr>
          <w:ilvl w:val="0"/>
          <w:numId w:val="13"/>
        </w:numPr>
        <w:ind w:left="714" w:hanging="357"/>
        <w:rPr>
          <w:rFonts w:ascii="Calibri" w:eastAsia="Calibri" w:hAnsi="Calibri" w:cs="Times New Roman"/>
        </w:rPr>
      </w:pPr>
      <w:r w:rsidRPr="00F91427">
        <w:rPr>
          <w:rFonts w:ascii="Calibri" w:eastAsia="Calibri" w:hAnsi="Calibri" w:cs="Times New Roman"/>
        </w:rPr>
        <w:t>Formalizar el proceso de planeación y asignación de recursos del Fondo como parte del proceso de integración del Proyecto de Presupuesto de Egresos de la Entidad (PPE), mediante el anexo o en el propio proyecto de Decreto, los rubros de gasto a los que se orientará el FAFEF conforme a las necesidades más apremiantes de la entidad federativa</w:t>
      </w:r>
    </w:p>
    <w:p w14:paraId="694C0F64" w14:textId="0B67D5C6" w:rsidR="00170C37" w:rsidRPr="005E6605" w:rsidRDefault="00B54A49" w:rsidP="001247D2">
      <w:pPr>
        <w:numPr>
          <w:ilvl w:val="0"/>
          <w:numId w:val="13"/>
        </w:numPr>
        <w:ind w:left="714" w:hanging="357"/>
        <w:rPr>
          <w:rFonts w:ascii="Calibri" w:eastAsia="Calibri" w:hAnsi="Calibri" w:cs="Times New Roman"/>
        </w:rPr>
      </w:pPr>
      <w:r>
        <w:rPr>
          <w:rFonts w:ascii="Calibri" w:eastAsia="Calibri" w:hAnsi="Calibri" w:cs="Times New Roman"/>
        </w:rPr>
        <w:t>Establecer</w:t>
      </w:r>
      <w:r w:rsidR="00170C37" w:rsidRPr="005E6605">
        <w:rPr>
          <w:rFonts w:ascii="Calibri" w:eastAsia="Calibri" w:hAnsi="Calibri" w:cs="Times New Roman"/>
        </w:rPr>
        <w:t xml:space="preserve"> un manual de procedimientos o lineamientos que regulen el funcionamiento del Fondo, en donde se determine un mecanismo para la generación de información que permita identificar periódicamente las necesidades que pueden atenderse con recursos del Fondo, los pros y los contra (oportunidades y amenazas) que enfrenta en la operación cada Pp asociado a los rubros de gasto y el cumplimiento de los objetivos y metas a alcanzar; así como las estrategias para implementarlas y alcance de las mismas, la asignación de responsables; y el mecanismo de seguimiento de los procesos y diagramas de flujo. Con ello, </w:t>
      </w:r>
      <w:r w:rsidR="00F532C7">
        <w:rPr>
          <w:rFonts w:ascii="Calibri" w:eastAsia="Calibri" w:hAnsi="Calibri" w:cs="Times New Roman"/>
        </w:rPr>
        <w:t xml:space="preserve">el estado de Tamaulipas </w:t>
      </w:r>
      <w:r w:rsidR="00170C37" w:rsidRPr="005E6605">
        <w:rPr>
          <w:rFonts w:ascii="Calibri" w:eastAsia="Calibri" w:hAnsi="Calibri" w:cs="Times New Roman"/>
        </w:rPr>
        <w:t>contará con una guía para la operación de los recursos del FAFEF que actué bajo los mismos criterios.</w:t>
      </w:r>
    </w:p>
    <w:p w14:paraId="25F76B43" w14:textId="7976AB7C" w:rsidR="00170C37" w:rsidRDefault="00170C37" w:rsidP="001247D2">
      <w:pPr>
        <w:numPr>
          <w:ilvl w:val="0"/>
          <w:numId w:val="13"/>
        </w:numPr>
        <w:ind w:left="714" w:hanging="357"/>
        <w:rPr>
          <w:rFonts w:ascii="Calibri" w:eastAsia="Calibri" w:hAnsi="Calibri" w:cs="Times New Roman"/>
        </w:rPr>
      </w:pPr>
      <w:r w:rsidRPr="001D72BA">
        <w:rPr>
          <w:rFonts w:ascii="Calibri" w:eastAsia="Calibri" w:hAnsi="Calibri" w:cs="Times New Roman"/>
        </w:rPr>
        <w:t xml:space="preserve">Fortalecer las acciones de capacitación y asistencia a la </w:t>
      </w:r>
      <w:r w:rsidR="00BC7AC5">
        <w:rPr>
          <w:rFonts w:ascii="Calibri" w:eastAsia="Calibri" w:hAnsi="Calibri" w:cs="Times New Roman"/>
        </w:rPr>
        <w:t>entidad federativa</w:t>
      </w:r>
      <w:r w:rsidRPr="001D72BA">
        <w:rPr>
          <w:rFonts w:ascii="Calibri" w:eastAsia="Calibri" w:hAnsi="Calibri" w:cs="Times New Roman"/>
        </w:rPr>
        <w:t xml:space="preserve"> en materia de administración de la ejecución de obra pública, del manejo de las finanzas públicas y administración de la deuda y sobre un adecuado proceso </w:t>
      </w:r>
      <w:r w:rsidR="007E6BEC">
        <w:rPr>
          <w:rFonts w:ascii="Calibri" w:eastAsia="Calibri" w:hAnsi="Calibri" w:cs="Times New Roman"/>
        </w:rPr>
        <w:t>d</w:t>
      </w:r>
      <w:r w:rsidRPr="001D72BA">
        <w:rPr>
          <w:rFonts w:ascii="Calibri" w:eastAsia="Calibri" w:hAnsi="Calibri" w:cs="Times New Roman"/>
        </w:rPr>
        <w:t>e ejecución y seguimiento de los recursos del Fondo.</w:t>
      </w:r>
    </w:p>
    <w:p w14:paraId="2D5BCE2D" w14:textId="09ECC2C5" w:rsidR="002B3391" w:rsidRDefault="00B54A49" w:rsidP="00E27823">
      <w:pPr>
        <w:numPr>
          <w:ilvl w:val="0"/>
          <w:numId w:val="13"/>
        </w:numPr>
        <w:spacing w:before="0" w:after="160" w:line="259" w:lineRule="auto"/>
        <w:ind w:left="714" w:hanging="357"/>
      </w:pPr>
      <w:r w:rsidRPr="00E27823">
        <w:rPr>
          <w:rFonts w:ascii="Calibri" w:eastAsia="Calibri" w:hAnsi="Calibri" w:cs="Times New Roman"/>
        </w:rPr>
        <w:t>Efectuar</w:t>
      </w:r>
      <w:r w:rsidR="001B48E8" w:rsidRPr="00E27823">
        <w:rPr>
          <w:rFonts w:ascii="Calibri" w:eastAsia="Calibri" w:hAnsi="Calibri" w:cs="Times New Roman"/>
        </w:rPr>
        <w:t xml:space="preserve"> una evaluación Específica de Desempeño, por medio de la cual se analice el FAFEF a través de los Pp que reciben recursos de éste, en donde se determine el origen y destino del financiamiento de los Pp, el comportamiento del presupuesto en el tiempo, se revise el proceso de planificación para el cumplimiento de los objetivos del Fondo y de los Pp, se elabore un reporte sobre los principales resultados de la operación de cada uno de los Pp en términos de eficacia y eficiencia, se obtenga la evolución en el tiempo de la cobertura de los Pp</w:t>
      </w:r>
      <w:r w:rsidR="00826CDE" w:rsidRPr="00E27823">
        <w:rPr>
          <w:rFonts w:ascii="Calibri" w:eastAsia="Calibri" w:hAnsi="Calibri" w:cs="Times New Roman"/>
        </w:rPr>
        <w:t xml:space="preserve"> </w:t>
      </w:r>
      <w:r w:rsidR="001B48E8" w:rsidRPr="00E27823">
        <w:rPr>
          <w:rFonts w:ascii="Calibri" w:eastAsia="Calibri" w:hAnsi="Calibri" w:cs="Times New Roman"/>
        </w:rPr>
        <w:t>y se elabore el avance y evolución de los indicadores de resultados que se encuentran establecidos en las MIR federal y en las MIR de los Pp, estableciendo el vínculo entre ambos indicadores.</w:t>
      </w:r>
      <w:r w:rsidR="002B3391">
        <w:br w:type="page"/>
      </w:r>
    </w:p>
    <w:p w14:paraId="3AC488D0" w14:textId="6054F09F" w:rsidR="002B3391" w:rsidRPr="00524157" w:rsidRDefault="00807AD3" w:rsidP="00807AD3">
      <w:pPr>
        <w:pStyle w:val="Ttulo1"/>
        <w:ind w:left="357"/>
      </w:pPr>
      <w:bookmarkStart w:id="10" w:name="_Toc61633638"/>
      <w:r>
        <w:lastRenderedPageBreak/>
        <w:t xml:space="preserve">II. </w:t>
      </w:r>
      <w:r w:rsidR="002B3391" w:rsidRPr="002B3391">
        <w:t>Introducción</w:t>
      </w:r>
      <w:bookmarkEnd w:id="10"/>
    </w:p>
    <w:p w14:paraId="20C15CEB" w14:textId="1FD88EEB" w:rsidR="002B3391" w:rsidRPr="002B3391" w:rsidRDefault="002B3391" w:rsidP="002B3391">
      <w:pPr>
        <w:spacing w:after="0"/>
        <w:rPr>
          <w:rFonts w:cstheme="minorHAnsi"/>
          <w:lang w:val="es-ES"/>
        </w:rPr>
      </w:pPr>
      <w:r w:rsidRPr="002B3391">
        <w:rPr>
          <w:rFonts w:cstheme="minorHAnsi"/>
        </w:rPr>
        <w:t xml:space="preserve">El Fondo de Aportaciones para el Fortalecimiento de las </w:t>
      </w:r>
      <w:r w:rsidR="00BC7AC5">
        <w:rPr>
          <w:rFonts w:cstheme="minorHAnsi"/>
        </w:rPr>
        <w:t>E</w:t>
      </w:r>
      <w:r w:rsidRPr="002B3391">
        <w:rPr>
          <w:rFonts w:cstheme="minorHAnsi"/>
        </w:rPr>
        <w:t xml:space="preserve">ntidades </w:t>
      </w:r>
      <w:r w:rsidR="00BC7AC5">
        <w:rPr>
          <w:rFonts w:cstheme="minorHAnsi"/>
        </w:rPr>
        <w:t>F</w:t>
      </w:r>
      <w:r w:rsidRPr="002B3391">
        <w:rPr>
          <w:rFonts w:cstheme="minorHAnsi"/>
        </w:rPr>
        <w:t>ederativas (FAFEF), forma parte del Ramo 33 Aportaciones Federales para Entidades Federativas y Municipios, sus montos se determinan anualmente en el Presupuesto de Egresos de la Federación “con recursos federales por un monto equivalente al 1.40 por ciento de la recaudación federal participable”.</w:t>
      </w:r>
      <w:r w:rsidRPr="002B3391">
        <w:rPr>
          <w:rFonts w:cstheme="minorHAnsi"/>
          <w:vertAlign w:val="superscript"/>
        </w:rPr>
        <w:footnoteReference w:id="4"/>
      </w:r>
      <w:r w:rsidRPr="002B3391">
        <w:rPr>
          <w:rFonts w:cstheme="minorHAnsi"/>
        </w:rPr>
        <w:t xml:space="preserve"> El FAFEF recibe estos recursos a través del Programa presupuestario I012 y su Dependencia Coordinadora es la Secretaría de Hacienda y Crédito Público (SHCP)</w:t>
      </w:r>
      <w:r w:rsidRPr="002B3391">
        <w:rPr>
          <w:rFonts w:cstheme="minorHAnsi"/>
          <w:vertAlign w:val="superscript"/>
        </w:rPr>
        <w:footnoteReference w:id="5"/>
      </w:r>
      <w:r w:rsidRPr="002B3391">
        <w:rPr>
          <w:rFonts w:cstheme="minorHAnsi"/>
        </w:rPr>
        <w:t>.</w:t>
      </w:r>
      <w:r w:rsidR="00826CDE">
        <w:rPr>
          <w:rFonts w:cstheme="minorHAnsi"/>
        </w:rPr>
        <w:t xml:space="preserve"> </w:t>
      </w:r>
      <w:r w:rsidRPr="002B3391">
        <w:rPr>
          <w:rFonts w:cstheme="minorHAnsi"/>
        </w:rPr>
        <w:t xml:space="preserve">La Dirección General de Programación y Presupuesto “A” </w:t>
      </w:r>
      <w:r w:rsidR="00E42353">
        <w:rPr>
          <w:rFonts w:cstheme="minorHAnsi"/>
        </w:rPr>
        <w:t xml:space="preserve">(DGPYP A) </w:t>
      </w:r>
      <w:r w:rsidRPr="002B3391">
        <w:rPr>
          <w:rFonts w:cstheme="minorHAnsi"/>
        </w:rPr>
        <w:t>es la unidad administrativa responsable de integrar, administrar y llevar el registro contable del ramo 33, así como coordinar las actividades de seguimiento y evaluación del gasto público del FAFEF</w:t>
      </w:r>
      <w:r w:rsidRPr="002B3391">
        <w:rPr>
          <w:rFonts w:cstheme="minorHAnsi"/>
          <w:lang w:val="es-ES"/>
        </w:rPr>
        <w:t xml:space="preserve">. </w:t>
      </w:r>
    </w:p>
    <w:p w14:paraId="3516768B" w14:textId="3FA2F5F2" w:rsidR="002B3391" w:rsidRPr="002B3391" w:rsidRDefault="002B3391" w:rsidP="002B3391">
      <w:pPr>
        <w:rPr>
          <w:bCs/>
        </w:rPr>
      </w:pPr>
      <w:r w:rsidRPr="002B3391">
        <w:rPr>
          <w:rFonts w:cstheme="minorHAnsi"/>
        </w:rPr>
        <w:t xml:space="preserve">De acuerdo con el </w:t>
      </w:r>
      <w:r w:rsidR="00AF6898">
        <w:rPr>
          <w:rFonts w:cstheme="minorHAnsi"/>
        </w:rPr>
        <w:t>A</w:t>
      </w:r>
      <w:r w:rsidRPr="002B3391">
        <w:rPr>
          <w:rFonts w:cstheme="minorHAnsi"/>
        </w:rPr>
        <w:t>rtículo 47 de la LCF</w:t>
      </w:r>
      <w:r w:rsidRPr="002B3391">
        <w:rPr>
          <w:rFonts w:eastAsia="Times"/>
          <w:vertAlign w:val="superscript"/>
        </w:rPr>
        <w:footnoteReference w:id="6"/>
      </w:r>
      <w:r w:rsidRPr="002B3391">
        <w:rPr>
          <w:rFonts w:cstheme="minorHAnsi"/>
        </w:rPr>
        <w:t>, el FAFEF tienen por objeto</w:t>
      </w:r>
      <w:r w:rsidRPr="002B3391">
        <w:rPr>
          <w:rFonts w:eastAsia="MS Mincho" w:cs="Arial"/>
          <w:kern w:val="2"/>
          <w:lang w:eastAsia="ja-JP"/>
        </w:rPr>
        <w:t xml:space="preserve"> </w:t>
      </w:r>
      <w:r w:rsidRPr="002B3391">
        <w:rPr>
          <w:rFonts w:cstheme="minorHAnsi"/>
        </w:rPr>
        <w:t xml:space="preserve">fortalecer los presupuestos de las entidades federativas y </w:t>
      </w:r>
      <w:r w:rsidRPr="002B3391">
        <w:rPr>
          <w:rFonts w:eastAsia="MS Mincho" w:cs="Arial"/>
          <w:kern w:val="2"/>
          <w:lang w:eastAsia="ja-JP"/>
        </w:rPr>
        <w:t xml:space="preserve">podrán destinarse a: </w:t>
      </w:r>
      <w:r w:rsidRPr="002B3391">
        <w:rPr>
          <w:bCs/>
        </w:rPr>
        <w:t>1) inversión en infraestructura física; 2 )saneamiento financiero; 3)saneamiento de pensiones; 4) modernización de registros públicos de la propiedad y comercio locales, modernización de los catastros para hacer más eficiente la recaudación de contribuciones; 5 )modernizar los sistemas de recaudación; 6) fortalecimiento de proyectos de investigación científica y tecnológica; 7) sistemas de protección civil, 8) apoyar la educación pública; 9) apoyar proyectos de infraestructura concesionada o donde se combinen recursos públicos y privados.</w:t>
      </w:r>
    </w:p>
    <w:p w14:paraId="39CE7DCD" w14:textId="6685A817" w:rsidR="002B3391" w:rsidRPr="002B3391" w:rsidRDefault="002B3391" w:rsidP="00310044">
      <w:pPr>
        <w:spacing w:before="0" w:after="0"/>
        <w:rPr>
          <w:bCs/>
        </w:rPr>
      </w:pPr>
      <w:r w:rsidRPr="002B3391">
        <w:rPr>
          <w:rFonts w:ascii="Calibri" w:hAnsi="Calibri" w:cs="Calibri"/>
        </w:rPr>
        <w:t xml:space="preserve">Dada la relevancia y debido a que los recursos federales transferidos a las entidades federativas y municipios integran el gasto federalizado, y son fundamentales para apoyar las estrategias, programas y planes de los gobiernos estatales en diversos temas. Es necesario, que sean objeto de evaluación en los términos establecidos en </w:t>
      </w:r>
      <w:r w:rsidRPr="002B3391">
        <w:t>los Artículos 110 y 111 de la</w:t>
      </w:r>
      <w:r w:rsidR="00310044">
        <w:t xml:space="preserve"> </w:t>
      </w:r>
      <w:r w:rsidR="00310044" w:rsidRPr="00525DB4">
        <w:t>Ley Federal de Presupuesto y Responsabilidad Hacendaria</w:t>
      </w:r>
      <w:r w:rsidR="00310044">
        <w:t xml:space="preserve"> (</w:t>
      </w:r>
      <w:r w:rsidRPr="002B3391">
        <w:t>FPRH</w:t>
      </w:r>
      <w:r w:rsidR="00310044">
        <w:t>)</w:t>
      </w:r>
      <w:r w:rsidRPr="002B3391">
        <w:t>. Estos establecen que la evaluación de desempeño se realizará a través de la verificación del grado de cumplimiento de objetivos y metas, con base en indicadores estratégicos y de gestión que permitan identificar la eficiencia, economía, eficacia, calidad y el impacto social sobre el ejercicio del gasto público.</w:t>
      </w:r>
    </w:p>
    <w:p w14:paraId="41BCEA01" w14:textId="19AD3BF1" w:rsidR="002B3391" w:rsidRPr="00310044" w:rsidRDefault="002B3391" w:rsidP="00310044">
      <w:pPr>
        <w:rPr>
          <w:rFonts w:cstheme="minorHAnsi"/>
        </w:rPr>
      </w:pPr>
      <w:r w:rsidRPr="00310044">
        <w:rPr>
          <w:rFonts w:cstheme="minorHAnsi"/>
        </w:rPr>
        <w:t xml:space="preserve">De este modo, el presente informe presenta a solicitud de la Administración Pública Federal (APF) la Evaluación Estratégica del Fondo de Aportaciones para el Fortalecimiento de las Entidades Federativas (FAFEF) </w:t>
      </w:r>
      <w:r w:rsidR="00EA32B8">
        <w:rPr>
          <w:rFonts w:cstheme="minorHAnsi"/>
        </w:rPr>
        <w:t xml:space="preserve">en al ámbito estatal para </w:t>
      </w:r>
      <w:r w:rsidRPr="00310044">
        <w:rPr>
          <w:rFonts w:cstheme="minorHAnsi"/>
        </w:rPr>
        <w:t xml:space="preserve">el Estado de </w:t>
      </w:r>
      <w:r w:rsidR="001622CC">
        <w:rPr>
          <w:rFonts w:cstheme="minorHAnsi"/>
        </w:rPr>
        <w:t>Tamaulipas</w:t>
      </w:r>
      <w:r w:rsidRPr="00310044">
        <w:rPr>
          <w:rFonts w:cstheme="minorHAnsi"/>
        </w:rPr>
        <w:t>, en el marco del Programa Anual de Evaluación de los Programas Federales y de los Fondos de Aportaciones Federales para el Ejercicio Fiscal (PAE 2018). El objetivo de la evaluación es “</w:t>
      </w:r>
      <w:r w:rsidRPr="00284F57">
        <w:rPr>
          <w:rFonts w:cstheme="minorHAnsi"/>
          <w:i/>
          <w:iCs/>
        </w:rPr>
        <w:t>Analizar y valorar la operación del FAFEF y su orientación a resultados en el Estado de Tamaulipas para la identificación de áreas de mejora que mediante su atención permitan mejorar su operación y desempeño”.</w:t>
      </w:r>
      <w:r w:rsidRPr="00310044">
        <w:rPr>
          <w:rFonts w:cstheme="minorHAnsi"/>
        </w:rPr>
        <w:t xml:space="preserve"> </w:t>
      </w:r>
    </w:p>
    <w:p w14:paraId="0769FB9D" w14:textId="77777777" w:rsidR="002B3391" w:rsidRPr="002B3391" w:rsidRDefault="002B3391" w:rsidP="002B3391">
      <w:r w:rsidRPr="002B3391">
        <w:t>Los objetivos específicos son:</w:t>
      </w:r>
    </w:p>
    <w:p w14:paraId="07E661F2" w14:textId="2C9411E2" w:rsidR="002B3391" w:rsidRPr="002B3391" w:rsidRDefault="002B3391" w:rsidP="00520DF8">
      <w:pPr>
        <w:numPr>
          <w:ilvl w:val="0"/>
          <w:numId w:val="1"/>
        </w:numPr>
        <w:ind w:left="714" w:hanging="357"/>
        <w:rPr>
          <w:rFonts w:eastAsia="Times"/>
        </w:rPr>
      </w:pPr>
      <w:r w:rsidRPr="002B3391">
        <w:rPr>
          <w:rFonts w:eastAsia="Times"/>
        </w:rPr>
        <w:t xml:space="preserve">Valoración de la contribución del FAFEF a la o las problemáticas de la </w:t>
      </w:r>
      <w:r w:rsidR="00BC7AC5">
        <w:rPr>
          <w:rFonts w:eastAsia="Times"/>
        </w:rPr>
        <w:t>entidad federativa</w:t>
      </w:r>
      <w:r w:rsidRPr="002B3391">
        <w:rPr>
          <w:rFonts w:eastAsia="Times"/>
        </w:rPr>
        <w:t>;</w:t>
      </w:r>
    </w:p>
    <w:p w14:paraId="2C484553" w14:textId="4237D8AA" w:rsidR="002B3391" w:rsidRPr="002B3391" w:rsidRDefault="002B3391" w:rsidP="00520DF8">
      <w:pPr>
        <w:numPr>
          <w:ilvl w:val="0"/>
          <w:numId w:val="1"/>
        </w:numPr>
        <w:ind w:left="714" w:hanging="357"/>
        <w:rPr>
          <w:rFonts w:eastAsia="Times"/>
        </w:rPr>
      </w:pPr>
      <w:r w:rsidRPr="002B3391">
        <w:rPr>
          <w:rFonts w:eastAsia="Times"/>
        </w:rPr>
        <w:t xml:space="preserve">Analizar y valorar los principales procesos de la gestión del FAFEF en la </w:t>
      </w:r>
      <w:r w:rsidR="00BC7AC5">
        <w:rPr>
          <w:rFonts w:eastAsia="Times"/>
        </w:rPr>
        <w:t>entidad federativa</w:t>
      </w:r>
      <w:r w:rsidRPr="002B3391">
        <w:rPr>
          <w:rFonts w:eastAsia="Times"/>
        </w:rPr>
        <w:t xml:space="preserve">, considerando la coordinación entre las unidades administrativas federales y las unidades administrativas del gobierno de la </w:t>
      </w:r>
      <w:r w:rsidR="006833DC">
        <w:rPr>
          <w:rFonts w:eastAsia="Times"/>
        </w:rPr>
        <w:t>e</w:t>
      </w:r>
      <w:r w:rsidR="00BC7AC5">
        <w:rPr>
          <w:rFonts w:eastAsia="Times"/>
        </w:rPr>
        <w:t>ntidad federativa</w:t>
      </w:r>
      <w:r w:rsidRPr="002B3391">
        <w:rPr>
          <w:rFonts w:eastAsia="Times"/>
        </w:rPr>
        <w:t>, en relación con el logro de los objetivos del Fondo;</w:t>
      </w:r>
    </w:p>
    <w:p w14:paraId="6B9854C5" w14:textId="3E30C119" w:rsidR="002B3391" w:rsidRPr="002B3391" w:rsidRDefault="002B3391" w:rsidP="00520DF8">
      <w:pPr>
        <w:numPr>
          <w:ilvl w:val="0"/>
          <w:numId w:val="1"/>
        </w:numPr>
        <w:ind w:left="714" w:hanging="357"/>
        <w:rPr>
          <w:rFonts w:eastAsia="Times"/>
        </w:rPr>
      </w:pPr>
      <w:r w:rsidRPr="002B3391">
        <w:rPr>
          <w:rFonts w:eastAsia="Times"/>
        </w:rPr>
        <w:t xml:space="preserve">Identificar posibles obstáculos para la instrumentación del FAFEF en la </w:t>
      </w:r>
      <w:r w:rsidR="00BC7AC5">
        <w:rPr>
          <w:rFonts w:eastAsia="Times"/>
        </w:rPr>
        <w:t>entidad federativa</w:t>
      </w:r>
      <w:r w:rsidRPr="002B3391">
        <w:rPr>
          <w:rFonts w:eastAsia="Times"/>
        </w:rPr>
        <w:t xml:space="preserve"> derivados de su diseño normativo;</w:t>
      </w:r>
    </w:p>
    <w:p w14:paraId="4DF8FEAE" w14:textId="29F02560" w:rsidR="002B3391" w:rsidRPr="002B3391" w:rsidRDefault="002B3391" w:rsidP="00520DF8">
      <w:pPr>
        <w:numPr>
          <w:ilvl w:val="0"/>
          <w:numId w:val="1"/>
        </w:numPr>
        <w:ind w:left="714" w:hanging="357"/>
        <w:rPr>
          <w:rFonts w:eastAsia="Times"/>
        </w:rPr>
      </w:pPr>
      <w:r w:rsidRPr="002B3391">
        <w:rPr>
          <w:rFonts w:eastAsia="Times"/>
        </w:rPr>
        <w:t xml:space="preserve">Analizar y valorar la orientación a resultados del desempeño del FAFEF en la </w:t>
      </w:r>
      <w:r w:rsidR="00BC7AC5">
        <w:rPr>
          <w:rFonts w:eastAsia="Times"/>
        </w:rPr>
        <w:t>entidad federativa</w:t>
      </w:r>
      <w:r w:rsidRPr="002B3391">
        <w:rPr>
          <w:rFonts w:eastAsia="Times"/>
        </w:rPr>
        <w:t>;</w:t>
      </w:r>
    </w:p>
    <w:p w14:paraId="644F2F74" w14:textId="4FC7F148" w:rsidR="002B3391" w:rsidRPr="002B3391" w:rsidRDefault="002B3391" w:rsidP="00520DF8">
      <w:pPr>
        <w:numPr>
          <w:ilvl w:val="0"/>
          <w:numId w:val="1"/>
        </w:numPr>
        <w:ind w:left="714" w:hanging="357"/>
        <w:rPr>
          <w:rFonts w:eastAsia="Times"/>
        </w:rPr>
      </w:pPr>
      <w:r w:rsidRPr="002B3391">
        <w:rPr>
          <w:rFonts w:eastAsia="Times"/>
        </w:rPr>
        <w:lastRenderedPageBreak/>
        <w:t xml:space="preserve">Analizar y valorar la calidad de la información de seguimiento o monitoreo, así como de consecución de objetivos, de las acciones y proyectos financiados con el FAFEF en la </w:t>
      </w:r>
      <w:r w:rsidR="00BC7AC5">
        <w:rPr>
          <w:rFonts w:eastAsia="Times"/>
        </w:rPr>
        <w:t>entidad federativa</w:t>
      </w:r>
      <w:r w:rsidRPr="002B3391">
        <w:rPr>
          <w:rFonts w:eastAsia="Times"/>
        </w:rPr>
        <w:t>;</w:t>
      </w:r>
    </w:p>
    <w:p w14:paraId="4CDC519A" w14:textId="0992EF09" w:rsidR="002B3391" w:rsidRPr="002B3391" w:rsidRDefault="002B3391" w:rsidP="00520DF8">
      <w:pPr>
        <w:numPr>
          <w:ilvl w:val="0"/>
          <w:numId w:val="1"/>
        </w:numPr>
        <w:ind w:left="714" w:hanging="357"/>
        <w:rPr>
          <w:rFonts w:eastAsia="Times"/>
        </w:rPr>
      </w:pPr>
      <w:r w:rsidRPr="002B3391">
        <w:rPr>
          <w:rFonts w:eastAsia="Times"/>
        </w:rPr>
        <w:t xml:space="preserve">Identificar posibles complementariedades o coincidencias con otros programas implementados por el gobierno de la </w:t>
      </w:r>
      <w:r w:rsidR="00BC7AC5">
        <w:rPr>
          <w:rFonts w:eastAsia="Times"/>
        </w:rPr>
        <w:t>entidad federativa</w:t>
      </w:r>
      <w:r w:rsidRPr="002B3391">
        <w:rPr>
          <w:rFonts w:eastAsia="Times"/>
        </w:rPr>
        <w:t>.</w:t>
      </w:r>
    </w:p>
    <w:p w14:paraId="3D03591F" w14:textId="697F6A40" w:rsidR="002B3391" w:rsidRPr="002B3391" w:rsidRDefault="002B3391" w:rsidP="002B3391">
      <w:pPr>
        <w:rPr>
          <w:rFonts w:eastAsia="Times"/>
        </w:rPr>
      </w:pPr>
      <w:r w:rsidRPr="002B3391">
        <w:t>La evaluación se realizó mediante dos etapas: trabajo de gabinete y trabajo de campo. La primera consiste en el análisis documental de la normativa federal y estatal relacionada y documentos conceptuales del Fondo, tales como la</w:t>
      </w:r>
      <w:r w:rsidR="00310044">
        <w:t xml:space="preserve"> </w:t>
      </w:r>
      <w:r w:rsidRPr="002B3391">
        <w:t>LCF,</w:t>
      </w:r>
      <w:r w:rsidR="00310044">
        <w:t xml:space="preserve"> Matriz de Indicadores para Resultados</w:t>
      </w:r>
      <w:r w:rsidR="00310044" w:rsidRPr="002B3391">
        <w:t xml:space="preserve"> </w:t>
      </w:r>
      <w:r w:rsidR="00310044">
        <w:t>(</w:t>
      </w:r>
      <w:r w:rsidRPr="002B3391">
        <w:t>MIR</w:t>
      </w:r>
      <w:r w:rsidR="00310044">
        <w:t>)</w:t>
      </w:r>
      <w:r w:rsidRPr="002B3391">
        <w:t>, Fichas técnica de indicadores</w:t>
      </w:r>
      <w:r w:rsidR="00310044">
        <w:t xml:space="preserve"> (FID)</w:t>
      </w:r>
      <w:r w:rsidRPr="002B3391">
        <w:t xml:space="preserve">, resultados de la cuenta pública del ejercicio de los recursos del FAFEF en </w:t>
      </w:r>
      <w:r w:rsidR="00664A52">
        <w:t>Tamaulipas</w:t>
      </w:r>
      <w:r w:rsidRPr="002B3391">
        <w:t>, modalidad presupuestaria, resultados de evaluaciones y auditorías a nivel federal y local, Informe de origen-destino de los recursos, manuales de operación y/o procedimientos, entre otros documentos de acuerdo con las necesidades de información en la entidad</w:t>
      </w:r>
      <w:r w:rsidR="00664A52">
        <w:t xml:space="preserve"> federativa</w:t>
      </w:r>
      <w:r w:rsidRPr="002B3391">
        <w:t xml:space="preserve"> que se consideran pertinentes analizar; la cual se obtuvo a través de la coordinación entre el enlace en la entidad</w:t>
      </w:r>
      <w:r w:rsidR="00664A52">
        <w:t xml:space="preserve"> federativa</w:t>
      </w:r>
      <w:r w:rsidRPr="002B3391">
        <w:t>, en este caso la Secretaría de Finanzas del Gobierno de Tamaulipas</w:t>
      </w:r>
      <w:r w:rsidR="00D42FB4">
        <w:t xml:space="preserve"> (SF)</w:t>
      </w:r>
      <w:r w:rsidRPr="002B3391">
        <w:t xml:space="preserve">, así como la DGyP “A” de la SHCP; asimismo, se consultó información relativa a Planes Estatales y Sectoriales de Desarrollo de </w:t>
      </w:r>
      <w:r w:rsidR="00664A52">
        <w:t>Tamaulipas</w:t>
      </w:r>
      <w:r w:rsidRPr="002B3391">
        <w:t>, páginas web de la entidad</w:t>
      </w:r>
      <w:r w:rsidR="00664A52">
        <w:t xml:space="preserve"> federativa</w:t>
      </w:r>
      <w:r w:rsidRPr="002B3391">
        <w:t xml:space="preserve">, portal de transparencia, entre otros que fueron revisados en sus páginas web. Por su parte, el trabajo de campo consistió en la aplicación de un cuestionario vía electrónica al personal operativo y enlaces vía telefónica con el Director de Planeación Estratégica de la Subsecretaria de Egresos de la Secretaría de Finanzas en el </w:t>
      </w:r>
      <w:r w:rsidR="009D7A0F">
        <w:t>E</w:t>
      </w:r>
      <w:r w:rsidRPr="002B3391">
        <w:t>stado de Tamaulipas, el cuestionario a su vez fue turnado a los diferentes</w:t>
      </w:r>
      <w:r w:rsidR="00664A52">
        <w:t xml:space="preserve"> actores </w:t>
      </w:r>
      <w:r w:rsidRPr="002B3391">
        <w:t>involucrados en la ejecución de los recursos del Fondo en el la entidad</w:t>
      </w:r>
      <w:r w:rsidR="00664A52">
        <w:t xml:space="preserve"> federativa</w:t>
      </w:r>
      <w:r w:rsidRPr="002B3391">
        <w:t>.</w:t>
      </w:r>
      <w:r w:rsidRPr="002B3391">
        <w:rPr>
          <w:rFonts w:eastAsia="Times" w:cs="Arial"/>
        </w:rPr>
        <w:t xml:space="preserve"> </w:t>
      </w:r>
    </w:p>
    <w:p w14:paraId="447ED599" w14:textId="77777777" w:rsidR="002B3391" w:rsidRPr="002B3391" w:rsidRDefault="002B3391" w:rsidP="002B3391">
      <w:pPr>
        <w:tabs>
          <w:tab w:val="center" w:pos="4419"/>
          <w:tab w:val="right" w:pos="8838"/>
        </w:tabs>
      </w:pPr>
      <w:r w:rsidRPr="002B3391">
        <w:rPr>
          <w:rFonts w:eastAsia="Times" w:cs="Arial"/>
        </w:rPr>
        <w:t xml:space="preserve">De acuerdo con los Términos de Referencia (TdR) diseñados y adecuados para efectuar la presente evaluación, </w:t>
      </w:r>
      <w:r w:rsidRPr="002B3391">
        <w:t>el informe final se integra de los siguientes apartados:</w:t>
      </w:r>
    </w:p>
    <w:p w14:paraId="50D53888" w14:textId="620535C0" w:rsidR="002B3391" w:rsidRPr="004F43B0" w:rsidRDefault="002B3391" w:rsidP="00964CAE">
      <w:pPr>
        <w:pStyle w:val="Cuadro"/>
      </w:pPr>
      <w:bookmarkStart w:id="11" w:name="_Toc55502385"/>
      <w:bookmarkStart w:id="12" w:name="_Toc55502502"/>
      <w:bookmarkStart w:id="13" w:name="_Toc56069928"/>
      <w:r w:rsidRPr="004F43B0">
        <w:t xml:space="preserve">Cuadro </w:t>
      </w:r>
      <w:r w:rsidR="00810569">
        <w:rPr>
          <w:noProof/>
        </w:rPr>
        <w:fldChar w:fldCharType="begin"/>
      </w:r>
      <w:r w:rsidR="00810569">
        <w:rPr>
          <w:noProof/>
        </w:rPr>
        <w:instrText xml:space="preserve"> SEQ Cuadro \* ARABIC </w:instrText>
      </w:r>
      <w:r w:rsidR="00810569">
        <w:rPr>
          <w:noProof/>
        </w:rPr>
        <w:fldChar w:fldCharType="separate"/>
      </w:r>
      <w:r w:rsidR="00E31D86">
        <w:rPr>
          <w:noProof/>
        </w:rPr>
        <w:t>1</w:t>
      </w:r>
      <w:r w:rsidR="00810569">
        <w:rPr>
          <w:noProof/>
        </w:rPr>
        <w:fldChar w:fldCharType="end"/>
      </w:r>
      <w:r w:rsidRPr="004F43B0">
        <w:t>. Apartados que integran el informe final de la evaluación</w:t>
      </w:r>
      <w:bookmarkEnd w:id="11"/>
      <w:bookmarkEnd w:id="12"/>
      <w:bookmarkEnd w:id="13"/>
    </w:p>
    <w:tbl>
      <w:tblPr>
        <w:tblStyle w:val="Tablaconcuadrcula3"/>
        <w:tblW w:w="5000" w:type="pct"/>
        <w:tblLook w:val="04A0" w:firstRow="1" w:lastRow="0" w:firstColumn="1" w:lastColumn="0" w:noHBand="0" w:noVBand="1"/>
      </w:tblPr>
      <w:tblGrid>
        <w:gridCol w:w="5525"/>
        <w:gridCol w:w="2267"/>
        <w:gridCol w:w="2170"/>
      </w:tblGrid>
      <w:tr w:rsidR="002B3391" w:rsidRPr="00B04845" w14:paraId="5632A334" w14:textId="77777777" w:rsidTr="00520DF8">
        <w:trPr>
          <w:trHeight w:val="180"/>
        </w:trPr>
        <w:tc>
          <w:tcPr>
            <w:tcW w:w="2773" w:type="pct"/>
            <w:shd w:val="clear" w:color="auto" w:fill="9CC2E5"/>
          </w:tcPr>
          <w:p w14:paraId="1EE68D1A" w14:textId="77777777" w:rsidR="002B3391" w:rsidRPr="00B04845" w:rsidRDefault="002B3391" w:rsidP="002B3391">
            <w:pPr>
              <w:spacing w:before="0" w:after="0" w:line="259" w:lineRule="auto"/>
              <w:jc w:val="center"/>
              <w:rPr>
                <w:rFonts w:cstheme="minorHAnsi"/>
                <w:b/>
                <w:bCs/>
                <w:sz w:val="20"/>
                <w:szCs w:val="20"/>
              </w:rPr>
            </w:pPr>
            <w:r w:rsidRPr="00B04845">
              <w:rPr>
                <w:rFonts w:cstheme="minorHAnsi"/>
                <w:b/>
                <w:bCs/>
                <w:sz w:val="20"/>
                <w:szCs w:val="20"/>
              </w:rPr>
              <w:t>Módulo</w:t>
            </w:r>
          </w:p>
        </w:tc>
        <w:tc>
          <w:tcPr>
            <w:tcW w:w="1138" w:type="pct"/>
            <w:shd w:val="clear" w:color="auto" w:fill="9CC2E5"/>
          </w:tcPr>
          <w:p w14:paraId="0DBFF42B" w14:textId="77777777" w:rsidR="002B3391" w:rsidRPr="00B04845" w:rsidRDefault="002B3391" w:rsidP="002B3391">
            <w:pPr>
              <w:spacing w:before="0" w:after="0" w:line="259" w:lineRule="auto"/>
              <w:jc w:val="center"/>
              <w:rPr>
                <w:rFonts w:cstheme="minorHAnsi"/>
                <w:b/>
                <w:bCs/>
                <w:sz w:val="20"/>
                <w:szCs w:val="20"/>
              </w:rPr>
            </w:pPr>
            <w:r w:rsidRPr="00B04845">
              <w:rPr>
                <w:rFonts w:cstheme="minorHAnsi"/>
                <w:b/>
                <w:bCs/>
                <w:sz w:val="20"/>
                <w:szCs w:val="20"/>
              </w:rPr>
              <w:t>Preguntas TdR</w:t>
            </w:r>
          </w:p>
        </w:tc>
        <w:tc>
          <w:tcPr>
            <w:tcW w:w="1089" w:type="pct"/>
            <w:shd w:val="clear" w:color="auto" w:fill="9CC2E5"/>
          </w:tcPr>
          <w:p w14:paraId="1806C14F" w14:textId="77777777" w:rsidR="002B3391" w:rsidRPr="00B04845" w:rsidRDefault="002B3391" w:rsidP="002B3391">
            <w:pPr>
              <w:spacing w:before="0" w:after="0" w:line="259" w:lineRule="auto"/>
              <w:jc w:val="center"/>
              <w:rPr>
                <w:rFonts w:cstheme="minorHAnsi"/>
                <w:b/>
                <w:bCs/>
                <w:sz w:val="20"/>
                <w:szCs w:val="20"/>
              </w:rPr>
            </w:pPr>
            <w:r w:rsidRPr="00B04845">
              <w:rPr>
                <w:rFonts w:cstheme="minorHAnsi"/>
                <w:b/>
                <w:bCs/>
                <w:sz w:val="20"/>
                <w:szCs w:val="20"/>
              </w:rPr>
              <w:t>Total</w:t>
            </w:r>
          </w:p>
        </w:tc>
      </w:tr>
      <w:tr w:rsidR="002B3391" w:rsidRPr="00B04845" w14:paraId="79AF2373" w14:textId="77777777" w:rsidTr="00520DF8">
        <w:trPr>
          <w:trHeight w:val="511"/>
        </w:trPr>
        <w:tc>
          <w:tcPr>
            <w:tcW w:w="2773" w:type="pct"/>
          </w:tcPr>
          <w:p w14:paraId="6FABE1DF" w14:textId="77777777" w:rsidR="002B3391" w:rsidRPr="00B04845" w:rsidRDefault="002B3391" w:rsidP="002B3391">
            <w:pPr>
              <w:spacing w:before="0" w:after="0"/>
              <w:rPr>
                <w:rFonts w:cstheme="minorHAnsi"/>
                <w:sz w:val="20"/>
                <w:szCs w:val="20"/>
              </w:rPr>
            </w:pPr>
            <w:r w:rsidRPr="00B04845">
              <w:rPr>
                <w:rFonts w:cstheme="minorHAnsi"/>
                <w:sz w:val="20"/>
                <w:szCs w:val="20"/>
              </w:rPr>
              <w:t>III. Modulo 1. Justificación del diseño del Fondo y de su mecanismo de intervención</w:t>
            </w:r>
          </w:p>
          <w:p w14:paraId="30051C01" w14:textId="7E8FB663" w:rsidR="002B3391" w:rsidRPr="00B04845" w:rsidRDefault="002B3391" w:rsidP="002B3391">
            <w:pPr>
              <w:spacing w:before="0" w:after="0"/>
              <w:ind w:firstLine="318"/>
              <w:rPr>
                <w:rFonts w:cstheme="minorHAnsi"/>
                <w:sz w:val="20"/>
                <w:szCs w:val="20"/>
              </w:rPr>
            </w:pPr>
            <w:r w:rsidRPr="00B04845">
              <w:rPr>
                <w:rFonts w:cstheme="minorHAnsi"/>
                <w:i/>
                <w:iCs/>
                <w:sz w:val="20"/>
                <w:szCs w:val="20"/>
              </w:rPr>
              <w:t xml:space="preserve">1.1. Características del Fondo en la </w:t>
            </w:r>
            <w:r w:rsidR="00565BD2" w:rsidRPr="00B04845">
              <w:rPr>
                <w:rFonts w:cstheme="minorHAnsi"/>
                <w:i/>
                <w:iCs/>
                <w:sz w:val="20"/>
                <w:szCs w:val="20"/>
              </w:rPr>
              <w:t>entidad federativa</w:t>
            </w:r>
            <w:r w:rsidRPr="00B04845">
              <w:rPr>
                <w:rFonts w:cstheme="minorHAnsi"/>
                <w:i/>
                <w:iCs/>
                <w:sz w:val="20"/>
                <w:szCs w:val="20"/>
              </w:rPr>
              <w:t>.</w:t>
            </w:r>
          </w:p>
        </w:tc>
        <w:tc>
          <w:tcPr>
            <w:tcW w:w="1138" w:type="pct"/>
            <w:vAlign w:val="center"/>
          </w:tcPr>
          <w:p w14:paraId="35C54EE1" w14:textId="47F0D1D5" w:rsidR="002B3391" w:rsidRPr="00B04845" w:rsidRDefault="002B3391" w:rsidP="00520DF8">
            <w:pPr>
              <w:spacing w:before="100" w:beforeAutospacing="1" w:after="100" w:afterAutospacing="1"/>
              <w:jc w:val="center"/>
              <w:rPr>
                <w:rFonts w:cstheme="minorHAnsi"/>
                <w:sz w:val="20"/>
                <w:szCs w:val="20"/>
              </w:rPr>
            </w:pPr>
            <w:r w:rsidRPr="00B04845">
              <w:rPr>
                <w:rFonts w:cstheme="minorHAnsi"/>
                <w:sz w:val="20"/>
                <w:szCs w:val="20"/>
              </w:rPr>
              <w:t>Conforme a los incisos del Apartado IV.1</w:t>
            </w:r>
          </w:p>
        </w:tc>
        <w:tc>
          <w:tcPr>
            <w:tcW w:w="1089" w:type="pct"/>
            <w:vAlign w:val="center"/>
          </w:tcPr>
          <w:p w14:paraId="6D6FEB9F"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NA</w:t>
            </w:r>
          </w:p>
        </w:tc>
      </w:tr>
      <w:tr w:rsidR="002B3391" w:rsidRPr="00B04845" w14:paraId="0A768FDD" w14:textId="77777777" w:rsidTr="00520DF8">
        <w:trPr>
          <w:trHeight w:val="341"/>
        </w:trPr>
        <w:tc>
          <w:tcPr>
            <w:tcW w:w="2773" w:type="pct"/>
          </w:tcPr>
          <w:p w14:paraId="4EEFFA2C" w14:textId="6C5BC703" w:rsidR="002B3391" w:rsidRPr="00B04845" w:rsidRDefault="002B3391" w:rsidP="002B3391">
            <w:pPr>
              <w:spacing w:before="100" w:beforeAutospacing="1" w:after="100" w:afterAutospacing="1"/>
              <w:ind w:left="318"/>
              <w:rPr>
                <w:rFonts w:cstheme="minorHAnsi"/>
                <w:i/>
                <w:iCs/>
                <w:sz w:val="20"/>
                <w:szCs w:val="20"/>
              </w:rPr>
            </w:pPr>
            <w:r w:rsidRPr="00B04845">
              <w:rPr>
                <w:rFonts w:cstheme="minorHAnsi"/>
                <w:i/>
                <w:iCs/>
                <w:sz w:val="20"/>
                <w:szCs w:val="20"/>
              </w:rPr>
              <w:t xml:space="preserve">1.2. Valoración de la contribución del FAFEF a la o las problemáticas de la </w:t>
            </w:r>
            <w:r w:rsidR="00BC7AC5" w:rsidRPr="00B04845">
              <w:rPr>
                <w:rFonts w:cstheme="minorHAnsi"/>
                <w:i/>
                <w:iCs/>
                <w:sz w:val="20"/>
                <w:szCs w:val="20"/>
              </w:rPr>
              <w:t>entidad federativa</w:t>
            </w:r>
            <w:r w:rsidRPr="00B04845">
              <w:rPr>
                <w:rFonts w:cstheme="minorHAnsi"/>
                <w:i/>
                <w:iCs/>
                <w:sz w:val="20"/>
                <w:szCs w:val="20"/>
              </w:rPr>
              <w:t>.</w:t>
            </w:r>
          </w:p>
        </w:tc>
        <w:tc>
          <w:tcPr>
            <w:tcW w:w="1138" w:type="pct"/>
            <w:vAlign w:val="center"/>
          </w:tcPr>
          <w:p w14:paraId="675D4C83"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1, 2</w:t>
            </w:r>
          </w:p>
        </w:tc>
        <w:tc>
          <w:tcPr>
            <w:tcW w:w="1089" w:type="pct"/>
            <w:vAlign w:val="center"/>
          </w:tcPr>
          <w:p w14:paraId="014D3854"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w:t>
            </w:r>
          </w:p>
        </w:tc>
      </w:tr>
      <w:tr w:rsidR="002B3391" w:rsidRPr="00B04845" w14:paraId="5048B37C" w14:textId="77777777" w:rsidTr="00520DF8">
        <w:trPr>
          <w:trHeight w:val="331"/>
        </w:trPr>
        <w:tc>
          <w:tcPr>
            <w:tcW w:w="2773" w:type="pct"/>
          </w:tcPr>
          <w:p w14:paraId="0179BE3F" w14:textId="77777777" w:rsidR="002B3391" w:rsidRPr="00B04845" w:rsidRDefault="002B3391" w:rsidP="002B3391">
            <w:pPr>
              <w:spacing w:before="100" w:beforeAutospacing="1" w:after="100" w:afterAutospacing="1"/>
              <w:rPr>
                <w:rFonts w:cstheme="minorHAnsi"/>
                <w:sz w:val="20"/>
                <w:szCs w:val="20"/>
              </w:rPr>
            </w:pPr>
            <w:r w:rsidRPr="00B04845">
              <w:rPr>
                <w:rFonts w:cstheme="minorHAnsi"/>
                <w:sz w:val="20"/>
                <w:szCs w:val="20"/>
              </w:rPr>
              <w:t>IV. Módulo 2. Matriz de Indicadores para Resultados (MIR)</w:t>
            </w:r>
          </w:p>
        </w:tc>
        <w:tc>
          <w:tcPr>
            <w:tcW w:w="1138" w:type="pct"/>
            <w:vAlign w:val="center"/>
          </w:tcPr>
          <w:p w14:paraId="36843544"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3, 4</w:t>
            </w:r>
          </w:p>
        </w:tc>
        <w:tc>
          <w:tcPr>
            <w:tcW w:w="1089" w:type="pct"/>
            <w:vAlign w:val="center"/>
          </w:tcPr>
          <w:p w14:paraId="08FC40A5"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w:t>
            </w:r>
          </w:p>
        </w:tc>
      </w:tr>
      <w:tr w:rsidR="002B3391" w:rsidRPr="00B04845" w14:paraId="6D3414F1" w14:textId="77777777" w:rsidTr="00520DF8">
        <w:trPr>
          <w:trHeight w:val="170"/>
        </w:trPr>
        <w:tc>
          <w:tcPr>
            <w:tcW w:w="2773" w:type="pct"/>
          </w:tcPr>
          <w:p w14:paraId="101A8912" w14:textId="77777777" w:rsidR="002B3391" w:rsidRPr="00B04845" w:rsidRDefault="002B3391" w:rsidP="002B3391">
            <w:pPr>
              <w:spacing w:before="100" w:beforeAutospacing="1" w:after="100" w:afterAutospacing="1"/>
              <w:rPr>
                <w:rFonts w:cstheme="minorHAnsi"/>
                <w:sz w:val="20"/>
                <w:szCs w:val="20"/>
              </w:rPr>
            </w:pPr>
            <w:r w:rsidRPr="00B04845">
              <w:rPr>
                <w:rFonts w:cstheme="minorHAnsi"/>
                <w:sz w:val="20"/>
                <w:szCs w:val="20"/>
              </w:rPr>
              <w:t>V. Módulo 3. Consistencia entre los elementos de diseño</w:t>
            </w:r>
          </w:p>
        </w:tc>
        <w:tc>
          <w:tcPr>
            <w:tcW w:w="1138" w:type="pct"/>
            <w:vAlign w:val="center"/>
          </w:tcPr>
          <w:p w14:paraId="65093607"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5, 6, 7, 8, 9, 10, 11, 12</w:t>
            </w:r>
          </w:p>
        </w:tc>
        <w:tc>
          <w:tcPr>
            <w:tcW w:w="1089" w:type="pct"/>
            <w:vAlign w:val="center"/>
          </w:tcPr>
          <w:p w14:paraId="2D6A971E"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8</w:t>
            </w:r>
          </w:p>
        </w:tc>
      </w:tr>
      <w:tr w:rsidR="002B3391" w:rsidRPr="00B04845" w14:paraId="20F0533D" w14:textId="77777777" w:rsidTr="00520DF8">
        <w:trPr>
          <w:trHeight w:val="331"/>
        </w:trPr>
        <w:tc>
          <w:tcPr>
            <w:tcW w:w="2773" w:type="pct"/>
          </w:tcPr>
          <w:p w14:paraId="0214407D" w14:textId="77777777" w:rsidR="002B3391" w:rsidRPr="00B04845" w:rsidRDefault="002B3391" w:rsidP="002B3391">
            <w:pPr>
              <w:spacing w:before="100" w:beforeAutospacing="1" w:after="100" w:afterAutospacing="1"/>
              <w:rPr>
                <w:rFonts w:cstheme="minorHAnsi"/>
                <w:sz w:val="20"/>
                <w:szCs w:val="20"/>
              </w:rPr>
            </w:pPr>
            <w:r w:rsidRPr="00B04845">
              <w:rPr>
                <w:rFonts w:cstheme="minorHAnsi"/>
                <w:sz w:val="20"/>
                <w:szCs w:val="20"/>
              </w:rPr>
              <w:t>VI. Módulo 4. Alineación del Fondo a la Planeación Nacional y a los Objetivos de Desarrollo Sostenible</w:t>
            </w:r>
          </w:p>
        </w:tc>
        <w:tc>
          <w:tcPr>
            <w:tcW w:w="1138" w:type="pct"/>
            <w:vAlign w:val="center"/>
          </w:tcPr>
          <w:p w14:paraId="5DFAB447"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13, 14</w:t>
            </w:r>
          </w:p>
        </w:tc>
        <w:tc>
          <w:tcPr>
            <w:tcW w:w="1089" w:type="pct"/>
            <w:vAlign w:val="center"/>
          </w:tcPr>
          <w:p w14:paraId="75E302D3"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w:t>
            </w:r>
          </w:p>
        </w:tc>
      </w:tr>
      <w:tr w:rsidR="002B3391" w:rsidRPr="00B04845" w14:paraId="270371C5" w14:textId="77777777" w:rsidTr="00520DF8">
        <w:trPr>
          <w:trHeight w:val="248"/>
        </w:trPr>
        <w:tc>
          <w:tcPr>
            <w:tcW w:w="2773" w:type="pct"/>
          </w:tcPr>
          <w:p w14:paraId="3EB604EE" w14:textId="77777777" w:rsidR="002B3391" w:rsidRPr="00B04845" w:rsidRDefault="002B3391" w:rsidP="002B3391">
            <w:pPr>
              <w:spacing w:before="100" w:beforeAutospacing="1" w:after="0"/>
              <w:rPr>
                <w:rFonts w:cstheme="minorHAnsi"/>
                <w:sz w:val="20"/>
                <w:szCs w:val="20"/>
              </w:rPr>
            </w:pPr>
            <w:r w:rsidRPr="00B04845">
              <w:rPr>
                <w:rFonts w:cstheme="minorHAnsi"/>
                <w:sz w:val="20"/>
                <w:szCs w:val="20"/>
              </w:rPr>
              <w:t>VII. Módulo 5. Mecanismos de coordinación</w:t>
            </w:r>
          </w:p>
          <w:p w14:paraId="67E7FA05" w14:textId="77777777" w:rsidR="002B3391" w:rsidRPr="00B04845" w:rsidRDefault="002B3391" w:rsidP="002B3391">
            <w:pPr>
              <w:spacing w:before="0" w:after="100" w:afterAutospacing="1"/>
              <w:ind w:left="743" w:hanging="425"/>
              <w:rPr>
                <w:rFonts w:cstheme="minorHAnsi"/>
                <w:sz w:val="20"/>
                <w:szCs w:val="20"/>
              </w:rPr>
            </w:pPr>
            <w:r w:rsidRPr="00B04845">
              <w:rPr>
                <w:rFonts w:eastAsia="MS Mincho" w:cstheme="minorHAnsi"/>
                <w:i/>
                <w:iCs/>
                <w:kern w:val="2"/>
                <w:sz w:val="20"/>
                <w:szCs w:val="20"/>
                <w:lang w:val="es-ES" w:eastAsia="ja-JP"/>
              </w:rPr>
              <w:t>5. 1. Gestión, operación y planeación</w:t>
            </w:r>
          </w:p>
        </w:tc>
        <w:tc>
          <w:tcPr>
            <w:tcW w:w="1138" w:type="pct"/>
            <w:vAlign w:val="center"/>
          </w:tcPr>
          <w:p w14:paraId="496F90AB"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15, 16, 17, 18, 19</w:t>
            </w:r>
          </w:p>
        </w:tc>
        <w:tc>
          <w:tcPr>
            <w:tcW w:w="1089" w:type="pct"/>
            <w:vAlign w:val="center"/>
          </w:tcPr>
          <w:p w14:paraId="580DDDD1"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5</w:t>
            </w:r>
          </w:p>
        </w:tc>
      </w:tr>
      <w:tr w:rsidR="002B3391" w:rsidRPr="00B04845" w14:paraId="2F7FD7F4" w14:textId="77777777" w:rsidTr="00520DF8">
        <w:trPr>
          <w:trHeight w:val="161"/>
        </w:trPr>
        <w:tc>
          <w:tcPr>
            <w:tcW w:w="2773" w:type="pct"/>
          </w:tcPr>
          <w:p w14:paraId="4A305A0C" w14:textId="77777777" w:rsidR="002B3391" w:rsidRPr="00B04845" w:rsidRDefault="002B3391" w:rsidP="002B3391">
            <w:pPr>
              <w:widowControl w:val="0"/>
              <w:autoSpaceDE w:val="0"/>
              <w:autoSpaceDN w:val="0"/>
              <w:adjustRightInd w:val="0"/>
              <w:snapToGrid w:val="0"/>
              <w:spacing w:before="100" w:beforeAutospacing="1" w:after="100" w:afterAutospacing="1"/>
              <w:ind w:leftChars="146" w:left="883" w:hanging="562"/>
              <w:rPr>
                <w:rFonts w:cstheme="minorHAnsi"/>
                <w:i/>
                <w:iCs/>
                <w:sz w:val="20"/>
                <w:szCs w:val="20"/>
              </w:rPr>
            </w:pPr>
            <w:r w:rsidRPr="00B04845">
              <w:rPr>
                <w:rFonts w:cstheme="minorHAnsi"/>
                <w:i/>
                <w:iCs/>
                <w:sz w:val="20"/>
                <w:szCs w:val="20"/>
              </w:rPr>
              <w:t>5. 2. Obstáculos para la implementación</w:t>
            </w:r>
          </w:p>
        </w:tc>
        <w:tc>
          <w:tcPr>
            <w:tcW w:w="1138" w:type="pct"/>
            <w:vAlign w:val="center"/>
          </w:tcPr>
          <w:p w14:paraId="3BFB6323"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20</w:t>
            </w:r>
          </w:p>
        </w:tc>
        <w:tc>
          <w:tcPr>
            <w:tcW w:w="1089" w:type="pct"/>
            <w:vAlign w:val="center"/>
          </w:tcPr>
          <w:p w14:paraId="36171B52"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1</w:t>
            </w:r>
          </w:p>
        </w:tc>
      </w:tr>
      <w:tr w:rsidR="002B3391" w:rsidRPr="00B04845" w14:paraId="675CABC6" w14:textId="77777777" w:rsidTr="00520DF8">
        <w:trPr>
          <w:trHeight w:val="170"/>
        </w:trPr>
        <w:tc>
          <w:tcPr>
            <w:tcW w:w="2773" w:type="pct"/>
          </w:tcPr>
          <w:p w14:paraId="568C8A33" w14:textId="77777777" w:rsidR="002B3391" w:rsidRPr="00B04845" w:rsidRDefault="002B3391" w:rsidP="002B3391">
            <w:pPr>
              <w:widowControl w:val="0"/>
              <w:autoSpaceDE w:val="0"/>
              <w:autoSpaceDN w:val="0"/>
              <w:adjustRightInd w:val="0"/>
              <w:snapToGrid w:val="0"/>
              <w:spacing w:before="100" w:beforeAutospacing="1" w:after="100" w:afterAutospacing="1"/>
              <w:jc w:val="left"/>
              <w:rPr>
                <w:rFonts w:eastAsia="MS Mincho" w:cstheme="minorHAnsi"/>
                <w:kern w:val="2"/>
                <w:sz w:val="20"/>
                <w:szCs w:val="20"/>
                <w:lang w:val="es-ES" w:eastAsia="ja-JP"/>
              </w:rPr>
            </w:pPr>
            <w:r w:rsidRPr="00B04845">
              <w:rPr>
                <w:rFonts w:eastAsia="MS Mincho" w:cstheme="minorHAnsi"/>
                <w:kern w:val="2"/>
                <w:sz w:val="20"/>
                <w:szCs w:val="20"/>
                <w:lang w:val="es-ES" w:eastAsia="ja-JP"/>
              </w:rPr>
              <w:t>VIII. Módulo 6. Complementariedades y coincidencias</w:t>
            </w:r>
          </w:p>
        </w:tc>
        <w:tc>
          <w:tcPr>
            <w:tcW w:w="1138" w:type="pct"/>
            <w:vAlign w:val="center"/>
          </w:tcPr>
          <w:p w14:paraId="689EA935"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21, 22</w:t>
            </w:r>
          </w:p>
        </w:tc>
        <w:tc>
          <w:tcPr>
            <w:tcW w:w="1089" w:type="pct"/>
            <w:vAlign w:val="center"/>
          </w:tcPr>
          <w:p w14:paraId="29CE3890"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w:t>
            </w:r>
          </w:p>
        </w:tc>
      </w:tr>
      <w:tr w:rsidR="002B3391" w:rsidRPr="00B04845" w14:paraId="6E9FBB8E" w14:textId="77777777" w:rsidTr="00520DF8">
        <w:trPr>
          <w:trHeight w:val="759"/>
        </w:trPr>
        <w:tc>
          <w:tcPr>
            <w:tcW w:w="2773" w:type="pct"/>
          </w:tcPr>
          <w:p w14:paraId="6C098AEC" w14:textId="77777777" w:rsidR="00520DF8" w:rsidRDefault="002B3391" w:rsidP="00520DF8">
            <w:pPr>
              <w:widowControl w:val="0"/>
              <w:autoSpaceDE w:val="0"/>
              <w:autoSpaceDN w:val="0"/>
              <w:adjustRightInd w:val="0"/>
              <w:snapToGrid w:val="0"/>
              <w:spacing w:before="0" w:after="0"/>
              <w:jc w:val="left"/>
              <w:rPr>
                <w:rFonts w:eastAsia="MS Mincho" w:cstheme="minorHAnsi"/>
                <w:kern w:val="2"/>
                <w:sz w:val="20"/>
                <w:szCs w:val="20"/>
                <w:lang w:val="es-ES" w:eastAsia="ja-JP"/>
              </w:rPr>
            </w:pPr>
            <w:r w:rsidRPr="00B04845">
              <w:rPr>
                <w:rFonts w:eastAsia="MS Mincho" w:cstheme="minorHAnsi"/>
                <w:kern w:val="2"/>
                <w:sz w:val="20"/>
                <w:szCs w:val="20"/>
                <w:lang w:val="es-ES" w:eastAsia="ja-JP"/>
              </w:rPr>
              <w:t>IX. Módulo 7. Calidad de la información</w:t>
            </w:r>
          </w:p>
          <w:p w14:paraId="73024AFC" w14:textId="16A2C2A0" w:rsidR="002B3391" w:rsidRPr="00B04845" w:rsidRDefault="002B3391" w:rsidP="00520DF8">
            <w:pPr>
              <w:widowControl w:val="0"/>
              <w:autoSpaceDE w:val="0"/>
              <w:autoSpaceDN w:val="0"/>
              <w:adjustRightInd w:val="0"/>
              <w:snapToGrid w:val="0"/>
              <w:spacing w:before="0" w:after="0"/>
              <w:ind w:left="447"/>
              <w:jc w:val="left"/>
              <w:rPr>
                <w:rFonts w:eastAsia="MS Mincho" w:cstheme="minorHAnsi"/>
                <w:kern w:val="2"/>
                <w:sz w:val="20"/>
                <w:szCs w:val="20"/>
                <w:lang w:val="es-ES" w:eastAsia="ja-JP"/>
              </w:rPr>
            </w:pPr>
            <w:r w:rsidRPr="00B04845">
              <w:rPr>
                <w:rFonts w:cstheme="minorHAnsi"/>
                <w:i/>
                <w:iCs/>
                <w:sz w:val="20"/>
                <w:szCs w:val="20"/>
              </w:rPr>
              <w:t>7.1 Generación de información, rendición de cuentas y medición de resultados</w:t>
            </w:r>
          </w:p>
        </w:tc>
        <w:tc>
          <w:tcPr>
            <w:tcW w:w="1138" w:type="pct"/>
            <w:vAlign w:val="center"/>
          </w:tcPr>
          <w:p w14:paraId="3A03A3A7"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23, 24, 25, 26, 27, 28, 29, 30</w:t>
            </w:r>
          </w:p>
        </w:tc>
        <w:tc>
          <w:tcPr>
            <w:tcW w:w="1089" w:type="pct"/>
            <w:vAlign w:val="center"/>
          </w:tcPr>
          <w:p w14:paraId="38AA0C1E" w14:textId="77777777" w:rsidR="002B3391" w:rsidRPr="00B04845" w:rsidRDefault="002B3391" w:rsidP="002B3391">
            <w:pPr>
              <w:spacing w:before="100" w:beforeAutospacing="1" w:after="100" w:afterAutospacing="1"/>
              <w:jc w:val="center"/>
              <w:rPr>
                <w:rFonts w:cstheme="minorHAnsi"/>
                <w:sz w:val="20"/>
                <w:szCs w:val="20"/>
              </w:rPr>
            </w:pPr>
            <w:r w:rsidRPr="00B04845">
              <w:rPr>
                <w:rFonts w:cstheme="minorHAnsi"/>
                <w:sz w:val="20"/>
                <w:szCs w:val="20"/>
              </w:rPr>
              <w:t>8</w:t>
            </w:r>
          </w:p>
        </w:tc>
      </w:tr>
      <w:tr w:rsidR="002B3391" w:rsidRPr="00B04845" w14:paraId="5B614773" w14:textId="77777777" w:rsidTr="00520DF8">
        <w:trPr>
          <w:trHeight w:val="170"/>
        </w:trPr>
        <w:tc>
          <w:tcPr>
            <w:tcW w:w="2773" w:type="pct"/>
            <w:shd w:val="clear" w:color="auto" w:fill="D0CECE" w:themeFill="background2" w:themeFillShade="E6"/>
            <w:vAlign w:val="center"/>
          </w:tcPr>
          <w:p w14:paraId="3B9B05B4" w14:textId="77777777" w:rsidR="002B3391" w:rsidRPr="00B04845" w:rsidRDefault="002B3391" w:rsidP="002B3391">
            <w:pPr>
              <w:widowControl w:val="0"/>
              <w:autoSpaceDE w:val="0"/>
              <w:autoSpaceDN w:val="0"/>
              <w:adjustRightInd w:val="0"/>
              <w:snapToGrid w:val="0"/>
              <w:spacing w:before="100" w:beforeAutospacing="1" w:after="100" w:afterAutospacing="1"/>
              <w:jc w:val="center"/>
              <w:rPr>
                <w:rFonts w:eastAsia="MS Mincho" w:cstheme="minorHAnsi"/>
                <w:b/>
                <w:bCs/>
                <w:kern w:val="2"/>
                <w:sz w:val="20"/>
                <w:szCs w:val="20"/>
                <w:lang w:val="es-ES" w:eastAsia="ja-JP"/>
              </w:rPr>
            </w:pPr>
            <w:r w:rsidRPr="00B04845">
              <w:rPr>
                <w:rFonts w:eastAsia="MS Mincho" w:cstheme="minorHAnsi"/>
                <w:b/>
                <w:bCs/>
                <w:kern w:val="2"/>
                <w:sz w:val="20"/>
                <w:szCs w:val="20"/>
                <w:lang w:val="es-ES" w:eastAsia="ja-JP"/>
              </w:rPr>
              <w:t>TOTAL</w:t>
            </w:r>
          </w:p>
        </w:tc>
        <w:tc>
          <w:tcPr>
            <w:tcW w:w="2227" w:type="pct"/>
            <w:gridSpan w:val="2"/>
            <w:shd w:val="clear" w:color="auto" w:fill="D0CECE" w:themeFill="background2" w:themeFillShade="E6"/>
            <w:vAlign w:val="center"/>
          </w:tcPr>
          <w:p w14:paraId="45369E3C" w14:textId="77777777" w:rsidR="002B3391" w:rsidRPr="00B04845" w:rsidRDefault="002B3391" w:rsidP="002B3391">
            <w:pPr>
              <w:spacing w:before="100" w:beforeAutospacing="1" w:after="100" w:afterAutospacing="1"/>
              <w:jc w:val="center"/>
              <w:rPr>
                <w:rFonts w:cstheme="minorHAnsi"/>
                <w:b/>
                <w:bCs/>
                <w:sz w:val="20"/>
                <w:szCs w:val="20"/>
              </w:rPr>
            </w:pPr>
            <w:r w:rsidRPr="00B04845">
              <w:rPr>
                <w:rFonts w:cstheme="minorHAnsi"/>
                <w:b/>
                <w:bCs/>
                <w:sz w:val="20"/>
                <w:szCs w:val="20"/>
              </w:rPr>
              <w:t>30</w:t>
            </w:r>
          </w:p>
        </w:tc>
      </w:tr>
    </w:tbl>
    <w:p w14:paraId="2F96DCE8" w14:textId="77777777" w:rsidR="00B04845" w:rsidRDefault="00B04845">
      <w:pPr>
        <w:spacing w:before="0" w:after="160" w:line="259" w:lineRule="auto"/>
        <w:jc w:val="left"/>
        <w:rPr>
          <w:b/>
          <w:sz w:val="32"/>
          <w:szCs w:val="32"/>
        </w:rPr>
      </w:pPr>
      <w:r>
        <w:br w:type="page"/>
      </w:r>
    </w:p>
    <w:p w14:paraId="79547887" w14:textId="0CC9AA4C" w:rsidR="002B3391" w:rsidRPr="002B3391" w:rsidRDefault="002B3391" w:rsidP="00354C1E">
      <w:pPr>
        <w:pStyle w:val="Ttulo1"/>
      </w:pPr>
      <w:bookmarkStart w:id="14" w:name="_Toc61633639"/>
      <w:r w:rsidRPr="002B3391">
        <w:lastRenderedPageBreak/>
        <w:t>III. M</w:t>
      </w:r>
      <w:r w:rsidR="001911D5">
        <w:t>ó</w:t>
      </w:r>
      <w:r w:rsidRPr="002B3391">
        <w:t>dulo 1. Justificación del diseño del Fondo y de su mecanismo de intervención</w:t>
      </w:r>
      <w:bookmarkEnd w:id="14"/>
    </w:p>
    <w:p w14:paraId="38A0D259" w14:textId="6BA3F51D" w:rsidR="002B3391" w:rsidRPr="00E132E1" w:rsidRDefault="00E132E1" w:rsidP="00E132E1">
      <w:pPr>
        <w:pStyle w:val="Ttulo2"/>
      </w:pPr>
      <w:bookmarkStart w:id="15" w:name="_Toc61633640"/>
      <w:r>
        <w:t xml:space="preserve">1.1 </w:t>
      </w:r>
      <w:r w:rsidR="002B3391" w:rsidRPr="00E132E1">
        <w:t xml:space="preserve">Características del Fondo en </w:t>
      </w:r>
      <w:r w:rsidR="00B04845">
        <w:t>la entidad federativa</w:t>
      </w:r>
      <w:bookmarkEnd w:id="15"/>
    </w:p>
    <w:p w14:paraId="0CB26B30" w14:textId="77777777" w:rsidR="002B3391" w:rsidRPr="002B3391" w:rsidRDefault="002B3391" w:rsidP="002B3391">
      <w:r w:rsidRPr="002B3391">
        <w:t>Con base en la información proporcionada por las dependencias o entidades responsables de la gestión y coordinación de las políticas, programas o proyectos locales financiados con recursos del FAFEF en la entidad federativa, así como a partir de los documentos normativos y de gestión del Fondo a nivel estatal, se realizó una descripción por componente del FAFEF el cual contiene los siguientes aspectos:</w:t>
      </w:r>
    </w:p>
    <w:p w14:paraId="33C6D586" w14:textId="77777777" w:rsidR="002B3391" w:rsidRPr="002B3391" w:rsidRDefault="002B3391" w:rsidP="00F92F32">
      <w:pPr>
        <w:widowControl w:val="0"/>
        <w:numPr>
          <w:ilvl w:val="0"/>
          <w:numId w:val="3"/>
        </w:numPr>
        <w:ind w:left="714" w:hanging="357"/>
        <w:rPr>
          <w:rFonts w:eastAsia="MS Mincho" w:cs="Arial"/>
          <w:b/>
          <w:bCs/>
          <w:kern w:val="2"/>
          <w:lang w:eastAsia="ja-JP"/>
        </w:rPr>
      </w:pPr>
      <w:r w:rsidRPr="002B3391">
        <w:rPr>
          <w:rFonts w:eastAsia="MS Mincho" w:cs="Arial"/>
          <w:b/>
          <w:bCs/>
          <w:kern w:val="2"/>
          <w:lang w:eastAsia="ja-JP"/>
        </w:rPr>
        <w:t>Descripción de los objetivos del Fondo de acuerdo con la LCF, la MIR vigente y la normativa federal relacionada.</w:t>
      </w:r>
    </w:p>
    <w:p w14:paraId="6DFA3B49" w14:textId="70A9C2E6" w:rsidR="002B3391" w:rsidRPr="002B3391" w:rsidRDefault="00807F4B" w:rsidP="002B3391">
      <w:r w:rsidRPr="00807F4B">
        <w:t>Los recursos del FAFEF tienen como marco normativo los Artículos 46 y 47 de la Ley de Coordinación Fiscal (LCF), su objetivo es fortalecer los presupuestos de las entidades federativas y podrán destinarse a: 1) inversión en infraestructura física; 2) saneamiento financiero; 3) saneamiento de pensiones; 4) modernización de registros públicos e la propiedad y comercio locales, modernización de los catastros para hacer más eficiente la recaudación de contribuciones; 5) modernizar los sistemas de recaudación; 6) fortalecimiento de proyectos de investigación científica y tecnológica; 7) sistemas de protección civil, 8) apoyar la educación pública y</w:t>
      </w:r>
      <w:r w:rsidR="00826CDE">
        <w:t xml:space="preserve"> </w:t>
      </w:r>
      <w:r w:rsidRPr="00807F4B">
        <w:t>9) apoyar proyectos de infraestructura concesionada o donde se combinen recursos públicos y privados.</w:t>
      </w:r>
      <w:r w:rsidR="002B3391" w:rsidRPr="002B3391">
        <w:rPr>
          <w:vertAlign w:val="superscript"/>
        </w:rPr>
        <w:footnoteReference w:id="7"/>
      </w:r>
    </w:p>
    <w:p w14:paraId="1B097ED3" w14:textId="2A6190DD" w:rsidR="002B3391" w:rsidRPr="002B3391" w:rsidRDefault="002B3391" w:rsidP="002B3391">
      <w:r w:rsidRPr="002B3391">
        <w:t xml:space="preserve">El FAFEF se determina anualmente en el </w:t>
      </w:r>
      <w:r w:rsidR="00D42FB4">
        <w:t>Presupuesto de Egresos de la Federación (</w:t>
      </w:r>
      <w:r w:rsidRPr="002B3391">
        <w:t>PEF</w:t>
      </w:r>
      <w:r w:rsidR="00D42FB4">
        <w:t>)</w:t>
      </w:r>
      <w:r w:rsidRPr="002B3391">
        <w:t xml:space="preserve"> con recursos federales por un monto equivalente al 1.40 por ciento de la recaudación federal participable</w:t>
      </w:r>
      <w:r w:rsidRPr="002B3391">
        <w:rPr>
          <w:vertAlign w:val="superscript"/>
        </w:rPr>
        <w:footnoteReference w:id="8"/>
      </w:r>
      <w:r w:rsidRPr="002B3391">
        <w:t>. El FAFEF recibe estos recursos a través del Pp I012 y su Dependencia Coordinadora es la SHCP.</w:t>
      </w:r>
    </w:p>
    <w:p w14:paraId="56531A73" w14:textId="12A38284" w:rsidR="002B3391" w:rsidRDefault="002B3391" w:rsidP="00C50B93">
      <w:r w:rsidRPr="00C50B93">
        <w:t xml:space="preserve">Este Fondo en Tamaulipas es coordinado por la </w:t>
      </w:r>
      <w:r w:rsidR="0058152F">
        <w:t>SF</w:t>
      </w:r>
      <w:r w:rsidRPr="00C50B93">
        <w:t xml:space="preserve"> a través de la Dirección de Planeación Estratégica</w:t>
      </w:r>
      <w:r w:rsidR="0058152F">
        <w:t xml:space="preserve"> (DPE)</w:t>
      </w:r>
      <w:r w:rsidRPr="00C50B93">
        <w:t xml:space="preserve"> de la Subsecretaría de Egresos del </w:t>
      </w:r>
      <w:r w:rsidR="00A6370A">
        <w:t>E</w:t>
      </w:r>
      <w:r w:rsidRPr="00C50B93">
        <w:t>stado.</w:t>
      </w:r>
      <w:r w:rsidR="0058152F">
        <w:t xml:space="preserve"> </w:t>
      </w:r>
    </w:p>
    <w:p w14:paraId="5180B138" w14:textId="77777777" w:rsidR="007C316F" w:rsidRDefault="00B0716F" w:rsidP="00C50B93">
      <w:bookmarkStart w:id="16" w:name="_Hlk53055337"/>
      <w:r>
        <w:t xml:space="preserve">La </w:t>
      </w:r>
      <w:r w:rsidR="005E325D">
        <w:t>S</w:t>
      </w:r>
      <w:r w:rsidR="0058152F">
        <w:t>F</w:t>
      </w:r>
      <w:r>
        <w:t xml:space="preserve"> recibió de la SHCP, los </w:t>
      </w:r>
      <w:r w:rsidR="002B6A1C">
        <w:t xml:space="preserve">recursos </w:t>
      </w:r>
      <w:r>
        <w:t>del FAFEF en 2018 por 1,068.7 mdp</w:t>
      </w:r>
      <w:r w:rsidR="005E325D">
        <w:t xml:space="preserve">. La SF administró directamente los recursos del </w:t>
      </w:r>
      <w:r w:rsidR="00FB7E5E">
        <w:t>F</w:t>
      </w:r>
      <w:r w:rsidR="005E325D">
        <w:t>ondo y los destinó a</w:t>
      </w:r>
      <w:r w:rsidR="007C316F">
        <w:t>:</w:t>
      </w:r>
    </w:p>
    <w:p w14:paraId="3AA8A54F" w14:textId="42F1587E" w:rsidR="007C316F" w:rsidRDefault="007C316F" w:rsidP="00BB3DEA">
      <w:pPr>
        <w:pStyle w:val="Prrafodelista"/>
        <w:numPr>
          <w:ilvl w:val="0"/>
          <w:numId w:val="40"/>
        </w:numPr>
        <w:ind w:left="760" w:hanging="357"/>
        <w:contextualSpacing w:val="0"/>
      </w:pPr>
      <w:r>
        <w:t xml:space="preserve">Inversión </w:t>
      </w:r>
      <w:r w:rsidR="005E325D">
        <w:t>en infraestructura física por 8</w:t>
      </w:r>
      <w:r w:rsidR="005B1E16">
        <w:t>43.2</w:t>
      </w:r>
      <w:r w:rsidR="005E325D">
        <w:t xml:space="preserve"> mdp</w:t>
      </w:r>
      <w:r w:rsidR="007A202C">
        <w:t xml:space="preserve"> (78.90 %)</w:t>
      </w:r>
      <w:r>
        <w:t>:</w:t>
      </w:r>
    </w:p>
    <w:p w14:paraId="03F78A71" w14:textId="77777777" w:rsidR="007C316F" w:rsidRDefault="007C316F" w:rsidP="00BB3DEA">
      <w:pPr>
        <w:pStyle w:val="Prrafodelista"/>
        <w:numPr>
          <w:ilvl w:val="0"/>
          <w:numId w:val="40"/>
        </w:numPr>
        <w:ind w:left="760" w:hanging="357"/>
        <w:contextualSpacing w:val="0"/>
      </w:pPr>
      <w:r>
        <w:t xml:space="preserve">Saneamiento </w:t>
      </w:r>
      <w:r w:rsidR="005E325D">
        <w:t>financiero por 142.2 mdp</w:t>
      </w:r>
      <w:r w:rsidR="007A202C">
        <w:t xml:space="preserve"> (13.30%)</w:t>
      </w:r>
      <w:r>
        <w:t>;</w:t>
      </w:r>
    </w:p>
    <w:p w14:paraId="01838DF3" w14:textId="77777777" w:rsidR="007C316F" w:rsidRDefault="007C316F" w:rsidP="00BB3DEA">
      <w:pPr>
        <w:pStyle w:val="Prrafodelista"/>
        <w:numPr>
          <w:ilvl w:val="0"/>
          <w:numId w:val="40"/>
        </w:numPr>
        <w:ind w:left="760" w:hanging="357"/>
        <w:contextualSpacing w:val="0"/>
      </w:pPr>
      <w:r>
        <w:t xml:space="preserve">Modernización </w:t>
      </w:r>
      <w:r w:rsidR="005E325D">
        <w:t>de sistemas de recaudación por 43.7 mdp</w:t>
      </w:r>
      <w:r w:rsidR="007A202C">
        <w:t xml:space="preserve"> (4.10%)</w:t>
      </w:r>
      <w:r>
        <w:t xml:space="preserve">; </w:t>
      </w:r>
      <w:r w:rsidR="005E325D">
        <w:t xml:space="preserve">y </w:t>
      </w:r>
    </w:p>
    <w:p w14:paraId="1E446CE6" w14:textId="0DBC92A9" w:rsidR="00B0716F" w:rsidRDefault="007C316F" w:rsidP="00BB3DEA">
      <w:pPr>
        <w:pStyle w:val="Prrafodelista"/>
        <w:numPr>
          <w:ilvl w:val="0"/>
          <w:numId w:val="40"/>
        </w:numPr>
        <w:ind w:left="760" w:hanging="357"/>
        <w:contextualSpacing w:val="0"/>
      </w:pPr>
      <w:r>
        <w:t xml:space="preserve">Apoyos </w:t>
      </w:r>
      <w:r w:rsidR="005E325D">
        <w:t>a la educación por 39.5 mdp</w:t>
      </w:r>
      <w:r w:rsidR="007A202C">
        <w:t xml:space="preserve"> (3.70%)</w:t>
      </w:r>
      <w:r w:rsidR="005E325D">
        <w:t>.</w:t>
      </w:r>
    </w:p>
    <w:p w14:paraId="67EE3E2D" w14:textId="77777777" w:rsidR="0080050B" w:rsidRDefault="00C50B93" w:rsidP="00C50B93">
      <w:pPr>
        <w:autoSpaceDE w:val="0"/>
        <w:autoSpaceDN w:val="0"/>
        <w:adjustRightInd w:val="0"/>
        <w:spacing w:before="0" w:after="0"/>
        <w:rPr>
          <w:rFonts w:ascii="CIDFont+F1" w:hAnsi="CIDFont+F1" w:cs="CIDFont+F1"/>
        </w:rPr>
      </w:pPr>
      <w:bookmarkStart w:id="17" w:name="_Hlk53055518"/>
      <w:bookmarkEnd w:id="16"/>
      <w:r w:rsidRPr="002B3391">
        <w:rPr>
          <w:rFonts w:ascii="CIDFont+F1" w:hAnsi="CIDFont+F1" w:cs="CIDFont+F1"/>
        </w:rPr>
        <w:t>Para el ejercicio de los recursos</w:t>
      </w:r>
      <w:r w:rsidR="00676E76">
        <w:rPr>
          <w:rFonts w:ascii="CIDFont+F1" w:hAnsi="CIDFont+F1" w:cs="CIDFont+F1"/>
        </w:rPr>
        <w:t xml:space="preserve"> en el rubro de inversión</w:t>
      </w:r>
      <w:r w:rsidRPr="002B3391">
        <w:rPr>
          <w:rFonts w:ascii="CIDFont+F1" w:hAnsi="CIDFont+F1" w:cs="CIDFont+F1"/>
        </w:rPr>
        <w:t xml:space="preserve"> el gobierno de </w:t>
      </w:r>
      <w:r w:rsidR="00B52653">
        <w:rPr>
          <w:rFonts w:ascii="CIDFont+F1" w:hAnsi="CIDFont+F1" w:cs="CIDFont+F1"/>
        </w:rPr>
        <w:t>Tamaulipas</w:t>
      </w:r>
      <w:r w:rsidRPr="002B3391">
        <w:rPr>
          <w:rFonts w:ascii="CIDFont+F1" w:hAnsi="CIDFont+F1" w:cs="CIDFont+F1"/>
        </w:rPr>
        <w:t xml:space="preserve"> se apoyó de </w:t>
      </w:r>
      <w:r w:rsidR="00C51347">
        <w:rPr>
          <w:rFonts w:ascii="CIDFont+F1" w:hAnsi="CIDFont+F1" w:cs="CIDFont+F1"/>
        </w:rPr>
        <w:t>diecisiete</w:t>
      </w:r>
      <w:r w:rsidRPr="002B3391">
        <w:rPr>
          <w:rFonts w:ascii="CIDFont+F1" w:hAnsi="CIDFont+F1" w:cs="CIDFont+F1"/>
        </w:rPr>
        <w:t xml:space="preserve"> programa</w:t>
      </w:r>
      <w:r w:rsidR="0058152F">
        <w:rPr>
          <w:rFonts w:ascii="CIDFont+F1" w:hAnsi="CIDFont+F1" w:cs="CIDFont+F1"/>
        </w:rPr>
        <w:t>s</w:t>
      </w:r>
      <w:r w:rsidRPr="002B3391">
        <w:rPr>
          <w:rFonts w:ascii="CIDFont+F1" w:hAnsi="CIDFont+F1" w:cs="CIDFont+F1"/>
        </w:rPr>
        <w:t xml:space="preserve"> y proyectos de su estructura programática estatal</w:t>
      </w:r>
      <w:r w:rsidR="0058152F">
        <w:rPr>
          <w:rFonts w:ascii="CIDFont+F1" w:hAnsi="CIDFont+F1" w:cs="CIDFont+F1"/>
        </w:rPr>
        <w:t xml:space="preserve"> (Pp)</w:t>
      </w:r>
      <w:r w:rsidRPr="002B3391">
        <w:rPr>
          <w:rFonts w:ascii="CIDFont+F1" w:hAnsi="CIDFont+F1" w:cs="CIDFont+F1"/>
        </w:rPr>
        <w:t>, los cuales a su vez reciben recursos de otras fuentes de financiamiento que corresponden a otros fondos federales o a recursos propios de la entida</w:t>
      </w:r>
      <w:r w:rsidR="007A202C">
        <w:rPr>
          <w:rFonts w:ascii="CIDFont+F1" w:hAnsi="CIDFont+F1" w:cs="CIDFont+F1"/>
        </w:rPr>
        <w:t>d</w:t>
      </w:r>
      <w:r w:rsidR="00C505AD">
        <w:rPr>
          <w:rFonts w:ascii="CIDFont+F1" w:hAnsi="CIDFont+F1" w:cs="CIDFont+F1"/>
        </w:rPr>
        <w:t xml:space="preserve"> federativa</w:t>
      </w:r>
      <w:r w:rsidR="007A202C">
        <w:rPr>
          <w:rFonts w:ascii="CIDFont+F1" w:hAnsi="CIDFont+F1" w:cs="CIDFont+F1"/>
        </w:rPr>
        <w:t xml:space="preserve">. </w:t>
      </w:r>
    </w:p>
    <w:p w14:paraId="0CDF94F3" w14:textId="77777777" w:rsidR="00E84080" w:rsidRDefault="00E84080" w:rsidP="00C50B93">
      <w:pPr>
        <w:autoSpaceDE w:val="0"/>
        <w:autoSpaceDN w:val="0"/>
        <w:adjustRightInd w:val="0"/>
        <w:spacing w:before="0" w:after="0"/>
        <w:rPr>
          <w:rFonts w:ascii="CIDFont+F1" w:hAnsi="CIDFont+F1" w:cs="CIDFont+F1"/>
        </w:rPr>
      </w:pPr>
    </w:p>
    <w:p w14:paraId="424FD467" w14:textId="3E27B430" w:rsidR="00C50B93" w:rsidRDefault="0080050B" w:rsidP="00C50B93">
      <w:pPr>
        <w:autoSpaceDE w:val="0"/>
        <w:autoSpaceDN w:val="0"/>
        <w:adjustRightInd w:val="0"/>
        <w:spacing w:before="0" w:after="0"/>
        <w:rPr>
          <w:rFonts w:ascii="CIDFont+F1" w:hAnsi="CIDFont+F1" w:cs="CIDFont+F1"/>
        </w:rPr>
      </w:pPr>
      <w:r>
        <w:rPr>
          <w:rFonts w:ascii="CIDFont+F1" w:hAnsi="CIDFont+F1" w:cs="CIDFont+F1"/>
        </w:rPr>
        <w:t>Para el rubro de inversión en infraestructura física</w:t>
      </w:r>
      <w:r w:rsidR="007B5EC9">
        <w:rPr>
          <w:rFonts w:ascii="CIDFont+F1" w:hAnsi="CIDFont+F1" w:cs="CIDFont+F1"/>
        </w:rPr>
        <w:t xml:space="preserve"> el Estado se apoyó de</w:t>
      </w:r>
      <w:r>
        <w:rPr>
          <w:rFonts w:ascii="CIDFont+F1" w:hAnsi="CIDFont+F1" w:cs="CIDFont+F1"/>
        </w:rPr>
        <w:t xml:space="preserve"> un total de catorce proyectos ejecutados en la modalidad K “Proyectos de Inversión”. </w:t>
      </w:r>
      <w:r w:rsidR="007A202C">
        <w:rPr>
          <w:rFonts w:ascii="CIDFont+F1" w:hAnsi="CIDFont+F1" w:cs="CIDFont+F1"/>
        </w:rPr>
        <w:t xml:space="preserve">En materia de saneamiento financiero se </w:t>
      </w:r>
      <w:r w:rsidR="00974080">
        <w:rPr>
          <w:rFonts w:ascii="CIDFont+F1" w:hAnsi="CIDFont+F1" w:cs="CIDFont+F1"/>
        </w:rPr>
        <w:t>apoyó</w:t>
      </w:r>
      <w:r w:rsidR="007A202C">
        <w:rPr>
          <w:rFonts w:ascii="CIDFont+F1" w:hAnsi="CIDFont+F1" w:cs="CIDFont+F1"/>
        </w:rPr>
        <w:t xml:space="preserve"> del Programa D191 “Costo Financiero y deuda</w:t>
      </w:r>
      <w:r w:rsidR="00974080">
        <w:rPr>
          <w:rFonts w:ascii="CIDFont+F1" w:hAnsi="CIDFont+F1" w:cs="CIDFont+F1"/>
        </w:rPr>
        <w:t xml:space="preserve">”; para el rubro de </w:t>
      </w:r>
      <w:r w:rsidR="007A7F76">
        <w:rPr>
          <w:rFonts w:ascii="CIDFont+F1" w:hAnsi="CIDFont+F1" w:cs="CIDFont+F1"/>
        </w:rPr>
        <w:t>m</w:t>
      </w:r>
      <w:r w:rsidR="00974080">
        <w:rPr>
          <w:rFonts w:ascii="CIDFont+F1" w:hAnsi="CIDFont+F1" w:cs="CIDFont+F1"/>
        </w:rPr>
        <w:t>odernización de sistemas de recaudación en el programa M05 “Actividades de apoyo administrativo; en cuanto al rubro de apoyos a la educación en el Programa S131 “Programa con mis útiles a la escuela</w:t>
      </w:r>
      <w:r w:rsidR="007A7F76">
        <w:rPr>
          <w:rFonts w:ascii="CIDFont+F1" w:hAnsi="CIDFont+F1" w:cs="CIDFont+F1"/>
        </w:rPr>
        <w:t xml:space="preserve">”, </w:t>
      </w:r>
      <w:bookmarkEnd w:id="17"/>
      <w:r w:rsidR="00C50B93" w:rsidRPr="002B3391">
        <w:rPr>
          <w:rFonts w:ascii="CIDFont+F1" w:hAnsi="CIDFont+F1" w:cs="CIDFont+F1"/>
        </w:rPr>
        <w:t xml:space="preserve">tal como se muestra en el Cuadro </w:t>
      </w:r>
      <w:r w:rsidR="00C50B93">
        <w:rPr>
          <w:rFonts w:ascii="CIDFont+F1" w:hAnsi="CIDFont+F1" w:cs="CIDFont+F1"/>
        </w:rPr>
        <w:t>2</w:t>
      </w:r>
      <w:r w:rsidR="00C50B93" w:rsidRPr="002B3391">
        <w:rPr>
          <w:rFonts w:ascii="CIDFont+F1" w:hAnsi="CIDFont+F1" w:cs="CIDFont+F1"/>
        </w:rPr>
        <w:t>.</w:t>
      </w:r>
    </w:p>
    <w:p w14:paraId="5AEAFD76" w14:textId="437EE51A" w:rsidR="00C50B93" w:rsidRDefault="00C50B93" w:rsidP="00C50B93">
      <w:pPr>
        <w:pStyle w:val="Cuadro"/>
      </w:pPr>
      <w:bookmarkStart w:id="18" w:name="_Toc55502386"/>
      <w:bookmarkStart w:id="19" w:name="_Toc55502503"/>
      <w:bookmarkStart w:id="20" w:name="_Toc56069929"/>
      <w:r w:rsidRPr="004F43B0">
        <w:lastRenderedPageBreak/>
        <w:t xml:space="preserve">Cuadro </w:t>
      </w:r>
      <w:r w:rsidR="005E325D">
        <w:t>2</w:t>
      </w:r>
      <w:r w:rsidRPr="004F43B0">
        <w:t>. Ejercicio del FAFEF por rubro de gasto y Pp en 2018</w:t>
      </w:r>
      <w:r>
        <w:t xml:space="preserve"> (mdp a precios corrientes)</w:t>
      </w:r>
      <w:r w:rsidRPr="004F43B0">
        <w:t>.</w:t>
      </w:r>
      <w:bookmarkEnd w:id="18"/>
      <w:bookmarkEnd w:id="19"/>
      <w:bookmarkEnd w:id="20"/>
    </w:p>
    <w:tbl>
      <w:tblPr>
        <w:tblW w:w="5093" w:type="pct"/>
        <w:tblLayout w:type="fixed"/>
        <w:tblCellMar>
          <w:left w:w="70" w:type="dxa"/>
          <w:right w:w="70" w:type="dxa"/>
        </w:tblCellMar>
        <w:tblLook w:val="04A0" w:firstRow="1" w:lastRow="0" w:firstColumn="1" w:lastColumn="0" w:noHBand="0" w:noVBand="1"/>
      </w:tblPr>
      <w:tblGrid>
        <w:gridCol w:w="2127"/>
        <w:gridCol w:w="991"/>
        <w:gridCol w:w="2389"/>
        <w:gridCol w:w="1550"/>
        <w:gridCol w:w="1658"/>
        <w:gridCol w:w="1442"/>
      </w:tblGrid>
      <w:tr w:rsidR="00735876" w:rsidRPr="0058152F" w14:paraId="276577D3" w14:textId="77777777" w:rsidTr="00284F57">
        <w:trPr>
          <w:cantSplit/>
          <w:trHeight w:val="541"/>
        </w:trPr>
        <w:tc>
          <w:tcPr>
            <w:tcW w:w="1047" w:type="pct"/>
            <w:tcBorders>
              <w:top w:val="single" w:sz="4" w:space="0" w:color="auto"/>
              <w:bottom w:val="single" w:sz="4" w:space="0" w:color="auto"/>
            </w:tcBorders>
            <w:shd w:val="clear" w:color="auto" w:fill="9CC2E5"/>
            <w:vAlign w:val="center"/>
            <w:hideMark/>
          </w:tcPr>
          <w:p w14:paraId="40AC06F3"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Rubro de gasto según el artículo 47 de la LCF</w:t>
            </w:r>
          </w:p>
        </w:tc>
        <w:tc>
          <w:tcPr>
            <w:tcW w:w="488" w:type="pct"/>
            <w:tcBorders>
              <w:top w:val="single" w:sz="4" w:space="0" w:color="auto"/>
              <w:bottom w:val="single" w:sz="4" w:space="0" w:color="auto"/>
            </w:tcBorders>
            <w:shd w:val="clear" w:color="auto" w:fill="9CC2E5"/>
            <w:vAlign w:val="center"/>
            <w:hideMark/>
          </w:tcPr>
          <w:p w14:paraId="22935EDD"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 xml:space="preserve">No. </w:t>
            </w:r>
            <w:r>
              <w:rPr>
                <w:rFonts w:eastAsia="Times New Roman" w:cs="Times New Roman"/>
                <w:b/>
                <w:bCs/>
                <w:color w:val="000000"/>
                <w:sz w:val="20"/>
                <w:szCs w:val="20"/>
                <w:lang w:eastAsia="es-MX"/>
              </w:rPr>
              <w:t>d</w:t>
            </w:r>
            <w:r w:rsidRPr="0058152F">
              <w:rPr>
                <w:rFonts w:eastAsia="Times New Roman" w:cs="Times New Roman"/>
                <w:b/>
                <w:bCs/>
                <w:color w:val="000000"/>
                <w:sz w:val="20"/>
                <w:szCs w:val="20"/>
                <w:lang w:eastAsia="es-MX"/>
              </w:rPr>
              <w:t>e Pp</w:t>
            </w:r>
          </w:p>
        </w:tc>
        <w:tc>
          <w:tcPr>
            <w:tcW w:w="1176" w:type="pct"/>
            <w:tcBorders>
              <w:top w:val="single" w:sz="4" w:space="0" w:color="auto"/>
              <w:bottom w:val="single" w:sz="4" w:space="0" w:color="auto"/>
            </w:tcBorders>
            <w:shd w:val="clear" w:color="auto" w:fill="9CC2E5"/>
            <w:vAlign w:val="center"/>
            <w:hideMark/>
          </w:tcPr>
          <w:p w14:paraId="0AAAFBD0"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Nombre del Pp</w:t>
            </w:r>
          </w:p>
        </w:tc>
        <w:tc>
          <w:tcPr>
            <w:tcW w:w="763" w:type="pct"/>
            <w:tcBorders>
              <w:top w:val="single" w:sz="4" w:space="0" w:color="auto"/>
              <w:bottom w:val="single" w:sz="4" w:space="0" w:color="auto"/>
            </w:tcBorders>
            <w:shd w:val="clear" w:color="auto" w:fill="9CC2E5"/>
            <w:vAlign w:val="center"/>
            <w:hideMark/>
          </w:tcPr>
          <w:p w14:paraId="5C8AFE87"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Total, asignado FAFEF 2018</w:t>
            </w:r>
          </w:p>
        </w:tc>
        <w:tc>
          <w:tcPr>
            <w:tcW w:w="816" w:type="pct"/>
            <w:tcBorders>
              <w:top w:val="single" w:sz="4" w:space="0" w:color="auto"/>
              <w:bottom w:val="single" w:sz="4" w:space="0" w:color="auto"/>
            </w:tcBorders>
            <w:shd w:val="clear" w:color="auto" w:fill="9CC2E5"/>
            <w:vAlign w:val="center"/>
            <w:hideMark/>
          </w:tcPr>
          <w:p w14:paraId="5B536213"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Monto de otras fuentes de financiamiento</w:t>
            </w:r>
          </w:p>
        </w:tc>
        <w:tc>
          <w:tcPr>
            <w:tcW w:w="710" w:type="pct"/>
            <w:tcBorders>
              <w:top w:val="single" w:sz="4" w:space="0" w:color="auto"/>
              <w:bottom w:val="single" w:sz="4" w:space="0" w:color="auto"/>
            </w:tcBorders>
            <w:shd w:val="clear" w:color="auto" w:fill="9CC2E5"/>
            <w:vAlign w:val="center"/>
            <w:hideMark/>
          </w:tcPr>
          <w:p w14:paraId="28E6555C"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Total, asignado al Pp</w:t>
            </w:r>
          </w:p>
        </w:tc>
      </w:tr>
      <w:tr w:rsidR="00735876" w:rsidRPr="0058152F" w14:paraId="7C983DD0" w14:textId="77777777" w:rsidTr="00284F57">
        <w:trPr>
          <w:trHeight w:val="254"/>
        </w:trPr>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AB2A57A" w14:textId="77777777" w:rsidR="0010052B" w:rsidRPr="0058152F" w:rsidRDefault="0010052B" w:rsidP="00476EC9">
            <w:pPr>
              <w:spacing w:before="0" w:after="0"/>
              <w:jc w:val="left"/>
              <w:rPr>
                <w:rFonts w:eastAsia="Times New Roman" w:cs="Times New Roman"/>
                <w:color w:val="000000"/>
                <w:sz w:val="20"/>
                <w:szCs w:val="20"/>
                <w:lang w:eastAsia="es-MX"/>
              </w:rPr>
            </w:pPr>
            <w:r w:rsidRPr="0058152F">
              <w:rPr>
                <w:rFonts w:eastAsia="Times New Roman" w:cs="Times New Roman"/>
                <w:color w:val="000000"/>
                <w:sz w:val="20"/>
                <w:szCs w:val="20"/>
                <w:lang w:eastAsia="es-MX"/>
              </w:rPr>
              <w:t>Saneamiento financiero</w:t>
            </w:r>
          </w:p>
        </w:tc>
        <w:tc>
          <w:tcPr>
            <w:tcW w:w="48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28332A1"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D191</w:t>
            </w:r>
          </w:p>
        </w:tc>
        <w:tc>
          <w:tcPr>
            <w:tcW w:w="117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E3A2752"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Costo financiero y deuda</w:t>
            </w:r>
          </w:p>
        </w:tc>
        <w:tc>
          <w:tcPr>
            <w:tcW w:w="7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803770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142.2</w:t>
            </w:r>
          </w:p>
        </w:tc>
        <w:tc>
          <w:tcPr>
            <w:tcW w:w="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7F9A29A"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1,029.4</w:t>
            </w:r>
          </w:p>
        </w:tc>
        <w:tc>
          <w:tcPr>
            <w:tcW w:w="71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EDFD918"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1,171.5</w:t>
            </w:r>
          </w:p>
        </w:tc>
      </w:tr>
      <w:tr w:rsidR="00735876" w:rsidRPr="0058152F" w14:paraId="388C6B76" w14:textId="77777777" w:rsidTr="00284F57">
        <w:trPr>
          <w:trHeight w:val="254"/>
        </w:trPr>
        <w:tc>
          <w:tcPr>
            <w:tcW w:w="104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39D87"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Inversión en infraestructura física</w:t>
            </w: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304F2719"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K170</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679BC904"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Infraestructura de agua potable, alcantarillado y saneamiento</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5E7B7D9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16.2</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428EBDB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323.2</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7911BCF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339.4</w:t>
            </w:r>
          </w:p>
        </w:tc>
      </w:tr>
      <w:tr w:rsidR="00735876" w:rsidRPr="0058152F" w14:paraId="4192F0ED"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7E036C33"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645AD4AA"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K172</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0B9D6C95"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Mantenimiento de infraestructura</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315B360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13.6</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13351A6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15.6</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7742325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29.2</w:t>
            </w:r>
          </w:p>
        </w:tc>
      </w:tr>
      <w:tr w:rsidR="00735876" w:rsidRPr="0058152F" w14:paraId="710CF873"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3D319787"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328EF14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k173</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30CC2051"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Otros proyectos de infraestructura gubernamental</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22009B3E"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9.7</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0C506ED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248.7</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04BA1038"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258.4</w:t>
            </w:r>
          </w:p>
        </w:tc>
      </w:tr>
      <w:tr w:rsidR="00735876" w:rsidRPr="0058152F" w14:paraId="3E20F490"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19A45841"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50DA6E7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K174</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66CD5FB7"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 xml:space="preserve">Otros proyectos de Infraestructura social </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6FDDD30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54.8</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2BF6CFA6"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202.7</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3688EE0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257.5</w:t>
            </w:r>
          </w:p>
        </w:tc>
      </w:tr>
      <w:tr w:rsidR="00735876" w:rsidRPr="0058152F" w14:paraId="5376E644"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1153069E"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393187C2"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K177</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3C31E555"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construcción de puertos</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6137CF22"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31.6</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351242B7"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119.5</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18962785"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151.1</w:t>
            </w:r>
          </w:p>
        </w:tc>
      </w:tr>
      <w:tr w:rsidR="00735876" w:rsidRPr="0058152F" w14:paraId="6379B2CD"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136CAD73"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4B46DA16"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K178</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78295881"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equipamiento urbano y construcción de vialidades</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653536E3"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328.1</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45877D3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1,264.0</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79DB0C7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1,592.1</w:t>
            </w:r>
          </w:p>
        </w:tc>
      </w:tr>
      <w:tr w:rsidR="00735876" w:rsidRPr="0058152F" w14:paraId="2C50AC9F"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4ECD5BA2"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374124AD"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K179</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5928DDFB"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de electricidad</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0FD8DDE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5.0</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0DC66441"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5.6</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0F00C9F6"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10.6</w:t>
            </w:r>
          </w:p>
        </w:tc>
      </w:tr>
      <w:tr w:rsidR="00735876" w:rsidRPr="0058152F" w14:paraId="01678723"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2DFB29D4"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17806A3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K180</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34782676"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de turismo</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00684C38"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19.0</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3C40C188"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63.0</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1B4D594C"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82.0</w:t>
            </w:r>
          </w:p>
        </w:tc>
      </w:tr>
      <w:tr w:rsidR="00735876" w:rsidRPr="0058152F" w14:paraId="2530110F"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7BB80AF9"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5E89FAAD"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K182</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6E62ACC4"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gubernamental de procuración de justicia</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5A8AC6F3"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4.2</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18FF39E9"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60.2</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125D6D20"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64.4</w:t>
            </w:r>
          </w:p>
        </w:tc>
      </w:tr>
      <w:tr w:rsidR="00735876" w:rsidRPr="0058152F" w14:paraId="69032710"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400B3B46"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09EDC992"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K183</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025A910D"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gubernamental de seguridad pública</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677B5D3D"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75.6</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02B4CBE0"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181.9</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6CFE0B4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257.6</w:t>
            </w:r>
          </w:p>
        </w:tc>
      </w:tr>
      <w:tr w:rsidR="00735876" w:rsidRPr="0058152F" w14:paraId="0FA46E15"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38FE8F38"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18C91B3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K185</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76266FA3"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social de salud</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3B95ABD0"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78.3</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77ED1E1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49.8</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5EA8DFF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128.1</w:t>
            </w:r>
          </w:p>
        </w:tc>
      </w:tr>
      <w:tr w:rsidR="00735876" w:rsidRPr="0058152F" w14:paraId="293384E2"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321FD852"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0ABAA094"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K186</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34AEF8A0"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social del deporte</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3784E812"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27.1</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00C7BB22"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82.7</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0962AA7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109.9</w:t>
            </w:r>
          </w:p>
        </w:tc>
      </w:tr>
      <w:tr w:rsidR="00735876" w:rsidRPr="0058152F" w14:paraId="4CFE3FDA" w14:textId="77777777" w:rsidTr="00284F57">
        <w:trPr>
          <w:trHeight w:val="254"/>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387DA0AA"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468971B0"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K187</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21DB3984"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Proyectos de infraestructura social del sector educativo/cultura</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723A48DA"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82.3</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4109D379"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529.9</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3102A199"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612.2</w:t>
            </w:r>
          </w:p>
        </w:tc>
      </w:tr>
      <w:tr w:rsidR="00735876" w:rsidRPr="0058152F" w14:paraId="412CE9F5" w14:textId="77777777" w:rsidTr="00284F57">
        <w:trPr>
          <w:trHeight w:val="677"/>
        </w:trPr>
        <w:tc>
          <w:tcPr>
            <w:tcW w:w="1047" w:type="pct"/>
            <w:vMerge/>
            <w:tcBorders>
              <w:top w:val="single" w:sz="4" w:space="0" w:color="auto"/>
              <w:left w:val="single" w:sz="4" w:space="0" w:color="auto"/>
              <w:bottom w:val="single" w:sz="4" w:space="0" w:color="auto"/>
              <w:right w:val="single" w:sz="4" w:space="0" w:color="auto"/>
            </w:tcBorders>
            <w:shd w:val="clear" w:color="auto" w:fill="auto"/>
            <w:noWrap/>
            <w:hideMark/>
          </w:tcPr>
          <w:p w14:paraId="50E45CCB" w14:textId="77777777" w:rsidR="0010052B" w:rsidRPr="0058152F" w:rsidRDefault="0010052B" w:rsidP="00476EC9">
            <w:pPr>
              <w:spacing w:before="0" w:after="0"/>
              <w:jc w:val="left"/>
              <w:rPr>
                <w:rFonts w:eastAsia="Times New Roman" w:cs="Times New Roman"/>
                <w:color w:val="000000"/>
                <w:sz w:val="20"/>
                <w:szCs w:val="20"/>
                <w:lang w:eastAsia="es-MX"/>
              </w:rPr>
            </w:pP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63C8C657"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K188</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286DD558"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Reconstrucción y conservación de carreteras</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189E4D5D"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49.2</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0C0AABB3"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437.9</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1069AD60"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487.1</w:t>
            </w:r>
          </w:p>
        </w:tc>
      </w:tr>
      <w:tr w:rsidR="00735876" w:rsidRPr="0058152F" w14:paraId="79CA13F6" w14:textId="77777777" w:rsidTr="00284F57">
        <w:trPr>
          <w:trHeight w:val="254"/>
        </w:trPr>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3182AAD"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 xml:space="preserve">Modernización de sistemas </w:t>
            </w:r>
          </w:p>
        </w:tc>
        <w:tc>
          <w:tcPr>
            <w:tcW w:w="48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12A246A"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M005</w:t>
            </w:r>
          </w:p>
        </w:tc>
        <w:tc>
          <w:tcPr>
            <w:tcW w:w="117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8C3A9D5"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Actividades de apoyo administrativo</w:t>
            </w:r>
          </w:p>
        </w:tc>
        <w:tc>
          <w:tcPr>
            <w:tcW w:w="7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5573A7B"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43.7</w:t>
            </w:r>
          </w:p>
        </w:tc>
        <w:tc>
          <w:tcPr>
            <w:tcW w:w="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E6B476A"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2,927.6</w:t>
            </w:r>
          </w:p>
        </w:tc>
        <w:tc>
          <w:tcPr>
            <w:tcW w:w="71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49F9955"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2,971.3</w:t>
            </w:r>
          </w:p>
        </w:tc>
      </w:tr>
      <w:tr w:rsidR="00735876" w:rsidRPr="0058152F" w14:paraId="6500ADC8" w14:textId="77777777" w:rsidTr="00284F57">
        <w:trPr>
          <w:trHeight w:val="254"/>
        </w:trPr>
        <w:tc>
          <w:tcPr>
            <w:tcW w:w="1047" w:type="pct"/>
            <w:tcBorders>
              <w:top w:val="single" w:sz="4" w:space="0" w:color="auto"/>
              <w:left w:val="single" w:sz="4" w:space="0" w:color="auto"/>
              <w:bottom w:val="single" w:sz="4" w:space="0" w:color="auto"/>
              <w:right w:val="single" w:sz="4" w:space="0" w:color="auto"/>
            </w:tcBorders>
            <w:shd w:val="clear" w:color="auto" w:fill="auto"/>
            <w:noWrap/>
            <w:hideMark/>
          </w:tcPr>
          <w:p w14:paraId="586CCC83" w14:textId="77777777" w:rsidR="0010052B" w:rsidRPr="0058152F" w:rsidRDefault="0010052B" w:rsidP="00476EC9">
            <w:pPr>
              <w:spacing w:before="0" w:after="0"/>
              <w:jc w:val="left"/>
              <w:rPr>
                <w:rFonts w:eastAsia="Times New Roman" w:cs="Times New Roman"/>
                <w:color w:val="000000"/>
                <w:sz w:val="20"/>
                <w:szCs w:val="20"/>
                <w:lang w:eastAsia="es-MX"/>
              </w:rPr>
            </w:pPr>
            <w:r w:rsidRPr="0058152F">
              <w:rPr>
                <w:rFonts w:eastAsia="Times New Roman" w:cs="Times New Roman"/>
                <w:color w:val="000000"/>
                <w:sz w:val="20"/>
                <w:szCs w:val="20"/>
                <w:lang w:eastAsia="es-MX"/>
              </w:rPr>
              <w:t>Educación</w:t>
            </w:r>
          </w:p>
        </w:tc>
        <w:tc>
          <w:tcPr>
            <w:tcW w:w="488" w:type="pct"/>
            <w:tcBorders>
              <w:top w:val="single" w:sz="4" w:space="0" w:color="auto"/>
              <w:left w:val="single" w:sz="4" w:space="0" w:color="auto"/>
              <w:bottom w:val="single" w:sz="4" w:space="0" w:color="auto"/>
              <w:right w:val="single" w:sz="4" w:space="0" w:color="auto"/>
            </w:tcBorders>
            <w:shd w:val="clear" w:color="auto" w:fill="auto"/>
            <w:noWrap/>
            <w:hideMark/>
          </w:tcPr>
          <w:p w14:paraId="60EE9913"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S131</w:t>
            </w:r>
          </w:p>
        </w:tc>
        <w:tc>
          <w:tcPr>
            <w:tcW w:w="1176" w:type="pct"/>
            <w:tcBorders>
              <w:top w:val="single" w:sz="4" w:space="0" w:color="auto"/>
              <w:left w:val="single" w:sz="4" w:space="0" w:color="auto"/>
              <w:bottom w:val="single" w:sz="4" w:space="0" w:color="auto"/>
              <w:right w:val="single" w:sz="4" w:space="0" w:color="auto"/>
            </w:tcBorders>
            <w:shd w:val="clear" w:color="auto" w:fill="auto"/>
            <w:noWrap/>
            <w:hideMark/>
          </w:tcPr>
          <w:p w14:paraId="3C7365CA" w14:textId="77777777" w:rsidR="0010052B" w:rsidRPr="0058152F" w:rsidRDefault="0010052B" w:rsidP="00520DF8">
            <w:pPr>
              <w:spacing w:before="0" w:after="0"/>
              <w:rPr>
                <w:rFonts w:eastAsia="Times New Roman" w:cs="Times New Roman"/>
                <w:color w:val="000000"/>
                <w:sz w:val="20"/>
                <w:szCs w:val="20"/>
                <w:lang w:eastAsia="es-MX"/>
              </w:rPr>
            </w:pPr>
            <w:r w:rsidRPr="0058152F">
              <w:rPr>
                <w:rFonts w:eastAsia="Times New Roman" w:cs="Times New Roman"/>
                <w:color w:val="000000"/>
                <w:sz w:val="20"/>
                <w:szCs w:val="20"/>
                <w:lang w:eastAsia="es-MX"/>
              </w:rPr>
              <w:t>Programa con mis útiles a la escuela</w:t>
            </w:r>
          </w:p>
        </w:tc>
        <w:tc>
          <w:tcPr>
            <w:tcW w:w="763" w:type="pct"/>
            <w:tcBorders>
              <w:top w:val="single" w:sz="4" w:space="0" w:color="auto"/>
              <w:left w:val="single" w:sz="4" w:space="0" w:color="auto"/>
              <w:bottom w:val="single" w:sz="4" w:space="0" w:color="auto"/>
              <w:right w:val="single" w:sz="4" w:space="0" w:color="auto"/>
            </w:tcBorders>
            <w:shd w:val="clear" w:color="auto" w:fill="auto"/>
            <w:noWrap/>
            <w:hideMark/>
          </w:tcPr>
          <w:p w14:paraId="3214C1D6"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39.5</w:t>
            </w:r>
          </w:p>
        </w:tc>
        <w:tc>
          <w:tcPr>
            <w:tcW w:w="816" w:type="pct"/>
            <w:tcBorders>
              <w:top w:val="single" w:sz="4" w:space="0" w:color="auto"/>
              <w:left w:val="single" w:sz="4" w:space="0" w:color="auto"/>
              <w:bottom w:val="single" w:sz="4" w:space="0" w:color="auto"/>
              <w:right w:val="single" w:sz="4" w:space="0" w:color="auto"/>
            </w:tcBorders>
            <w:shd w:val="clear" w:color="auto" w:fill="auto"/>
            <w:noWrap/>
            <w:hideMark/>
          </w:tcPr>
          <w:p w14:paraId="615D0535"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40.9</w:t>
            </w:r>
          </w:p>
        </w:tc>
        <w:tc>
          <w:tcPr>
            <w:tcW w:w="710" w:type="pct"/>
            <w:tcBorders>
              <w:top w:val="single" w:sz="4" w:space="0" w:color="auto"/>
              <w:left w:val="single" w:sz="4" w:space="0" w:color="auto"/>
              <w:bottom w:val="single" w:sz="4" w:space="0" w:color="auto"/>
              <w:right w:val="single" w:sz="4" w:space="0" w:color="auto"/>
            </w:tcBorders>
            <w:shd w:val="clear" w:color="auto" w:fill="auto"/>
            <w:noWrap/>
            <w:hideMark/>
          </w:tcPr>
          <w:p w14:paraId="489DB39F" w14:textId="77777777" w:rsidR="0010052B" w:rsidRPr="0058152F" w:rsidRDefault="0010052B" w:rsidP="00520DF8">
            <w:pPr>
              <w:spacing w:before="0" w:after="0"/>
              <w:jc w:val="center"/>
              <w:rPr>
                <w:rFonts w:eastAsia="Times New Roman" w:cs="Times New Roman"/>
                <w:color w:val="000000"/>
                <w:sz w:val="20"/>
                <w:szCs w:val="20"/>
                <w:lang w:eastAsia="es-MX"/>
              </w:rPr>
            </w:pPr>
            <w:r w:rsidRPr="0058152F">
              <w:rPr>
                <w:rFonts w:eastAsia="Times New Roman" w:cs="Times New Roman"/>
                <w:color w:val="000000"/>
                <w:sz w:val="20"/>
                <w:szCs w:val="20"/>
                <w:lang w:eastAsia="es-MX"/>
              </w:rPr>
              <w:t>80.4</w:t>
            </w:r>
          </w:p>
        </w:tc>
      </w:tr>
      <w:tr w:rsidR="0010052B" w:rsidRPr="0058152F" w14:paraId="67437D3A" w14:textId="77777777" w:rsidTr="00284F57">
        <w:trPr>
          <w:trHeight w:val="254"/>
        </w:trPr>
        <w:tc>
          <w:tcPr>
            <w:tcW w:w="1535" w:type="pct"/>
            <w:gridSpan w:val="2"/>
            <w:tcBorders>
              <w:top w:val="single" w:sz="4" w:space="0" w:color="auto"/>
              <w:left w:val="single" w:sz="4" w:space="0" w:color="auto"/>
              <w:bottom w:val="single" w:sz="4" w:space="0" w:color="auto"/>
              <w:right w:val="single" w:sz="4" w:space="0" w:color="auto"/>
            </w:tcBorders>
            <w:shd w:val="clear" w:color="auto" w:fill="9CC2E5"/>
            <w:noWrap/>
            <w:hideMark/>
          </w:tcPr>
          <w:p w14:paraId="6617B562" w14:textId="77777777" w:rsidR="0010052B" w:rsidRPr="0058152F" w:rsidRDefault="0010052B" w:rsidP="00476EC9">
            <w:pPr>
              <w:spacing w:before="0" w:after="0"/>
              <w:jc w:val="left"/>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Total</w:t>
            </w:r>
          </w:p>
        </w:tc>
        <w:tc>
          <w:tcPr>
            <w:tcW w:w="1176" w:type="pct"/>
            <w:tcBorders>
              <w:top w:val="single" w:sz="4" w:space="0" w:color="auto"/>
              <w:left w:val="single" w:sz="4" w:space="0" w:color="auto"/>
              <w:bottom w:val="single" w:sz="4" w:space="0" w:color="auto"/>
              <w:right w:val="single" w:sz="4" w:space="0" w:color="auto"/>
            </w:tcBorders>
            <w:shd w:val="clear" w:color="auto" w:fill="9CC2E5"/>
            <w:noWrap/>
            <w:hideMark/>
          </w:tcPr>
          <w:p w14:paraId="369667BD" w14:textId="77777777" w:rsidR="0010052B" w:rsidRPr="0058152F" w:rsidRDefault="0010052B" w:rsidP="00476EC9">
            <w:pPr>
              <w:spacing w:before="0" w:after="0"/>
              <w:jc w:val="left"/>
              <w:rPr>
                <w:rFonts w:eastAsia="Times New Roman" w:cs="Times New Roman"/>
                <w:color w:val="000000"/>
                <w:sz w:val="20"/>
                <w:szCs w:val="20"/>
                <w:lang w:eastAsia="es-MX"/>
              </w:rPr>
            </w:pPr>
            <w:r w:rsidRPr="0058152F">
              <w:rPr>
                <w:rFonts w:eastAsia="Times New Roman" w:cs="Times New Roman"/>
                <w:color w:val="000000"/>
                <w:sz w:val="20"/>
                <w:szCs w:val="20"/>
                <w:lang w:eastAsia="es-MX"/>
              </w:rPr>
              <w:t> </w:t>
            </w:r>
          </w:p>
        </w:tc>
        <w:tc>
          <w:tcPr>
            <w:tcW w:w="763" w:type="pct"/>
            <w:tcBorders>
              <w:top w:val="single" w:sz="4" w:space="0" w:color="auto"/>
              <w:left w:val="single" w:sz="4" w:space="0" w:color="auto"/>
              <w:bottom w:val="single" w:sz="4" w:space="0" w:color="auto"/>
              <w:right w:val="single" w:sz="4" w:space="0" w:color="auto"/>
            </w:tcBorders>
            <w:shd w:val="clear" w:color="auto" w:fill="9CC2E5"/>
            <w:noWrap/>
            <w:hideMark/>
          </w:tcPr>
          <w:p w14:paraId="43169028"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1,020.1</w:t>
            </w:r>
          </w:p>
        </w:tc>
        <w:tc>
          <w:tcPr>
            <w:tcW w:w="816" w:type="pct"/>
            <w:tcBorders>
              <w:top w:val="single" w:sz="4" w:space="0" w:color="auto"/>
              <w:left w:val="single" w:sz="4" w:space="0" w:color="auto"/>
              <w:bottom w:val="single" w:sz="4" w:space="0" w:color="auto"/>
              <w:right w:val="single" w:sz="4" w:space="0" w:color="auto"/>
            </w:tcBorders>
            <w:shd w:val="clear" w:color="auto" w:fill="9CC2E5"/>
            <w:noWrap/>
            <w:hideMark/>
          </w:tcPr>
          <w:p w14:paraId="53A527D8"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7,582.6</w:t>
            </w:r>
          </w:p>
        </w:tc>
        <w:tc>
          <w:tcPr>
            <w:tcW w:w="710" w:type="pct"/>
            <w:tcBorders>
              <w:top w:val="single" w:sz="4" w:space="0" w:color="auto"/>
              <w:left w:val="single" w:sz="4" w:space="0" w:color="auto"/>
              <w:bottom w:val="single" w:sz="4" w:space="0" w:color="auto"/>
              <w:right w:val="single" w:sz="4" w:space="0" w:color="auto"/>
            </w:tcBorders>
            <w:shd w:val="clear" w:color="auto" w:fill="9CC2E5"/>
            <w:noWrap/>
            <w:hideMark/>
          </w:tcPr>
          <w:p w14:paraId="01F67718" w14:textId="77777777" w:rsidR="0010052B" w:rsidRPr="0058152F" w:rsidRDefault="0010052B" w:rsidP="00520DF8">
            <w:pPr>
              <w:spacing w:before="0" w:after="0"/>
              <w:jc w:val="center"/>
              <w:rPr>
                <w:rFonts w:eastAsia="Times New Roman" w:cs="Times New Roman"/>
                <w:b/>
                <w:bCs/>
                <w:color w:val="000000"/>
                <w:sz w:val="20"/>
                <w:szCs w:val="20"/>
                <w:lang w:eastAsia="es-MX"/>
              </w:rPr>
            </w:pPr>
            <w:r w:rsidRPr="0058152F">
              <w:rPr>
                <w:rFonts w:eastAsia="Times New Roman" w:cs="Times New Roman"/>
                <w:b/>
                <w:bCs/>
                <w:color w:val="000000"/>
                <w:sz w:val="20"/>
                <w:szCs w:val="20"/>
                <w:lang w:eastAsia="es-MX"/>
              </w:rPr>
              <w:t>8,602.8</w:t>
            </w:r>
          </w:p>
        </w:tc>
      </w:tr>
    </w:tbl>
    <w:p w14:paraId="4DAB22EC" w14:textId="77777777" w:rsidR="00C50B93" w:rsidRPr="00451BBA" w:rsidRDefault="00C50B93" w:rsidP="00455C8A">
      <w:pPr>
        <w:spacing w:before="60" w:after="240"/>
        <w:rPr>
          <w:sz w:val="18"/>
          <w:szCs w:val="18"/>
        </w:rPr>
      </w:pPr>
      <w:r w:rsidRPr="00455C8A">
        <w:rPr>
          <w:rStyle w:val="FuenteCar"/>
        </w:rPr>
        <w:t>Fuente: Elaboración propia con base en información proporcionada por la Dirección de Planeación Estratégica de la Secretaría de Finanzas de Tamaulipas</w:t>
      </w:r>
      <w:r w:rsidRPr="00451BBA">
        <w:rPr>
          <w:sz w:val="18"/>
          <w:szCs w:val="18"/>
        </w:rPr>
        <w:t>.</w:t>
      </w:r>
    </w:p>
    <w:p w14:paraId="45E09CF5" w14:textId="18F7848D" w:rsidR="00CA1089" w:rsidRPr="00C50B93" w:rsidRDefault="00CA1089" w:rsidP="006E5C28">
      <w:r>
        <w:lastRenderedPageBreak/>
        <w:t xml:space="preserve">Según resultados de la ASF mediante la </w:t>
      </w:r>
      <w:bookmarkStart w:id="21" w:name="_Hlk53577875"/>
      <w:r>
        <w:t xml:space="preserve">Auditoría Combinada de Cumplimiento y Desempeño: 2018-A-28000-21-1410-2019 1410-DS-GF </w:t>
      </w:r>
      <w:bookmarkEnd w:id="21"/>
      <w:r>
        <w:t>al 31 de diciembre de 2018, el Gobierno del Estado de Tamaulipas pagó 651</w:t>
      </w:r>
      <w:r w:rsidR="006E5C28">
        <w:t>.</w:t>
      </w:r>
      <w:r>
        <w:t xml:space="preserve">16 </w:t>
      </w:r>
      <w:r w:rsidR="006E5C28">
        <w:t xml:space="preserve">mdp </w:t>
      </w:r>
      <w:r>
        <w:t xml:space="preserve">que representaron el 60.9% de los recursos asignados al </w:t>
      </w:r>
      <w:r w:rsidR="00FB7E5E">
        <w:t>F</w:t>
      </w:r>
      <w:r>
        <w:t>ondo por 1,068</w:t>
      </w:r>
      <w:r w:rsidR="006E5C28">
        <w:t>. 7 mdp</w:t>
      </w:r>
      <w:r>
        <w:t xml:space="preserve"> y 60.6% de lo disponible</w:t>
      </w:r>
      <w:r w:rsidR="006E5C28">
        <w:t>. A</w:t>
      </w:r>
      <w:r>
        <w:t xml:space="preserve">l 31 de marzo de 2019, </w:t>
      </w:r>
      <w:r w:rsidR="006E5C28">
        <w:t xml:space="preserve">la SF </w:t>
      </w:r>
      <w:r>
        <w:t>pagó 1,028</w:t>
      </w:r>
      <w:r w:rsidR="006E5C28">
        <w:t>.</w:t>
      </w:r>
      <w:r>
        <w:t>1</w:t>
      </w:r>
      <w:r w:rsidR="006E5C28">
        <w:t xml:space="preserve"> mdp</w:t>
      </w:r>
      <w:r>
        <w:t>, que representaron el 96.2% de lo asignado y 95.6% del disponible. Del total pagado al 31 de marzo de 2019, el 78.1% se destinó en Inversión en infraestructura física, el 13.8% a Saneamiento financiero, el 4.3% en Modernización de sistemas y el 3.8% en Apoyos a la Educación Pública.</w:t>
      </w:r>
      <w:r w:rsidR="006E5C28">
        <w:t xml:space="preserve"> La ASF encontró que el cien por ciento de los pagos se hicieron directamente a través de la SF. Asimismo, de los 142.2 mdp aplicados en el rubro de saneamiento financiero por Deuda Pública directa, la entidad fiscalizada no proporcionó la información para determinar el porcentaje que se destinó para la amortización de capital, y que éste contribuyó en la disminución de los contratos de deuda pública que se pagaron con recursos </w:t>
      </w:r>
      <w:r w:rsidR="003723D6">
        <w:t>del FAFEF</w:t>
      </w:r>
      <w:r w:rsidR="006E5C28">
        <w:t xml:space="preserve"> 2018.</w:t>
      </w:r>
    </w:p>
    <w:p w14:paraId="4D2A97A7" w14:textId="77ED0D78" w:rsidR="002B3391" w:rsidRPr="002B3391" w:rsidRDefault="002B3391" w:rsidP="002B3391">
      <w:r w:rsidRPr="002B3391">
        <w:t xml:space="preserve">Con fundamento en el Artículo 47 de la LCF, las </w:t>
      </w:r>
      <w:r w:rsidR="00BC7AC5">
        <w:t>e</w:t>
      </w:r>
      <w:r w:rsidRPr="002B3391">
        <w:t xml:space="preserve">ntidades </w:t>
      </w:r>
      <w:r w:rsidR="00BC7AC5">
        <w:t>f</w:t>
      </w:r>
      <w:r w:rsidRPr="002B3391">
        <w:t xml:space="preserve">ederativas deberán presentar a la SHCP un informe trimestral detallado sobre la aplicación de los recursos a más tardar a los 20 días naturales después de terminado el trimestre. Asimismo, en términos de los </w:t>
      </w:r>
      <w:r w:rsidR="00AF6898">
        <w:t>A</w:t>
      </w:r>
      <w:r w:rsidRPr="002B3391">
        <w:t xml:space="preserve">rtículos 71, 72, 78 y 81 de la Ley General de Contabilidad Gubernamental (LGCG), la </w:t>
      </w:r>
      <w:r w:rsidR="00BC7AC5">
        <w:t>e</w:t>
      </w:r>
      <w:r w:rsidRPr="002B3391">
        <w:t xml:space="preserve">ntidades </w:t>
      </w:r>
      <w:r w:rsidR="00BC7AC5">
        <w:t>f</w:t>
      </w:r>
      <w:r w:rsidRPr="002B3391">
        <w:t>ederativas, los Municipios y las Demarcaciones Territoriales de la Ciudad de México, deberán informar sobre el ejercicio y destino de los recursos federales que reciban; el reintegro de los recursos federales no devengados; el avance físico y financiero de las obras y acciones respectivas y, en su caso, la diferencia entre el monto de los recursos transferidos y aquéllos erogados; los recursos aplicados conforme a reglas de operación; los proyectos, metas y resultados obtenidos con los recursos utilizados, así como los resultados de las evaluaciones que se hayan realizado.</w:t>
      </w:r>
    </w:p>
    <w:p w14:paraId="7608AE64" w14:textId="2F972DE0" w:rsidR="002B3391" w:rsidRPr="009F7F4B" w:rsidRDefault="002B3391" w:rsidP="002B3391">
      <w:r w:rsidRPr="002B3391">
        <w:t>De acuerdo a lo señalado en el Numeral Vigésimo Cuarto de los Lineamientos para Informar sobre los Recursos Federales transferidos a las Entidades Federativas, Municipios y Demarcaciones Territoriales del Distrito Federal, y de Operación de los Recursos del Ramo General 33</w:t>
      </w:r>
      <w:r w:rsidRPr="002B3391">
        <w:rPr>
          <w:vertAlign w:val="superscript"/>
        </w:rPr>
        <w:footnoteReference w:id="9"/>
      </w:r>
      <w:r w:rsidRPr="002B3391">
        <w:t>, la información que remitan las entidades federativas, municipios y Demarcaciones mediante el Sistema de</w:t>
      </w:r>
      <w:r w:rsidR="00E310F0">
        <w:t xml:space="preserve"> Reporte de</w:t>
      </w:r>
      <w:r w:rsidRPr="002B3391">
        <w:t xml:space="preserve"> Recursos Federales Transferidos (SRFT) deberá ser la misma que dichas instancias publiquen a través de los medios oficiales de difusión y que</w:t>
      </w:r>
      <w:r w:rsidRPr="002B3391">
        <w:rPr>
          <w:sz w:val="23"/>
          <w:szCs w:val="23"/>
        </w:rPr>
        <w:t xml:space="preserve"> </w:t>
      </w:r>
      <w:r w:rsidRPr="00392BD6">
        <w:t xml:space="preserve">pongan a </w:t>
      </w:r>
      <w:r w:rsidRPr="009F7F4B">
        <w:t xml:space="preserve">disposición del público mediante sus portales de Internet, con el apoyo de las funcionalidades del Sistema, en términos de lo dispuesto en los </w:t>
      </w:r>
      <w:r w:rsidR="00AF6898">
        <w:t>A</w:t>
      </w:r>
      <w:r w:rsidRPr="009F7F4B">
        <w:t xml:space="preserve">rtículos 85 fracción II de la </w:t>
      </w:r>
      <w:r w:rsidR="00E310F0" w:rsidRPr="009F7F4B">
        <w:t>LFPRH</w:t>
      </w:r>
      <w:r w:rsidRPr="009F7F4B">
        <w:t>; 48 de la LC</w:t>
      </w:r>
      <w:r w:rsidR="00E310F0" w:rsidRPr="009F7F4B">
        <w:t>F</w:t>
      </w:r>
      <w:r w:rsidRPr="009F7F4B">
        <w:t xml:space="preserve">, y 72 de </w:t>
      </w:r>
      <w:r w:rsidR="00E310F0" w:rsidRPr="009F7F4B">
        <w:t>la LGCG</w:t>
      </w:r>
      <w:r w:rsidRPr="009F7F4B">
        <w:t>. En este sentido los indicadores que deben reportar las entidades</w:t>
      </w:r>
      <w:r w:rsidR="001E66D9">
        <w:t xml:space="preserve"> federativas</w:t>
      </w:r>
      <w:r w:rsidRPr="009F7F4B">
        <w:t xml:space="preserve"> al SRFT corresponden a la MIR Federal del FAFEF, los cuales se describen en el Cuadro </w:t>
      </w:r>
      <w:r w:rsidR="00C50B93" w:rsidRPr="009F7F4B">
        <w:t>3</w:t>
      </w:r>
      <w:r w:rsidRPr="009F7F4B">
        <w:t xml:space="preserve">. </w:t>
      </w:r>
    </w:p>
    <w:p w14:paraId="46173288" w14:textId="7CC06EE4" w:rsidR="002B3391" w:rsidRPr="002B3391" w:rsidRDefault="002B3391" w:rsidP="004F43B0">
      <w:pPr>
        <w:pStyle w:val="Cuadro"/>
        <w:rPr>
          <w:i/>
          <w:iCs/>
        </w:rPr>
      </w:pPr>
      <w:bookmarkStart w:id="22" w:name="_Toc55502387"/>
      <w:bookmarkStart w:id="23" w:name="_Toc55502504"/>
      <w:bookmarkStart w:id="24" w:name="_Toc56069930"/>
      <w:r w:rsidRPr="002B3391">
        <w:t xml:space="preserve">Cuadro </w:t>
      </w:r>
      <w:r w:rsidR="00C50B93">
        <w:t>3</w:t>
      </w:r>
      <w:r w:rsidRPr="002B3391">
        <w:t>. Resumen narrativo de la MIR federal del FAFEF</w:t>
      </w:r>
      <w:r w:rsidRPr="002B3391">
        <w:rPr>
          <w:i/>
          <w:iCs/>
        </w:rPr>
        <w:t xml:space="preserve"> 2018.</w:t>
      </w:r>
      <w:bookmarkEnd w:id="22"/>
      <w:bookmarkEnd w:id="23"/>
      <w:bookmarkEnd w:id="24"/>
    </w:p>
    <w:tbl>
      <w:tblPr>
        <w:tblStyle w:val="Sombreadoclaro-nfasis511"/>
        <w:tblW w:w="5038" w:type="pct"/>
        <w:tblBorders>
          <w:top w:val="single" w:sz="4" w:space="0" w:color="auto"/>
          <w:bottom w:val="single" w:sz="4" w:space="0" w:color="auto"/>
        </w:tblBorders>
        <w:tblLook w:val="04A0" w:firstRow="1" w:lastRow="0" w:firstColumn="1" w:lastColumn="0" w:noHBand="0" w:noVBand="1"/>
      </w:tblPr>
      <w:tblGrid>
        <w:gridCol w:w="1298"/>
        <w:gridCol w:w="8750"/>
      </w:tblGrid>
      <w:tr w:rsidR="002B3391" w:rsidRPr="0058152F" w14:paraId="59D48186" w14:textId="77777777" w:rsidTr="005F4D8E">
        <w:trPr>
          <w:cnfStyle w:val="100000000000" w:firstRow="1" w:lastRow="0" w:firstColumn="0" w:lastColumn="0" w:oddVBand="0" w:evenVBand="0" w:oddHBand="0" w:evenHBand="0" w:firstRowFirstColumn="0" w:firstRowLastColumn="0" w:lastRowFirstColumn="0" w:lastRowLastColumn="0"/>
          <w:trHeight w:val="73"/>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shd w:val="clear" w:color="auto" w:fill="9CC2E5"/>
          </w:tcPr>
          <w:p w14:paraId="02FA5D28" w14:textId="77777777" w:rsidR="002B3391" w:rsidRPr="0058152F" w:rsidRDefault="002B3391" w:rsidP="002B3391">
            <w:pPr>
              <w:spacing w:before="0" w:after="0"/>
              <w:jc w:val="center"/>
            </w:pPr>
            <w:r w:rsidRPr="0058152F">
              <w:rPr>
                <w:color w:val="auto"/>
              </w:rPr>
              <w:t xml:space="preserve">Resumen narrativo </w:t>
            </w:r>
          </w:p>
        </w:tc>
      </w:tr>
      <w:tr w:rsidR="002B3391" w:rsidRPr="0058152F" w14:paraId="06E5AEF0" w14:textId="77777777" w:rsidTr="005F4D8E">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5000" w:type="pct"/>
            <w:gridSpan w:val="2"/>
            <w:tcBorders>
              <w:left w:val="none" w:sz="0" w:space="0" w:color="auto"/>
              <w:right w:val="none" w:sz="0" w:space="0" w:color="auto"/>
            </w:tcBorders>
            <w:shd w:val="clear" w:color="auto" w:fill="auto"/>
          </w:tcPr>
          <w:p w14:paraId="4879E226" w14:textId="77777777" w:rsidR="002B3391" w:rsidRPr="0058152F" w:rsidRDefault="002B3391" w:rsidP="002B3391">
            <w:pPr>
              <w:spacing w:before="0" w:after="0"/>
              <w:jc w:val="center"/>
            </w:pPr>
            <w:r w:rsidRPr="0058152F">
              <w:rPr>
                <w:color w:val="auto"/>
              </w:rPr>
              <w:t>MIR federal del FAFEF</w:t>
            </w:r>
          </w:p>
        </w:tc>
      </w:tr>
      <w:tr w:rsidR="002B3391" w:rsidRPr="0058152F" w14:paraId="3E0838F7" w14:textId="77777777" w:rsidTr="005F4D8E">
        <w:trPr>
          <w:trHeight w:val="69"/>
        </w:trPr>
        <w:tc>
          <w:tcPr>
            <w:cnfStyle w:val="001000000000" w:firstRow="0" w:lastRow="0" w:firstColumn="1" w:lastColumn="0" w:oddVBand="0" w:evenVBand="0" w:oddHBand="0" w:evenHBand="0" w:firstRowFirstColumn="0" w:firstRowLastColumn="0" w:lastRowFirstColumn="0" w:lastRowLastColumn="0"/>
            <w:tcW w:w="646" w:type="pct"/>
            <w:shd w:val="clear" w:color="auto" w:fill="9CC2E5"/>
          </w:tcPr>
          <w:p w14:paraId="3474EC94" w14:textId="77777777" w:rsidR="002B3391" w:rsidRPr="0058152F" w:rsidRDefault="002B3391" w:rsidP="002B3391">
            <w:pPr>
              <w:spacing w:before="0" w:after="0"/>
              <w:jc w:val="left"/>
              <w:rPr>
                <w:color w:val="auto"/>
              </w:rPr>
            </w:pPr>
            <w:r w:rsidRPr="0058152F">
              <w:rPr>
                <w:color w:val="auto"/>
              </w:rPr>
              <w:t xml:space="preserve">Fin </w:t>
            </w:r>
          </w:p>
        </w:tc>
        <w:tc>
          <w:tcPr>
            <w:tcW w:w="4354" w:type="pct"/>
            <w:shd w:val="clear" w:color="auto" w:fill="9CC2E5"/>
          </w:tcPr>
          <w:p w14:paraId="04A4B6DF" w14:textId="4B6B1578" w:rsidR="002B3391" w:rsidRPr="0058152F" w:rsidRDefault="002B3391" w:rsidP="002B3391">
            <w:pPr>
              <w:spacing w:before="0" w:after="0" w:line="259" w:lineRule="auto"/>
              <w:cnfStyle w:val="000000000000" w:firstRow="0" w:lastRow="0" w:firstColumn="0" w:lastColumn="0" w:oddVBand="0" w:evenVBand="0" w:oddHBand="0" w:evenHBand="0" w:firstRowFirstColumn="0" w:firstRowLastColumn="0" w:lastRowFirstColumn="0" w:lastRowLastColumn="0"/>
              <w:rPr>
                <w:rFonts w:eastAsia="Calibri" w:cs="Times New Roman"/>
                <w:color w:val="auto"/>
              </w:rPr>
            </w:pPr>
            <w:r w:rsidRPr="0058152F">
              <w:rPr>
                <w:rFonts w:eastAsia="Calibri" w:cs="Times New Roman"/>
                <w:color w:val="auto"/>
              </w:rPr>
              <w:t xml:space="preserve">Contribuir a impulsar el fortalecimiento del federalismo fiscal para que las </w:t>
            </w:r>
            <w:r w:rsidR="00BC7AC5">
              <w:rPr>
                <w:rFonts w:eastAsia="Calibri" w:cs="Times New Roman"/>
                <w:color w:val="auto"/>
              </w:rPr>
              <w:t>e</w:t>
            </w:r>
            <w:r w:rsidRPr="0058152F">
              <w:rPr>
                <w:rFonts w:eastAsia="Calibri" w:cs="Times New Roman"/>
                <w:color w:val="auto"/>
              </w:rPr>
              <w:t xml:space="preserve">ntidades </w:t>
            </w:r>
            <w:r w:rsidR="00BC7AC5">
              <w:rPr>
                <w:rFonts w:eastAsia="Calibri" w:cs="Times New Roman"/>
                <w:color w:val="auto"/>
              </w:rPr>
              <w:t>f</w:t>
            </w:r>
            <w:r w:rsidRPr="0058152F">
              <w:rPr>
                <w:rFonts w:eastAsia="Calibri" w:cs="Times New Roman"/>
                <w:color w:val="auto"/>
              </w:rPr>
              <w:t>ederativas y Municipios puedan lograr y preserva el equilibrio de sus finanzas públicas, mediante la optimización en la aplicación de los recursos públicos federales transferidos.</w:t>
            </w:r>
          </w:p>
        </w:tc>
      </w:tr>
      <w:tr w:rsidR="002B3391" w:rsidRPr="0058152F" w14:paraId="179C5884" w14:textId="77777777" w:rsidTr="005F4D8E">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646" w:type="pct"/>
            <w:tcBorders>
              <w:left w:val="none" w:sz="0" w:space="0" w:color="auto"/>
              <w:right w:val="none" w:sz="0" w:space="0" w:color="auto"/>
            </w:tcBorders>
            <w:shd w:val="clear" w:color="auto" w:fill="auto"/>
          </w:tcPr>
          <w:p w14:paraId="5C7E3F29" w14:textId="77777777" w:rsidR="002B3391" w:rsidRPr="0058152F" w:rsidRDefault="002B3391" w:rsidP="002B3391">
            <w:pPr>
              <w:spacing w:before="0" w:after="0"/>
              <w:jc w:val="left"/>
              <w:rPr>
                <w:color w:val="auto"/>
              </w:rPr>
            </w:pPr>
            <w:r w:rsidRPr="0058152F">
              <w:rPr>
                <w:color w:val="auto"/>
              </w:rPr>
              <w:t xml:space="preserve">Propósito </w:t>
            </w:r>
          </w:p>
        </w:tc>
        <w:tc>
          <w:tcPr>
            <w:tcW w:w="4354" w:type="pct"/>
            <w:vMerge w:val="restart"/>
            <w:tcBorders>
              <w:left w:val="none" w:sz="0" w:space="0" w:color="auto"/>
              <w:right w:val="none" w:sz="0" w:space="0" w:color="auto"/>
            </w:tcBorders>
            <w:shd w:val="clear" w:color="auto" w:fill="auto"/>
          </w:tcPr>
          <w:p w14:paraId="7249E328" w14:textId="77777777" w:rsidR="002B3391" w:rsidRPr="0058152F" w:rsidRDefault="002B3391" w:rsidP="002B3391">
            <w:pPr>
              <w:spacing w:before="0" w:after="0" w:line="259" w:lineRule="auto"/>
              <w:cnfStyle w:val="000000100000" w:firstRow="0" w:lastRow="0" w:firstColumn="0" w:lastColumn="0" w:oddVBand="0" w:evenVBand="0" w:oddHBand="1" w:evenHBand="0" w:firstRowFirstColumn="0" w:firstRowLastColumn="0" w:lastRowFirstColumn="0" w:lastRowLastColumn="0"/>
              <w:rPr>
                <w:rFonts w:eastAsia="Calibri" w:cs="Times New Roman"/>
                <w:highlight w:val="lightGray"/>
              </w:rPr>
            </w:pPr>
            <w:r w:rsidRPr="0058152F">
              <w:rPr>
                <w:rFonts w:eastAsia="Calibri" w:cs="Times New Roman"/>
                <w:color w:val="auto"/>
              </w:rPr>
              <w:t>Las entidades federativas reciben la transferencia de recursos federales para el fortalecimiento de sus finanzas públicas estatales.</w:t>
            </w:r>
          </w:p>
        </w:tc>
      </w:tr>
      <w:tr w:rsidR="002B3391" w:rsidRPr="0058152F" w14:paraId="4A2EA315" w14:textId="77777777" w:rsidTr="005F4D8E">
        <w:trPr>
          <w:trHeight w:val="69"/>
        </w:trPr>
        <w:tc>
          <w:tcPr>
            <w:cnfStyle w:val="001000000000" w:firstRow="0" w:lastRow="0" w:firstColumn="1" w:lastColumn="0" w:oddVBand="0" w:evenVBand="0" w:oddHBand="0" w:evenHBand="0" w:firstRowFirstColumn="0" w:firstRowLastColumn="0" w:lastRowFirstColumn="0" w:lastRowLastColumn="0"/>
            <w:tcW w:w="646" w:type="pct"/>
            <w:shd w:val="clear" w:color="auto" w:fill="auto"/>
          </w:tcPr>
          <w:p w14:paraId="63FC717B" w14:textId="77777777" w:rsidR="002B3391" w:rsidRPr="0058152F" w:rsidRDefault="002B3391" w:rsidP="002B3391">
            <w:pPr>
              <w:spacing w:before="0" w:after="0"/>
              <w:jc w:val="left"/>
              <w:rPr>
                <w:color w:val="auto"/>
              </w:rPr>
            </w:pPr>
          </w:p>
        </w:tc>
        <w:tc>
          <w:tcPr>
            <w:tcW w:w="4354" w:type="pct"/>
            <w:vMerge/>
            <w:shd w:val="clear" w:color="auto" w:fill="auto"/>
          </w:tcPr>
          <w:p w14:paraId="669A57FE" w14:textId="77777777" w:rsidR="002B3391" w:rsidRPr="0058152F" w:rsidRDefault="002B3391" w:rsidP="002B3391">
            <w:pPr>
              <w:spacing w:before="0" w:after="0"/>
              <w:cnfStyle w:val="000000000000" w:firstRow="0" w:lastRow="0" w:firstColumn="0" w:lastColumn="0" w:oddVBand="0" w:evenVBand="0" w:oddHBand="0" w:evenHBand="0" w:firstRowFirstColumn="0" w:firstRowLastColumn="0" w:lastRowFirstColumn="0" w:lastRowLastColumn="0"/>
            </w:pPr>
          </w:p>
        </w:tc>
      </w:tr>
      <w:tr w:rsidR="002B3391" w:rsidRPr="0058152F" w14:paraId="5B38CE59" w14:textId="77777777" w:rsidTr="005F4D8E">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646" w:type="pct"/>
            <w:tcBorders>
              <w:left w:val="none" w:sz="0" w:space="0" w:color="auto"/>
              <w:right w:val="none" w:sz="0" w:space="0" w:color="auto"/>
            </w:tcBorders>
            <w:shd w:val="clear" w:color="auto" w:fill="9CC2E5"/>
          </w:tcPr>
          <w:p w14:paraId="7A334779" w14:textId="77777777" w:rsidR="002B3391" w:rsidRPr="0058152F" w:rsidRDefault="002B3391" w:rsidP="002B3391">
            <w:pPr>
              <w:spacing w:before="0" w:after="0"/>
              <w:jc w:val="left"/>
              <w:rPr>
                <w:color w:val="auto"/>
              </w:rPr>
            </w:pPr>
            <w:r w:rsidRPr="0058152F">
              <w:rPr>
                <w:color w:val="auto"/>
              </w:rPr>
              <w:t>Componente</w:t>
            </w:r>
          </w:p>
        </w:tc>
        <w:tc>
          <w:tcPr>
            <w:tcW w:w="4354" w:type="pct"/>
            <w:tcBorders>
              <w:left w:val="none" w:sz="0" w:space="0" w:color="auto"/>
              <w:right w:val="none" w:sz="0" w:space="0" w:color="auto"/>
            </w:tcBorders>
            <w:shd w:val="clear" w:color="auto" w:fill="9CC2E5"/>
          </w:tcPr>
          <w:p w14:paraId="1C49EDE9" w14:textId="77777777" w:rsidR="002B3391" w:rsidRPr="0058152F" w:rsidRDefault="002B3391" w:rsidP="002B3391">
            <w:pPr>
              <w:spacing w:before="0" w:after="0" w:line="259" w:lineRule="auto"/>
              <w:cnfStyle w:val="000000100000" w:firstRow="0" w:lastRow="0" w:firstColumn="0" w:lastColumn="0" w:oddVBand="0" w:evenVBand="0" w:oddHBand="1" w:evenHBand="0" w:firstRowFirstColumn="0" w:firstRowLastColumn="0" w:lastRowFirstColumn="0" w:lastRowLastColumn="0"/>
              <w:rPr>
                <w:rFonts w:eastAsia="Calibri" w:cs="Times New Roman"/>
              </w:rPr>
            </w:pPr>
            <w:r w:rsidRPr="0058152F">
              <w:rPr>
                <w:rFonts w:eastAsia="Calibri" w:cs="Times New Roman"/>
                <w:color w:val="auto"/>
              </w:rPr>
              <w:t>Recursos federales transferidos a las entidades federativas aplicados en los destinos de gasto establecidos en la Ley de Coordinación Fiscal.</w:t>
            </w:r>
          </w:p>
        </w:tc>
      </w:tr>
      <w:tr w:rsidR="002B3391" w:rsidRPr="0058152F" w14:paraId="4E4F2610" w14:textId="77777777" w:rsidTr="005F4D8E">
        <w:trPr>
          <w:trHeight w:val="69"/>
        </w:trPr>
        <w:tc>
          <w:tcPr>
            <w:cnfStyle w:val="001000000000" w:firstRow="0" w:lastRow="0" w:firstColumn="1" w:lastColumn="0" w:oddVBand="0" w:evenVBand="0" w:oddHBand="0" w:evenHBand="0" w:firstRowFirstColumn="0" w:firstRowLastColumn="0" w:lastRowFirstColumn="0" w:lastRowLastColumn="0"/>
            <w:tcW w:w="646" w:type="pct"/>
            <w:shd w:val="clear" w:color="auto" w:fill="auto"/>
          </w:tcPr>
          <w:p w14:paraId="2D5109D8" w14:textId="77777777" w:rsidR="002B3391" w:rsidRPr="0058152F" w:rsidRDefault="002B3391" w:rsidP="002B3391">
            <w:pPr>
              <w:spacing w:before="0" w:after="0"/>
              <w:jc w:val="left"/>
              <w:rPr>
                <w:color w:val="auto"/>
              </w:rPr>
            </w:pPr>
            <w:r w:rsidRPr="0058152F">
              <w:rPr>
                <w:color w:val="auto"/>
              </w:rPr>
              <w:t>Actividad</w:t>
            </w:r>
          </w:p>
        </w:tc>
        <w:tc>
          <w:tcPr>
            <w:tcW w:w="4354" w:type="pct"/>
            <w:shd w:val="clear" w:color="auto" w:fill="auto"/>
          </w:tcPr>
          <w:p w14:paraId="18F37152" w14:textId="77777777" w:rsidR="002B3391" w:rsidRPr="0058152F" w:rsidRDefault="002B3391" w:rsidP="002B3391">
            <w:pPr>
              <w:spacing w:before="0" w:after="0" w:line="259" w:lineRule="auto"/>
              <w:cnfStyle w:val="000000000000" w:firstRow="0" w:lastRow="0" w:firstColumn="0" w:lastColumn="0" w:oddVBand="0" w:evenVBand="0" w:oddHBand="0" w:evenHBand="0" w:firstRowFirstColumn="0" w:firstRowLastColumn="0" w:lastRowFirstColumn="0" w:lastRowLastColumn="0"/>
              <w:rPr>
                <w:rFonts w:eastAsia="Calibri" w:cs="Times New Roman"/>
                <w:highlight w:val="lightGray"/>
              </w:rPr>
            </w:pPr>
            <w:r w:rsidRPr="0058152F">
              <w:rPr>
                <w:rFonts w:eastAsia="Calibri" w:cs="Times New Roman"/>
                <w:color w:val="auto"/>
              </w:rPr>
              <w:t>Aplicación de los recursos federales transferidos a las entidades federativas, en los destinos de gasto establecidos en la Ley de Coordinación Fiscal.</w:t>
            </w:r>
          </w:p>
        </w:tc>
      </w:tr>
    </w:tbl>
    <w:p w14:paraId="4D741465" w14:textId="4C4C8E9D" w:rsidR="002B3391" w:rsidRDefault="002B3391" w:rsidP="002B3391">
      <w:r w:rsidRPr="002B3391">
        <w:t>Cabe señalar que debido a que el FAFEF en Tamaulipas se utiliza, en su mayoría, para el apoyo a proyectos de inversión de la modalidad K, los cuales</w:t>
      </w:r>
      <w:r w:rsidR="00D55716">
        <w:t>,</w:t>
      </w:r>
      <w:r w:rsidRPr="002B3391">
        <w:t xml:space="preserve"> </w:t>
      </w:r>
      <w:r w:rsidR="00D55716" w:rsidRPr="002B3391">
        <w:t>de acuerdo con la Metodología del Marco Lógico (MML)</w:t>
      </w:r>
      <w:r w:rsidR="00D55716">
        <w:t>,</w:t>
      </w:r>
      <w:r w:rsidR="00D55716" w:rsidRPr="002B3391">
        <w:t xml:space="preserve"> </w:t>
      </w:r>
      <w:r w:rsidRPr="002B3391">
        <w:t xml:space="preserve">son considerados un medio para lograr la prestación de ciertos bienes y servicios en tanto son derivados de otros programas presupuestales. El FAFEF en Tamaulipas mide sus resultados a través los avances en las metas de los </w:t>
      </w:r>
      <w:r w:rsidRPr="002B3391">
        <w:lastRenderedPageBreak/>
        <w:t xml:space="preserve">Pp a los que se canaliza. En ese sentido, no se utiliza una Matriz de Indicadores para Resultados (MIR) específica para el Fondo conforme a la MML. Sin embargo, se identifica que el FAFEF en el </w:t>
      </w:r>
      <w:r w:rsidR="00EB40E7">
        <w:t>E</w:t>
      </w:r>
      <w:r w:rsidRPr="002B3391">
        <w:t xml:space="preserve">stado contribuye a dos indicadores establecidos en la MIR del FAFEF a nivel federal: </w:t>
      </w:r>
      <w:r w:rsidRPr="002B3391">
        <w:rPr>
          <w:i/>
          <w:iCs/>
        </w:rPr>
        <w:t xml:space="preserve">índice de impacto de deuda pública </w:t>
      </w:r>
      <w:r w:rsidRPr="002B3391">
        <w:t>y</w:t>
      </w:r>
      <w:r w:rsidRPr="002B3391">
        <w:rPr>
          <w:i/>
          <w:iCs/>
        </w:rPr>
        <w:t xml:space="preserve"> avance en el cumplimiento de las metas</w:t>
      </w:r>
      <w:r w:rsidRPr="002B3391">
        <w:t>, indicadores que se reportan a la SHCP.</w:t>
      </w:r>
    </w:p>
    <w:p w14:paraId="3170A81F" w14:textId="5A807DD1" w:rsidR="00120C30" w:rsidRPr="002B3391" w:rsidRDefault="00120C30" w:rsidP="002B3391">
      <w:r w:rsidRPr="00120C30">
        <w:t>Es importante precisar que la implantación de la estrategia del Presupuesto basado en Resultados (PbR) en Tamaulipas es muy reciente. Los “Criterios para la Incorporación de la Estrategia del Presupuesto Basado en Resultados en el Estado de Tamaulipas”, se emitieron inicialmente el 3 de agosto de 2018 (con miras a su aplicación para el ejercicio fiscal 2019) y se actualizaron el 26 de noviembre de 2019, lo cual quiere decir que si bien durante 2018 se incorporó en la estructura programática la figura de los programas presupuestarios, fue hasta 2019 que se empezaron a desarrollar gradualmente las primeras (MIR) y las primeras Fichas de Indicadores de Desempeño (FID) de los programas presupuestarios, las cuales fueron cargadas en el SIMIR, siendo 2019 el año en que inició su operación este sistema.</w:t>
      </w:r>
    </w:p>
    <w:p w14:paraId="793F45B3" w14:textId="77777777" w:rsidR="002B3391" w:rsidRPr="002B3391" w:rsidRDefault="002B3391" w:rsidP="00F92F32">
      <w:pPr>
        <w:widowControl w:val="0"/>
        <w:numPr>
          <w:ilvl w:val="0"/>
          <w:numId w:val="3"/>
        </w:numPr>
        <w:ind w:left="714" w:hanging="357"/>
        <w:rPr>
          <w:rFonts w:eastAsia="MS Mincho"/>
          <w:b/>
          <w:kern w:val="2"/>
          <w:lang w:eastAsia="ja-JP"/>
        </w:rPr>
      </w:pPr>
      <w:r w:rsidRPr="002B3391">
        <w:rPr>
          <w:rFonts w:eastAsia="MS Mincho" w:cs="Arial"/>
          <w:b/>
          <w:bCs/>
          <w:kern w:val="2"/>
          <w:lang w:eastAsia="ja-JP"/>
        </w:rPr>
        <w:t>Variación de la cantidad de recursos presupuestarios recibida por concepto del FAFEF en la entidad federativa de acuerdo con el Artículo 46 de la LCF en los últimos cinco ejercicios fiscales, así como lo siguiente:</w:t>
      </w:r>
    </w:p>
    <w:p w14:paraId="0B61CA28" w14:textId="77777777" w:rsidR="002B3391" w:rsidRPr="002B3391" w:rsidRDefault="002B3391" w:rsidP="002B3391">
      <w:pPr>
        <w:widowControl w:val="0"/>
        <w:ind w:left="360"/>
        <w:rPr>
          <w:rFonts w:eastAsia="MS Mincho"/>
          <w:i/>
          <w:iCs/>
          <w:kern w:val="2"/>
          <w:lang w:eastAsia="ja-JP"/>
        </w:rPr>
      </w:pPr>
      <w:r w:rsidRPr="002B3391">
        <w:rPr>
          <w:rFonts w:eastAsia="MS Mincho"/>
          <w:b/>
          <w:kern w:val="2"/>
          <w:lang w:eastAsia="ja-JP"/>
        </w:rPr>
        <w:t>•</w:t>
      </w:r>
      <w:r w:rsidRPr="002B3391">
        <w:rPr>
          <w:rFonts w:eastAsia="MS Mincho"/>
          <w:i/>
          <w:iCs/>
          <w:kern w:val="2"/>
          <w:lang w:eastAsia="ja-JP"/>
        </w:rPr>
        <w:tab/>
        <w:t>Descripción del comportamiento del ejercicio del Fondo en la entidad federativa por rubro, capítulo y/o partida de gasto.</w:t>
      </w:r>
    </w:p>
    <w:p w14:paraId="41952A30" w14:textId="14340709" w:rsidR="002B3391" w:rsidRDefault="00AD0C95" w:rsidP="002B3391">
      <w:r>
        <w:t xml:space="preserve">Según información proporcionada por la </w:t>
      </w:r>
      <w:r w:rsidR="00BC7AC5">
        <w:t>entidad federativa</w:t>
      </w:r>
      <w:r>
        <w:t>, mediante la entrevista semiestructurada, h</w:t>
      </w:r>
      <w:r w:rsidR="002B3391" w:rsidRPr="002B3391">
        <w:t>asta el ejercicio 2016, el 100% de los recursos del FAFEF se aplicó al saneamiento financiero, a través de la amortización de capital y pago de intereses de deuda pública. Sin embargo, a partir del ejercicio 2017, se comenzó a diversificar la utilización de los recursos del Fondo, determinando en principio utilizar un 47.13% del total de los recursos asignados al FAFEF para ese año hacia inversión en infraestructura física. Para el ejercicio 2018, el 86.</w:t>
      </w:r>
      <w:r>
        <w:t>7</w:t>
      </w:r>
      <w:r w:rsidR="002B3391" w:rsidRPr="002B3391">
        <w:t xml:space="preserve">% del presupuesto del Fondo, se destinó a cinco rubros de gasto: inversión en infraestructura un 78.90%, a modernización de los sistemas de recaudación 1.36%, a proyectos de investigación científica y desarrollo tecnológico 2.74%, y a educación pública 3.70%; en tanto que, al saneamiento financiero, se destinó el 13.30% de los recursos del FAFEF (Cuadro </w:t>
      </w:r>
      <w:r w:rsidR="00C50B93">
        <w:t>4</w:t>
      </w:r>
      <w:r w:rsidR="002B3391" w:rsidRPr="002B3391">
        <w:t>).</w:t>
      </w:r>
    </w:p>
    <w:p w14:paraId="00575D68" w14:textId="003215BD" w:rsidR="005B1E16" w:rsidRPr="002B3391" w:rsidRDefault="005B1E16" w:rsidP="005B1E16">
      <w:r w:rsidRPr="002B3391">
        <w:t xml:space="preserve">Cabe mencionar que, aunque la información proporcionada por la entidad </w:t>
      </w:r>
      <w:r w:rsidR="001E66D9">
        <w:t xml:space="preserve">federativa </w:t>
      </w:r>
      <w:r w:rsidRPr="002B3391">
        <w:t xml:space="preserve">hace referencia a haber destinado un 2.74% a proyectos de investigación científica y desarrollo tecnológico en el ejercicio fiscal 2018, este rubro no se identificó ni en la información de la asignación presupuestal por Pp que se muestra en el cuadro </w:t>
      </w:r>
      <w:r w:rsidR="003338BF">
        <w:t>2</w:t>
      </w:r>
      <w:r w:rsidRPr="002B3391">
        <w:t>, ni el los resultados de la auditoria 201</w:t>
      </w:r>
      <w:r w:rsidR="001652A2">
        <w:t>8</w:t>
      </w:r>
      <w:r w:rsidRPr="00342203">
        <w:rPr>
          <w:vertAlign w:val="superscript"/>
        </w:rPr>
        <w:footnoteReference w:id="10"/>
      </w:r>
      <w:r w:rsidRPr="002B3391">
        <w:t>.</w:t>
      </w:r>
      <w:r w:rsidR="00F62715">
        <w:t xml:space="preserve"> </w:t>
      </w:r>
      <w:r w:rsidR="00F62715" w:rsidRPr="005E6605">
        <w:t xml:space="preserve">Considerando lo anterior, se recomienda a la </w:t>
      </w:r>
      <w:r w:rsidR="00E32D73" w:rsidRPr="005E6605">
        <w:t>e</w:t>
      </w:r>
      <w:r w:rsidR="00F62715" w:rsidRPr="005E6605">
        <w:t xml:space="preserve">ntidad </w:t>
      </w:r>
      <w:r w:rsidR="00E32D73" w:rsidRPr="005E6605">
        <w:t>f</w:t>
      </w:r>
      <w:r w:rsidR="00F62715" w:rsidRPr="005E6605">
        <w:t>ederativa vigilar la congruencia en la información que se maneja en los documentos y reportes oficiales, respecto al ejercicio y destino de los recursos del Fondo.</w:t>
      </w:r>
    </w:p>
    <w:p w14:paraId="12803C1F" w14:textId="1025AB55" w:rsidR="002B3391" w:rsidRPr="002B3391" w:rsidRDefault="002B3391" w:rsidP="00DA2CF4">
      <w:pPr>
        <w:pStyle w:val="Cuadro"/>
        <w:rPr>
          <w:i/>
          <w:iCs/>
        </w:rPr>
      </w:pPr>
      <w:bookmarkStart w:id="25" w:name="_Toc55502388"/>
      <w:bookmarkStart w:id="26" w:name="_Toc55502505"/>
      <w:bookmarkStart w:id="27" w:name="_Toc56069931"/>
      <w:r w:rsidRPr="002B3391">
        <w:t xml:space="preserve">Cuadro </w:t>
      </w:r>
      <w:r w:rsidR="00C50B93">
        <w:t>4</w:t>
      </w:r>
      <w:r w:rsidRPr="002B3391">
        <w:t xml:space="preserve">. Ejercicio del FAFEF por rubro de gasto en </w:t>
      </w:r>
      <w:r w:rsidRPr="00DA2CF4">
        <w:t>Tamaulipas</w:t>
      </w:r>
      <w:r w:rsidRPr="002B3391">
        <w:t xml:space="preserve"> 2013-2018</w:t>
      </w:r>
      <w:bookmarkEnd w:id="25"/>
      <w:bookmarkEnd w:id="26"/>
      <w:bookmarkEnd w:id="27"/>
    </w:p>
    <w:tbl>
      <w:tblPr>
        <w:tblW w:w="5033"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70" w:type="dxa"/>
          <w:right w:w="70" w:type="dxa"/>
        </w:tblCellMar>
        <w:tblLook w:val="04A0" w:firstRow="1" w:lastRow="0" w:firstColumn="1" w:lastColumn="0" w:noHBand="0" w:noVBand="1"/>
      </w:tblPr>
      <w:tblGrid>
        <w:gridCol w:w="5270"/>
        <w:gridCol w:w="858"/>
        <w:gridCol w:w="998"/>
        <w:gridCol w:w="713"/>
        <w:gridCol w:w="711"/>
        <w:gridCol w:w="713"/>
        <w:gridCol w:w="743"/>
        <w:gridCol w:w="12"/>
      </w:tblGrid>
      <w:tr w:rsidR="002B3391" w:rsidRPr="003338BF" w14:paraId="014F778F" w14:textId="77777777" w:rsidTr="00DB7258">
        <w:trPr>
          <w:cantSplit/>
          <w:trHeight w:val="20"/>
          <w:tblHeader/>
        </w:trPr>
        <w:tc>
          <w:tcPr>
            <w:tcW w:w="2630" w:type="pct"/>
            <w:shd w:val="clear" w:color="auto" w:fill="9CC2E5"/>
            <w:noWrap/>
            <w:vAlign w:val="bottom"/>
            <w:hideMark/>
          </w:tcPr>
          <w:p w14:paraId="5C8F2C14" w14:textId="77777777" w:rsidR="002B3391" w:rsidRPr="003338BF" w:rsidRDefault="002B3391" w:rsidP="00DB7258">
            <w:pPr>
              <w:spacing w:before="0" w:after="0"/>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 </w:t>
            </w:r>
          </w:p>
        </w:tc>
        <w:tc>
          <w:tcPr>
            <w:tcW w:w="2370" w:type="pct"/>
            <w:gridSpan w:val="7"/>
            <w:shd w:val="clear" w:color="auto" w:fill="9CC2E5"/>
            <w:noWrap/>
            <w:vAlign w:val="bottom"/>
            <w:hideMark/>
          </w:tcPr>
          <w:p w14:paraId="7B9AEBA8"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Porcentaje de recursos</w:t>
            </w:r>
          </w:p>
        </w:tc>
      </w:tr>
      <w:tr w:rsidR="002B3391" w:rsidRPr="003338BF" w14:paraId="28E26E97" w14:textId="77777777" w:rsidTr="00DB7258">
        <w:trPr>
          <w:gridAfter w:val="1"/>
          <w:wAfter w:w="7" w:type="pct"/>
          <w:cantSplit/>
          <w:trHeight w:val="20"/>
          <w:tblHeader/>
        </w:trPr>
        <w:tc>
          <w:tcPr>
            <w:tcW w:w="2630" w:type="pct"/>
            <w:shd w:val="clear" w:color="auto" w:fill="9CC2E5"/>
            <w:noWrap/>
            <w:vAlign w:val="bottom"/>
            <w:hideMark/>
          </w:tcPr>
          <w:p w14:paraId="60AA4F3C" w14:textId="77777777" w:rsidR="002B3391" w:rsidRPr="003338BF" w:rsidRDefault="002B3391" w:rsidP="00DB7258">
            <w:pPr>
              <w:spacing w:before="0" w:after="0"/>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 Destino del gasto por rubro</w:t>
            </w:r>
          </w:p>
        </w:tc>
        <w:tc>
          <w:tcPr>
            <w:tcW w:w="428" w:type="pct"/>
            <w:shd w:val="clear" w:color="auto" w:fill="9CC2E5"/>
            <w:noWrap/>
            <w:vAlign w:val="bottom"/>
            <w:hideMark/>
          </w:tcPr>
          <w:p w14:paraId="00AEAA09"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2013</w:t>
            </w:r>
          </w:p>
        </w:tc>
        <w:tc>
          <w:tcPr>
            <w:tcW w:w="498" w:type="pct"/>
            <w:shd w:val="clear" w:color="auto" w:fill="9CC2E5"/>
            <w:noWrap/>
            <w:vAlign w:val="bottom"/>
            <w:hideMark/>
          </w:tcPr>
          <w:p w14:paraId="47BDD62A"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2014</w:t>
            </w:r>
          </w:p>
        </w:tc>
        <w:tc>
          <w:tcPr>
            <w:tcW w:w="356" w:type="pct"/>
            <w:shd w:val="clear" w:color="auto" w:fill="9CC2E5"/>
            <w:noWrap/>
            <w:vAlign w:val="bottom"/>
            <w:hideMark/>
          </w:tcPr>
          <w:p w14:paraId="58CDDA41"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2015</w:t>
            </w:r>
          </w:p>
        </w:tc>
        <w:tc>
          <w:tcPr>
            <w:tcW w:w="355" w:type="pct"/>
            <w:shd w:val="clear" w:color="auto" w:fill="9CC2E5"/>
            <w:noWrap/>
            <w:vAlign w:val="bottom"/>
            <w:hideMark/>
          </w:tcPr>
          <w:p w14:paraId="6C3AE27A"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2016</w:t>
            </w:r>
          </w:p>
        </w:tc>
        <w:tc>
          <w:tcPr>
            <w:tcW w:w="356" w:type="pct"/>
            <w:shd w:val="clear" w:color="auto" w:fill="9CC2E5"/>
            <w:noWrap/>
            <w:vAlign w:val="bottom"/>
            <w:hideMark/>
          </w:tcPr>
          <w:p w14:paraId="2A0F4D9F"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2017</w:t>
            </w:r>
          </w:p>
        </w:tc>
        <w:tc>
          <w:tcPr>
            <w:tcW w:w="371" w:type="pct"/>
            <w:shd w:val="clear" w:color="auto" w:fill="9CC2E5"/>
            <w:noWrap/>
            <w:vAlign w:val="bottom"/>
            <w:hideMark/>
          </w:tcPr>
          <w:p w14:paraId="2821846F" w14:textId="77777777" w:rsidR="002B3391" w:rsidRPr="003338BF" w:rsidRDefault="002B3391" w:rsidP="00DB7258">
            <w:pPr>
              <w:spacing w:before="0" w:after="0"/>
              <w:jc w:val="center"/>
              <w:rPr>
                <w:rFonts w:eastAsia="Times New Roman" w:cstheme="minorHAnsi"/>
                <w:b/>
                <w:bCs/>
                <w:color w:val="000000"/>
                <w:sz w:val="20"/>
                <w:szCs w:val="20"/>
                <w:lang w:eastAsia="es-MX"/>
              </w:rPr>
            </w:pPr>
            <w:r w:rsidRPr="003338BF">
              <w:rPr>
                <w:rFonts w:eastAsia="Times New Roman" w:cstheme="minorHAnsi"/>
                <w:b/>
                <w:bCs/>
                <w:color w:val="000000"/>
                <w:sz w:val="20"/>
                <w:szCs w:val="20"/>
                <w:lang w:eastAsia="es-MX"/>
              </w:rPr>
              <w:t>2018</w:t>
            </w:r>
          </w:p>
        </w:tc>
      </w:tr>
      <w:tr w:rsidR="002B3391" w:rsidRPr="003338BF" w14:paraId="4811E515" w14:textId="77777777" w:rsidTr="00DB7258">
        <w:trPr>
          <w:gridAfter w:val="1"/>
          <w:wAfter w:w="7" w:type="pct"/>
          <w:trHeight w:val="20"/>
        </w:trPr>
        <w:tc>
          <w:tcPr>
            <w:tcW w:w="2630" w:type="pct"/>
            <w:shd w:val="clear" w:color="auto" w:fill="auto"/>
            <w:noWrap/>
            <w:vAlign w:val="bottom"/>
            <w:hideMark/>
          </w:tcPr>
          <w:p w14:paraId="11B96FA6"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Inversión en infraestructura física</w:t>
            </w:r>
          </w:p>
        </w:tc>
        <w:tc>
          <w:tcPr>
            <w:tcW w:w="428" w:type="pct"/>
            <w:shd w:val="clear" w:color="auto" w:fill="auto"/>
            <w:noWrap/>
            <w:vAlign w:val="bottom"/>
          </w:tcPr>
          <w:p w14:paraId="11FCF02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2F95A82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1B611C3E"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778526D9"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4A30591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46.65</w:t>
            </w:r>
          </w:p>
        </w:tc>
        <w:tc>
          <w:tcPr>
            <w:tcW w:w="371" w:type="pct"/>
            <w:shd w:val="clear" w:color="auto" w:fill="auto"/>
            <w:noWrap/>
            <w:vAlign w:val="bottom"/>
          </w:tcPr>
          <w:p w14:paraId="3BD72777"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78.90</w:t>
            </w:r>
          </w:p>
        </w:tc>
      </w:tr>
      <w:tr w:rsidR="002B3391" w:rsidRPr="003338BF" w14:paraId="300BB954" w14:textId="77777777" w:rsidTr="00DB7258">
        <w:trPr>
          <w:gridAfter w:val="1"/>
          <w:wAfter w:w="7" w:type="pct"/>
          <w:trHeight w:val="20"/>
        </w:trPr>
        <w:tc>
          <w:tcPr>
            <w:tcW w:w="2630" w:type="pct"/>
            <w:shd w:val="clear" w:color="auto" w:fill="auto"/>
            <w:noWrap/>
            <w:vAlign w:val="bottom"/>
            <w:hideMark/>
          </w:tcPr>
          <w:p w14:paraId="718E4333"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Saneamiento financiero (amortización de deuda pública)</w:t>
            </w:r>
          </w:p>
        </w:tc>
        <w:tc>
          <w:tcPr>
            <w:tcW w:w="428" w:type="pct"/>
            <w:shd w:val="clear" w:color="auto" w:fill="auto"/>
            <w:noWrap/>
            <w:vAlign w:val="bottom"/>
          </w:tcPr>
          <w:p w14:paraId="79B4DCEE"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100</w:t>
            </w:r>
          </w:p>
        </w:tc>
        <w:tc>
          <w:tcPr>
            <w:tcW w:w="498" w:type="pct"/>
            <w:shd w:val="clear" w:color="auto" w:fill="auto"/>
            <w:noWrap/>
            <w:vAlign w:val="bottom"/>
          </w:tcPr>
          <w:p w14:paraId="2A8C9BC3"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100</w:t>
            </w:r>
          </w:p>
        </w:tc>
        <w:tc>
          <w:tcPr>
            <w:tcW w:w="356" w:type="pct"/>
            <w:shd w:val="clear" w:color="auto" w:fill="auto"/>
            <w:noWrap/>
            <w:vAlign w:val="bottom"/>
          </w:tcPr>
          <w:p w14:paraId="6F4040B5"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100</w:t>
            </w:r>
          </w:p>
        </w:tc>
        <w:tc>
          <w:tcPr>
            <w:tcW w:w="355" w:type="pct"/>
            <w:shd w:val="clear" w:color="auto" w:fill="auto"/>
            <w:noWrap/>
            <w:vAlign w:val="bottom"/>
          </w:tcPr>
          <w:p w14:paraId="0EFF5AC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100</w:t>
            </w:r>
          </w:p>
        </w:tc>
        <w:tc>
          <w:tcPr>
            <w:tcW w:w="356" w:type="pct"/>
            <w:shd w:val="clear" w:color="auto" w:fill="auto"/>
            <w:noWrap/>
            <w:vAlign w:val="bottom"/>
          </w:tcPr>
          <w:p w14:paraId="754AB4BF"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53.35</w:t>
            </w:r>
          </w:p>
        </w:tc>
        <w:tc>
          <w:tcPr>
            <w:tcW w:w="371" w:type="pct"/>
            <w:shd w:val="clear" w:color="auto" w:fill="auto"/>
            <w:noWrap/>
            <w:vAlign w:val="bottom"/>
          </w:tcPr>
          <w:p w14:paraId="4E04FA8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13.30</w:t>
            </w:r>
          </w:p>
        </w:tc>
      </w:tr>
      <w:tr w:rsidR="002B3391" w:rsidRPr="003338BF" w14:paraId="7648C358" w14:textId="77777777" w:rsidTr="00DB7258">
        <w:trPr>
          <w:gridAfter w:val="1"/>
          <w:wAfter w:w="7" w:type="pct"/>
          <w:trHeight w:val="20"/>
        </w:trPr>
        <w:tc>
          <w:tcPr>
            <w:tcW w:w="2630" w:type="pct"/>
            <w:shd w:val="clear" w:color="auto" w:fill="auto"/>
            <w:noWrap/>
            <w:vAlign w:val="bottom"/>
            <w:hideMark/>
          </w:tcPr>
          <w:p w14:paraId="4CD18C67"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Saneamiento de pensiones</w:t>
            </w:r>
          </w:p>
        </w:tc>
        <w:tc>
          <w:tcPr>
            <w:tcW w:w="428" w:type="pct"/>
            <w:shd w:val="clear" w:color="auto" w:fill="auto"/>
            <w:noWrap/>
            <w:vAlign w:val="bottom"/>
          </w:tcPr>
          <w:p w14:paraId="1E0430CC"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21D0D2BC"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63313ADB"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72ABC51D"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42B5D668"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54EF2AC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r>
      <w:tr w:rsidR="002B3391" w:rsidRPr="003338BF" w14:paraId="73CBF802" w14:textId="77777777" w:rsidTr="00DB7258">
        <w:trPr>
          <w:gridAfter w:val="1"/>
          <w:wAfter w:w="7" w:type="pct"/>
          <w:trHeight w:val="20"/>
        </w:trPr>
        <w:tc>
          <w:tcPr>
            <w:tcW w:w="2630" w:type="pct"/>
            <w:shd w:val="clear" w:color="auto" w:fill="auto"/>
            <w:noWrap/>
            <w:vAlign w:val="bottom"/>
            <w:hideMark/>
          </w:tcPr>
          <w:p w14:paraId="607B09DE"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Modernización de los registros públicos de la propiedad y del comercio locales</w:t>
            </w:r>
          </w:p>
        </w:tc>
        <w:tc>
          <w:tcPr>
            <w:tcW w:w="428" w:type="pct"/>
            <w:shd w:val="clear" w:color="auto" w:fill="auto"/>
            <w:noWrap/>
            <w:vAlign w:val="bottom"/>
          </w:tcPr>
          <w:p w14:paraId="6B367013"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22766E5B"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347470CD"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721836D8"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25FCFC8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7570647D"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r>
      <w:tr w:rsidR="002B3391" w:rsidRPr="003338BF" w14:paraId="2EEF2647" w14:textId="77777777" w:rsidTr="00DB7258">
        <w:trPr>
          <w:gridAfter w:val="1"/>
          <w:wAfter w:w="7" w:type="pct"/>
          <w:trHeight w:val="20"/>
        </w:trPr>
        <w:tc>
          <w:tcPr>
            <w:tcW w:w="2630" w:type="pct"/>
            <w:shd w:val="clear" w:color="auto" w:fill="auto"/>
            <w:noWrap/>
            <w:vAlign w:val="bottom"/>
            <w:hideMark/>
          </w:tcPr>
          <w:p w14:paraId="72F65471"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Modernizar los sistemas de recaudación</w:t>
            </w:r>
          </w:p>
        </w:tc>
        <w:tc>
          <w:tcPr>
            <w:tcW w:w="428" w:type="pct"/>
            <w:shd w:val="clear" w:color="auto" w:fill="auto"/>
            <w:noWrap/>
            <w:vAlign w:val="bottom"/>
          </w:tcPr>
          <w:p w14:paraId="6F126CA8"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30DF61BE"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04B5817B"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4234FBC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05AC3F64"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3C088BFC"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1.36</w:t>
            </w:r>
          </w:p>
        </w:tc>
      </w:tr>
      <w:tr w:rsidR="002B3391" w:rsidRPr="00C13A9E" w14:paraId="1DB0A400" w14:textId="77777777" w:rsidTr="00DB7258">
        <w:trPr>
          <w:gridAfter w:val="1"/>
          <w:wAfter w:w="7" w:type="pct"/>
          <w:trHeight w:val="20"/>
        </w:trPr>
        <w:tc>
          <w:tcPr>
            <w:tcW w:w="2630" w:type="pct"/>
            <w:shd w:val="clear" w:color="auto" w:fill="auto"/>
            <w:noWrap/>
            <w:vAlign w:val="bottom"/>
            <w:hideMark/>
          </w:tcPr>
          <w:p w14:paraId="279C4291" w14:textId="77777777" w:rsidR="002B3391" w:rsidRPr="00751B3F" w:rsidRDefault="002B3391" w:rsidP="00DB7258">
            <w:pPr>
              <w:spacing w:before="0" w:after="0"/>
              <w:rPr>
                <w:rFonts w:eastAsia="Times New Roman" w:cstheme="minorHAnsi"/>
                <w:color w:val="000000"/>
                <w:sz w:val="20"/>
                <w:szCs w:val="20"/>
                <w:lang w:eastAsia="es-MX"/>
              </w:rPr>
            </w:pPr>
            <w:r w:rsidRPr="00751B3F">
              <w:rPr>
                <w:rFonts w:eastAsia="Times New Roman" w:cstheme="minorHAnsi"/>
                <w:color w:val="000000"/>
                <w:sz w:val="20"/>
                <w:szCs w:val="20"/>
                <w:lang w:eastAsia="es-MX"/>
              </w:rPr>
              <w:t>Proyectos de investigación científica y desarrollo tecnológico*</w:t>
            </w:r>
          </w:p>
        </w:tc>
        <w:tc>
          <w:tcPr>
            <w:tcW w:w="428" w:type="pct"/>
            <w:shd w:val="clear" w:color="auto" w:fill="auto"/>
            <w:noWrap/>
            <w:vAlign w:val="bottom"/>
          </w:tcPr>
          <w:p w14:paraId="30B2872C"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0</w:t>
            </w:r>
          </w:p>
        </w:tc>
        <w:tc>
          <w:tcPr>
            <w:tcW w:w="498" w:type="pct"/>
            <w:shd w:val="clear" w:color="auto" w:fill="auto"/>
            <w:noWrap/>
            <w:vAlign w:val="bottom"/>
          </w:tcPr>
          <w:p w14:paraId="4BF87C4C"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0</w:t>
            </w:r>
          </w:p>
        </w:tc>
        <w:tc>
          <w:tcPr>
            <w:tcW w:w="356" w:type="pct"/>
            <w:shd w:val="clear" w:color="auto" w:fill="auto"/>
            <w:noWrap/>
            <w:vAlign w:val="bottom"/>
          </w:tcPr>
          <w:p w14:paraId="16C55D3B"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0</w:t>
            </w:r>
          </w:p>
        </w:tc>
        <w:tc>
          <w:tcPr>
            <w:tcW w:w="355" w:type="pct"/>
            <w:shd w:val="clear" w:color="auto" w:fill="auto"/>
            <w:noWrap/>
            <w:vAlign w:val="bottom"/>
          </w:tcPr>
          <w:p w14:paraId="2C96704F"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0</w:t>
            </w:r>
          </w:p>
        </w:tc>
        <w:tc>
          <w:tcPr>
            <w:tcW w:w="356" w:type="pct"/>
            <w:shd w:val="clear" w:color="auto" w:fill="auto"/>
            <w:noWrap/>
            <w:vAlign w:val="bottom"/>
          </w:tcPr>
          <w:p w14:paraId="225F524E"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0</w:t>
            </w:r>
          </w:p>
        </w:tc>
        <w:tc>
          <w:tcPr>
            <w:tcW w:w="371" w:type="pct"/>
            <w:shd w:val="clear" w:color="auto" w:fill="auto"/>
            <w:noWrap/>
            <w:vAlign w:val="bottom"/>
          </w:tcPr>
          <w:p w14:paraId="3DE53861" w14:textId="77777777" w:rsidR="002B3391" w:rsidRPr="00751B3F" w:rsidRDefault="002B3391" w:rsidP="00DB7258">
            <w:pPr>
              <w:spacing w:before="0" w:after="0"/>
              <w:jc w:val="center"/>
              <w:rPr>
                <w:rFonts w:eastAsia="Times New Roman" w:cstheme="minorHAnsi"/>
                <w:color w:val="000000"/>
                <w:sz w:val="20"/>
                <w:szCs w:val="20"/>
                <w:lang w:eastAsia="es-MX"/>
              </w:rPr>
            </w:pPr>
            <w:r w:rsidRPr="00751B3F">
              <w:rPr>
                <w:rFonts w:eastAsia="Times New Roman" w:cstheme="minorHAnsi"/>
                <w:color w:val="000000"/>
                <w:sz w:val="20"/>
                <w:szCs w:val="20"/>
                <w:lang w:eastAsia="es-MX"/>
              </w:rPr>
              <w:t>2.74</w:t>
            </w:r>
          </w:p>
        </w:tc>
      </w:tr>
      <w:tr w:rsidR="002B3391" w:rsidRPr="003338BF" w14:paraId="5E38D245" w14:textId="77777777" w:rsidTr="00DB7258">
        <w:trPr>
          <w:gridAfter w:val="1"/>
          <w:wAfter w:w="7" w:type="pct"/>
          <w:trHeight w:val="20"/>
        </w:trPr>
        <w:tc>
          <w:tcPr>
            <w:tcW w:w="2630" w:type="pct"/>
            <w:shd w:val="clear" w:color="auto" w:fill="auto"/>
            <w:noWrap/>
            <w:vAlign w:val="bottom"/>
            <w:hideMark/>
          </w:tcPr>
          <w:p w14:paraId="1C9067C6"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Sistemas de protección civil</w:t>
            </w:r>
          </w:p>
        </w:tc>
        <w:tc>
          <w:tcPr>
            <w:tcW w:w="428" w:type="pct"/>
            <w:shd w:val="clear" w:color="auto" w:fill="auto"/>
            <w:noWrap/>
            <w:vAlign w:val="bottom"/>
          </w:tcPr>
          <w:p w14:paraId="6AE9CD40"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2674048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4BDEF860"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43EB575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36825DA0"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424EA5BB"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r>
      <w:tr w:rsidR="002B3391" w:rsidRPr="003338BF" w14:paraId="78CFAD0B" w14:textId="77777777" w:rsidTr="00DB7258">
        <w:trPr>
          <w:gridAfter w:val="1"/>
          <w:wAfter w:w="7" w:type="pct"/>
          <w:trHeight w:val="20"/>
        </w:trPr>
        <w:tc>
          <w:tcPr>
            <w:tcW w:w="2630" w:type="pct"/>
            <w:shd w:val="clear" w:color="auto" w:fill="auto"/>
            <w:noWrap/>
            <w:vAlign w:val="bottom"/>
            <w:hideMark/>
          </w:tcPr>
          <w:p w14:paraId="44E78B04" w14:textId="77777777"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lastRenderedPageBreak/>
              <w:t>Educación pública</w:t>
            </w:r>
          </w:p>
        </w:tc>
        <w:tc>
          <w:tcPr>
            <w:tcW w:w="428" w:type="pct"/>
            <w:shd w:val="clear" w:color="auto" w:fill="auto"/>
            <w:noWrap/>
            <w:vAlign w:val="bottom"/>
          </w:tcPr>
          <w:p w14:paraId="01CCEC27"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2D8C4386"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79073DB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25D7F571"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68EFC70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51B3C66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3.70</w:t>
            </w:r>
          </w:p>
        </w:tc>
      </w:tr>
      <w:tr w:rsidR="002B3391" w:rsidRPr="003338BF" w14:paraId="06D71FB6" w14:textId="77777777" w:rsidTr="00DB7258">
        <w:trPr>
          <w:gridAfter w:val="1"/>
          <w:wAfter w:w="7" w:type="pct"/>
          <w:trHeight w:val="20"/>
        </w:trPr>
        <w:tc>
          <w:tcPr>
            <w:tcW w:w="2630" w:type="pct"/>
            <w:shd w:val="clear" w:color="auto" w:fill="auto"/>
            <w:noWrap/>
            <w:vAlign w:val="bottom"/>
            <w:hideMark/>
          </w:tcPr>
          <w:p w14:paraId="522E6559" w14:textId="73379535" w:rsidR="002B3391" w:rsidRPr="003338BF" w:rsidRDefault="002B3391" w:rsidP="00DB7258">
            <w:pPr>
              <w:spacing w:before="0" w:after="0"/>
              <w:rPr>
                <w:rFonts w:eastAsia="Times New Roman" w:cstheme="minorHAnsi"/>
                <w:color w:val="000000"/>
                <w:sz w:val="20"/>
                <w:szCs w:val="20"/>
                <w:lang w:eastAsia="es-MX"/>
              </w:rPr>
            </w:pPr>
            <w:r w:rsidRPr="003338BF">
              <w:rPr>
                <w:rFonts w:eastAsia="Times New Roman" w:cstheme="minorHAnsi"/>
                <w:color w:val="000000"/>
                <w:sz w:val="20"/>
                <w:szCs w:val="20"/>
                <w:lang w:eastAsia="es-MX"/>
              </w:rPr>
              <w:t xml:space="preserve">Fondos constituidos por los Estados para apoyar proyectos de infraestructura </w:t>
            </w:r>
          </w:p>
        </w:tc>
        <w:tc>
          <w:tcPr>
            <w:tcW w:w="428" w:type="pct"/>
            <w:shd w:val="clear" w:color="auto" w:fill="auto"/>
            <w:noWrap/>
            <w:vAlign w:val="bottom"/>
          </w:tcPr>
          <w:p w14:paraId="58F2E5F7"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498" w:type="pct"/>
            <w:shd w:val="clear" w:color="auto" w:fill="auto"/>
            <w:noWrap/>
            <w:vAlign w:val="bottom"/>
          </w:tcPr>
          <w:p w14:paraId="796D1E60"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6A334D6C"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5" w:type="pct"/>
            <w:shd w:val="clear" w:color="auto" w:fill="auto"/>
            <w:noWrap/>
            <w:vAlign w:val="bottom"/>
          </w:tcPr>
          <w:p w14:paraId="4D2E0E83"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56" w:type="pct"/>
            <w:shd w:val="clear" w:color="auto" w:fill="auto"/>
            <w:noWrap/>
            <w:vAlign w:val="bottom"/>
          </w:tcPr>
          <w:p w14:paraId="7AEF8F1A"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c>
          <w:tcPr>
            <w:tcW w:w="371" w:type="pct"/>
            <w:shd w:val="clear" w:color="auto" w:fill="auto"/>
            <w:noWrap/>
            <w:vAlign w:val="bottom"/>
          </w:tcPr>
          <w:p w14:paraId="5351DEA4" w14:textId="77777777" w:rsidR="002B3391" w:rsidRPr="003338BF" w:rsidRDefault="002B3391" w:rsidP="00DB7258">
            <w:pPr>
              <w:spacing w:before="0" w:after="0"/>
              <w:jc w:val="center"/>
              <w:rPr>
                <w:rFonts w:eastAsia="Times New Roman" w:cstheme="minorHAnsi"/>
                <w:color w:val="000000"/>
                <w:sz w:val="20"/>
                <w:szCs w:val="20"/>
                <w:lang w:eastAsia="es-MX"/>
              </w:rPr>
            </w:pPr>
            <w:r w:rsidRPr="003338BF">
              <w:rPr>
                <w:rFonts w:eastAsia="Times New Roman" w:cstheme="minorHAnsi"/>
                <w:color w:val="000000"/>
                <w:sz w:val="20"/>
                <w:szCs w:val="20"/>
                <w:lang w:eastAsia="es-MX"/>
              </w:rPr>
              <w:t>0</w:t>
            </w:r>
          </w:p>
        </w:tc>
      </w:tr>
    </w:tbl>
    <w:p w14:paraId="05E82C56" w14:textId="2491157C" w:rsidR="002B3391" w:rsidRDefault="002B3391" w:rsidP="005B1E16">
      <w:pPr>
        <w:spacing w:before="0"/>
        <w:rPr>
          <w:sz w:val="18"/>
          <w:szCs w:val="18"/>
        </w:rPr>
      </w:pPr>
      <w:r w:rsidRPr="00455C8A">
        <w:rPr>
          <w:rStyle w:val="FuenteCar"/>
        </w:rPr>
        <w:t>Fuente: Elaboración propia con base en información recopilada mediante la entrevista realizada a funcionarios estatales en el marco de la evaluación</w:t>
      </w:r>
      <w:r w:rsidRPr="00451BBA">
        <w:rPr>
          <w:sz w:val="18"/>
          <w:szCs w:val="18"/>
        </w:rPr>
        <w:t>.</w:t>
      </w:r>
    </w:p>
    <w:p w14:paraId="1636F5C5" w14:textId="77777777" w:rsidR="002B3391" w:rsidRPr="002B3391" w:rsidRDefault="002B3391" w:rsidP="00F92F32">
      <w:pPr>
        <w:numPr>
          <w:ilvl w:val="0"/>
          <w:numId w:val="11"/>
        </w:numPr>
        <w:spacing w:before="0" w:after="0"/>
        <w:contextualSpacing/>
        <w:rPr>
          <w:rFonts w:eastAsia="MS Mincho"/>
          <w:i/>
          <w:iCs/>
          <w:kern w:val="2"/>
          <w:lang w:eastAsia="ja-JP"/>
        </w:rPr>
      </w:pPr>
      <w:r w:rsidRPr="002B3391">
        <w:rPr>
          <w:rFonts w:eastAsia="MS Mincho"/>
          <w:i/>
          <w:iCs/>
          <w:kern w:val="2"/>
          <w:lang w:eastAsia="ja-JP"/>
        </w:rPr>
        <w:t>Porcentaje que la cantidad de recursos presupuestarios recibida por concepto del FAFEF ha representado respecto del presupuesto total de la entidad federativa de los últimos cinco ejercicios fiscales.</w:t>
      </w:r>
    </w:p>
    <w:p w14:paraId="69DAC40A" w14:textId="3E17EFB8" w:rsidR="00ED2B94" w:rsidRDefault="00C5769B" w:rsidP="002B3391">
      <w:r>
        <w:t xml:space="preserve">A nivel nacional, </w:t>
      </w:r>
      <w:r w:rsidR="00ED2B94">
        <w:t>las Aportaciones Federales (Ramo 33) resaltan por ser el segundo componente más importante del Gasto Federalizado al registrar</w:t>
      </w:r>
      <w:r>
        <w:t xml:space="preserve">, </w:t>
      </w:r>
      <w:r w:rsidR="00ED2B94">
        <w:t>en 2018</w:t>
      </w:r>
      <w:r>
        <w:t>,</w:t>
      </w:r>
      <w:r w:rsidR="00ED2B94">
        <w:t xml:space="preserve"> un monto estimado de 739 mil 54.2 mdp, cifra que representa el 42.3 por ciento del total de recursos que se transfieren a los </w:t>
      </w:r>
      <w:r w:rsidR="00EB40E7">
        <w:t>E</w:t>
      </w:r>
      <w:r w:rsidR="00ED2B94">
        <w:t>stados y municipios del país. Este Ramo, pertenece al Gasto Programable, por lo que su asignación debe cumplirse independientemente de la evolución de la recaudación o de cualquier otra variable. Su carácter es compensatorio, es decir, tiene como fin asignar recursos en proporción directa a los rezagos y necesidades que observan las entidades federativas en materia de salud, educación, infraestructura, desarrollo social, saneamiento financiero, entre otros.</w:t>
      </w:r>
    </w:p>
    <w:p w14:paraId="463F02DF" w14:textId="14B6F966" w:rsidR="00C5769B" w:rsidRDefault="00ED2B94" w:rsidP="002B3391">
      <w:r>
        <w:t>En el Estado de Tamaulipas</w:t>
      </w:r>
      <w:r w:rsidR="00E152AE">
        <w:t>,</w:t>
      </w:r>
      <w:r>
        <w:t xml:space="preserve"> el Ramo 33 representó en 2018 un 42% del gasto federalizado canalizado a </w:t>
      </w:r>
      <w:r w:rsidR="00FF7973">
        <w:t>esta entidad federativa</w:t>
      </w:r>
      <w:r>
        <w:t>, sólo por debajo de los recursos transferidos mediante el Ramo 28.</w:t>
      </w:r>
      <w:r w:rsidR="000D55C1">
        <w:t xml:space="preserve"> El FAFEF en el </w:t>
      </w:r>
      <w:r w:rsidR="00EB40E7">
        <w:t>E</w:t>
      </w:r>
      <w:r w:rsidR="000D55C1">
        <w:t xml:space="preserve">stado de Tamaulipas representó, en 2018, el 5.10% de las aportaciones federales canalizadas a través del Ramo 33, ubicándose sólo por debajo de FONE (60.96%), FASSA (14.14%) y FORTAMUNDF (10.26%). </w:t>
      </w:r>
      <w:r w:rsidR="00C5769B">
        <w:t xml:space="preserve">Estos datos dan cuenta de la importancia del gasto federalizado en </w:t>
      </w:r>
      <w:r w:rsidR="00FF7973">
        <w:t>Tamaulipas</w:t>
      </w:r>
      <w:r w:rsidR="00C5769B">
        <w:t xml:space="preserve"> y en especial de los recursos canalizados en la modalidad de aportaciones federales, ya que 4 de cada 10 pesos que se gastan en la entidad</w:t>
      </w:r>
      <w:r w:rsidR="00FF7973">
        <w:t xml:space="preserve"> federativa</w:t>
      </w:r>
      <w:r w:rsidR="00C5769B">
        <w:t>, corresponden al Ramo 33.</w:t>
      </w:r>
    </w:p>
    <w:p w14:paraId="21597A78" w14:textId="1A5F9824" w:rsidR="00116FE8" w:rsidRDefault="002B3391" w:rsidP="002B3391">
      <w:r w:rsidRPr="002B3391">
        <w:t xml:space="preserve">Durante los últimos cinco años, la cantidad de recursos presupuestarios </w:t>
      </w:r>
      <w:r w:rsidR="00CA7816">
        <w:t xml:space="preserve">recibidos </w:t>
      </w:r>
      <w:r w:rsidRPr="002B3391">
        <w:t xml:space="preserve">por concepto del FAFEF en </w:t>
      </w:r>
      <w:r w:rsidR="00CA7816">
        <w:t>Tamaulipas</w:t>
      </w:r>
      <w:r w:rsidRPr="002B3391">
        <w:t>, ha tenido una tasa de crecimiento promedio de 4.75%</w:t>
      </w:r>
      <w:r w:rsidR="00116FE8">
        <w:t>; a est</w:t>
      </w:r>
      <w:r w:rsidR="00706AE7">
        <w:t>e</w:t>
      </w:r>
      <w:r w:rsidR="00116FE8">
        <w:t xml:space="preserve"> </w:t>
      </w:r>
      <w:r w:rsidR="00706AE7">
        <w:t>Estado</w:t>
      </w:r>
      <w:r w:rsidR="00CA7816">
        <w:t xml:space="preserve"> </w:t>
      </w:r>
      <w:r w:rsidR="00116FE8">
        <w:t xml:space="preserve">se le han asignado en este mismo periodo un promedio de 2.67% del </w:t>
      </w:r>
      <w:r w:rsidR="00116FE8" w:rsidRPr="002B3391">
        <w:t>presupuesto total del FAFEF a nivel federal</w:t>
      </w:r>
      <w:r w:rsidR="00B82E13">
        <w:t>,</w:t>
      </w:r>
      <w:r w:rsidR="00B82E13" w:rsidRPr="00B82E13">
        <w:t xml:space="preserve"> </w:t>
      </w:r>
      <w:r w:rsidR="00B82E13">
        <w:t>ubicando a esta entidad</w:t>
      </w:r>
      <w:r w:rsidR="00706AE7">
        <w:t xml:space="preserve"> federativa</w:t>
      </w:r>
      <w:r w:rsidR="00B82E13">
        <w:t xml:space="preserve"> como la número 14 en relación con los montos que recibe de este Fondo</w:t>
      </w:r>
      <w:r w:rsidR="00272D90">
        <w:t xml:space="preserve"> (Figura 1).</w:t>
      </w:r>
    </w:p>
    <w:p w14:paraId="52BB693D" w14:textId="77777777" w:rsidR="000D55C1" w:rsidRPr="002B3391" w:rsidRDefault="000D55C1" w:rsidP="000D55C1">
      <w:pPr>
        <w:numPr>
          <w:ilvl w:val="0"/>
          <w:numId w:val="11"/>
        </w:numPr>
        <w:spacing w:before="0" w:after="0"/>
        <w:contextualSpacing/>
        <w:rPr>
          <w:rFonts w:eastAsia="MS Mincho"/>
          <w:i/>
          <w:iCs/>
          <w:kern w:val="2"/>
          <w:lang w:eastAsia="ja-JP"/>
        </w:rPr>
      </w:pPr>
      <w:r w:rsidRPr="002B3391">
        <w:rPr>
          <w:rFonts w:eastAsia="MS Mincho"/>
          <w:i/>
          <w:iCs/>
          <w:kern w:val="2"/>
          <w:lang w:eastAsia="ja-JP"/>
        </w:rPr>
        <w:t>Porcentaje que la cantidad de recursos presupuestarios recibida por concepto del FAFEF ha</w:t>
      </w:r>
      <w:r>
        <w:rPr>
          <w:rFonts w:eastAsia="MS Mincho"/>
          <w:i/>
          <w:iCs/>
          <w:kern w:val="2"/>
          <w:lang w:eastAsia="ja-JP"/>
        </w:rPr>
        <w:t xml:space="preserve"> </w:t>
      </w:r>
      <w:r w:rsidRPr="002B3391">
        <w:rPr>
          <w:rFonts w:eastAsia="MS Mincho"/>
          <w:i/>
          <w:iCs/>
          <w:kern w:val="2"/>
          <w:lang w:eastAsia="ja-JP"/>
        </w:rPr>
        <w:t>representado respecto del presupuesto total de la entidad federativa de los últimos cinco ejercicios fiscales.</w:t>
      </w:r>
    </w:p>
    <w:p w14:paraId="66594699" w14:textId="2980C1CC" w:rsidR="00254594" w:rsidRDefault="00EC036E" w:rsidP="000D55C1">
      <w:r>
        <w:t xml:space="preserve">En los últimos cinco ejercicios fiscales (2014-2018) el </w:t>
      </w:r>
      <w:r w:rsidR="00CF7549">
        <w:t>E</w:t>
      </w:r>
      <w:r>
        <w:t>stado de Tamaulipas ha recibido recursos por parte del FAFEF en un equivalente promedio al 2.15% del presupuesto total de la entidad</w:t>
      </w:r>
      <w:r w:rsidR="00706AE7">
        <w:t xml:space="preserve"> federativa</w:t>
      </w:r>
      <w:r>
        <w:t xml:space="preserve"> en ese mismo periodo. </w:t>
      </w:r>
      <w:r w:rsidR="004E5D5C">
        <w:t xml:space="preserve">La asignación de recursos </w:t>
      </w:r>
      <w:r w:rsidR="00386CF3">
        <w:t>del FAFEF</w:t>
      </w:r>
      <w:r w:rsidR="004E5D5C">
        <w:t xml:space="preserve"> a Tamaulipas tuvo un incremento del 24% entre 2014 y 2018 pasando de 863.84 mdp a 1</w:t>
      </w:r>
      <w:r w:rsidR="009D5A4B">
        <w:t>,</w:t>
      </w:r>
      <w:r w:rsidR="004E5D5C">
        <w:t>068 mdp respectivamente</w:t>
      </w:r>
      <w:r w:rsidR="00022FC0">
        <w:t xml:space="preserve"> (Cuadro 5)</w:t>
      </w:r>
      <w:r w:rsidR="004E5D5C">
        <w:t xml:space="preserve">. </w:t>
      </w:r>
    </w:p>
    <w:p w14:paraId="10328385" w14:textId="09507907" w:rsidR="002B3391" w:rsidRPr="00451BBA" w:rsidRDefault="002B3391" w:rsidP="000D55C1">
      <w:pPr>
        <w:pStyle w:val="Figura"/>
        <w:spacing w:after="0"/>
      </w:pPr>
      <w:r w:rsidRPr="00451BBA">
        <w:lastRenderedPageBreak/>
        <w:t>Infografía</w:t>
      </w:r>
      <w:r w:rsidR="00E21571">
        <w:t>.</w:t>
      </w:r>
      <w:r w:rsidRPr="00451BBA">
        <w:t xml:space="preserve"> </w:t>
      </w:r>
      <w:r w:rsidR="00E21571">
        <w:t>P</w:t>
      </w:r>
      <w:r w:rsidRPr="00451BBA">
        <w:t xml:space="preserve">orcentaje del presupuesto FAFEF en </w:t>
      </w:r>
      <w:r w:rsidR="00565BD2">
        <w:t>la entidad federativa</w:t>
      </w:r>
      <w:r w:rsidRPr="00451BBA">
        <w:t xml:space="preserve"> respecto del presupuesto del FAFEF a nivel federal y del presupuesto total de la </w:t>
      </w:r>
      <w:r w:rsidR="00E32D73">
        <w:t>e</w:t>
      </w:r>
      <w:r w:rsidR="00BC7AC5">
        <w:t xml:space="preserve">ntidad </w:t>
      </w:r>
      <w:r w:rsidR="00E32D73">
        <w:t>f</w:t>
      </w:r>
      <w:r w:rsidR="00BC7AC5">
        <w:t>ederativa</w:t>
      </w:r>
      <w:r w:rsidRPr="00451BBA">
        <w:t xml:space="preserve"> </w:t>
      </w:r>
      <w:r w:rsidR="00AC3A2D" w:rsidRPr="00AC3A2D">
        <w:rPr>
          <w:i/>
          <w:iCs/>
          <w:color w:val="auto"/>
        </w:rPr>
        <w:t>(Mdp</w:t>
      </w:r>
      <w:r w:rsidR="00AC3A2D" w:rsidRPr="00AC3A2D">
        <w:rPr>
          <w:i/>
          <w:iCs/>
          <w:color w:val="auto"/>
          <w:vertAlign w:val="superscript"/>
        </w:rPr>
        <w:t>1</w:t>
      </w:r>
      <w:r w:rsidR="00AC3A2D" w:rsidRPr="00AC3A2D">
        <w:rPr>
          <w:i/>
          <w:iCs/>
          <w:color w:val="auto"/>
        </w:rPr>
        <w:t xml:space="preserve"> a precios corrientes)</w:t>
      </w:r>
      <w:r w:rsidRPr="00AC3A2D">
        <w:rPr>
          <w:i/>
          <w:iCs/>
        </w:rPr>
        <w:t>.</w:t>
      </w:r>
    </w:p>
    <w:p w14:paraId="67A26957" w14:textId="77777777" w:rsidR="004E5702" w:rsidRDefault="002B3391" w:rsidP="000D55C1">
      <w:pPr>
        <w:spacing w:before="0" w:after="0"/>
        <w:jc w:val="left"/>
        <w:rPr>
          <w:rStyle w:val="FuenteCar"/>
        </w:rPr>
      </w:pPr>
      <w:r w:rsidRPr="002B3391">
        <w:rPr>
          <w:noProof/>
          <w:lang w:eastAsia="es-MX"/>
        </w:rPr>
        <w:drawing>
          <wp:inline distT="0" distB="0" distL="0" distR="0" wp14:anchorId="34EA976B" wp14:editId="3C87FD91">
            <wp:extent cx="6307623" cy="31242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7046" b="6087"/>
                    <a:stretch/>
                  </pic:blipFill>
                  <pic:spPr bwMode="auto">
                    <a:xfrm>
                      <a:off x="0" y="0"/>
                      <a:ext cx="6344701" cy="3142565"/>
                    </a:xfrm>
                    <a:prstGeom prst="rect">
                      <a:avLst/>
                    </a:prstGeom>
                    <a:noFill/>
                    <a:ln>
                      <a:noFill/>
                    </a:ln>
                    <a:extLst>
                      <a:ext uri="{53640926-AAD7-44D8-BBD7-CCE9431645EC}">
                        <a14:shadowObscured xmlns:a14="http://schemas.microsoft.com/office/drawing/2010/main"/>
                      </a:ext>
                    </a:extLst>
                  </pic:spPr>
                </pic:pic>
              </a:graphicData>
            </a:graphic>
          </wp:inline>
        </w:drawing>
      </w:r>
    </w:p>
    <w:p w14:paraId="314215D4" w14:textId="77777777" w:rsidR="004E5702" w:rsidRDefault="004E5702" w:rsidP="004E5702">
      <w:pPr>
        <w:spacing w:before="60" w:after="0"/>
        <w:rPr>
          <w:rStyle w:val="Hipervnculo"/>
          <w:rFonts w:cs="Arial"/>
          <w:bCs/>
          <w:color w:val="auto"/>
          <w:sz w:val="18"/>
          <w:szCs w:val="18"/>
          <w:u w:val="none"/>
        </w:rPr>
      </w:pPr>
      <w:r w:rsidRPr="003E532E">
        <w:rPr>
          <w:rStyle w:val="Hipervnculo"/>
          <w:rFonts w:cs="Arial"/>
          <w:bCs/>
          <w:color w:val="auto"/>
          <w:sz w:val="18"/>
          <w:szCs w:val="18"/>
          <w:u w:val="none"/>
          <w:vertAlign w:val="superscript"/>
        </w:rPr>
        <w:t>1</w:t>
      </w:r>
      <w:r>
        <w:rPr>
          <w:rStyle w:val="Hipervnculo"/>
          <w:rFonts w:cs="Arial"/>
          <w:bCs/>
          <w:color w:val="auto"/>
          <w:sz w:val="18"/>
          <w:szCs w:val="18"/>
          <w:u w:val="none"/>
        </w:rPr>
        <w:t>/Mdp: Millones de pesos.</w:t>
      </w:r>
    </w:p>
    <w:p w14:paraId="7CEC4441" w14:textId="7540F0A8" w:rsidR="002B3391" w:rsidRPr="002B3391" w:rsidRDefault="002B3391" w:rsidP="000D55C1">
      <w:pPr>
        <w:spacing w:before="0" w:after="0"/>
        <w:jc w:val="left"/>
      </w:pPr>
      <w:r w:rsidRPr="00455C8A">
        <w:rPr>
          <w:rStyle w:val="FuenteCar"/>
        </w:rPr>
        <w:t>Fuente: Elaboración propia con base en información del DOF</w:t>
      </w:r>
      <w:r w:rsidRPr="00455C8A">
        <w:rPr>
          <w:rStyle w:val="FuenteCar"/>
        </w:rPr>
        <w:footnoteReference w:id="11"/>
      </w:r>
      <w:r w:rsidRPr="00455C8A">
        <w:rPr>
          <w:rStyle w:val="FuenteCar"/>
        </w:rPr>
        <w:t xml:space="preserve"> y los decretos de Presupuesto de egreso del Estado de Tamaulipas 2014-20</w:t>
      </w:r>
      <w:r w:rsidR="00DC7470" w:rsidRPr="00455C8A">
        <w:rPr>
          <w:rStyle w:val="FuenteCar"/>
        </w:rPr>
        <w:t>18</w:t>
      </w:r>
      <w:r w:rsidRPr="00451BBA">
        <w:rPr>
          <w:sz w:val="18"/>
          <w:szCs w:val="18"/>
          <w:vertAlign w:val="superscript"/>
        </w:rPr>
        <w:footnoteReference w:id="12"/>
      </w:r>
      <w:r w:rsidRPr="00451BBA">
        <w:rPr>
          <w:sz w:val="18"/>
          <w:szCs w:val="18"/>
        </w:rPr>
        <w:t>.</w:t>
      </w:r>
      <w:r w:rsidRPr="002B3391">
        <w:t xml:space="preserve"> </w:t>
      </w:r>
    </w:p>
    <w:p w14:paraId="1F18BE76" w14:textId="5D79313E" w:rsidR="002B3391" w:rsidRPr="002B3391" w:rsidRDefault="002B3391" w:rsidP="000D55C1">
      <w:pPr>
        <w:pStyle w:val="Cuadro"/>
      </w:pPr>
      <w:bookmarkStart w:id="28" w:name="_Hlk47931516"/>
      <w:bookmarkStart w:id="29" w:name="_Toc55502389"/>
      <w:bookmarkStart w:id="30" w:name="_Toc55502506"/>
      <w:bookmarkStart w:id="31" w:name="_Toc56069932"/>
      <w:r w:rsidRPr="002B3391">
        <w:t xml:space="preserve">Cuadro 5. Evolución del presupuesto FAFEF en </w:t>
      </w:r>
      <w:r w:rsidR="00887EC5">
        <w:t>Tamaulipas</w:t>
      </w:r>
      <w:r w:rsidRPr="002B3391">
        <w:t xml:space="preserve"> y su importancia en el presupuesto estatal.</w:t>
      </w:r>
      <w:bookmarkEnd w:id="28"/>
      <w:bookmarkEnd w:id="29"/>
      <w:bookmarkEnd w:id="30"/>
      <w:bookmarkEnd w:id="31"/>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1523"/>
        <w:gridCol w:w="1523"/>
        <w:gridCol w:w="1523"/>
        <w:gridCol w:w="2337"/>
        <w:gridCol w:w="1523"/>
        <w:gridCol w:w="1523"/>
      </w:tblGrid>
      <w:tr w:rsidR="002B3391" w:rsidRPr="00451BBA" w14:paraId="3250AF0A" w14:textId="77777777" w:rsidTr="00AD147F">
        <w:trPr>
          <w:trHeight w:val="20"/>
          <w:tblHeader/>
        </w:trPr>
        <w:tc>
          <w:tcPr>
            <w:tcW w:w="765" w:type="pct"/>
            <w:vMerge w:val="restart"/>
            <w:shd w:val="clear" w:color="auto" w:fill="9CC2E5"/>
            <w:vAlign w:val="center"/>
            <w:hideMark/>
          </w:tcPr>
          <w:p w14:paraId="134F7AC7"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Ejercicio fiscal</w:t>
            </w:r>
          </w:p>
        </w:tc>
        <w:tc>
          <w:tcPr>
            <w:tcW w:w="765" w:type="pct"/>
            <w:shd w:val="clear" w:color="auto" w:fill="9CC2E5"/>
            <w:vAlign w:val="center"/>
            <w:hideMark/>
          </w:tcPr>
          <w:p w14:paraId="6B25E9D3"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Presupuesto FAFEF de Tamaulipas</w:t>
            </w:r>
          </w:p>
        </w:tc>
        <w:tc>
          <w:tcPr>
            <w:tcW w:w="765" w:type="pct"/>
            <w:shd w:val="clear" w:color="auto" w:fill="9CC2E5"/>
            <w:vAlign w:val="center"/>
            <w:hideMark/>
          </w:tcPr>
          <w:p w14:paraId="28883313"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Presupuesto total FAFEF a nivel federal</w:t>
            </w:r>
          </w:p>
        </w:tc>
        <w:tc>
          <w:tcPr>
            <w:tcW w:w="1174" w:type="pct"/>
            <w:shd w:val="clear" w:color="auto" w:fill="9CC2E5"/>
            <w:vAlign w:val="center"/>
            <w:hideMark/>
          </w:tcPr>
          <w:p w14:paraId="0C1C1747"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Presupuesto total Estado de Tamaulipas</w:t>
            </w:r>
          </w:p>
        </w:tc>
        <w:tc>
          <w:tcPr>
            <w:tcW w:w="765" w:type="pct"/>
            <w:shd w:val="clear" w:color="auto" w:fill="9CC2E5"/>
            <w:vAlign w:val="center"/>
            <w:hideMark/>
          </w:tcPr>
          <w:p w14:paraId="2CB5BB30" w14:textId="1E95E192"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Porcentaje FAFEF</w:t>
            </w:r>
            <w:r w:rsidR="00826CDE">
              <w:rPr>
                <w:rFonts w:eastAsia="Times New Roman" w:cs="Times New Roman"/>
                <w:b/>
                <w:bCs/>
                <w:color w:val="000000"/>
                <w:sz w:val="20"/>
                <w:szCs w:val="20"/>
                <w:lang w:eastAsia="es-MX"/>
              </w:rPr>
              <w:t xml:space="preserve"> </w:t>
            </w:r>
            <w:r w:rsidRPr="00451BBA">
              <w:rPr>
                <w:rFonts w:eastAsia="Times New Roman" w:cs="Times New Roman"/>
                <w:b/>
                <w:bCs/>
                <w:color w:val="000000"/>
                <w:sz w:val="20"/>
                <w:szCs w:val="20"/>
                <w:lang w:eastAsia="es-MX"/>
              </w:rPr>
              <w:t>Tamaulipas respecto al total del FAFEF</w:t>
            </w:r>
            <w:r w:rsidR="00826CDE">
              <w:rPr>
                <w:rFonts w:eastAsia="Times New Roman" w:cs="Times New Roman"/>
                <w:b/>
                <w:bCs/>
                <w:color w:val="000000"/>
                <w:sz w:val="20"/>
                <w:szCs w:val="20"/>
                <w:lang w:eastAsia="es-MX"/>
              </w:rPr>
              <w:t xml:space="preserve"> </w:t>
            </w:r>
          </w:p>
        </w:tc>
        <w:tc>
          <w:tcPr>
            <w:tcW w:w="765" w:type="pct"/>
            <w:shd w:val="clear" w:color="auto" w:fill="9CC2E5"/>
            <w:vAlign w:val="center"/>
            <w:hideMark/>
          </w:tcPr>
          <w:p w14:paraId="52DAE359" w14:textId="4C2CE23D"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Porcentaje FAFEF Tamaulipas respecto al total de la entidad</w:t>
            </w:r>
            <w:r w:rsidR="0074431C">
              <w:rPr>
                <w:rFonts w:eastAsia="Times New Roman" w:cs="Times New Roman"/>
                <w:b/>
                <w:bCs/>
                <w:color w:val="000000"/>
                <w:sz w:val="20"/>
                <w:szCs w:val="20"/>
                <w:lang w:eastAsia="es-MX"/>
              </w:rPr>
              <w:t xml:space="preserve"> federativa</w:t>
            </w:r>
            <w:r w:rsidRPr="00451BBA">
              <w:rPr>
                <w:rFonts w:eastAsia="Times New Roman" w:cs="Times New Roman"/>
                <w:b/>
                <w:bCs/>
                <w:color w:val="000000"/>
                <w:sz w:val="20"/>
                <w:szCs w:val="20"/>
                <w:lang w:eastAsia="es-MX"/>
              </w:rPr>
              <w:t xml:space="preserve"> </w:t>
            </w:r>
          </w:p>
        </w:tc>
      </w:tr>
      <w:tr w:rsidR="002B3391" w:rsidRPr="00451BBA" w14:paraId="499544D0" w14:textId="77777777" w:rsidTr="00AD147F">
        <w:trPr>
          <w:trHeight w:val="20"/>
          <w:tblHeader/>
        </w:trPr>
        <w:tc>
          <w:tcPr>
            <w:tcW w:w="765" w:type="pct"/>
            <w:vMerge/>
            <w:shd w:val="clear" w:color="auto" w:fill="9CC2E5"/>
            <w:vAlign w:val="center"/>
            <w:hideMark/>
          </w:tcPr>
          <w:p w14:paraId="5C57E713" w14:textId="77777777" w:rsidR="002B3391" w:rsidRPr="00451BBA" w:rsidRDefault="002B3391" w:rsidP="000D55C1">
            <w:pPr>
              <w:spacing w:before="0" w:after="0"/>
              <w:jc w:val="left"/>
              <w:rPr>
                <w:rFonts w:eastAsia="Times New Roman" w:cs="Times New Roman"/>
                <w:b/>
                <w:bCs/>
                <w:color w:val="000000"/>
                <w:sz w:val="20"/>
                <w:szCs w:val="20"/>
                <w:lang w:eastAsia="es-MX"/>
              </w:rPr>
            </w:pPr>
          </w:p>
        </w:tc>
        <w:tc>
          <w:tcPr>
            <w:tcW w:w="765" w:type="pct"/>
            <w:shd w:val="clear" w:color="auto" w:fill="9CC2E5"/>
            <w:vAlign w:val="center"/>
            <w:hideMark/>
          </w:tcPr>
          <w:p w14:paraId="3348B8F1"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(A)</w:t>
            </w:r>
          </w:p>
        </w:tc>
        <w:tc>
          <w:tcPr>
            <w:tcW w:w="765" w:type="pct"/>
            <w:shd w:val="clear" w:color="auto" w:fill="9CC2E5"/>
            <w:vAlign w:val="center"/>
            <w:hideMark/>
          </w:tcPr>
          <w:p w14:paraId="07EBC4C1"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(B)</w:t>
            </w:r>
          </w:p>
        </w:tc>
        <w:tc>
          <w:tcPr>
            <w:tcW w:w="1174" w:type="pct"/>
            <w:shd w:val="clear" w:color="auto" w:fill="9CC2E5"/>
            <w:vAlign w:val="center"/>
            <w:hideMark/>
          </w:tcPr>
          <w:p w14:paraId="7AE7D35C"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(C)</w:t>
            </w:r>
          </w:p>
        </w:tc>
        <w:tc>
          <w:tcPr>
            <w:tcW w:w="765" w:type="pct"/>
            <w:shd w:val="clear" w:color="auto" w:fill="9CC2E5"/>
            <w:vAlign w:val="center"/>
            <w:hideMark/>
          </w:tcPr>
          <w:p w14:paraId="2AA479EB"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(A/B)*100</w:t>
            </w:r>
          </w:p>
        </w:tc>
        <w:tc>
          <w:tcPr>
            <w:tcW w:w="765" w:type="pct"/>
            <w:shd w:val="clear" w:color="auto" w:fill="9CC2E5"/>
            <w:vAlign w:val="center"/>
            <w:hideMark/>
          </w:tcPr>
          <w:p w14:paraId="02E5EBD7" w14:textId="77777777" w:rsidR="002B3391" w:rsidRPr="00451BBA" w:rsidRDefault="002B3391" w:rsidP="000D55C1">
            <w:pPr>
              <w:spacing w:before="0" w:after="0"/>
              <w:jc w:val="center"/>
              <w:rPr>
                <w:rFonts w:eastAsia="Times New Roman" w:cs="Times New Roman"/>
                <w:b/>
                <w:bCs/>
                <w:color w:val="000000"/>
                <w:sz w:val="20"/>
                <w:szCs w:val="20"/>
                <w:lang w:eastAsia="es-MX"/>
              </w:rPr>
            </w:pPr>
            <w:r w:rsidRPr="00451BBA">
              <w:rPr>
                <w:rFonts w:eastAsia="Times New Roman" w:cs="Times New Roman"/>
                <w:b/>
                <w:bCs/>
                <w:color w:val="000000"/>
                <w:sz w:val="20"/>
                <w:szCs w:val="20"/>
                <w:lang w:eastAsia="es-MX"/>
              </w:rPr>
              <w:t>(A/C)</w:t>
            </w:r>
          </w:p>
        </w:tc>
      </w:tr>
      <w:tr w:rsidR="002B3391" w:rsidRPr="00451BBA" w14:paraId="41A5E54A" w14:textId="77777777" w:rsidTr="00AD147F">
        <w:trPr>
          <w:trHeight w:val="20"/>
          <w:tblHeader/>
        </w:trPr>
        <w:tc>
          <w:tcPr>
            <w:tcW w:w="765" w:type="pct"/>
            <w:vMerge/>
            <w:shd w:val="clear" w:color="auto" w:fill="9CC2E5"/>
            <w:vAlign w:val="center"/>
            <w:hideMark/>
          </w:tcPr>
          <w:p w14:paraId="7E7DB1C2" w14:textId="77777777" w:rsidR="002B3391" w:rsidRPr="00451BBA" w:rsidRDefault="002B3391" w:rsidP="000D55C1">
            <w:pPr>
              <w:spacing w:before="0" w:after="0"/>
              <w:jc w:val="left"/>
              <w:rPr>
                <w:rFonts w:eastAsia="Times New Roman" w:cs="Times New Roman"/>
                <w:b/>
                <w:bCs/>
                <w:color w:val="000000"/>
                <w:sz w:val="20"/>
                <w:szCs w:val="20"/>
                <w:lang w:eastAsia="es-MX"/>
              </w:rPr>
            </w:pPr>
          </w:p>
        </w:tc>
        <w:tc>
          <w:tcPr>
            <w:tcW w:w="2704" w:type="pct"/>
            <w:gridSpan w:val="3"/>
            <w:shd w:val="clear" w:color="auto" w:fill="9CC2E5"/>
            <w:vAlign w:val="center"/>
            <w:hideMark/>
          </w:tcPr>
          <w:p w14:paraId="37195A49" w14:textId="4883C688" w:rsidR="002B3391" w:rsidRPr="00451BBA" w:rsidRDefault="00361EB3" w:rsidP="000D55C1">
            <w:pPr>
              <w:spacing w:before="0" w:after="0"/>
              <w:jc w:val="center"/>
              <w:rPr>
                <w:rFonts w:eastAsia="Times New Roman" w:cs="Times New Roman"/>
                <w:b/>
                <w:bCs/>
                <w:i/>
                <w:iCs/>
                <w:color w:val="000000"/>
                <w:sz w:val="20"/>
                <w:szCs w:val="20"/>
                <w:lang w:eastAsia="es-MX"/>
              </w:rPr>
            </w:pPr>
            <w:r w:rsidRPr="005A3EC2">
              <w:rPr>
                <w:rFonts w:eastAsia="Times New Roman" w:cstheme="minorHAnsi"/>
                <w:b/>
                <w:bCs/>
                <w:i/>
                <w:iCs/>
                <w:color w:val="000000"/>
                <w:sz w:val="20"/>
                <w:szCs w:val="20"/>
                <w:lang w:eastAsia="es-MX"/>
              </w:rPr>
              <w:t>(</w:t>
            </w:r>
            <w:r>
              <w:rPr>
                <w:rFonts w:eastAsia="Times New Roman" w:cstheme="minorHAnsi"/>
                <w:b/>
                <w:bCs/>
                <w:i/>
                <w:iCs/>
                <w:color w:val="000000"/>
                <w:sz w:val="20"/>
                <w:szCs w:val="20"/>
                <w:lang w:eastAsia="es-MX"/>
              </w:rPr>
              <w:t>Mdp</w:t>
            </w:r>
            <w:r w:rsidRPr="005A3EC2">
              <w:rPr>
                <w:rFonts w:eastAsia="Times New Roman" w:cstheme="minorHAnsi"/>
                <w:b/>
                <w:bCs/>
                <w:i/>
                <w:iCs/>
                <w:color w:val="000000"/>
                <w:sz w:val="20"/>
                <w:szCs w:val="20"/>
                <w:lang w:eastAsia="es-MX"/>
              </w:rPr>
              <w:t>)</w:t>
            </w:r>
            <w:r w:rsidRPr="00466813">
              <w:rPr>
                <w:rFonts w:eastAsia="Times New Roman" w:cstheme="minorHAnsi"/>
                <w:b/>
                <w:bCs/>
                <w:i/>
                <w:iCs/>
                <w:color w:val="000000"/>
                <w:sz w:val="20"/>
                <w:szCs w:val="20"/>
                <w:vertAlign w:val="superscript"/>
                <w:lang w:eastAsia="es-MX"/>
              </w:rPr>
              <w:t>1</w:t>
            </w:r>
          </w:p>
        </w:tc>
        <w:tc>
          <w:tcPr>
            <w:tcW w:w="765" w:type="pct"/>
            <w:shd w:val="clear" w:color="auto" w:fill="9CC2E5"/>
            <w:vAlign w:val="center"/>
            <w:hideMark/>
          </w:tcPr>
          <w:p w14:paraId="62A97144" w14:textId="77777777" w:rsidR="002B3391" w:rsidRPr="00451BBA" w:rsidRDefault="002B3391" w:rsidP="000D55C1">
            <w:pPr>
              <w:spacing w:before="0" w:after="0"/>
              <w:jc w:val="left"/>
              <w:rPr>
                <w:rFonts w:eastAsia="Times New Roman" w:cs="Times New Roman"/>
                <w:color w:val="000000"/>
                <w:sz w:val="20"/>
                <w:szCs w:val="20"/>
                <w:lang w:eastAsia="es-MX"/>
              </w:rPr>
            </w:pPr>
            <w:r w:rsidRPr="00451BBA">
              <w:rPr>
                <w:rFonts w:eastAsia="Times New Roman" w:cs="Times New Roman"/>
                <w:color w:val="000000"/>
                <w:sz w:val="20"/>
                <w:szCs w:val="20"/>
                <w:lang w:eastAsia="es-MX"/>
              </w:rPr>
              <w:t> </w:t>
            </w:r>
          </w:p>
        </w:tc>
        <w:tc>
          <w:tcPr>
            <w:tcW w:w="765" w:type="pct"/>
            <w:shd w:val="clear" w:color="auto" w:fill="9CC2E5"/>
            <w:vAlign w:val="center"/>
            <w:hideMark/>
          </w:tcPr>
          <w:p w14:paraId="196B3A3D" w14:textId="77777777" w:rsidR="002B3391" w:rsidRPr="00451BBA" w:rsidRDefault="002B3391" w:rsidP="000D55C1">
            <w:pPr>
              <w:spacing w:before="0" w:after="0"/>
              <w:jc w:val="left"/>
              <w:rPr>
                <w:rFonts w:eastAsia="Times New Roman" w:cs="Times New Roman"/>
                <w:color w:val="000000"/>
                <w:sz w:val="20"/>
                <w:szCs w:val="20"/>
                <w:lang w:eastAsia="es-MX"/>
              </w:rPr>
            </w:pPr>
            <w:r w:rsidRPr="00451BBA">
              <w:rPr>
                <w:rFonts w:eastAsia="Times New Roman" w:cs="Times New Roman"/>
                <w:color w:val="000000"/>
                <w:sz w:val="20"/>
                <w:szCs w:val="20"/>
                <w:lang w:eastAsia="es-MX"/>
              </w:rPr>
              <w:t> </w:t>
            </w:r>
          </w:p>
        </w:tc>
      </w:tr>
      <w:tr w:rsidR="002B3391" w:rsidRPr="00451BBA" w14:paraId="5A98773C" w14:textId="77777777" w:rsidTr="00AD147F">
        <w:trPr>
          <w:trHeight w:val="20"/>
        </w:trPr>
        <w:tc>
          <w:tcPr>
            <w:tcW w:w="765" w:type="pct"/>
            <w:shd w:val="clear" w:color="auto" w:fill="auto"/>
            <w:noWrap/>
            <w:vAlign w:val="center"/>
            <w:hideMark/>
          </w:tcPr>
          <w:p w14:paraId="145A2B64"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2014</w:t>
            </w:r>
          </w:p>
        </w:tc>
        <w:tc>
          <w:tcPr>
            <w:tcW w:w="765" w:type="pct"/>
            <w:shd w:val="clear" w:color="auto" w:fill="auto"/>
            <w:noWrap/>
            <w:vAlign w:val="center"/>
            <w:hideMark/>
          </w:tcPr>
          <w:p w14:paraId="623F573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863.84</w:t>
            </w:r>
          </w:p>
        </w:tc>
        <w:tc>
          <w:tcPr>
            <w:tcW w:w="765" w:type="pct"/>
            <w:shd w:val="clear" w:color="auto" w:fill="auto"/>
            <w:noWrap/>
            <w:vAlign w:val="center"/>
            <w:hideMark/>
          </w:tcPr>
          <w:p w14:paraId="3300F806"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32,054.20</w:t>
            </w:r>
          </w:p>
        </w:tc>
        <w:tc>
          <w:tcPr>
            <w:tcW w:w="1174" w:type="pct"/>
            <w:shd w:val="clear" w:color="auto" w:fill="auto"/>
            <w:noWrap/>
            <w:vAlign w:val="center"/>
            <w:hideMark/>
          </w:tcPr>
          <w:p w14:paraId="4737D65F"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37,108.90</w:t>
            </w:r>
          </w:p>
        </w:tc>
        <w:tc>
          <w:tcPr>
            <w:tcW w:w="765" w:type="pct"/>
            <w:shd w:val="clear" w:color="auto" w:fill="auto"/>
            <w:noWrap/>
            <w:vAlign w:val="center"/>
            <w:hideMark/>
          </w:tcPr>
          <w:p w14:paraId="4427CC55"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2.69</w:t>
            </w:r>
          </w:p>
        </w:tc>
        <w:tc>
          <w:tcPr>
            <w:tcW w:w="765" w:type="pct"/>
            <w:shd w:val="clear" w:color="auto" w:fill="auto"/>
            <w:noWrap/>
            <w:vAlign w:val="center"/>
            <w:hideMark/>
          </w:tcPr>
          <w:p w14:paraId="45D6C034"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2.33</w:t>
            </w:r>
          </w:p>
        </w:tc>
      </w:tr>
      <w:tr w:rsidR="002B3391" w:rsidRPr="00451BBA" w14:paraId="0C25FDC1" w14:textId="77777777" w:rsidTr="00AD147F">
        <w:trPr>
          <w:trHeight w:val="20"/>
        </w:trPr>
        <w:tc>
          <w:tcPr>
            <w:tcW w:w="765" w:type="pct"/>
            <w:shd w:val="clear" w:color="auto" w:fill="auto"/>
            <w:noWrap/>
            <w:vAlign w:val="center"/>
            <w:hideMark/>
          </w:tcPr>
          <w:p w14:paraId="26232BAA"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2015</w:t>
            </w:r>
          </w:p>
        </w:tc>
        <w:tc>
          <w:tcPr>
            <w:tcW w:w="765" w:type="pct"/>
            <w:shd w:val="clear" w:color="auto" w:fill="auto"/>
            <w:noWrap/>
            <w:vAlign w:val="center"/>
            <w:hideMark/>
          </w:tcPr>
          <w:p w14:paraId="2E4EDDB1"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873.74</w:t>
            </w:r>
          </w:p>
        </w:tc>
        <w:tc>
          <w:tcPr>
            <w:tcW w:w="765" w:type="pct"/>
            <w:shd w:val="clear" w:color="auto" w:fill="auto"/>
            <w:noWrap/>
            <w:vAlign w:val="center"/>
            <w:hideMark/>
          </w:tcPr>
          <w:p w14:paraId="229BAD57"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32,380.80</w:t>
            </w:r>
          </w:p>
        </w:tc>
        <w:tc>
          <w:tcPr>
            <w:tcW w:w="1174" w:type="pct"/>
            <w:shd w:val="clear" w:color="auto" w:fill="auto"/>
            <w:noWrap/>
            <w:vAlign w:val="center"/>
            <w:hideMark/>
          </w:tcPr>
          <w:p w14:paraId="4955948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41,668.48</w:t>
            </w:r>
          </w:p>
        </w:tc>
        <w:tc>
          <w:tcPr>
            <w:tcW w:w="765" w:type="pct"/>
            <w:shd w:val="clear" w:color="auto" w:fill="auto"/>
            <w:noWrap/>
            <w:vAlign w:val="center"/>
            <w:hideMark/>
          </w:tcPr>
          <w:p w14:paraId="732F1804"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2.70</w:t>
            </w:r>
          </w:p>
        </w:tc>
        <w:tc>
          <w:tcPr>
            <w:tcW w:w="765" w:type="pct"/>
            <w:shd w:val="clear" w:color="auto" w:fill="auto"/>
            <w:noWrap/>
            <w:vAlign w:val="center"/>
            <w:hideMark/>
          </w:tcPr>
          <w:p w14:paraId="70B934A8"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2.10</w:t>
            </w:r>
          </w:p>
        </w:tc>
      </w:tr>
      <w:tr w:rsidR="002B3391" w:rsidRPr="00451BBA" w14:paraId="4FFB37E9" w14:textId="77777777" w:rsidTr="00AD147F">
        <w:trPr>
          <w:trHeight w:val="20"/>
        </w:trPr>
        <w:tc>
          <w:tcPr>
            <w:tcW w:w="765" w:type="pct"/>
            <w:shd w:val="clear" w:color="auto" w:fill="auto"/>
            <w:noWrap/>
            <w:vAlign w:val="center"/>
            <w:hideMark/>
          </w:tcPr>
          <w:p w14:paraId="28849E2C"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2016</w:t>
            </w:r>
          </w:p>
        </w:tc>
        <w:tc>
          <w:tcPr>
            <w:tcW w:w="765" w:type="pct"/>
            <w:shd w:val="clear" w:color="auto" w:fill="auto"/>
            <w:noWrap/>
            <w:vAlign w:val="center"/>
            <w:hideMark/>
          </w:tcPr>
          <w:p w14:paraId="02B4B549"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904.01</w:t>
            </w:r>
          </w:p>
        </w:tc>
        <w:tc>
          <w:tcPr>
            <w:tcW w:w="765" w:type="pct"/>
            <w:shd w:val="clear" w:color="auto" w:fill="auto"/>
            <w:noWrap/>
            <w:vAlign w:val="center"/>
            <w:hideMark/>
          </w:tcPr>
          <w:p w14:paraId="699B66F1"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33,995.10</w:t>
            </w:r>
          </w:p>
        </w:tc>
        <w:tc>
          <w:tcPr>
            <w:tcW w:w="1174" w:type="pct"/>
            <w:shd w:val="clear" w:color="auto" w:fill="auto"/>
            <w:noWrap/>
            <w:vAlign w:val="center"/>
            <w:hideMark/>
          </w:tcPr>
          <w:p w14:paraId="09C918F4"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43,652.52</w:t>
            </w:r>
          </w:p>
        </w:tc>
        <w:tc>
          <w:tcPr>
            <w:tcW w:w="765" w:type="pct"/>
            <w:shd w:val="clear" w:color="auto" w:fill="auto"/>
            <w:noWrap/>
            <w:vAlign w:val="center"/>
            <w:hideMark/>
          </w:tcPr>
          <w:p w14:paraId="02CEF441"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2.66</w:t>
            </w:r>
          </w:p>
        </w:tc>
        <w:tc>
          <w:tcPr>
            <w:tcW w:w="765" w:type="pct"/>
            <w:shd w:val="clear" w:color="auto" w:fill="auto"/>
            <w:noWrap/>
            <w:vAlign w:val="center"/>
            <w:hideMark/>
          </w:tcPr>
          <w:p w14:paraId="587D0A26"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2.07</w:t>
            </w:r>
          </w:p>
        </w:tc>
      </w:tr>
      <w:tr w:rsidR="002B3391" w:rsidRPr="00451BBA" w14:paraId="780A8810" w14:textId="77777777" w:rsidTr="00AD147F">
        <w:trPr>
          <w:trHeight w:val="20"/>
        </w:trPr>
        <w:tc>
          <w:tcPr>
            <w:tcW w:w="765" w:type="pct"/>
            <w:shd w:val="clear" w:color="auto" w:fill="auto"/>
            <w:noWrap/>
            <w:vAlign w:val="center"/>
            <w:hideMark/>
          </w:tcPr>
          <w:p w14:paraId="739CC9E5"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2017</w:t>
            </w:r>
          </w:p>
        </w:tc>
        <w:tc>
          <w:tcPr>
            <w:tcW w:w="765" w:type="pct"/>
            <w:shd w:val="clear" w:color="auto" w:fill="auto"/>
            <w:noWrap/>
            <w:vAlign w:val="center"/>
            <w:hideMark/>
          </w:tcPr>
          <w:p w14:paraId="60FA57BE"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981.76</w:t>
            </w:r>
          </w:p>
        </w:tc>
        <w:tc>
          <w:tcPr>
            <w:tcW w:w="765" w:type="pct"/>
            <w:shd w:val="clear" w:color="auto" w:fill="auto"/>
            <w:noWrap/>
            <w:vAlign w:val="center"/>
            <w:hideMark/>
          </w:tcPr>
          <w:p w14:paraId="7F04F01B"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37,316.40</w:t>
            </w:r>
          </w:p>
        </w:tc>
        <w:tc>
          <w:tcPr>
            <w:tcW w:w="1174" w:type="pct"/>
            <w:shd w:val="clear" w:color="auto" w:fill="auto"/>
            <w:noWrap/>
            <w:vAlign w:val="center"/>
            <w:hideMark/>
          </w:tcPr>
          <w:p w14:paraId="7B7C4513"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46,329.48</w:t>
            </w:r>
          </w:p>
        </w:tc>
        <w:tc>
          <w:tcPr>
            <w:tcW w:w="765" w:type="pct"/>
            <w:shd w:val="clear" w:color="auto" w:fill="auto"/>
            <w:noWrap/>
            <w:vAlign w:val="center"/>
            <w:hideMark/>
          </w:tcPr>
          <w:p w14:paraId="6972E11C"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2.63</w:t>
            </w:r>
          </w:p>
        </w:tc>
        <w:tc>
          <w:tcPr>
            <w:tcW w:w="765" w:type="pct"/>
            <w:shd w:val="clear" w:color="auto" w:fill="auto"/>
            <w:noWrap/>
            <w:vAlign w:val="center"/>
            <w:hideMark/>
          </w:tcPr>
          <w:p w14:paraId="7732EF1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2.12</w:t>
            </w:r>
          </w:p>
        </w:tc>
      </w:tr>
      <w:tr w:rsidR="002B3391" w:rsidRPr="00451BBA" w14:paraId="14887BD4" w14:textId="77777777" w:rsidTr="00AD147F">
        <w:trPr>
          <w:trHeight w:val="20"/>
        </w:trPr>
        <w:tc>
          <w:tcPr>
            <w:tcW w:w="765" w:type="pct"/>
            <w:shd w:val="clear" w:color="auto" w:fill="auto"/>
            <w:noWrap/>
            <w:vAlign w:val="center"/>
            <w:hideMark/>
          </w:tcPr>
          <w:p w14:paraId="4712B7D6"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2018</w:t>
            </w:r>
          </w:p>
        </w:tc>
        <w:tc>
          <w:tcPr>
            <w:tcW w:w="765" w:type="pct"/>
            <w:shd w:val="clear" w:color="auto" w:fill="auto"/>
            <w:noWrap/>
            <w:vAlign w:val="center"/>
            <w:hideMark/>
          </w:tcPr>
          <w:p w14:paraId="3423677B"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1,068.70</w:t>
            </w:r>
          </w:p>
        </w:tc>
        <w:tc>
          <w:tcPr>
            <w:tcW w:w="765" w:type="pct"/>
            <w:shd w:val="clear" w:color="auto" w:fill="auto"/>
            <w:noWrap/>
            <w:vAlign w:val="center"/>
            <w:hideMark/>
          </w:tcPr>
          <w:p w14:paraId="4D45B240"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40,638.10</w:t>
            </w:r>
          </w:p>
        </w:tc>
        <w:tc>
          <w:tcPr>
            <w:tcW w:w="1174" w:type="pct"/>
            <w:shd w:val="clear" w:color="auto" w:fill="auto"/>
            <w:noWrap/>
            <w:vAlign w:val="center"/>
            <w:hideMark/>
          </w:tcPr>
          <w:p w14:paraId="05D40F8E"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49,858.56</w:t>
            </w:r>
          </w:p>
        </w:tc>
        <w:tc>
          <w:tcPr>
            <w:tcW w:w="765" w:type="pct"/>
            <w:shd w:val="clear" w:color="auto" w:fill="auto"/>
            <w:noWrap/>
            <w:vAlign w:val="center"/>
            <w:hideMark/>
          </w:tcPr>
          <w:p w14:paraId="336566F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2.63</w:t>
            </w:r>
          </w:p>
        </w:tc>
        <w:tc>
          <w:tcPr>
            <w:tcW w:w="765" w:type="pct"/>
            <w:shd w:val="clear" w:color="auto" w:fill="auto"/>
            <w:noWrap/>
            <w:vAlign w:val="center"/>
            <w:hideMark/>
          </w:tcPr>
          <w:p w14:paraId="542B19C5"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2.14</w:t>
            </w:r>
          </w:p>
        </w:tc>
      </w:tr>
      <w:tr w:rsidR="002B3391" w:rsidRPr="00451BBA" w14:paraId="64AA851B" w14:textId="77777777" w:rsidTr="00AD147F">
        <w:trPr>
          <w:trHeight w:val="20"/>
        </w:trPr>
        <w:tc>
          <w:tcPr>
            <w:tcW w:w="765" w:type="pct"/>
            <w:shd w:val="clear" w:color="auto" w:fill="auto"/>
            <w:noWrap/>
            <w:vAlign w:val="center"/>
            <w:hideMark/>
          </w:tcPr>
          <w:p w14:paraId="53031EA6"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2019</w:t>
            </w:r>
          </w:p>
        </w:tc>
        <w:tc>
          <w:tcPr>
            <w:tcW w:w="765" w:type="pct"/>
            <w:shd w:val="clear" w:color="auto" w:fill="auto"/>
            <w:noWrap/>
            <w:vAlign w:val="center"/>
            <w:hideMark/>
          </w:tcPr>
          <w:p w14:paraId="39BBADB5"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1,198.18</w:t>
            </w:r>
          </w:p>
        </w:tc>
        <w:tc>
          <w:tcPr>
            <w:tcW w:w="765" w:type="pct"/>
            <w:shd w:val="clear" w:color="auto" w:fill="auto"/>
            <w:noWrap/>
            <w:vAlign w:val="center"/>
            <w:hideMark/>
          </w:tcPr>
          <w:p w14:paraId="7003C5B4"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46,040.26</w:t>
            </w:r>
          </w:p>
        </w:tc>
        <w:tc>
          <w:tcPr>
            <w:tcW w:w="1174" w:type="pct"/>
            <w:shd w:val="clear" w:color="auto" w:fill="auto"/>
            <w:noWrap/>
            <w:vAlign w:val="center"/>
            <w:hideMark/>
          </w:tcPr>
          <w:p w14:paraId="5BC4792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54,933.40</w:t>
            </w:r>
          </w:p>
        </w:tc>
        <w:tc>
          <w:tcPr>
            <w:tcW w:w="765" w:type="pct"/>
            <w:shd w:val="clear" w:color="auto" w:fill="auto"/>
            <w:noWrap/>
            <w:vAlign w:val="center"/>
            <w:hideMark/>
          </w:tcPr>
          <w:p w14:paraId="1B67F92D"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2.60</w:t>
            </w:r>
          </w:p>
        </w:tc>
        <w:tc>
          <w:tcPr>
            <w:tcW w:w="765" w:type="pct"/>
            <w:shd w:val="clear" w:color="auto" w:fill="auto"/>
            <w:noWrap/>
            <w:vAlign w:val="center"/>
            <w:hideMark/>
          </w:tcPr>
          <w:p w14:paraId="7ECEF56E"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2.18</w:t>
            </w:r>
          </w:p>
        </w:tc>
      </w:tr>
      <w:tr w:rsidR="002B3391" w:rsidRPr="00451BBA" w14:paraId="73AB95A2" w14:textId="77777777" w:rsidTr="00AD147F">
        <w:trPr>
          <w:trHeight w:val="20"/>
        </w:trPr>
        <w:tc>
          <w:tcPr>
            <w:tcW w:w="765" w:type="pct"/>
            <w:shd w:val="clear" w:color="auto" w:fill="auto"/>
            <w:noWrap/>
            <w:vAlign w:val="center"/>
            <w:hideMark/>
          </w:tcPr>
          <w:p w14:paraId="7CC1384B"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2020</w:t>
            </w:r>
          </w:p>
        </w:tc>
        <w:tc>
          <w:tcPr>
            <w:tcW w:w="765" w:type="pct"/>
            <w:shd w:val="clear" w:color="auto" w:fill="auto"/>
            <w:noWrap/>
            <w:vAlign w:val="center"/>
            <w:hideMark/>
          </w:tcPr>
          <w:p w14:paraId="1B998D22"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1,214.85</w:t>
            </w:r>
          </w:p>
        </w:tc>
        <w:tc>
          <w:tcPr>
            <w:tcW w:w="765" w:type="pct"/>
            <w:shd w:val="clear" w:color="auto" w:fill="auto"/>
            <w:noWrap/>
            <w:vAlign w:val="center"/>
            <w:hideMark/>
          </w:tcPr>
          <w:p w14:paraId="6CC81CCD"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47,519.31</w:t>
            </w:r>
          </w:p>
        </w:tc>
        <w:tc>
          <w:tcPr>
            <w:tcW w:w="1174" w:type="pct"/>
            <w:shd w:val="clear" w:color="auto" w:fill="auto"/>
            <w:noWrap/>
            <w:vAlign w:val="center"/>
            <w:hideMark/>
          </w:tcPr>
          <w:p w14:paraId="5405E14D"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59,513.54</w:t>
            </w:r>
          </w:p>
        </w:tc>
        <w:tc>
          <w:tcPr>
            <w:tcW w:w="765" w:type="pct"/>
            <w:shd w:val="clear" w:color="auto" w:fill="auto"/>
            <w:noWrap/>
            <w:vAlign w:val="center"/>
            <w:hideMark/>
          </w:tcPr>
          <w:p w14:paraId="00A1387E"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2.56</w:t>
            </w:r>
          </w:p>
        </w:tc>
        <w:tc>
          <w:tcPr>
            <w:tcW w:w="765" w:type="pct"/>
            <w:shd w:val="clear" w:color="auto" w:fill="auto"/>
            <w:noWrap/>
            <w:vAlign w:val="center"/>
            <w:hideMark/>
          </w:tcPr>
          <w:p w14:paraId="4400F45E" w14:textId="77777777" w:rsidR="002B3391" w:rsidRPr="00451BBA" w:rsidRDefault="002B3391" w:rsidP="000D55C1">
            <w:pPr>
              <w:spacing w:before="0" w:after="0"/>
              <w:jc w:val="center"/>
              <w:rPr>
                <w:rFonts w:eastAsia="Times New Roman" w:cs="Times New Roman"/>
                <w:color w:val="000000"/>
                <w:sz w:val="20"/>
                <w:szCs w:val="20"/>
                <w:lang w:eastAsia="es-MX"/>
              </w:rPr>
            </w:pPr>
            <w:r w:rsidRPr="00451BBA">
              <w:rPr>
                <w:rFonts w:eastAsia="Times New Roman" w:cs="Times New Roman"/>
                <w:color w:val="000000"/>
                <w:sz w:val="20"/>
                <w:szCs w:val="20"/>
                <w:lang w:eastAsia="es-MX"/>
              </w:rPr>
              <w:t>2.04</w:t>
            </w:r>
          </w:p>
        </w:tc>
      </w:tr>
    </w:tbl>
    <w:p w14:paraId="35F1D377" w14:textId="77777777" w:rsidR="00AD147F" w:rsidRDefault="00AD147F" w:rsidP="00AD147F">
      <w:pPr>
        <w:pStyle w:val="Textonotapie"/>
        <w:rPr>
          <w:lang w:eastAsia="ja-JP"/>
        </w:rPr>
      </w:pPr>
      <w:r w:rsidRPr="00466813">
        <w:rPr>
          <w:vertAlign w:val="superscript"/>
          <w:lang w:eastAsia="ja-JP"/>
        </w:rPr>
        <w:t>1</w:t>
      </w:r>
      <w:r w:rsidRPr="00466813">
        <w:rPr>
          <w:lang w:eastAsia="ja-JP"/>
        </w:rPr>
        <w:t>/</w:t>
      </w:r>
      <w:r>
        <w:rPr>
          <w:lang w:eastAsia="ja-JP"/>
        </w:rPr>
        <w:t>Mdp: M</w:t>
      </w:r>
      <w:r w:rsidRPr="00466813">
        <w:rPr>
          <w:lang w:eastAsia="ja-JP"/>
        </w:rPr>
        <w:t>illones de pesos.</w:t>
      </w:r>
    </w:p>
    <w:p w14:paraId="18986B34" w14:textId="6B7B5792" w:rsidR="00964CAE" w:rsidRDefault="002B3391" w:rsidP="00AD147F">
      <w:pPr>
        <w:pStyle w:val="Textonotapie"/>
      </w:pPr>
      <w:r w:rsidRPr="00455C8A">
        <w:rPr>
          <w:rStyle w:val="FuenteCar"/>
        </w:rPr>
        <w:t>Fuente: Elaboración propia con base en información del DOF y los decretos de Presupuesto de egreso del Estado de Tamaulipas 2014-2020</w:t>
      </w:r>
      <w:r w:rsidRPr="00451BBA">
        <w:t xml:space="preserve">. </w:t>
      </w:r>
    </w:p>
    <w:p w14:paraId="2A52D525" w14:textId="77777777" w:rsidR="002B3391" w:rsidRPr="00CD1A6C" w:rsidRDefault="002B3391" w:rsidP="00F92F32">
      <w:pPr>
        <w:widowControl w:val="0"/>
        <w:numPr>
          <w:ilvl w:val="0"/>
          <w:numId w:val="3"/>
        </w:numPr>
        <w:ind w:left="714" w:hanging="357"/>
        <w:rPr>
          <w:rFonts w:eastAsia="MS Mincho" w:cs="Arial"/>
          <w:b/>
          <w:bCs/>
          <w:kern w:val="2"/>
          <w:lang w:eastAsia="ja-JP"/>
        </w:rPr>
      </w:pPr>
      <w:r w:rsidRPr="00CD1A6C">
        <w:rPr>
          <w:rFonts w:eastAsia="MS Mincho" w:cs="Arial"/>
          <w:b/>
          <w:bCs/>
          <w:kern w:val="2"/>
          <w:lang w:eastAsia="ja-JP"/>
        </w:rPr>
        <w:lastRenderedPageBreak/>
        <w:t>Descripción de las atribuciones, obligaciones y, en su caso, restricciones que tiene la entidad federativa para el ejercicio de los recursos del FAFEF.</w:t>
      </w:r>
    </w:p>
    <w:p w14:paraId="46C7C648" w14:textId="4883E119" w:rsidR="002B3391" w:rsidRPr="002B3391" w:rsidRDefault="002B3391" w:rsidP="002B3391">
      <w:r w:rsidRPr="002B3391">
        <w:t xml:space="preserve">Las atribuciones que tienen las </w:t>
      </w:r>
      <w:r w:rsidR="00E32D73">
        <w:t>e</w:t>
      </w:r>
      <w:r w:rsidRPr="002B3391">
        <w:t xml:space="preserve">ntidades </w:t>
      </w:r>
      <w:r w:rsidR="00E32D73">
        <w:t>f</w:t>
      </w:r>
      <w:r w:rsidRPr="002B3391">
        <w:t xml:space="preserve">ederativas están contenidas en la LCF en su Artículo 47 dónde se señala que podrán convenir entre ellas o con el Gobierno Federal, la aplicación de estos recursos, los que no podrán destinarse para erogaciones de gasto corriente o de operación, salvo en los casos previstos expresamente en las fracciones anteriores. </w:t>
      </w:r>
    </w:p>
    <w:p w14:paraId="790E89D3" w14:textId="6CF7B373" w:rsidR="002B3391" w:rsidRPr="002B3391" w:rsidRDefault="002B3391" w:rsidP="002B3391">
      <w:r w:rsidRPr="002B3391">
        <w:t>También, en el Artículo 49, se menciona que las aportaciones y sus accesorios que con cargo a los Fondos a que se refiere este Capítulo reciban las entidades</w:t>
      </w:r>
      <w:r w:rsidR="00D45E2F">
        <w:t xml:space="preserve"> federativas</w:t>
      </w:r>
      <w:r w:rsidRPr="002B3391">
        <w:t xml:space="preserve"> y, en su caso, los municipios las alcaldías de la Ciudad de México, no serán embargables, ni los gobiernos correspondientes podrán, bajo ninguna circunstancia, gravarlas ni afectarlas en garantía o destinarse a mecanismos de fuente de pago, salvo por lo dispuesto en los </w:t>
      </w:r>
      <w:r w:rsidR="00AF6898">
        <w:t>A</w:t>
      </w:r>
      <w:r w:rsidRPr="002B3391">
        <w:t xml:space="preserve">rtículos 50, 51 y 52 de esta Ley. Dichas aportaciones y sus accesorios, en ningún caso podrán destinarse a fines distintos a los expresamente previstos en los </w:t>
      </w:r>
      <w:r w:rsidR="00AF6898">
        <w:t>A</w:t>
      </w:r>
      <w:r w:rsidRPr="002B3391">
        <w:t xml:space="preserve">rtículos 26, 29, 33, 37, 40, 42, 45, 47, así como lo dispuesto en el presente </w:t>
      </w:r>
      <w:r w:rsidR="00AF6898">
        <w:t>A</w:t>
      </w:r>
      <w:r w:rsidRPr="002B3391">
        <w:t xml:space="preserve">rtículo de esta Ley. En el mismo Artículo se menciona que las aportaciones federales serán administradas y ejercidas por los gobiernos de las entidades federativas conforme a sus propias leyes en lo que no se contrapongan a la legislación federal. </w:t>
      </w:r>
    </w:p>
    <w:p w14:paraId="3DCA6368" w14:textId="0BA44DC6" w:rsidR="002B3391" w:rsidRPr="002B3391" w:rsidRDefault="002B3391" w:rsidP="002B3391">
      <w:r w:rsidRPr="002B3391">
        <w:t xml:space="preserve">Las obligaciones que las </w:t>
      </w:r>
      <w:r w:rsidR="00E32D73">
        <w:t>e</w:t>
      </w:r>
      <w:r w:rsidRPr="002B3391">
        <w:t xml:space="preserve">ntidades </w:t>
      </w:r>
      <w:r w:rsidR="00E32D73">
        <w:t>f</w:t>
      </w:r>
      <w:r w:rsidRPr="002B3391">
        <w:t xml:space="preserve">ederativas tienen con la Federación se estipulan en el Artículo 48 de la LCF, dónde se menciona que los Estados y el Distrito Federal reportarán tanto la información relativa a la </w:t>
      </w:r>
      <w:r w:rsidR="00E32D73">
        <w:t>e</w:t>
      </w:r>
      <w:r w:rsidRPr="002B3391">
        <w:t xml:space="preserve">ntidad </w:t>
      </w:r>
      <w:r w:rsidR="00E32D73">
        <w:t>f</w:t>
      </w:r>
      <w:r w:rsidRPr="002B3391">
        <w:t xml:space="preserve">ederativa, como aquélla de sus respectivos Municipios o Demarcaciones Territoriales para el caso </w:t>
      </w:r>
      <w:r w:rsidR="00EF61DE">
        <w:t xml:space="preserve">de la Ciudad de México, </w:t>
      </w:r>
      <w:r w:rsidRPr="002B3391">
        <w:t>en los Fondos que correspondan, así como los resultados obtenidos; asimismo, remitirán la información consolidada a más tardar a los 20 días naturales posteriores a la terminación de cada trimestre del ejercicio fiscal.</w:t>
      </w:r>
    </w:p>
    <w:p w14:paraId="18545B16" w14:textId="012F89EA" w:rsidR="002B3391" w:rsidRDefault="002B3391" w:rsidP="002B3391">
      <w:r w:rsidRPr="002B3391">
        <w:t xml:space="preserve">La </w:t>
      </w:r>
      <w:r w:rsidR="00EF61DE">
        <w:t>SHCP</w:t>
      </w:r>
      <w:r w:rsidRPr="002B3391">
        <w:t xml:space="preserve"> incluirá los reportes señalados en el párrafo anterior, por </w:t>
      </w:r>
      <w:r w:rsidR="00E32D73">
        <w:t>e</w:t>
      </w:r>
      <w:r w:rsidRPr="002B3391">
        <w:t xml:space="preserve">ntidad </w:t>
      </w:r>
      <w:r w:rsidR="00E32D73">
        <w:t>f</w:t>
      </w:r>
      <w:r w:rsidRPr="002B3391">
        <w:t xml:space="preserve">ederativa, en los informes trimestrales que deben entregarse al Congreso de la Unión en los términos del </w:t>
      </w:r>
      <w:r w:rsidR="004C61C2">
        <w:t>A</w:t>
      </w:r>
      <w:r w:rsidRPr="002B3391">
        <w:t xml:space="preserve">rtículo 107, fracción I, de </w:t>
      </w:r>
      <w:r w:rsidR="00EF61DE">
        <w:t>la LFPRH</w:t>
      </w:r>
      <w:r w:rsidRPr="002B3391">
        <w:t>; asimismo, pondrá dicha información a disposición para consulta en su página electrónica de Internet</w:t>
      </w:r>
      <w:r w:rsidR="007644CC">
        <w:t>.</w:t>
      </w:r>
    </w:p>
    <w:p w14:paraId="44F62A6A" w14:textId="7A6BA491" w:rsidR="00EF61DE" w:rsidRDefault="006B5036" w:rsidP="006B5036">
      <w:r>
        <w:t xml:space="preserve">En Tamaulipas no se han emitido Lineamientos de Operación para el FAFEF; sin embargo y dado que los recursos federales transferidos a las entidades federativas, se deben aplicar -para el caso del FAFEF- en los destinos de gasto establecidos en el propio </w:t>
      </w:r>
      <w:r w:rsidR="00205DFB">
        <w:t>A</w:t>
      </w:r>
      <w:r>
        <w:t>rtículo 47 de la Ley de Coordinación Fiscal, en Tamaulipas lo anterior se realiza a través de la coordinación del Grupo de Trabajo de la Subsecretaría de Egresos, siendo el mecanismo de control utilizado para garantizar que los recursos del FAFEF se utilicen conforme a los destinos permitidos por la LCF.</w:t>
      </w:r>
    </w:p>
    <w:p w14:paraId="05D50D44" w14:textId="26473A87" w:rsidR="00964CAE" w:rsidRDefault="002C765C" w:rsidP="002B3391">
      <w:r>
        <w:t>Sin embargo</w:t>
      </w:r>
      <w:r w:rsidR="00CD1A6C">
        <w:t>,</w:t>
      </w:r>
      <w:r>
        <w:t xml:space="preserve"> la operación de los recursos debe ajustarse tanto a la normatividad federal como a las leyes y normas estatales tales como: Constitución Política del Estado de Tamaulipas, Ley de Ingresos del Estado de Tamaulipas, Decretos de Presupuesto de Egresos del Estado de Tamaulipas, Ley de Gasto Público, Ley de Hacienda para el Estado de Tamaulipas, Ley Orgánica de la Administración Pública del Estado de Tamaulipas, Ley de Fiscalización y Rendición de Cuentas para el Estado de Tamaulipas, Ley de Transparencia y Acceso a la Información Pública del Estado de Tamaulipas, Ley de Adquisiciones para la Administración Pública del Estado de Tamaulipas y sus Municipios, Ley de Coordinación Fiscal del Estado de Tamaulipas, Ley de Deuda Pública Estatal y Municipal de Tamaulipas,</w:t>
      </w:r>
      <w:r w:rsidR="00826CDE">
        <w:t xml:space="preserve"> </w:t>
      </w:r>
      <w:r>
        <w:t>Ley de Bienes del Estado y Municipios de Tamaulipas, Ley de Responsabilidad Patrimonial del Estado de Tamaulipas y sus Municipios,</w:t>
      </w:r>
      <w:r w:rsidR="00CA1089">
        <w:t xml:space="preserve"> Ley de Obras Públicas y Servicios Relacionados con las Misma</w:t>
      </w:r>
      <w:r w:rsidR="00751B3F">
        <w:t>s</w:t>
      </w:r>
      <w:r w:rsidR="00CA1089">
        <w:t xml:space="preserve"> para el Estado de Tamaulipas, </w:t>
      </w:r>
      <w:r>
        <w:t>entre otras.</w:t>
      </w:r>
      <w:r w:rsidR="00964CAE">
        <w:br w:type="page"/>
      </w:r>
    </w:p>
    <w:p w14:paraId="03580C83" w14:textId="66B6F215" w:rsidR="00EA3CC2" w:rsidRPr="00DF35EF" w:rsidRDefault="00EA3CC2" w:rsidP="00022FC0">
      <w:pPr>
        <w:widowControl w:val="0"/>
        <w:numPr>
          <w:ilvl w:val="0"/>
          <w:numId w:val="3"/>
        </w:numPr>
        <w:contextualSpacing/>
        <w:rPr>
          <w:rFonts w:eastAsia="MS Mincho" w:cs="Arial"/>
          <w:b/>
          <w:bCs/>
          <w:kern w:val="2"/>
          <w:lang w:eastAsia="ja-JP"/>
        </w:rPr>
      </w:pPr>
      <w:r w:rsidRPr="00DF35EF">
        <w:rPr>
          <w:rFonts w:eastAsia="MS Mincho" w:cs="Arial"/>
          <w:b/>
          <w:bCs/>
          <w:kern w:val="2"/>
          <w:lang w:eastAsia="ja-JP"/>
        </w:rPr>
        <w:lastRenderedPageBreak/>
        <w:t>Descripción del ejercicio de los recursos del FAFEF en la entidad federativa en la que se incluyan variables como rubro de gasto (Según la LCF), mecanismos de priorización de proyectos o destino del gasto, población objetivo, componentes, productos terminados o servicios proporcionados, indicadores o información que permita conocer la situación de la población objetivo del FAFEF en la entidad federativa en los últimos cinco ejercicios fiscales, de ser posible previa y, en su caso, posterior al ejercicio de los recursos por rubro de gasto, de acuerdo con lo determinado en la LCF para este Fondo, entre otras de interés.</w:t>
      </w:r>
    </w:p>
    <w:p w14:paraId="183B093E" w14:textId="56086A10" w:rsidR="00022FC0" w:rsidRDefault="00022FC0" w:rsidP="00022FC0">
      <w:r>
        <w:t>Como se ha mencionado en párrafos anteriores, de 2014 a 2016 la totalidad de los recursos del FAFEF se destinaron al saneamiento financiero a través de la amortización de la deuda pública estatal, en este sentido los recursos del Fondo representaron el 9</w:t>
      </w:r>
      <w:r w:rsidR="000D0864">
        <w:t>2.9</w:t>
      </w:r>
      <w:r>
        <w:t>%, 87</w:t>
      </w:r>
      <w:r w:rsidR="000D0864">
        <w:t>.1</w:t>
      </w:r>
      <w:r>
        <w:t>% y 80</w:t>
      </w:r>
      <w:r w:rsidR="000D0864">
        <w:t>.3</w:t>
      </w:r>
      <w:r>
        <w:t xml:space="preserve">% de las amortizaciones a la deuda pagadas por la entidad </w:t>
      </w:r>
      <w:r w:rsidR="00887EC5">
        <w:t xml:space="preserve">federativa </w:t>
      </w:r>
      <w:r>
        <w:t>en los ejercicios 2014, 2015 y2016, respectivamente. A partir del ejercicio 2017 se destinó a este rubro un 53.35% de los recursos del Fondo, lo que contribuyó al 13</w:t>
      </w:r>
      <w:r w:rsidR="000D0864">
        <w:t>.4</w:t>
      </w:r>
      <w:r>
        <w:t>% de la amortización de la deuda. En el ejercicio 2018 este rubro ejerció el 13.</w:t>
      </w:r>
      <w:r w:rsidR="000D0864">
        <w:t>4</w:t>
      </w:r>
      <w:r>
        <w:t>% de los recursos del Fondo contribuyendo con el 1</w:t>
      </w:r>
      <w:r w:rsidR="001411F7">
        <w:t>.4</w:t>
      </w:r>
      <w:r>
        <w:t>% de las amortizaciones a la deuda en este ejercicio</w:t>
      </w:r>
      <w:r w:rsidR="00462BF9">
        <w:t xml:space="preserve"> (</w:t>
      </w:r>
      <w:r w:rsidR="00775B93">
        <w:t>Cuadro 6)</w:t>
      </w:r>
      <w:r w:rsidR="00CC130D">
        <w:t xml:space="preserve"> </w:t>
      </w:r>
    </w:p>
    <w:p w14:paraId="776549FF" w14:textId="0D185359" w:rsidR="00775B93" w:rsidRDefault="00775B93" w:rsidP="00775B93">
      <w:pPr>
        <w:pStyle w:val="Cuadro"/>
      </w:pPr>
      <w:bookmarkStart w:id="32" w:name="_Toc55502390"/>
      <w:bookmarkStart w:id="33" w:name="_Toc55502507"/>
      <w:bookmarkStart w:id="34" w:name="_Toc56069933"/>
      <w:r>
        <w:t>Cuadro 6. Contribución del FAFEF al balance de la deuda pública de Tamaulipas 2014-2018</w:t>
      </w:r>
      <w:r w:rsidR="004A4865">
        <w:t xml:space="preserve"> (mdp)</w:t>
      </w:r>
      <w:bookmarkEnd w:id="32"/>
      <w:bookmarkEnd w:id="33"/>
      <w:bookmarkEnd w:id="34"/>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5874"/>
        <w:gridCol w:w="950"/>
        <w:gridCol w:w="782"/>
        <w:gridCol w:w="782"/>
        <w:gridCol w:w="782"/>
        <w:gridCol w:w="782"/>
      </w:tblGrid>
      <w:tr w:rsidR="001411F7" w:rsidRPr="00472FD8" w14:paraId="45EA5CCD" w14:textId="77777777" w:rsidTr="00FF1CA7">
        <w:trPr>
          <w:trHeight w:val="20"/>
        </w:trPr>
        <w:tc>
          <w:tcPr>
            <w:tcW w:w="2559" w:type="pct"/>
            <w:shd w:val="clear" w:color="auto" w:fill="9CC2E5"/>
            <w:noWrap/>
            <w:vAlign w:val="bottom"/>
            <w:hideMark/>
          </w:tcPr>
          <w:p w14:paraId="7ED6D875" w14:textId="75DB5C2C" w:rsidR="001411F7" w:rsidRPr="00472FD8" w:rsidRDefault="000D0864"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Balance de la deuda pública</w:t>
            </w:r>
          </w:p>
        </w:tc>
        <w:tc>
          <w:tcPr>
            <w:tcW w:w="805" w:type="pct"/>
            <w:shd w:val="clear" w:color="auto" w:fill="9CC2E5"/>
            <w:noWrap/>
            <w:vAlign w:val="bottom"/>
            <w:hideMark/>
          </w:tcPr>
          <w:p w14:paraId="133B09ED"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2014</w:t>
            </w:r>
          </w:p>
        </w:tc>
        <w:tc>
          <w:tcPr>
            <w:tcW w:w="410" w:type="pct"/>
            <w:shd w:val="clear" w:color="auto" w:fill="9CC2E5"/>
            <w:noWrap/>
            <w:vAlign w:val="bottom"/>
            <w:hideMark/>
          </w:tcPr>
          <w:p w14:paraId="5AF881AB"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2015</w:t>
            </w:r>
          </w:p>
        </w:tc>
        <w:tc>
          <w:tcPr>
            <w:tcW w:w="410" w:type="pct"/>
            <w:shd w:val="clear" w:color="auto" w:fill="9CC2E5"/>
            <w:noWrap/>
            <w:vAlign w:val="bottom"/>
            <w:hideMark/>
          </w:tcPr>
          <w:p w14:paraId="0A935C49"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2016</w:t>
            </w:r>
          </w:p>
        </w:tc>
        <w:tc>
          <w:tcPr>
            <w:tcW w:w="410" w:type="pct"/>
            <w:shd w:val="clear" w:color="auto" w:fill="9CC2E5"/>
            <w:noWrap/>
            <w:vAlign w:val="bottom"/>
            <w:hideMark/>
          </w:tcPr>
          <w:p w14:paraId="524803DB"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2017</w:t>
            </w:r>
          </w:p>
        </w:tc>
        <w:tc>
          <w:tcPr>
            <w:tcW w:w="406" w:type="pct"/>
            <w:shd w:val="clear" w:color="auto" w:fill="9CC2E5"/>
            <w:noWrap/>
            <w:vAlign w:val="bottom"/>
            <w:hideMark/>
          </w:tcPr>
          <w:p w14:paraId="2FC8D043"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2018</w:t>
            </w:r>
          </w:p>
        </w:tc>
      </w:tr>
      <w:tr w:rsidR="001411F7" w:rsidRPr="00472FD8" w14:paraId="52007071" w14:textId="77777777" w:rsidTr="00FF1CA7">
        <w:trPr>
          <w:trHeight w:val="20"/>
        </w:trPr>
        <w:tc>
          <w:tcPr>
            <w:tcW w:w="2559" w:type="pct"/>
            <w:shd w:val="clear" w:color="auto" w:fill="auto"/>
            <w:noWrap/>
            <w:vAlign w:val="bottom"/>
            <w:hideMark/>
          </w:tcPr>
          <w:p w14:paraId="4AF702BB" w14:textId="08B8C322" w:rsidR="001411F7" w:rsidRPr="00472FD8" w:rsidRDefault="001411F7" w:rsidP="00FF1CA7">
            <w:pPr>
              <w:spacing w:before="0" w:after="0"/>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Deuda Pública Bruta Total al 31 de diciembre del año anterior</w:t>
            </w:r>
          </w:p>
        </w:tc>
        <w:tc>
          <w:tcPr>
            <w:tcW w:w="805" w:type="pct"/>
            <w:shd w:val="clear" w:color="auto" w:fill="auto"/>
            <w:noWrap/>
            <w:vAlign w:val="bottom"/>
            <w:hideMark/>
          </w:tcPr>
          <w:p w14:paraId="0130AD1C"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9,984.5</w:t>
            </w:r>
          </w:p>
        </w:tc>
        <w:tc>
          <w:tcPr>
            <w:tcW w:w="410" w:type="pct"/>
            <w:shd w:val="clear" w:color="auto" w:fill="auto"/>
            <w:noWrap/>
            <w:vAlign w:val="bottom"/>
            <w:hideMark/>
          </w:tcPr>
          <w:p w14:paraId="436DB13C"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10,516.2</w:t>
            </w:r>
          </w:p>
        </w:tc>
        <w:tc>
          <w:tcPr>
            <w:tcW w:w="410" w:type="pct"/>
            <w:shd w:val="clear" w:color="auto" w:fill="auto"/>
            <w:noWrap/>
            <w:vAlign w:val="bottom"/>
            <w:hideMark/>
          </w:tcPr>
          <w:p w14:paraId="62352F20"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11,337.3</w:t>
            </w:r>
          </w:p>
        </w:tc>
        <w:tc>
          <w:tcPr>
            <w:tcW w:w="410" w:type="pct"/>
            <w:shd w:val="clear" w:color="auto" w:fill="auto"/>
            <w:noWrap/>
            <w:vAlign w:val="bottom"/>
            <w:hideMark/>
          </w:tcPr>
          <w:p w14:paraId="2D5DCC3F"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11,833.7</w:t>
            </w:r>
          </w:p>
        </w:tc>
        <w:tc>
          <w:tcPr>
            <w:tcW w:w="406" w:type="pct"/>
            <w:shd w:val="clear" w:color="auto" w:fill="auto"/>
            <w:noWrap/>
            <w:vAlign w:val="bottom"/>
            <w:hideMark/>
          </w:tcPr>
          <w:p w14:paraId="02715CC4"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11,462.9</w:t>
            </w:r>
          </w:p>
        </w:tc>
      </w:tr>
      <w:tr w:rsidR="001411F7" w:rsidRPr="00472FD8" w14:paraId="76E0AB16" w14:textId="77777777" w:rsidTr="00FF1CA7">
        <w:trPr>
          <w:trHeight w:val="20"/>
        </w:trPr>
        <w:tc>
          <w:tcPr>
            <w:tcW w:w="2559" w:type="pct"/>
            <w:shd w:val="clear" w:color="auto" w:fill="auto"/>
            <w:noWrap/>
            <w:vAlign w:val="bottom"/>
            <w:hideMark/>
          </w:tcPr>
          <w:p w14:paraId="75E68374"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Amortización 1 (1er TRIMESTRE) FAFEF</w:t>
            </w:r>
          </w:p>
        </w:tc>
        <w:tc>
          <w:tcPr>
            <w:tcW w:w="805" w:type="pct"/>
            <w:shd w:val="clear" w:color="auto" w:fill="auto"/>
            <w:noWrap/>
            <w:vAlign w:val="bottom"/>
            <w:hideMark/>
          </w:tcPr>
          <w:p w14:paraId="274DF94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75.7</w:t>
            </w:r>
          </w:p>
        </w:tc>
        <w:tc>
          <w:tcPr>
            <w:tcW w:w="410" w:type="pct"/>
            <w:shd w:val="clear" w:color="auto" w:fill="auto"/>
            <w:noWrap/>
            <w:vAlign w:val="bottom"/>
            <w:hideMark/>
          </w:tcPr>
          <w:p w14:paraId="756096E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93.9</w:t>
            </w:r>
          </w:p>
        </w:tc>
        <w:tc>
          <w:tcPr>
            <w:tcW w:w="410" w:type="pct"/>
            <w:shd w:val="clear" w:color="auto" w:fill="auto"/>
            <w:noWrap/>
            <w:vAlign w:val="bottom"/>
            <w:hideMark/>
          </w:tcPr>
          <w:p w14:paraId="158AA0D2"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100.4</w:t>
            </w:r>
          </w:p>
        </w:tc>
        <w:tc>
          <w:tcPr>
            <w:tcW w:w="410" w:type="pct"/>
            <w:shd w:val="clear" w:color="auto" w:fill="auto"/>
            <w:noWrap/>
            <w:vAlign w:val="bottom"/>
            <w:hideMark/>
          </w:tcPr>
          <w:p w14:paraId="02485E0D"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102.1</w:t>
            </w:r>
          </w:p>
        </w:tc>
        <w:tc>
          <w:tcPr>
            <w:tcW w:w="406" w:type="pct"/>
            <w:shd w:val="clear" w:color="auto" w:fill="auto"/>
            <w:noWrap/>
            <w:vAlign w:val="bottom"/>
            <w:hideMark/>
          </w:tcPr>
          <w:p w14:paraId="2D4CD052"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009B49B5" w14:textId="77777777" w:rsidTr="00FF1CA7">
        <w:trPr>
          <w:trHeight w:val="20"/>
        </w:trPr>
        <w:tc>
          <w:tcPr>
            <w:tcW w:w="2559" w:type="pct"/>
            <w:shd w:val="clear" w:color="auto" w:fill="auto"/>
            <w:noWrap/>
            <w:vAlign w:val="bottom"/>
            <w:hideMark/>
          </w:tcPr>
          <w:p w14:paraId="24105EE9"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Amortización 1 (1er TRIMESTRE) Recurso Estatal</w:t>
            </w:r>
          </w:p>
        </w:tc>
        <w:tc>
          <w:tcPr>
            <w:tcW w:w="805" w:type="pct"/>
            <w:shd w:val="clear" w:color="auto" w:fill="auto"/>
            <w:noWrap/>
            <w:vAlign w:val="bottom"/>
            <w:hideMark/>
          </w:tcPr>
          <w:p w14:paraId="2315C41F"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4.1</w:t>
            </w:r>
          </w:p>
        </w:tc>
        <w:tc>
          <w:tcPr>
            <w:tcW w:w="410" w:type="pct"/>
            <w:shd w:val="clear" w:color="auto" w:fill="auto"/>
            <w:noWrap/>
            <w:vAlign w:val="bottom"/>
            <w:hideMark/>
          </w:tcPr>
          <w:p w14:paraId="1511AAF0"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14.0</w:t>
            </w:r>
          </w:p>
        </w:tc>
        <w:tc>
          <w:tcPr>
            <w:tcW w:w="410" w:type="pct"/>
            <w:shd w:val="clear" w:color="auto" w:fill="auto"/>
            <w:noWrap/>
            <w:vAlign w:val="bottom"/>
            <w:hideMark/>
          </w:tcPr>
          <w:p w14:paraId="61D76C36"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22.2</w:t>
            </w:r>
          </w:p>
        </w:tc>
        <w:tc>
          <w:tcPr>
            <w:tcW w:w="410" w:type="pct"/>
            <w:shd w:val="clear" w:color="auto" w:fill="auto"/>
            <w:noWrap/>
            <w:vAlign w:val="bottom"/>
            <w:hideMark/>
          </w:tcPr>
          <w:p w14:paraId="205F483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0261E503"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7,823.8</w:t>
            </w:r>
          </w:p>
        </w:tc>
      </w:tr>
      <w:tr w:rsidR="001411F7" w:rsidRPr="00472FD8" w14:paraId="13E96CFD" w14:textId="77777777" w:rsidTr="00FF1CA7">
        <w:trPr>
          <w:trHeight w:val="20"/>
        </w:trPr>
        <w:tc>
          <w:tcPr>
            <w:tcW w:w="2559" w:type="pct"/>
            <w:shd w:val="clear" w:color="auto" w:fill="auto"/>
            <w:noWrap/>
            <w:vAlign w:val="bottom"/>
            <w:hideMark/>
          </w:tcPr>
          <w:p w14:paraId="60675F46"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Disposición de Crédito</w:t>
            </w:r>
          </w:p>
        </w:tc>
        <w:tc>
          <w:tcPr>
            <w:tcW w:w="805" w:type="pct"/>
            <w:shd w:val="clear" w:color="auto" w:fill="auto"/>
            <w:noWrap/>
            <w:vAlign w:val="bottom"/>
            <w:hideMark/>
          </w:tcPr>
          <w:p w14:paraId="78BEEBF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108.2</w:t>
            </w:r>
          </w:p>
        </w:tc>
        <w:tc>
          <w:tcPr>
            <w:tcW w:w="410" w:type="pct"/>
            <w:shd w:val="clear" w:color="auto" w:fill="auto"/>
            <w:noWrap/>
            <w:vAlign w:val="bottom"/>
            <w:hideMark/>
          </w:tcPr>
          <w:p w14:paraId="4F6E82BF"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60.0</w:t>
            </w:r>
          </w:p>
        </w:tc>
        <w:tc>
          <w:tcPr>
            <w:tcW w:w="410" w:type="pct"/>
            <w:shd w:val="clear" w:color="auto" w:fill="auto"/>
            <w:noWrap/>
            <w:vAlign w:val="bottom"/>
            <w:hideMark/>
          </w:tcPr>
          <w:p w14:paraId="5D9ABF83"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754.6</w:t>
            </w:r>
          </w:p>
        </w:tc>
        <w:tc>
          <w:tcPr>
            <w:tcW w:w="410" w:type="pct"/>
            <w:shd w:val="clear" w:color="auto" w:fill="auto"/>
            <w:noWrap/>
            <w:vAlign w:val="bottom"/>
            <w:hideMark/>
          </w:tcPr>
          <w:p w14:paraId="14B1F489"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09FEED7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8,060.7</w:t>
            </w:r>
          </w:p>
        </w:tc>
      </w:tr>
      <w:tr w:rsidR="001411F7" w:rsidRPr="00472FD8" w14:paraId="23CD8F5F" w14:textId="77777777" w:rsidTr="00FF1CA7">
        <w:trPr>
          <w:trHeight w:val="20"/>
        </w:trPr>
        <w:tc>
          <w:tcPr>
            <w:tcW w:w="2559" w:type="pct"/>
            <w:shd w:val="clear" w:color="auto" w:fill="auto"/>
            <w:noWrap/>
            <w:vAlign w:val="bottom"/>
            <w:hideMark/>
          </w:tcPr>
          <w:p w14:paraId="7D06EF90"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Amortización 2 (2do TRIMESTRE) FAFEF</w:t>
            </w:r>
          </w:p>
        </w:tc>
        <w:tc>
          <w:tcPr>
            <w:tcW w:w="805" w:type="pct"/>
            <w:shd w:val="clear" w:color="auto" w:fill="auto"/>
            <w:noWrap/>
            <w:vAlign w:val="bottom"/>
            <w:hideMark/>
          </w:tcPr>
          <w:p w14:paraId="0E21565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76.3</w:t>
            </w:r>
          </w:p>
        </w:tc>
        <w:tc>
          <w:tcPr>
            <w:tcW w:w="410" w:type="pct"/>
            <w:shd w:val="clear" w:color="auto" w:fill="auto"/>
            <w:noWrap/>
            <w:vAlign w:val="bottom"/>
            <w:hideMark/>
          </w:tcPr>
          <w:p w14:paraId="2FFAC264"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89.6</w:t>
            </w:r>
          </w:p>
        </w:tc>
        <w:tc>
          <w:tcPr>
            <w:tcW w:w="410" w:type="pct"/>
            <w:shd w:val="clear" w:color="auto" w:fill="auto"/>
            <w:noWrap/>
            <w:vAlign w:val="bottom"/>
            <w:hideMark/>
          </w:tcPr>
          <w:p w14:paraId="42004E4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112.0</w:t>
            </w:r>
          </w:p>
        </w:tc>
        <w:tc>
          <w:tcPr>
            <w:tcW w:w="410" w:type="pct"/>
            <w:shd w:val="clear" w:color="auto" w:fill="auto"/>
            <w:noWrap/>
            <w:vAlign w:val="bottom"/>
            <w:hideMark/>
          </w:tcPr>
          <w:p w14:paraId="20C87687"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75.6</w:t>
            </w:r>
          </w:p>
        </w:tc>
        <w:tc>
          <w:tcPr>
            <w:tcW w:w="406" w:type="pct"/>
            <w:shd w:val="clear" w:color="auto" w:fill="auto"/>
            <w:noWrap/>
            <w:vAlign w:val="bottom"/>
            <w:hideMark/>
          </w:tcPr>
          <w:p w14:paraId="4577E65E"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3D6157C9" w14:textId="77777777" w:rsidTr="00FF1CA7">
        <w:trPr>
          <w:trHeight w:val="20"/>
        </w:trPr>
        <w:tc>
          <w:tcPr>
            <w:tcW w:w="2559" w:type="pct"/>
            <w:shd w:val="clear" w:color="auto" w:fill="auto"/>
            <w:noWrap/>
            <w:vAlign w:val="bottom"/>
            <w:hideMark/>
          </w:tcPr>
          <w:p w14:paraId="20020695"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Amortización 2 (2do TRIMESTRE) Recurso Estatal</w:t>
            </w:r>
          </w:p>
        </w:tc>
        <w:tc>
          <w:tcPr>
            <w:tcW w:w="805" w:type="pct"/>
            <w:shd w:val="clear" w:color="auto" w:fill="auto"/>
            <w:noWrap/>
            <w:vAlign w:val="bottom"/>
            <w:hideMark/>
          </w:tcPr>
          <w:p w14:paraId="08C33828"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5.2</w:t>
            </w:r>
          </w:p>
        </w:tc>
        <w:tc>
          <w:tcPr>
            <w:tcW w:w="410" w:type="pct"/>
            <w:shd w:val="clear" w:color="auto" w:fill="auto"/>
            <w:noWrap/>
            <w:vAlign w:val="bottom"/>
            <w:hideMark/>
          </w:tcPr>
          <w:p w14:paraId="444E089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15.3</w:t>
            </w:r>
          </w:p>
        </w:tc>
        <w:tc>
          <w:tcPr>
            <w:tcW w:w="410" w:type="pct"/>
            <w:shd w:val="clear" w:color="auto" w:fill="auto"/>
            <w:noWrap/>
            <w:vAlign w:val="bottom"/>
            <w:hideMark/>
          </w:tcPr>
          <w:p w14:paraId="00AC22D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15.1</w:t>
            </w:r>
          </w:p>
        </w:tc>
        <w:tc>
          <w:tcPr>
            <w:tcW w:w="410" w:type="pct"/>
            <w:shd w:val="clear" w:color="auto" w:fill="auto"/>
            <w:noWrap/>
            <w:vAlign w:val="bottom"/>
            <w:hideMark/>
          </w:tcPr>
          <w:p w14:paraId="66C2068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38.2</w:t>
            </w:r>
          </w:p>
        </w:tc>
        <w:tc>
          <w:tcPr>
            <w:tcW w:w="406" w:type="pct"/>
            <w:shd w:val="clear" w:color="auto" w:fill="auto"/>
            <w:noWrap/>
            <w:vAlign w:val="bottom"/>
            <w:hideMark/>
          </w:tcPr>
          <w:p w14:paraId="3C8109CA"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45.0</w:t>
            </w:r>
          </w:p>
        </w:tc>
      </w:tr>
      <w:tr w:rsidR="001411F7" w:rsidRPr="00472FD8" w14:paraId="0230DBDA" w14:textId="77777777" w:rsidTr="00FF1CA7">
        <w:trPr>
          <w:trHeight w:val="20"/>
        </w:trPr>
        <w:tc>
          <w:tcPr>
            <w:tcW w:w="2559" w:type="pct"/>
            <w:shd w:val="clear" w:color="auto" w:fill="auto"/>
            <w:noWrap/>
            <w:vAlign w:val="bottom"/>
            <w:hideMark/>
          </w:tcPr>
          <w:p w14:paraId="5A7185D8"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Disposición de Crédito</w:t>
            </w:r>
          </w:p>
        </w:tc>
        <w:tc>
          <w:tcPr>
            <w:tcW w:w="805" w:type="pct"/>
            <w:shd w:val="clear" w:color="auto" w:fill="auto"/>
            <w:noWrap/>
            <w:vAlign w:val="bottom"/>
            <w:hideMark/>
          </w:tcPr>
          <w:p w14:paraId="5028A8C7"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465.9</w:t>
            </w:r>
          </w:p>
        </w:tc>
        <w:tc>
          <w:tcPr>
            <w:tcW w:w="410" w:type="pct"/>
            <w:shd w:val="clear" w:color="auto" w:fill="auto"/>
            <w:noWrap/>
            <w:vAlign w:val="bottom"/>
            <w:hideMark/>
          </w:tcPr>
          <w:p w14:paraId="42DFB70E"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1,068.3</w:t>
            </w:r>
          </w:p>
        </w:tc>
        <w:tc>
          <w:tcPr>
            <w:tcW w:w="410" w:type="pct"/>
            <w:shd w:val="clear" w:color="auto" w:fill="auto"/>
            <w:noWrap/>
            <w:vAlign w:val="bottom"/>
            <w:hideMark/>
          </w:tcPr>
          <w:p w14:paraId="1B7E68F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272.7</w:t>
            </w:r>
          </w:p>
        </w:tc>
        <w:tc>
          <w:tcPr>
            <w:tcW w:w="410" w:type="pct"/>
            <w:shd w:val="clear" w:color="auto" w:fill="auto"/>
            <w:noWrap/>
            <w:vAlign w:val="bottom"/>
            <w:hideMark/>
          </w:tcPr>
          <w:p w14:paraId="5B8E374E"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79EC882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235D2C3B" w14:textId="77777777" w:rsidTr="00FF1CA7">
        <w:trPr>
          <w:trHeight w:val="20"/>
        </w:trPr>
        <w:tc>
          <w:tcPr>
            <w:tcW w:w="2559" w:type="pct"/>
            <w:shd w:val="clear" w:color="auto" w:fill="auto"/>
            <w:noWrap/>
            <w:vAlign w:val="bottom"/>
            <w:hideMark/>
          </w:tcPr>
          <w:p w14:paraId="276EE1FC"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Amortización 3 (3er TRIMESTRE) FAFEF</w:t>
            </w:r>
          </w:p>
        </w:tc>
        <w:tc>
          <w:tcPr>
            <w:tcW w:w="805" w:type="pct"/>
            <w:shd w:val="clear" w:color="auto" w:fill="auto"/>
            <w:noWrap/>
            <w:vAlign w:val="bottom"/>
            <w:hideMark/>
          </w:tcPr>
          <w:p w14:paraId="63E0455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123.1</w:t>
            </w:r>
          </w:p>
        </w:tc>
        <w:tc>
          <w:tcPr>
            <w:tcW w:w="410" w:type="pct"/>
            <w:shd w:val="clear" w:color="auto" w:fill="auto"/>
            <w:noWrap/>
            <w:vAlign w:val="bottom"/>
            <w:hideMark/>
          </w:tcPr>
          <w:p w14:paraId="2DD0B4F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96.5</w:t>
            </w:r>
          </w:p>
        </w:tc>
        <w:tc>
          <w:tcPr>
            <w:tcW w:w="410" w:type="pct"/>
            <w:shd w:val="clear" w:color="auto" w:fill="auto"/>
            <w:noWrap/>
            <w:vAlign w:val="bottom"/>
            <w:hideMark/>
          </w:tcPr>
          <w:p w14:paraId="3ABBD8A0"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122.2</w:t>
            </w:r>
          </w:p>
        </w:tc>
        <w:tc>
          <w:tcPr>
            <w:tcW w:w="410" w:type="pct"/>
            <w:shd w:val="clear" w:color="auto" w:fill="auto"/>
            <w:noWrap/>
            <w:vAlign w:val="bottom"/>
            <w:hideMark/>
          </w:tcPr>
          <w:p w14:paraId="53724AFD"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72.6</w:t>
            </w:r>
          </w:p>
        </w:tc>
        <w:tc>
          <w:tcPr>
            <w:tcW w:w="406" w:type="pct"/>
            <w:shd w:val="clear" w:color="auto" w:fill="auto"/>
            <w:noWrap/>
            <w:vAlign w:val="bottom"/>
            <w:hideMark/>
          </w:tcPr>
          <w:p w14:paraId="62B3B61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33BBB21A" w14:textId="77777777" w:rsidTr="00FF1CA7">
        <w:trPr>
          <w:trHeight w:val="20"/>
        </w:trPr>
        <w:tc>
          <w:tcPr>
            <w:tcW w:w="2559" w:type="pct"/>
            <w:shd w:val="clear" w:color="auto" w:fill="auto"/>
            <w:noWrap/>
            <w:vAlign w:val="bottom"/>
            <w:hideMark/>
          </w:tcPr>
          <w:p w14:paraId="48769CCA"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Amortización 3 (3er TRIMESTRE) Recurso Estatal</w:t>
            </w:r>
          </w:p>
        </w:tc>
        <w:tc>
          <w:tcPr>
            <w:tcW w:w="805" w:type="pct"/>
            <w:shd w:val="clear" w:color="auto" w:fill="auto"/>
            <w:noWrap/>
            <w:vAlign w:val="bottom"/>
            <w:hideMark/>
          </w:tcPr>
          <w:p w14:paraId="0969C48F"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8.5</w:t>
            </w:r>
          </w:p>
        </w:tc>
        <w:tc>
          <w:tcPr>
            <w:tcW w:w="410" w:type="pct"/>
            <w:shd w:val="clear" w:color="auto" w:fill="auto"/>
            <w:noWrap/>
            <w:vAlign w:val="bottom"/>
            <w:hideMark/>
          </w:tcPr>
          <w:p w14:paraId="39A646E4"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13.3</w:t>
            </w:r>
          </w:p>
        </w:tc>
        <w:tc>
          <w:tcPr>
            <w:tcW w:w="410" w:type="pct"/>
            <w:shd w:val="clear" w:color="auto" w:fill="auto"/>
            <w:noWrap/>
            <w:vAlign w:val="bottom"/>
            <w:hideMark/>
          </w:tcPr>
          <w:p w14:paraId="3AFA615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67.9</w:t>
            </w:r>
          </w:p>
        </w:tc>
        <w:tc>
          <w:tcPr>
            <w:tcW w:w="410" w:type="pct"/>
            <w:shd w:val="clear" w:color="auto" w:fill="auto"/>
            <w:noWrap/>
            <w:vAlign w:val="bottom"/>
            <w:hideMark/>
          </w:tcPr>
          <w:p w14:paraId="3275D9A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43.4</w:t>
            </w:r>
          </w:p>
        </w:tc>
        <w:tc>
          <w:tcPr>
            <w:tcW w:w="406" w:type="pct"/>
            <w:shd w:val="clear" w:color="auto" w:fill="auto"/>
            <w:noWrap/>
            <w:vAlign w:val="bottom"/>
            <w:hideMark/>
          </w:tcPr>
          <w:p w14:paraId="6E2C4764"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45.9</w:t>
            </w:r>
          </w:p>
        </w:tc>
      </w:tr>
      <w:tr w:rsidR="001411F7" w:rsidRPr="00472FD8" w14:paraId="367EF3A8" w14:textId="77777777" w:rsidTr="00FF1CA7">
        <w:trPr>
          <w:trHeight w:val="20"/>
        </w:trPr>
        <w:tc>
          <w:tcPr>
            <w:tcW w:w="2559" w:type="pct"/>
            <w:shd w:val="clear" w:color="auto" w:fill="auto"/>
            <w:noWrap/>
            <w:vAlign w:val="bottom"/>
            <w:hideMark/>
          </w:tcPr>
          <w:p w14:paraId="42AC6324"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 (+) Disposición de Crédito</w:t>
            </w:r>
          </w:p>
        </w:tc>
        <w:tc>
          <w:tcPr>
            <w:tcW w:w="805" w:type="pct"/>
            <w:shd w:val="clear" w:color="auto" w:fill="auto"/>
            <w:noWrap/>
            <w:vAlign w:val="bottom"/>
            <w:hideMark/>
          </w:tcPr>
          <w:p w14:paraId="6A6431C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387.7</w:t>
            </w:r>
          </w:p>
        </w:tc>
        <w:tc>
          <w:tcPr>
            <w:tcW w:w="410" w:type="pct"/>
            <w:shd w:val="clear" w:color="auto" w:fill="auto"/>
            <w:noWrap/>
            <w:vAlign w:val="bottom"/>
            <w:hideMark/>
          </w:tcPr>
          <w:p w14:paraId="20D73128"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26.8</w:t>
            </w:r>
          </w:p>
        </w:tc>
        <w:tc>
          <w:tcPr>
            <w:tcW w:w="410" w:type="pct"/>
            <w:shd w:val="clear" w:color="auto" w:fill="auto"/>
            <w:noWrap/>
            <w:vAlign w:val="bottom"/>
            <w:hideMark/>
          </w:tcPr>
          <w:p w14:paraId="7A85A16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738DA609"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1C279B56"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58A07145" w14:textId="77777777" w:rsidTr="00FF1CA7">
        <w:trPr>
          <w:trHeight w:val="20"/>
        </w:trPr>
        <w:tc>
          <w:tcPr>
            <w:tcW w:w="2559" w:type="pct"/>
            <w:shd w:val="clear" w:color="auto" w:fill="auto"/>
            <w:noWrap/>
            <w:vAlign w:val="bottom"/>
            <w:hideMark/>
          </w:tcPr>
          <w:p w14:paraId="3F563D76"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Amortización 4 (4to TRIMESTRE) FAFEF</w:t>
            </w:r>
          </w:p>
        </w:tc>
        <w:tc>
          <w:tcPr>
            <w:tcW w:w="805" w:type="pct"/>
            <w:shd w:val="clear" w:color="auto" w:fill="auto"/>
            <w:noWrap/>
            <w:vAlign w:val="bottom"/>
            <w:hideMark/>
          </w:tcPr>
          <w:p w14:paraId="6A80B20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124.5</w:t>
            </w:r>
          </w:p>
        </w:tc>
        <w:tc>
          <w:tcPr>
            <w:tcW w:w="410" w:type="pct"/>
            <w:shd w:val="clear" w:color="auto" w:fill="auto"/>
            <w:noWrap/>
            <w:vAlign w:val="bottom"/>
            <w:hideMark/>
          </w:tcPr>
          <w:p w14:paraId="6639BDE8"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104.7</w:t>
            </w:r>
          </w:p>
        </w:tc>
        <w:tc>
          <w:tcPr>
            <w:tcW w:w="410" w:type="pct"/>
            <w:shd w:val="clear" w:color="auto" w:fill="auto"/>
            <w:noWrap/>
            <w:vAlign w:val="bottom"/>
            <w:hideMark/>
          </w:tcPr>
          <w:p w14:paraId="50375C8D"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93.1</w:t>
            </w:r>
          </w:p>
        </w:tc>
        <w:tc>
          <w:tcPr>
            <w:tcW w:w="410" w:type="pct"/>
            <w:shd w:val="clear" w:color="auto" w:fill="auto"/>
            <w:noWrap/>
            <w:vAlign w:val="bottom"/>
            <w:hideMark/>
          </w:tcPr>
          <w:p w14:paraId="76E65CF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7E8893F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30BBC063" w14:textId="77777777" w:rsidTr="00FF1CA7">
        <w:trPr>
          <w:trHeight w:val="20"/>
        </w:trPr>
        <w:tc>
          <w:tcPr>
            <w:tcW w:w="2559" w:type="pct"/>
            <w:shd w:val="clear" w:color="auto" w:fill="auto"/>
            <w:noWrap/>
            <w:vAlign w:val="bottom"/>
            <w:hideMark/>
          </w:tcPr>
          <w:p w14:paraId="1E26537D"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Amortización 4 (4to TRIMESTRE) Recurso Estatal</w:t>
            </w:r>
          </w:p>
        </w:tc>
        <w:tc>
          <w:tcPr>
            <w:tcW w:w="805" w:type="pct"/>
            <w:shd w:val="clear" w:color="auto" w:fill="auto"/>
            <w:noWrap/>
            <w:vAlign w:val="bottom"/>
            <w:hideMark/>
          </w:tcPr>
          <w:p w14:paraId="3F5D99B5"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12.6</w:t>
            </w:r>
          </w:p>
        </w:tc>
        <w:tc>
          <w:tcPr>
            <w:tcW w:w="410" w:type="pct"/>
            <w:shd w:val="clear" w:color="auto" w:fill="auto"/>
            <w:noWrap/>
            <w:vAlign w:val="bottom"/>
            <w:hideMark/>
          </w:tcPr>
          <w:p w14:paraId="04DE908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14.6</w:t>
            </w:r>
          </w:p>
        </w:tc>
        <w:tc>
          <w:tcPr>
            <w:tcW w:w="410" w:type="pct"/>
            <w:shd w:val="clear" w:color="auto" w:fill="auto"/>
            <w:noWrap/>
            <w:vAlign w:val="bottom"/>
            <w:hideMark/>
          </w:tcPr>
          <w:p w14:paraId="695BEB87"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06677B6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1,538.8</w:t>
            </w:r>
          </w:p>
        </w:tc>
        <w:tc>
          <w:tcPr>
            <w:tcW w:w="406" w:type="pct"/>
            <w:shd w:val="clear" w:color="auto" w:fill="auto"/>
            <w:noWrap/>
            <w:vAlign w:val="bottom"/>
            <w:hideMark/>
          </w:tcPr>
          <w:p w14:paraId="4AF4E9D7"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2,002.4</w:t>
            </w:r>
          </w:p>
        </w:tc>
      </w:tr>
      <w:tr w:rsidR="001411F7" w:rsidRPr="00472FD8" w14:paraId="7381F991" w14:textId="77777777" w:rsidTr="00FF1CA7">
        <w:trPr>
          <w:trHeight w:val="20"/>
        </w:trPr>
        <w:tc>
          <w:tcPr>
            <w:tcW w:w="2559" w:type="pct"/>
            <w:shd w:val="clear" w:color="auto" w:fill="auto"/>
            <w:noWrap/>
            <w:vAlign w:val="bottom"/>
            <w:hideMark/>
          </w:tcPr>
          <w:p w14:paraId="2DD0634B"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Disposición de Créditos</w:t>
            </w:r>
          </w:p>
        </w:tc>
        <w:tc>
          <w:tcPr>
            <w:tcW w:w="805" w:type="pct"/>
            <w:shd w:val="clear" w:color="auto" w:fill="auto"/>
            <w:noWrap/>
            <w:vAlign w:val="bottom"/>
            <w:hideMark/>
          </w:tcPr>
          <w:p w14:paraId="2E7DF91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31CA57E0"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107.7</w:t>
            </w:r>
          </w:p>
        </w:tc>
        <w:tc>
          <w:tcPr>
            <w:tcW w:w="410" w:type="pct"/>
            <w:shd w:val="clear" w:color="auto" w:fill="auto"/>
            <w:noWrap/>
            <w:vAlign w:val="bottom"/>
            <w:hideMark/>
          </w:tcPr>
          <w:p w14:paraId="3A9A08C3"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424EF94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1,500.0</w:t>
            </w:r>
          </w:p>
        </w:tc>
        <w:tc>
          <w:tcPr>
            <w:tcW w:w="406" w:type="pct"/>
            <w:shd w:val="clear" w:color="auto" w:fill="auto"/>
            <w:noWrap/>
            <w:vAlign w:val="bottom"/>
            <w:hideMark/>
          </w:tcPr>
          <w:p w14:paraId="6ABD1956"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1,975.5</w:t>
            </w:r>
          </w:p>
        </w:tc>
      </w:tr>
      <w:tr w:rsidR="001411F7" w:rsidRPr="00472FD8" w14:paraId="06DC96DE" w14:textId="77777777" w:rsidTr="00FF1CA7">
        <w:trPr>
          <w:trHeight w:val="20"/>
        </w:trPr>
        <w:tc>
          <w:tcPr>
            <w:tcW w:w="2559" w:type="pct"/>
            <w:shd w:val="clear" w:color="auto" w:fill="auto"/>
            <w:noWrap/>
            <w:vAlign w:val="bottom"/>
            <w:hideMark/>
          </w:tcPr>
          <w:p w14:paraId="5C501D25"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por reclasificacion de Amortización (4to. TRIMESTRE 2016) Recurso Estatal</w:t>
            </w:r>
          </w:p>
        </w:tc>
        <w:tc>
          <w:tcPr>
            <w:tcW w:w="805" w:type="pct"/>
            <w:shd w:val="clear" w:color="auto" w:fill="auto"/>
            <w:noWrap/>
            <w:vAlign w:val="bottom"/>
            <w:hideMark/>
          </w:tcPr>
          <w:p w14:paraId="087AFCD2"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7141B8B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10" w:type="pct"/>
            <w:shd w:val="clear" w:color="auto" w:fill="auto"/>
            <w:noWrap/>
            <w:vAlign w:val="bottom"/>
            <w:hideMark/>
          </w:tcPr>
          <w:p w14:paraId="01590A33"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2.1</w:t>
            </w:r>
          </w:p>
        </w:tc>
        <w:tc>
          <w:tcPr>
            <w:tcW w:w="410" w:type="pct"/>
            <w:shd w:val="clear" w:color="auto" w:fill="auto"/>
            <w:noWrap/>
            <w:vAlign w:val="bottom"/>
            <w:hideMark/>
          </w:tcPr>
          <w:p w14:paraId="4FE8EA6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c>
          <w:tcPr>
            <w:tcW w:w="406" w:type="pct"/>
            <w:shd w:val="clear" w:color="auto" w:fill="auto"/>
            <w:noWrap/>
            <w:vAlign w:val="bottom"/>
            <w:hideMark/>
          </w:tcPr>
          <w:p w14:paraId="3575E4F0"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0.0</w:t>
            </w:r>
          </w:p>
        </w:tc>
      </w:tr>
      <w:tr w:rsidR="001411F7" w:rsidRPr="00472FD8" w14:paraId="3C3085B8" w14:textId="77777777" w:rsidTr="00FF1CA7">
        <w:trPr>
          <w:trHeight w:val="20"/>
        </w:trPr>
        <w:tc>
          <w:tcPr>
            <w:tcW w:w="2559" w:type="pct"/>
            <w:shd w:val="clear" w:color="auto" w:fill="auto"/>
            <w:noWrap/>
            <w:vAlign w:val="bottom"/>
            <w:hideMark/>
          </w:tcPr>
          <w:p w14:paraId="579487A8" w14:textId="77777777" w:rsidR="001411F7" w:rsidRPr="00472FD8" w:rsidRDefault="001411F7" w:rsidP="00FF1CA7">
            <w:pPr>
              <w:spacing w:before="0" w:after="0"/>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 xml:space="preserve"> Deuda Pública Bruta Total</w:t>
            </w:r>
          </w:p>
        </w:tc>
        <w:tc>
          <w:tcPr>
            <w:tcW w:w="805" w:type="pct"/>
            <w:shd w:val="clear" w:color="auto" w:fill="auto"/>
            <w:noWrap/>
            <w:vAlign w:val="bottom"/>
            <w:hideMark/>
          </w:tcPr>
          <w:p w14:paraId="78251D08"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10,516.2</w:t>
            </w:r>
          </w:p>
        </w:tc>
        <w:tc>
          <w:tcPr>
            <w:tcW w:w="410" w:type="pct"/>
            <w:shd w:val="clear" w:color="auto" w:fill="auto"/>
            <w:noWrap/>
            <w:vAlign w:val="bottom"/>
            <w:hideMark/>
          </w:tcPr>
          <w:p w14:paraId="42D7B66A"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11,337.3</w:t>
            </w:r>
          </w:p>
        </w:tc>
        <w:tc>
          <w:tcPr>
            <w:tcW w:w="410" w:type="pct"/>
            <w:shd w:val="clear" w:color="auto" w:fill="auto"/>
            <w:noWrap/>
            <w:vAlign w:val="bottom"/>
            <w:hideMark/>
          </w:tcPr>
          <w:p w14:paraId="687DD9BF"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11,833.7</w:t>
            </w:r>
          </w:p>
        </w:tc>
        <w:tc>
          <w:tcPr>
            <w:tcW w:w="410" w:type="pct"/>
            <w:shd w:val="clear" w:color="auto" w:fill="auto"/>
            <w:noWrap/>
            <w:vAlign w:val="bottom"/>
            <w:hideMark/>
          </w:tcPr>
          <w:p w14:paraId="3F175B0A"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11,462.9</w:t>
            </w:r>
          </w:p>
        </w:tc>
        <w:tc>
          <w:tcPr>
            <w:tcW w:w="406" w:type="pct"/>
            <w:shd w:val="clear" w:color="auto" w:fill="auto"/>
            <w:noWrap/>
            <w:vAlign w:val="bottom"/>
            <w:hideMark/>
          </w:tcPr>
          <w:p w14:paraId="7E0C62A0" w14:textId="77777777"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11,582.0</w:t>
            </w:r>
          </w:p>
        </w:tc>
      </w:tr>
      <w:tr w:rsidR="001411F7" w:rsidRPr="00472FD8" w14:paraId="79E4D507" w14:textId="77777777" w:rsidTr="00FF1CA7">
        <w:trPr>
          <w:trHeight w:val="20"/>
        </w:trPr>
        <w:tc>
          <w:tcPr>
            <w:tcW w:w="2559" w:type="pct"/>
            <w:shd w:val="clear" w:color="auto" w:fill="auto"/>
            <w:noWrap/>
            <w:vAlign w:val="bottom"/>
            <w:hideMark/>
          </w:tcPr>
          <w:p w14:paraId="742FE2AC"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Amortizaciones FAFEF</w:t>
            </w:r>
          </w:p>
        </w:tc>
        <w:tc>
          <w:tcPr>
            <w:tcW w:w="805" w:type="pct"/>
            <w:shd w:val="clear" w:color="auto" w:fill="auto"/>
            <w:noWrap/>
            <w:vAlign w:val="bottom"/>
            <w:hideMark/>
          </w:tcPr>
          <w:p w14:paraId="6C17E0F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399.5</w:t>
            </w:r>
          </w:p>
        </w:tc>
        <w:tc>
          <w:tcPr>
            <w:tcW w:w="410" w:type="pct"/>
            <w:shd w:val="clear" w:color="auto" w:fill="auto"/>
            <w:noWrap/>
            <w:vAlign w:val="bottom"/>
            <w:hideMark/>
          </w:tcPr>
          <w:p w14:paraId="6B1F112A"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384.6</w:t>
            </w:r>
          </w:p>
        </w:tc>
        <w:tc>
          <w:tcPr>
            <w:tcW w:w="410" w:type="pct"/>
            <w:shd w:val="clear" w:color="auto" w:fill="auto"/>
            <w:noWrap/>
            <w:vAlign w:val="bottom"/>
            <w:hideMark/>
          </w:tcPr>
          <w:p w14:paraId="21E26E92"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427.8</w:t>
            </w:r>
          </w:p>
        </w:tc>
        <w:tc>
          <w:tcPr>
            <w:tcW w:w="410" w:type="pct"/>
            <w:shd w:val="clear" w:color="auto" w:fill="auto"/>
            <w:noWrap/>
            <w:vAlign w:val="bottom"/>
            <w:hideMark/>
          </w:tcPr>
          <w:p w14:paraId="06B8A9B0"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250.4</w:t>
            </w:r>
          </w:p>
        </w:tc>
        <w:tc>
          <w:tcPr>
            <w:tcW w:w="406" w:type="pct"/>
            <w:shd w:val="clear" w:color="auto" w:fill="auto"/>
            <w:noWrap/>
            <w:vAlign w:val="bottom"/>
            <w:hideMark/>
          </w:tcPr>
          <w:p w14:paraId="755285D3" w14:textId="294D40EE"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142.2</w:t>
            </w:r>
            <w:r w:rsidR="00321247" w:rsidRPr="00472FD8">
              <w:rPr>
                <w:rFonts w:eastAsia="Times New Roman" w:cstheme="minorHAnsi"/>
                <w:color w:val="000000"/>
                <w:sz w:val="18"/>
                <w:szCs w:val="18"/>
                <w:lang w:eastAsia="es-MX"/>
              </w:rPr>
              <w:t>*</w:t>
            </w:r>
          </w:p>
        </w:tc>
      </w:tr>
      <w:tr w:rsidR="001411F7" w:rsidRPr="00472FD8" w14:paraId="4BCB9FF6" w14:textId="77777777" w:rsidTr="00FF1CA7">
        <w:trPr>
          <w:trHeight w:val="20"/>
        </w:trPr>
        <w:tc>
          <w:tcPr>
            <w:tcW w:w="2559" w:type="pct"/>
            <w:shd w:val="clear" w:color="auto" w:fill="auto"/>
            <w:noWrap/>
            <w:vAlign w:val="bottom"/>
            <w:hideMark/>
          </w:tcPr>
          <w:p w14:paraId="5ACD649A"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Amortizaciones recursos estatales</w:t>
            </w:r>
          </w:p>
        </w:tc>
        <w:tc>
          <w:tcPr>
            <w:tcW w:w="805" w:type="pct"/>
            <w:shd w:val="clear" w:color="auto" w:fill="auto"/>
            <w:noWrap/>
            <w:vAlign w:val="bottom"/>
            <w:hideMark/>
          </w:tcPr>
          <w:p w14:paraId="149959EA"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30.4</w:t>
            </w:r>
          </w:p>
        </w:tc>
        <w:tc>
          <w:tcPr>
            <w:tcW w:w="410" w:type="pct"/>
            <w:shd w:val="clear" w:color="auto" w:fill="auto"/>
            <w:noWrap/>
            <w:vAlign w:val="bottom"/>
            <w:hideMark/>
          </w:tcPr>
          <w:p w14:paraId="5A1B240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57.1</w:t>
            </w:r>
          </w:p>
        </w:tc>
        <w:tc>
          <w:tcPr>
            <w:tcW w:w="410" w:type="pct"/>
            <w:shd w:val="clear" w:color="auto" w:fill="auto"/>
            <w:noWrap/>
            <w:vAlign w:val="bottom"/>
            <w:hideMark/>
          </w:tcPr>
          <w:p w14:paraId="5E42C97B"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105.2</w:t>
            </w:r>
          </w:p>
        </w:tc>
        <w:tc>
          <w:tcPr>
            <w:tcW w:w="410" w:type="pct"/>
            <w:shd w:val="clear" w:color="auto" w:fill="auto"/>
            <w:noWrap/>
            <w:vAlign w:val="bottom"/>
            <w:hideMark/>
          </w:tcPr>
          <w:p w14:paraId="43386DD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1,620.4</w:t>
            </w:r>
          </w:p>
        </w:tc>
        <w:tc>
          <w:tcPr>
            <w:tcW w:w="406" w:type="pct"/>
            <w:shd w:val="clear" w:color="auto" w:fill="auto"/>
            <w:noWrap/>
            <w:vAlign w:val="bottom"/>
            <w:hideMark/>
          </w:tcPr>
          <w:p w14:paraId="66D9C79C"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9,775.0</w:t>
            </w:r>
          </w:p>
        </w:tc>
      </w:tr>
      <w:tr w:rsidR="001411F7" w:rsidRPr="00472FD8" w14:paraId="1CF30003" w14:textId="77777777" w:rsidTr="00FF1CA7">
        <w:trPr>
          <w:trHeight w:val="20"/>
        </w:trPr>
        <w:tc>
          <w:tcPr>
            <w:tcW w:w="2559" w:type="pct"/>
            <w:shd w:val="clear" w:color="auto" w:fill="auto"/>
            <w:noWrap/>
            <w:vAlign w:val="bottom"/>
            <w:hideMark/>
          </w:tcPr>
          <w:p w14:paraId="5DC4769C" w14:textId="77777777" w:rsidR="001411F7" w:rsidRPr="00472FD8" w:rsidRDefault="001411F7" w:rsidP="00FF1CA7">
            <w:pPr>
              <w:spacing w:before="0" w:after="0"/>
              <w:rPr>
                <w:rFonts w:eastAsia="Times New Roman" w:cstheme="minorHAnsi"/>
                <w:color w:val="000000"/>
                <w:sz w:val="18"/>
                <w:szCs w:val="18"/>
                <w:lang w:eastAsia="es-MX"/>
              </w:rPr>
            </w:pPr>
            <w:r w:rsidRPr="00472FD8">
              <w:rPr>
                <w:rFonts w:eastAsia="Times New Roman" w:cstheme="minorHAnsi"/>
                <w:color w:val="000000"/>
                <w:sz w:val="18"/>
                <w:szCs w:val="18"/>
                <w:lang w:eastAsia="es-MX"/>
              </w:rPr>
              <w:t xml:space="preserve">Amortización total </w:t>
            </w:r>
          </w:p>
        </w:tc>
        <w:tc>
          <w:tcPr>
            <w:tcW w:w="805" w:type="pct"/>
            <w:shd w:val="clear" w:color="auto" w:fill="auto"/>
            <w:noWrap/>
            <w:vAlign w:val="bottom"/>
            <w:hideMark/>
          </w:tcPr>
          <w:p w14:paraId="55071B22"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430.0</w:t>
            </w:r>
          </w:p>
        </w:tc>
        <w:tc>
          <w:tcPr>
            <w:tcW w:w="410" w:type="pct"/>
            <w:shd w:val="clear" w:color="auto" w:fill="auto"/>
            <w:noWrap/>
            <w:vAlign w:val="bottom"/>
            <w:hideMark/>
          </w:tcPr>
          <w:p w14:paraId="0CA8C6BD"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441.7</w:t>
            </w:r>
          </w:p>
        </w:tc>
        <w:tc>
          <w:tcPr>
            <w:tcW w:w="410" w:type="pct"/>
            <w:shd w:val="clear" w:color="auto" w:fill="auto"/>
            <w:noWrap/>
            <w:vAlign w:val="bottom"/>
            <w:hideMark/>
          </w:tcPr>
          <w:p w14:paraId="41DCFCE7"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533.0</w:t>
            </w:r>
          </w:p>
        </w:tc>
        <w:tc>
          <w:tcPr>
            <w:tcW w:w="410" w:type="pct"/>
            <w:shd w:val="clear" w:color="auto" w:fill="auto"/>
            <w:noWrap/>
            <w:vAlign w:val="bottom"/>
            <w:hideMark/>
          </w:tcPr>
          <w:p w14:paraId="55DF0541"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1,870.8</w:t>
            </w:r>
          </w:p>
        </w:tc>
        <w:tc>
          <w:tcPr>
            <w:tcW w:w="406" w:type="pct"/>
            <w:shd w:val="clear" w:color="auto" w:fill="auto"/>
            <w:noWrap/>
            <w:vAlign w:val="bottom"/>
            <w:hideMark/>
          </w:tcPr>
          <w:p w14:paraId="67D9788F" w14:textId="77777777" w:rsidR="001411F7" w:rsidRPr="00472FD8" w:rsidRDefault="001411F7" w:rsidP="00FF1CA7">
            <w:pPr>
              <w:spacing w:before="0" w:after="0"/>
              <w:jc w:val="center"/>
              <w:rPr>
                <w:rFonts w:eastAsia="Times New Roman" w:cstheme="minorHAnsi"/>
                <w:color w:val="000000"/>
                <w:sz w:val="18"/>
                <w:szCs w:val="18"/>
                <w:lang w:eastAsia="es-MX"/>
              </w:rPr>
            </w:pPr>
            <w:r w:rsidRPr="00472FD8">
              <w:rPr>
                <w:rFonts w:eastAsia="Times New Roman" w:cstheme="minorHAnsi"/>
                <w:color w:val="000000"/>
                <w:sz w:val="18"/>
                <w:szCs w:val="18"/>
                <w:lang w:eastAsia="es-MX"/>
              </w:rPr>
              <w:t>9,917.1</w:t>
            </w:r>
          </w:p>
        </w:tc>
      </w:tr>
      <w:tr w:rsidR="001411F7" w:rsidRPr="00472FD8" w14:paraId="004053EA" w14:textId="77777777" w:rsidTr="00FF1CA7">
        <w:trPr>
          <w:trHeight w:val="20"/>
        </w:trPr>
        <w:tc>
          <w:tcPr>
            <w:tcW w:w="2559" w:type="pct"/>
            <w:shd w:val="clear" w:color="auto" w:fill="auto"/>
            <w:noWrap/>
            <w:vAlign w:val="bottom"/>
            <w:hideMark/>
          </w:tcPr>
          <w:p w14:paraId="31542272" w14:textId="77777777" w:rsidR="001411F7" w:rsidRPr="00472FD8" w:rsidRDefault="001411F7" w:rsidP="00FF1CA7">
            <w:pPr>
              <w:spacing w:before="0" w:after="0"/>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 FAFEF</w:t>
            </w:r>
          </w:p>
        </w:tc>
        <w:tc>
          <w:tcPr>
            <w:tcW w:w="805" w:type="pct"/>
            <w:shd w:val="clear" w:color="auto" w:fill="auto"/>
            <w:noWrap/>
            <w:vAlign w:val="bottom"/>
          </w:tcPr>
          <w:p w14:paraId="03BA4177" w14:textId="0E9BA4E5"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92.9%</w:t>
            </w:r>
          </w:p>
        </w:tc>
        <w:tc>
          <w:tcPr>
            <w:tcW w:w="410" w:type="pct"/>
            <w:shd w:val="clear" w:color="auto" w:fill="auto"/>
            <w:noWrap/>
            <w:vAlign w:val="bottom"/>
          </w:tcPr>
          <w:p w14:paraId="1B6E21BD" w14:textId="422A5E94"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87.1%</w:t>
            </w:r>
          </w:p>
        </w:tc>
        <w:tc>
          <w:tcPr>
            <w:tcW w:w="410" w:type="pct"/>
            <w:shd w:val="clear" w:color="auto" w:fill="auto"/>
            <w:noWrap/>
            <w:vAlign w:val="bottom"/>
          </w:tcPr>
          <w:p w14:paraId="6B110947" w14:textId="4161C30C"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80.3%</w:t>
            </w:r>
          </w:p>
        </w:tc>
        <w:tc>
          <w:tcPr>
            <w:tcW w:w="410" w:type="pct"/>
            <w:shd w:val="clear" w:color="auto" w:fill="auto"/>
            <w:noWrap/>
            <w:vAlign w:val="bottom"/>
          </w:tcPr>
          <w:p w14:paraId="079DDCC9" w14:textId="225D42ED"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13.4%</w:t>
            </w:r>
          </w:p>
        </w:tc>
        <w:tc>
          <w:tcPr>
            <w:tcW w:w="406" w:type="pct"/>
            <w:shd w:val="clear" w:color="auto" w:fill="auto"/>
            <w:noWrap/>
            <w:vAlign w:val="bottom"/>
          </w:tcPr>
          <w:p w14:paraId="4E2BC563" w14:textId="08CA6B12" w:rsidR="001411F7" w:rsidRPr="00472FD8" w:rsidRDefault="001411F7" w:rsidP="00FF1CA7">
            <w:pPr>
              <w:spacing w:before="0" w:after="0"/>
              <w:jc w:val="center"/>
              <w:rPr>
                <w:rFonts w:eastAsia="Times New Roman" w:cstheme="minorHAnsi"/>
                <w:b/>
                <w:bCs/>
                <w:color w:val="000000"/>
                <w:sz w:val="18"/>
                <w:szCs w:val="18"/>
                <w:lang w:eastAsia="es-MX"/>
              </w:rPr>
            </w:pPr>
            <w:r w:rsidRPr="00472FD8">
              <w:rPr>
                <w:rFonts w:eastAsia="Times New Roman" w:cstheme="minorHAnsi"/>
                <w:b/>
                <w:bCs/>
                <w:color w:val="000000"/>
                <w:sz w:val="18"/>
                <w:szCs w:val="18"/>
                <w:lang w:eastAsia="es-MX"/>
              </w:rPr>
              <w:t>1.4%</w:t>
            </w:r>
          </w:p>
        </w:tc>
      </w:tr>
    </w:tbl>
    <w:p w14:paraId="61CAD716" w14:textId="453AA831" w:rsidR="00321247" w:rsidRPr="00321247" w:rsidRDefault="00826CDE" w:rsidP="00FF1CA7">
      <w:pPr>
        <w:pStyle w:val="Textonotapie"/>
      </w:pPr>
      <w:r>
        <w:t xml:space="preserve"> </w:t>
      </w:r>
      <w:r w:rsidR="00455C8A">
        <w:t xml:space="preserve"> Nota:</w:t>
      </w:r>
      <w:r w:rsidR="00321247" w:rsidRPr="00321247">
        <w:t>*En el reporte de reducción de saldo de la deuda pública al 4º trimestre de 2018 no se desglosa la amortización de la deuda por fuente de recurso, el dato del monto de Amortización FAFEF se obtuvo de los resultados de la ASF y de información proporcionada por la SF.</w:t>
      </w:r>
    </w:p>
    <w:p w14:paraId="6566D518" w14:textId="71BCFDC5" w:rsidR="00022FC0" w:rsidRDefault="00321247" w:rsidP="00FF1CA7">
      <w:pPr>
        <w:pStyle w:val="Textonotapie"/>
      </w:pPr>
      <w:r w:rsidRPr="00455C8A">
        <w:rPr>
          <w:rStyle w:val="FuenteCar"/>
        </w:rPr>
        <w:t xml:space="preserve">Fuente: Elaboración propia con base en la información de transparencia del </w:t>
      </w:r>
      <w:r w:rsidR="00CF7549" w:rsidRPr="00455C8A">
        <w:rPr>
          <w:rStyle w:val="FuenteCar"/>
        </w:rPr>
        <w:t>E</w:t>
      </w:r>
      <w:r w:rsidRPr="00455C8A">
        <w:rPr>
          <w:rStyle w:val="FuenteCar"/>
        </w:rPr>
        <w:t>stado de Tamaulipas</w:t>
      </w:r>
      <w:r>
        <w:rPr>
          <w:sz w:val="20"/>
        </w:rPr>
        <w:t xml:space="preserve"> </w:t>
      </w:r>
      <w:r>
        <w:rPr>
          <w:rStyle w:val="Refdenotaalpie"/>
        </w:rPr>
        <w:footnoteReference w:id="13"/>
      </w:r>
      <w:r>
        <w:t>.</w:t>
      </w:r>
    </w:p>
    <w:p w14:paraId="60E556EC" w14:textId="7F6F6887" w:rsidR="00775B93" w:rsidRDefault="004A4865" w:rsidP="004A4865">
      <w:r w:rsidRPr="00C2624D">
        <w:t xml:space="preserve">Cómo puede apreciarse en el Cuadro 6, si bien al cierre de cada ejercicio no se visualiza una disminución del monto de la deuda, la contribución de los recursos del Fondo es que sirven como fuente de pago garantizado de deuda para el refinanciamiento de la deuda pública en </w:t>
      </w:r>
      <w:r w:rsidR="00887EC5">
        <w:t>el Estado</w:t>
      </w:r>
      <w:r w:rsidRPr="00C2624D">
        <w:t xml:space="preserve">, lo que ha garantizado el acceso </w:t>
      </w:r>
      <w:r w:rsidR="00C2624D" w:rsidRPr="00C2624D">
        <w:t>a recursos por parte de la entidad</w:t>
      </w:r>
      <w:r w:rsidR="00887EC5">
        <w:t xml:space="preserve"> federativa</w:t>
      </w:r>
      <w:r w:rsidR="00C2624D" w:rsidRPr="00C2624D">
        <w:t xml:space="preserve">. </w:t>
      </w:r>
    </w:p>
    <w:p w14:paraId="789088AF" w14:textId="4B9B8833" w:rsidR="00C2624D" w:rsidRDefault="00C2624D" w:rsidP="004A4865">
      <w:r>
        <w:t xml:space="preserve">A partir del ejercicio 2017 se destinó un </w:t>
      </w:r>
      <w:r w:rsidRPr="00C2624D">
        <w:t>46.65% a proyectos de infraestructura física</w:t>
      </w:r>
      <w:r w:rsidR="00A62E35" w:rsidRPr="007C1D04">
        <w:t>.</w:t>
      </w:r>
      <w:r w:rsidR="00012FD3" w:rsidRPr="007C1D04">
        <w:t xml:space="preserve"> En este último rubro se financiaron proyectos de construcción de infraestructura para la asistencia social (33 proyectos), infraestructura para el transporte y vialidad (11 proyectos), construcción o rehabilitación de infraestructura para el deporte (</w:t>
      </w:r>
      <w:r w:rsidR="007C1D04" w:rsidRPr="007C1D04">
        <w:t xml:space="preserve">6 </w:t>
      </w:r>
      <w:r w:rsidR="007C1D04" w:rsidRPr="007C1D04">
        <w:lastRenderedPageBreak/>
        <w:t>proyectos), construcción de instalaciones relacionadas con seguridad (2 proyectos), y 3 proyectos relacionados con educación, cultura e instalaciones de tipo social</w:t>
      </w:r>
      <w:r w:rsidR="007C1D04">
        <w:rPr>
          <w:rStyle w:val="Refdenotaalpie"/>
        </w:rPr>
        <w:footnoteReference w:id="14"/>
      </w:r>
      <w:r w:rsidR="007C1D04" w:rsidRPr="007C1D04">
        <w:t>.</w:t>
      </w:r>
      <w:r w:rsidR="007C1D04">
        <w:t xml:space="preserve"> Cabe señalar que en ninguno de los casos se cuantificó a la población atendida mediante los citados proyectos. </w:t>
      </w:r>
    </w:p>
    <w:p w14:paraId="01FF6507" w14:textId="1E58CE0A" w:rsidR="007C1D04" w:rsidRDefault="007C1D04" w:rsidP="004A4865">
      <w:r>
        <w:t xml:space="preserve">Hasta el ejercicio fiscal 2017, no se tiene evidencia de </w:t>
      </w:r>
      <w:r w:rsidR="00F6483E">
        <w:t>la forma en que se define el destino de los recursos en la entidad</w:t>
      </w:r>
      <w:r w:rsidR="00887EC5">
        <w:t xml:space="preserve"> federativa</w:t>
      </w:r>
      <w:r w:rsidR="00F6483E">
        <w:t>; a pesar que en la Evaluación de Consistencia y Resultados del ejercicio 2014 se recomienda considerar otros conceptos dándole prioridad a aquellos que proporcionen un mayor impacto en las finanzas de</w:t>
      </w:r>
      <w:r w:rsidR="00887EC5">
        <w:t>l Estado</w:t>
      </w:r>
      <w:r w:rsidR="00F6483E">
        <w:t xml:space="preserve">, el recurso se destinó en su totalidad al saneamiento financiero hasta el ejercicio 2016. Durante el ejercicio 2017 se atendió el rubro de infraestructura física, sin embargo, tampoco hay evidencia documental del mecanismo para priorizar este rubro de gasto. En el ejercicio 2018, en atención a las recomendaciones derivadas de las evaluaciones externas y de la ASF, se crea el Grupo de Trabajo </w:t>
      </w:r>
      <w:r w:rsidR="004320FD">
        <w:t>integrado por los titulares de la SE de la SF, DPCH, DC, DPE, y UI cuyo principal objetivo es identificar de manera más precisa las prioridades sobre las cuales se deben asignar los recursos del FAFEF y por ende los Pp de la estructura programática estatal que serán sujetos a recibir y operar estos recursos</w:t>
      </w:r>
      <w:r w:rsidR="00015349">
        <w:t>,</w:t>
      </w:r>
      <w:r w:rsidR="004320FD">
        <w:t xml:space="preserve"> conforme a sus propias modalidades de gasto. Asimismo, el Grupo de Trabajo tiene la función de coordinar acciones conducentes a la implementación de la estrategia del PbR implementando acciones y medidas para reforzar la planeación, programación y monitoreo de los resultados esperados de la aplicación de los recursos del FAFEF en Tamaulipas.</w:t>
      </w:r>
    </w:p>
    <w:p w14:paraId="1521CF8E" w14:textId="012B3A97" w:rsidR="002B3391" w:rsidRPr="002B3391" w:rsidRDefault="004320FD" w:rsidP="00AC6F46">
      <w:r>
        <w:t>Cabe señalar que dada la reciente implementación de las estrategias señalas den el párrafo anterior , l</w:t>
      </w:r>
      <w:r w:rsidR="002B3391" w:rsidRPr="002B3391">
        <w:t xml:space="preserve">a entidad </w:t>
      </w:r>
      <w:r w:rsidR="00887EC5">
        <w:t xml:space="preserve">federativa </w:t>
      </w:r>
      <w:r w:rsidR="002B3391" w:rsidRPr="002B3391">
        <w:t xml:space="preserve">no cuenta con información desagregada que permita realizar un análisis </w:t>
      </w:r>
      <w:r w:rsidR="00451808">
        <w:t>para</w:t>
      </w:r>
      <w:r w:rsidR="002B3391" w:rsidRPr="002B3391">
        <w:t xml:space="preserve"> conocer la situación de la población objetivo</w:t>
      </w:r>
      <w:r w:rsidR="00751B3F">
        <w:t xml:space="preserve">, </w:t>
      </w:r>
      <w:r w:rsidR="002B3391" w:rsidRPr="002B3391">
        <w:t xml:space="preserve">previo o posterior al ejercicio de los recursos, así como tampoco se tiene información de indicadores al respecto, toda vez que el </w:t>
      </w:r>
      <w:r w:rsidR="004E5C25" w:rsidRPr="00A934FE">
        <w:t>Sistema de Monitoreo de Indicadores para Resultados</w:t>
      </w:r>
      <w:r w:rsidR="004E5C25" w:rsidRPr="002B3391">
        <w:t xml:space="preserve"> </w:t>
      </w:r>
      <w:r w:rsidR="004E5C25">
        <w:t>(</w:t>
      </w:r>
      <w:r w:rsidR="002B3391" w:rsidRPr="002B3391">
        <w:t>SIMIR</w:t>
      </w:r>
      <w:r w:rsidR="004E5C25">
        <w:t>)</w:t>
      </w:r>
      <w:r w:rsidR="002B3391" w:rsidRPr="002B3391">
        <w:t xml:space="preserve"> se implementa a partir del ejercicio fiscal 2019 y a</w:t>
      </w:r>
      <w:r w:rsidR="00751B3F">
        <w:t>ú</w:t>
      </w:r>
      <w:r w:rsidR="002B3391" w:rsidRPr="002B3391">
        <w:t xml:space="preserve">n no se cuenta con la información desagregada por cada Pp. </w:t>
      </w:r>
    </w:p>
    <w:p w14:paraId="4D24358E" w14:textId="77777777" w:rsidR="002B3391" w:rsidRPr="002B3391" w:rsidRDefault="002B3391" w:rsidP="00FF1CA7">
      <w:pPr>
        <w:widowControl w:val="0"/>
        <w:numPr>
          <w:ilvl w:val="0"/>
          <w:numId w:val="3"/>
        </w:numPr>
        <w:ind w:left="714" w:hanging="357"/>
        <w:rPr>
          <w:rFonts w:eastAsia="MS Mincho" w:cs="Arial"/>
          <w:b/>
          <w:bCs/>
          <w:kern w:val="2"/>
          <w:lang w:eastAsia="ja-JP"/>
        </w:rPr>
      </w:pPr>
      <w:r w:rsidRPr="002B3391">
        <w:rPr>
          <w:rFonts w:eastAsia="MS Mincho" w:cs="Arial"/>
          <w:b/>
          <w:bCs/>
          <w:kern w:val="2"/>
          <w:lang w:eastAsia="ja-JP"/>
        </w:rPr>
        <w:t>Principales resultados y recomendaciones de evaluaciones realizadas al FAFEF en la entidad federativa.</w:t>
      </w:r>
    </w:p>
    <w:p w14:paraId="0127608E" w14:textId="27662F9B" w:rsidR="002B3391" w:rsidRPr="002B3391" w:rsidRDefault="00973511" w:rsidP="002B3391">
      <w:r>
        <w:t>El Estado de Tamaulipas</w:t>
      </w:r>
      <w:r w:rsidR="002B3391" w:rsidRPr="002B3391">
        <w:t>, a través de la Secretaría de Finanzas realizó cuatro evaluaciones externas; de las cuales, tres evaluaron la consistencia y resultados del FAFEF durante los ejercicios 2014, 2015 y 2016. Posteriormente, en 2018 se llevó a cabo una evaluación de Tipo Estratégica sobre Planeación, Programación, Monitoreo y Evaluación del FAFEF.</w:t>
      </w:r>
    </w:p>
    <w:p w14:paraId="5EAFE480" w14:textId="77777777" w:rsidR="002B3391" w:rsidRPr="002B3391" w:rsidRDefault="002B3391" w:rsidP="00277D19">
      <w:pPr>
        <w:rPr>
          <w:rFonts w:cstheme="minorHAnsi"/>
        </w:rPr>
      </w:pPr>
      <w:r w:rsidRPr="002B3391">
        <w:rPr>
          <w:rFonts w:cstheme="minorHAnsi"/>
        </w:rPr>
        <w:t>A partir de esas evaluaciones, en el cuadro siguiente se presenta un resumen de los principales hallazgos encontrados.</w:t>
      </w:r>
    </w:p>
    <w:p w14:paraId="1CDDF631" w14:textId="1F950CBE" w:rsidR="002B3391" w:rsidRPr="002B3391" w:rsidRDefault="002B3391" w:rsidP="004F43B0">
      <w:pPr>
        <w:pStyle w:val="Cuadro"/>
        <w:rPr>
          <w:rFonts w:cstheme="minorHAnsi"/>
        </w:rPr>
      </w:pPr>
      <w:bookmarkStart w:id="35" w:name="_Toc55502391"/>
      <w:bookmarkStart w:id="36" w:name="_Toc55502508"/>
      <w:bookmarkStart w:id="37" w:name="_Toc56069934"/>
      <w:r w:rsidRPr="002B3391">
        <w:t xml:space="preserve">Cuadro </w:t>
      </w:r>
      <w:r w:rsidR="00481651">
        <w:t>7</w:t>
      </w:r>
      <w:r w:rsidRPr="002B3391">
        <w:t>. Principales resultados y recomendaciones de las evaluaciones realizadas al FAFEF en Tamaulipas</w:t>
      </w:r>
      <w:r w:rsidR="00F92E03">
        <w:t>.</w:t>
      </w:r>
      <w:bookmarkEnd w:id="35"/>
      <w:bookmarkEnd w:id="36"/>
      <w:bookmarkEnd w:id="37"/>
    </w:p>
    <w:tbl>
      <w:tblPr>
        <w:tblStyle w:val="Tablaconcuadrcula3"/>
        <w:tblW w:w="509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632"/>
        <w:gridCol w:w="3110"/>
        <w:gridCol w:w="6389"/>
      </w:tblGrid>
      <w:tr w:rsidR="002B3391" w:rsidRPr="00962ABD" w14:paraId="3ADA600E" w14:textId="77777777" w:rsidTr="00962ABD">
        <w:trPr>
          <w:trHeight w:val="159"/>
          <w:tblHeader/>
        </w:trPr>
        <w:tc>
          <w:tcPr>
            <w:tcW w:w="312" w:type="pct"/>
            <w:shd w:val="clear" w:color="auto" w:fill="9CC2E5"/>
            <w:vAlign w:val="center"/>
          </w:tcPr>
          <w:p w14:paraId="0A3A8621" w14:textId="77777777" w:rsidR="002B3391" w:rsidRPr="00962ABD" w:rsidRDefault="002B3391" w:rsidP="00472FD8">
            <w:pPr>
              <w:spacing w:before="0" w:after="0"/>
              <w:jc w:val="center"/>
              <w:rPr>
                <w:rFonts w:cstheme="minorHAnsi"/>
                <w:b/>
                <w:bCs/>
                <w:sz w:val="20"/>
                <w:szCs w:val="20"/>
              </w:rPr>
            </w:pPr>
            <w:r w:rsidRPr="00962ABD">
              <w:rPr>
                <w:rFonts w:cstheme="minorHAnsi"/>
                <w:b/>
                <w:bCs/>
                <w:sz w:val="20"/>
                <w:szCs w:val="20"/>
              </w:rPr>
              <w:t>Año</w:t>
            </w:r>
          </w:p>
        </w:tc>
        <w:tc>
          <w:tcPr>
            <w:tcW w:w="1535" w:type="pct"/>
            <w:shd w:val="clear" w:color="auto" w:fill="9CC2E5"/>
          </w:tcPr>
          <w:p w14:paraId="023848AE" w14:textId="77777777" w:rsidR="002B3391" w:rsidRPr="00962ABD" w:rsidRDefault="002B3391" w:rsidP="00472FD8">
            <w:pPr>
              <w:spacing w:before="0" w:after="0"/>
              <w:jc w:val="center"/>
              <w:rPr>
                <w:rFonts w:cstheme="minorHAnsi"/>
                <w:b/>
                <w:bCs/>
                <w:sz w:val="20"/>
                <w:szCs w:val="20"/>
              </w:rPr>
            </w:pPr>
            <w:r w:rsidRPr="00962ABD">
              <w:rPr>
                <w:rFonts w:cstheme="minorHAnsi"/>
                <w:b/>
                <w:bCs/>
                <w:sz w:val="20"/>
                <w:szCs w:val="20"/>
              </w:rPr>
              <w:t>Tipo de evaluación</w:t>
            </w:r>
          </w:p>
        </w:tc>
        <w:tc>
          <w:tcPr>
            <w:tcW w:w="3153" w:type="pct"/>
            <w:shd w:val="clear" w:color="auto" w:fill="9CC2E5"/>
            <w:vAlign w:val="center"/>
          </w:tcPr>
          <w:p w14:paraId="4448E086" w14:textId="77777777" w:rsidR="002B3391" w:rsidRPr="00962ABD" w:rsidRDefault="002B3391" w:rsidP="00472FD8">
            <w:pPr>
              <w:spacing w:before="0" w:after="0"/>
              <w:jc w:val="center"/>
              <w:rPr>
                <w:rFonts w:cstheme="minorHAnsi"/>
                <w:b/>
                <w:bCs/>
                <w:sz w:val="20"/>
                <w:szCs w:val="20"/>
              </w:rPr>
            </w:pPr>
            <w:r w:rsidRPr="00962ABD">
              <w:rPr>
                <w:rFonts w:cstheme="minorHAnsi"/>
                <w:b/>
                <w:bCs/>
                <w:sz w:val="20"/>
                <w:szCs w:val="20"/>
              </w:rPr>
              <w:t>Principales recomendaciones</w:t>
            </w:r>
          </w:p>
        </w:tc>
      </w:tr>
      <w:tr w:rsidR="002B3391" w:rsidRPr="00962ABD" w14:paraId="10CEF6E1" w14:textId="77777777" w:rsidTr="00962ABD">
        <w:trPr>
          <w:trHeight w:val="159"/>
        </w:trPr>
        <w:tc>
          <w:tcPr>
            <w:tcW w:w="312" w:type="pct"/>
            <w:vMerge w:val="restart"/>
            <w:vAlign w:val="center"/>
          </w:tcPr>
          <w:p w14:paraId="66A3CEBA" w14:textId="77777777" w:rsidR="002B3391" w:rsidRPr="00962ABD" w:rsidRDefault="002B3391" w:rsidP="00FF1CA7">
            <w:pPr>
              <w:spacing w:before="0" w:after="0"/>
              <w:jc w:val="center"/>
              <w:rPr>
                <w:rFonts w:cstheme="minorHAnsi"/>
                <w:sz w:val="20"/>
                <w:szCs w:val="20"/>
              </w:rPr>
            </w:pPr>
            <w:r w:rsidRPr="00962ABD">
              <w:rPr>
                <w:rFonts w:cstheme="minorHAnsi"/>
                <w:sz w:val="20"/>
                <w:szCs w:val="20"/>
              </w:rPr>
              <w:t>2014</w:t>
            </w:r>
          </w:p>
        </w:tc>
        <w:tc>
          <w:tcPr>
            <w:tcW w:w="1535" w:type="pct"/>
            <w:vMerge w:val="restart"/>
            <w:vAlign w:val="center"/>
          </w:tcPr>
          <w:p w14:paraId="353EA703" w14:textId="77777777" w:rsidR="002B3391" w:rsidRPr="00962ABD" w:rsidRDefault="002B3391" w:rsidP="00472FD8">
            <w:pPr>
              <w:spacing w:before="0" w:after="0"/>
              <w:rPr>
                <w:rFonts w:cstheme="minorHAnsi"/>
                <w:sz w:val="20"/>
                <w:szCs w:val="20"/>
              </w:rPr>
            </w:pPr>
            <w:r w:rsidRPr="00962ABD">
              <w:rPr>
                <w:rFonts w:cstheme="minorHAnsi"/>
                <w:sz w:val="20"/>
                <w:szCs w:val="20"/>
              </w:rPr>
              <w:t xml:space="preserve">Evaluación de Consistencia y Resultados </w:t>
            </w:r>
          </w:p>
        </w:tc>
        <w:tc>
          <w:tcPr>
            <w:tcW w:w="3153" w:type="pct"/>
          </w:tcPr>
          <w:p w14:paraId="3F99F814" w14:textId="77777777" w:rsidR="002B3391" w:rsidRPr="00962ABD" w:rsidRDefault="002B3391" w:rsidP="00472FD8">
            <w:pPr>
              <w:spacing w:before="0" w:after="0"/>
              <w:rPr>
                <w:rFonts w:cstheme="minorHAnsi"/>
                <w:sz w:val="20"/>
                <w:szCs w:val="20"/>
              </w:rPr>
            </w:pPr>
            <w:r w:rsidRPr="00962ABD">
              <w:rPr>
                <w:rFonts w:cstheme="minorHAnsi"/>
                <w:sz w:val="20"/>
                <w:szCs w:val="20"/>
              </w:rPr>
              <w:t>La elaboración de la MIR cumpliendo con las etapas que señala la MML.</w:t>
            </w:r>
          </w:p>
        </w:tc>
      </w:tr>
      <w:tr w:rsidR="002B3391" w:rsidRPr="00962ABD" w14:paraId="538F89E5" w14:textId="77777777" w:rsidTr="00962ABD">
        <w:trPr>
          <w:trHeight w:val="159"/>
        </w:trPr>
        <w:tc>
          <w:tcPr>
            <w:tcW w:w="312" w:type="pct"/>
            <w:vMerge/>
          </w:tcPr>
          <w:p w14:paraId="6EE1C085" w14:textId="77777777" w:rsidR="002B3391" w:rsidRPr="00962ABD" w:rsidRDefault="002B3391" w:rsidP="00FF1CA7">
            <w:pPr>
              <w:spacing w:before="0" w:after="0"/>
              <w:jc w:val="center"/>
              <w:rPr>
                <w:rFonts w:cstheme="minorHAnsi"/>
                <w:sz w:val="20"/>
                <w:szCs w:val="20"/>
              </w:rPr>
            </w:pPr>
          </w:p>
        </w:tc>
        <w:tc>
          <w:tcPr>
            <w:tcW w:w="1535" w:type="pct"/>
            <w:vMerge/>
          </w:tcPr>
          <w:p w14:paraId="65A3A3A7" w14:textId="77777777" w:rsidR="002B3391" w:rsidRPr="00962ABD" w:rsidRDefault="002B3391" w:rsidP="00472FD8">
            <w:pPr>
              <w:spacing w:before="0" w:after="0"/>
              <w:rPr>
                <w:rFonts w:cstheme="minorHAnsi"/>
                <w:sz w:val="20"/>
                <w:szCs w:val="20"/>
              </w:rPr>
            </w:pPr>
          </w:p>
        </w:tc>
        <w:tc>
          <w:tcPr>
            <w:tcW w:w="3153" w:type="pct"/>
          </w:tcPr>
          <w:p w14:paraId="51CA28E4" w14:textId="63C08348" w:rsidR="002B3391" w:rsidRPr="00962ABD" w:rsidRDefault="002B3391" w:rsidP="00472FD8">
            <w:pPr>
              <w:spacing w:before="0" w:after="0"/>
              <w:rPr>
                <w:rFonts w:cstheme="minorHAnsi"/>
                <w:sz w:val="20"/>
                <w:szCs w:val="20"/>
              </w:rPr>
            </w:pPr>
            <w:r w:rsidRPr="00962ABD">
              <w:rPr>
                <w:rFonts w:cstheme="minorHAnsi"/>
                <w:sz w:val="20"/>
                <w:szCs w:val="20"/>
              </w:rPr>
              <w:t>Considerar otros conceptos en lo que se pueden aplicar los recursos del FAFEF, esto con el beneficio de analizar el beneficio que tendría el aplicar el recurso en estos conceptos y darle prioridad a aquellos que proporcionen un mayor impacto en las finanzas de la entidad</w:t>
            </w:r>
            <w:r w:rsidR="00887EC5" w:rsidRPr="00962ABD">
              <w:rPr>
                <w:rFonts w:cstheme="minorHAnsi"/>
                <w:sz w:val="20"/>
                <w:szCs w:val="20"/>
              </w:rPr>
              <w:t xml:space="preserve"> federativa</w:t>
            </w:r>
            <w:r w:rsidRPr="00962ABD">
              <w:rPr>
                <w:rFonts w:cstheme="minorHAnsi"/>
                <w:sz w:val="20"/>
                <w:szCs w:val="20"/>
              </w:rPr>
              <w:t>.</w:t>
            </w:r>
          </w:p>
        </w:tc>
      </w:tr>
      <w:tr w:rsidR="002B3391" w:rsidRPr="00962ABD" w14:paraId="17BFD2A7" w14:textId="77777777" w:rsidTr="00962ABD">
        <w:trPr>
          <w:trHeight w:val="159"/>
        </w:trPr>
        <w:tc>
          <w:tcPr>
            <w:tcW w:w="312" w:type="pct"/>
            <w:vMerge/>
          </w:tcPr>
          <w:p w14:paraId="44A9F294" w14:textId="77777777" w:rsidR="002B3391" w:rsidRPr="00962ABD" w:rsidRDefault="002B3391" w:rsidP="00FF1CA7">
            <w:pPr>
              <w:spacing w:before="0" w:after="0"/>
              <w:jc w:val="center"/>
              <w:rPr>
                <w:rFonts w:cstheme="minorHAnsi"/>
                <w:sz w:val="20"/>
                <w:szCs w:val="20"/>
              </w:rPr>
            </w:pPr>
          </w:p>
        </w:tc>
        <w:tc>
          <w:tcPr>
            <w:tcW w:w="1535" w:type="pct"/>
            <w:vMerge/>
          </w:tcPr>
          <w:p w14:paraId="46CBF02E" w14:textId="77777777" w:rsidR="002B3391" w:rsidRPr="00962ABD" w:rsidRDefault="002B3391" w:rsidP="00472FD8">
            <w:pPr>
              <w:spacing w:before="0" w:after="0"/>
              <w:rPr>
                <w:rFonts w:cstheme="minorHAnsi"/>
                <w:sz w:val="20"/>
                <w:szCs w:val="20"/>
              </w:rPr>
            </w:pPr>
          </w:p>
        </w:tc>
        <w:tc>
          <w:tcPr>
            <w:tcW w:w="3153" w:type="pct"/>
          </w:tcPr>
          <w:p w14:paraId="18C9FB71" w14:textId="731ECB81" w:rsidR="002B3391" w:rsidRPr="00962ABD" w:rsidRDefault="002B3391" w:rsidP="00472FD8">
            <w:pPr>
              <w:spacing w:before="0" w:after="0"/>
              <w:rPr>
                <w:rFonts w:cstheme="minorHAnsi"/>
                <w:sz w:val="20"/>
                <w:szCs w:val="20"/>
              </w:rPr>
            </w:pPr>
            <w:r w:rsidRPr="00962ABD">
              <w:rPr>
                <w:rFonts w:cstheme="minorHAnsi"/>
                <w:sz w:val="20"/>
                <w:szCs w:val="20"/>
              </w:rPr>
              <w:t>Elaborar un Plan Estratégico referente a la deuda pública en el que se definan objetivos específicos, a la vez de incluir indicadores que permitan medir el grado de cumplimiento de estos objetivos en la ejecución de los recursos del Fondo y donde se efectúe un desglose de las políticas y estrategias aplicadas para lograr la disminución de la deuda pública, además de la aplicación total de los recursos del FAFEF transferidos.</w:t>
            </w:r>
            <w:r w:rsidR="00826CDE">
              <w:rPr>
                <w:rFonts w:cstheme="minorHAnsi"/>
                <w:sz w:val="20"/>
                <w:szCs w:val="20"/>
              </w:rPr>
              <w:t xml:space="preserve"> </w:t>
            </w:r>
          </w:p>
        </w:tc>
      </w:tr>
      <w:tr w:rsidR="002B3391" w:rsidRPr="00962ABD" w14:paraId="31084D73" w14:textId="77777777" w:rsidTr="00962ABD">
        <w:trPr>
          <w:trHeight w:val="489"/>
        </w:trPr>
        <w:tc>
          <w:tcPr>
            <w:tcW w:w="312" w:type="pct"/>
            <w:vMerge w:val="restart"/>
            <w:vAlign w:val="center"/>
          </w:tcPr>
          <w:p w14:paraId="350117C7" w14:textId="77777777" w:rsidR="002B3391" w:rsidRPr="00962ABD" w:rsidRDefault="002B3391" w:rsidP="00FF1CA7">
            <w:pPr>
              <w:spacing w:before="0" w:after="0"/>
              <w:jc w:val="center"/>
              <w:rPr>
                <w:rFonts w:cstheme="minorHAnsi"/>
                <w:sz w:val="20"/>
                <w:szCs w:val="20"/>
              </w:rPr>
            </w:pPr>
            <w:r w:rsidRPr="00962ABD">
              <w:rPr>
                <w:rFonts w:cstheme="minorHAnsi"/>
                <w:sz w:val="20"/>
                <w:szCs w:val="20"/>
              </w:rPr>
              <w:t>2015</w:t>
            </w:r>
          </w:p>
        </w:tc>
        <w:tc>
          <w:tcPr>
            <w:tcW w:w="1535" w:type="pct"/>
            <w:vMerge w:val="restart"/>
            <w:vAlign w:val="center"/>
          </w:tcPr>
          <w:p w14:paraId="05F9EF3C" w14:textId="77777777" w:rsidR="002B3391" w:rsidRPr="00962ABD" w:rsidRDefault="002B3391" w:rsidP="00472FD8">
            <w:pPr>
              <w:spacing w:before="0" w:after="0"/>
              <w:rPr>
                <w:rFonts w:cstheme="minorHAnsi"/>
                <w:sz w:val="20"/>
                <w:szCs w:val="20"/>
              </w:rPr>
            </w:pPr>
            <w:r w:rsidRPr="00962ABD">
              <w:rPr>
                <w:rFonts w:cstheme="minorHAnsi"/>
                <w:sz w:val="20"/>
                <w:szCs w:val="20"/>
              </w:rPr>
              <w:t>Evaluación de Consistencia y Resultados</w:t>
            </w:r>
          </w:p>
        </w:tc>
        <w:tc>
          <w:tcPr>
            <w:tcW w:w="3153" w:type="pct"/>
          </w:tcPr>
          <w:p w14:paraId="605B7E47" w14:textId="351254A9" w:rsidR="002B3391" w:rsidRPr="00962ABD" w:rsidRDefault="002B3391" w:rsidP="00472FD8">
            <w:pPr>
              <w:spacing w:before="0" w:after="0"/>
              <w:rPr>
                <w:rFonts w:cstheme="minorHAnsi"/>
                <w:sz w:val="20"/>
                <w:szCs w:val="20"/>
              </w:rPr>
            </w:pPr>
            <w:r w:rsidRPr="00962ABD">
              <w:rPr>
                <w:rFonts w:cstheme="minorHAnsi"/>
                <w:sz w:val="20"/>
                <w:szCs w:val="20"/>
              </w:rPr>
              <w:t xml:space="preserve">Hacer un diagnóstico completo de la situación del </w:t>
            </w:r>
            <w:r w:rsidR="00912BAE" w:rsidRPr="00962ABD">
              <w:rPr>
                <w:rFonts w:cstheme="minorHAnsi"/>
                <w:sz w:val="20"/>
                <w:szCs w:val="20"/>
              </w:rPr>
              <w:t>E</w:t>
            </w:r>
            <w:r w:rsidRPr="00962ABD">
              <w:rPr>
                <w:rFonts w:cstheme="minorHAnsi"/>
                <w:sz w:val="20"/>
                <w:szCs w:val="20"/>
              </w:rPr>
              <w:t>stado en relación a todos los conceptos que pueden ser financiados con FAFEF, a fin de que se utilice el recurso en forma óptima.</w:t>
            </w:r>
          </w:p>
        </w:tc>
      </w:tr>
      <w:tr w:rsidR="002B3391" w:rsidRPr="00962ABD" w14:paraId="54D7E95E" w14:textId="77777777" w:rsidTr="00962ABD">
        <w:trPr>
          <w:trHeight w:val="489"/>
        </w:trPr>
        <w:tc>
          <w:tcPr>
            <w:tcW w:w="312" w:type="pct"/>
            <w:vMerge/>
            <w:vAlign w:val="center"/>
          </w:tcPr>
          <w:p w14:paraId="268FFE95" w14:textId="77777777" w:rsidR="002B3391" w:rsidRPr="00962ABD" w:rsidRDefault="002B3391" w:rsidP="00472FD8">
            <w:pPr>
              <w:spacing w:before="0" w:after="0"/>
              <w:jc w:val="center"/>
              <w:rPr>
                <w:rFonts w:cstheme="minorHAnsi"/>
                <w:sz w:val="20"/>
                <w:szCs w:val="20"/>
              </w:rPr>
            </w:pPr>
          </w:p>
        </w:tc>
        <w:tc>
          <w:tcPr>
            <w:tcW w:w="1535" w:type="pct"/>
            <w:vMerge/>
            <w:vAlign w:val="center"/>
          </w:tcPr>
          <w:p w14:paraId="7D2670BE" w14:textId="77777777" w:rsidR="002B3391" w:rsidRPr="00962ABD" w:rsidRDefault="002B3391" w:rsidP="00472FD8">
            <w:pPr>
              <w:spacing w:before="0" w:after="0"/>
              <w:rPr>
                <w:rFonts w:cstheme="minorHAnsi"/>
                <w:sz w:val="20"/>
                <w:szCs w:val="20"/>
              </w:rPr>
            </w:pPr>
          </w:p>
        </w:tc>
        <w:tc>
          <w:tcPr>
            <w:tcW w:w="3153" w:type="pct"/>
          </w:tcPr>
          <w:p w14:paraId="46C02854" w14:textId="77777777" w:rsidR="002B3391" w:rsidRPr="00962ABD" w:rsidRDefault="002B3391" w:rsidP="00472FD8">
            <w:pPr>
              <w:spacing w:before="0" w:after="0"/>
              <w:rPr>
                <w:rFonts w:cstheme="minorHAnsi"/>
                <w:sz w:val="20"/>
                <w:szCs w:val="20"/>
              </w:rPr>
            </w:pPr>
            <w:r w:rsidRPr="00962ABD">
              <w:rPr>
                <w:rFonts w:cstheme="minorHAnsi"/>
                <w:sz w:val="20"/>
                <w:szCs w:val="20"/>
              </w:rPr>
              <w:t>Elaborar un Plan Estratégico a corto plazo referente a la deuda pública que permita formar parte del PbR y monitorear el comportamiento mediante el Sistema de Evaluación de Desempeño.</w:t>
            </w:r>
          </w:p>
        </w:tc>
      </w:tr>
      <w:tr w:rsidR="002B3391" w:rsidRPr="00962ABD" w14:paraId="5CCD4C10" w14:textId="77777777" w:rsidTr="00962ABD">
        <w:trPr>
          <w:trHeight w:val="499"/>
        </w:trPr>
        <w:tc>
          <w:tcPr>
            <w:tcW w:w="312" w:type="pct"/>
            <w:vMerge/>
            <w:vAlign w:val="center"/>
          </w:tcPr>
          <w:p w14:paraId="7A20A698" w14:textId="77777777" w:rsidR="002B3391" w:rsidRPr="00962ABD" w:rsidRDefault="002B3391" w:rsidP="00472FD8">
            <w:pPr>
              <w:spacing w:before="0" w:after="0"/>
              <w:jc w:val="center"/>
              <w:rPr>
                <w:rFonts w:cstheme="minorHAnsi"/>
                <w:sz w:val="20"/>
                <w:szCs w:val="20"/>
              </w:rPr>
            </w:pPr>
          </w:p>
        </w:tc>
        <w:tc>
          <w:tcPr>
            <w:tcW w:w="1535" w:type="pct"/>
            <w:vMerge/>
            <w:vAlign w:val="center"/>
          </w:tcPr>
          <w:p w14:paraId="51A40131" w14:textId="77777777" w:rsidR="002B3391" w:rsidRPr="00962ABD" w:rsidRDefault="002B3391" w:rsidP="00472FD8">
            <w:pPr>
              <w:spacing w:before="0" w:after="0"/>
              <w:rPr>
                <w:rFonts w:cstheme="minorHAnsi"/>
                <w:sz w:val="20"/>
                <w:szCs w:val="20"/>
              </w:rPr>
            </w:pPr>
          </w:p>
        </w:tc>
        <w:tc>
          <w:tcPr>
            <w:tcW w:w="3153" w:type="pct"/>
          </w:tcPr>
          <w:p w14:paraId="1BCE84E7" w14:textId="68CB7852" w:rsidR="002B3391" w:rsidRPr="00962ABD" w:rsidRDefault="002B3391" w:rsidP="00472FD8">
            <w:pPr>
              <w:spacing w:before="0" w:after="0"/>
              <w:rPr>
                <w:rFonts w:cstheme="minorHAnsi"/>
                <w:sz w:val="20"/>
                <w:szCs w:val="20"/>
              </w:rPr>
            </w:pPr>
            <w:r w:rsidRPr="00962ABD">
              <w:rPr>
                <w:rFonts w:cstheme="minorHAnsi"/>
                <w:sz w:val="20"/>
                <w:szCs w:val="20"/>
              </w:rPr>
              <w:t xml:space="preserve">Hacer un programa de trabajo calendarizado que incluya todas las acciones necesarias y los responsables para la </w:t>
            </w:r>
            <w:r w:rsidR="005B495E" w:rsidRPr="00962ABD">
              <w:rPr>
                <w:rFonts w:cstheme="minorHAnsi"/>
                <w:sz w:val="20"/>
                <w:szCs w:val="20"/>
              </w:rPr>
              <w:t>solventar</w:t>
            </w:r>
            <w:r w:rsidRPr="00962ABD">
              <w:rPr>
                <w:rFonts w:cstheme="minorHAnsi"/>
                <w:sz w:val="20"/>
                <w:szCs w:val="20"/>
              </w:rPr>
              <w:t xml:space="preserve"> las recomendaciones </w:t>
            </w:r>
            <w:r w:rsidR="005B495E" w:rsidRPr="00962ABD">
              <w:rPr>
                <w:rFonts w:cstheme="minorHAnsi"/>
                <w:sz w:val="20"/>
                <w:szCs w:val="20"/>
              </w:rPr>
              <w:t>derivadas</w:t>
            </w:r>
            <w:r w:rsidRPr="00962ABD">
              <w:rPr>
                <w:rFonts w:cstheme="minorHAnsi"/>
                <w:sz w:val="20"/>
                <w:szCs w:val="20"/>
              </w:rPr>
              <w:t xml:space="preserve"> de la evaluación.</w:t>
            </w:r>
          </w:p>
        </w:tc>
      </w:tr>
      <w:tr w:rsidR="002B3391" w:rsidRPr="00962ABD" w14:paraId="1FE078FF" w14:textId="77777777" w:rsidTr="00962ABD">
        <w:trPr>
          <w:trHeight w:val="639"/>
        </w:trPr>
        <w:tc>
          <w:tcPr>
            <w:tcW w:w="312" w:type="pct"/>
            <w:vMerge w:val="restart"/>
            <w:vAlign w:val="center"/>
          </w:tcPr>
          <w:p w14:paraId="4AEBD9DA" w14:textId="77777777" w:rsidR="002B3391" w:rsidRPr="00962ABD" w:rsidRDefault="002B3391" w:rsidP="00FF1CA7">
            <w:pPr>
              <w:spacing w:before="0" w:after="0"/>
              <w:jc w:val="center"/>
              <w:rPr>
                <w:rFonts w:cstheme="minorHAnsi"/>
                <w:sz w:val="20"/>
                <w:szCs w:val="20"/>
              </w:rPr>
            </w:pPr>
            <w:r w:rsidRPr="00962ABD">
              <w:rPr>
                <w:rFonts w:cstheme="minorHAnsi"/>
                <w:sz w:val="20"/>
                <w:szCs w:val="20"/>
              </w:rPr>
              <w:t>2016</w:t>
            </w:r>
          </w:p>
        </w:tc>
        <w:tc>
          <w:tcPr>
            <w:tcW w:w="1535" w:type="pct"/>
            <w:vMerge w:val="restart"/>
            <w:vAlign w:val="center"/>
          </w:tcPr>
          <w:p w14:paraId="55116A71" w14:textId="77777777" w:rsidR="002B3391" w:rsidRPr="00962ABD" w:rsidRDefault="002B3391" w:rsidP="00472FD8">
            <w:pPr>
              <w:spacing w:before="0" w:after="0"/>
              <w:rPr>
                <w:rFonts w:cstheme="minorHAnsi"/>
                <w:sz w:val="20"/>
                <w:szCs w:val="20"/>
              </w:rPr>
            </w:pPr>
            <w:r w:rsidRPr="00962ABD">
              <w:rPr>
                <w:rFonts w:cstheme="minorHAnsi"/>
                <w:sz w:val="20"/>
                <w:szCs w:val="20"/>
              </w:rPr>
              <w:t>Evaluación de Consistencia y Resultados</w:t>
            </w:r>
          </w:p>
        </w:tc>
        <w:tc>
          <w:tcPr>
            <w:tcW w:w="3153" w:type="pct"/>
          </w:tcPr>
          <w:p w14:paraId="182D609F" w14:textId="77777777" w:rsidR="002B3391" w:rsidRPr="00962ABD" w:rsidRDefault="002B3391" w:rsidP="00472FD8">
            <w:pPr>
              <w:spacing w:before="0" w:after="0"/>
              <w:rPr>
                <w:rFonts w:cstheme="minorHAnsi"/>
                <w:sz w:val="20"/>
                <w:szCs w:val="20"/>
              </w:rPr>
            </w:pPr>
            <w:r w:rsidRPr="00962ABD">
              <w:rPr>
                <w:rFonts w:cstheme="minorHAnsi"/>
                <w:sz w:val="20"/>
                <w:szCs w:val="20"/>
              </w:rPr>
              <w:t>Ejercer recursos en más de un rubro, diversificando la aplicación de los mismos en uno o varios conceptos de acuerdo con la LCF, con base en el planteamiento de un diagnóstico de una problemática sobre necesidades concretas de una población objetivo.</w:t>
            </w:r>
          </w:p>
        </w:tc>
      </w:tr>
      <w:tr w:rsidR="002B3391" w:rsidRPr="00962ABD" w14:paraId="5119906A" w14:textId="77777777" w:rsidTr="00962ABD">
        <w:trPr>
          <w:trHeight w:val="339"/>
        </w:trPr>
        <w:tc>
          <w:tcPr>
            <w:tcW w:w="312" w:type="pct"/>
            <w:vMerge/>
          </w:tcPr>
          <w:p w14:paraId="018EA230" w14:textId="77777777" w:rsidR="002B3391" w:rsidRPr="00962ABD" w:rsidRDefault="002B3391" w:rsidP="00FF1CA7">
            <w:pPr>
              <w:spacing w:before="0" w:after="0"/>
              <w:jc w:val="center"/>
              <w:rPr>
                <w:rFonts w:cstheme="minorHAnsi"/>
                <w:sz w:val="20"/>
                <w:szCs w:val="20"/>
              </w:rPr>
            </w:pPr>
          </w:p>
        </w:tc>
        <w:tc>
          <w:tcPr>
            <w:tcW w:w="1535" w:type="pct"/>
            <w:vMerge/>
            <w:vAlign w:val="center"/>
          </w:tcPr>
          <w:p w14:paraId="57F0ACDB" w14:textId="77777777" w:rsidR="002B3391" w:rsidRPr="00962ABD" w:rsidRDefault="002B3391" w:rsidP="00472FD8">
            <w:pPr>
              <w:spacing w:before="0" w:after="0"/>
              <w:rPr>
                <w:rFonts w:cstheme="minorHAnsi"/>
                <w:sz w:val="20"/>
                <w:szCs w:val="20"/>
              </w:rPr>
            </w:pPr>
          </w:p>
        </w:tc>
        <w:tc>
          <w:tcPr>
            <w:tcW w:w="3153" w:type="pct"/>
          </w:tcPr>
          <w:p w14:paraId="472427D9" w14:textId="77777777" w:rsidR="002B3391" w:rsidRPr="00962ABD" w:rsidRDefault="002B3391" w:rsidP="00472FD8">
            <w:pPr>
              <w:spacing w:before="0" w:after="0"/>
              <w:rPr>
                <w:rFonts w:cstheme="minorHAnsi"/>
                <w:sz w:val="20"/>
                <w:szCs w:val="20"/>
              </w:rPr>
            </w:pPr>
            <w:r w:rsidRPr="00962ABD">
              <w:rPr>
                <w:rFonts w:cstheme="minorHAnsi"/>
                <w:sz w:val="20"/>
                <w:szCs w:val="20"/>
              </w:rPr>
              <w:t xml:space="preserve">Verificar que exista consistencia entre los indicadores contenidos en la ficha técnica proporcionada para la evaluación y la declarada en el PASH </w:t>
            </w:r>
          </w:p>
        </w:tc>
      </w:tr>
      <w:tr w:rsidR="002B3391" w:rsidRPr="00962ABD" w14:paraId="1C9D9F55" w14:textId="77777777" w:rsidTr="00962ABD">
        <w:trPr>
          <w:trHeight w:val="489"/>
        </w:trPr>
        <w:tc>
          <w:tcPr>
            <w:tcW w:w="312" w:type="pct"/>
            <w:vMerge/>
          </w:tcPr>
          <w:p w14:paraId="5CC61184" w14:textId="77777777" w:rsidR="002B3391" w:rsidRPr="00962ABD" w:rsidRDefault="002B3391" w:rsidP="00FF1CA7">
            <w:pPr>
              <w:spacing w:before="0" w:after="0"/>
              <w:jc w:val="center"/>
              <w:rPr>
                <w:rFonts w:cstheme="minorHAnsi"/>
                <w:sz w:val="20"/>
                <w:szCs w:val="20"/>
              </w:rPr>
            </w:pPr>
          </w:p>
        </w:tc>
        <w:tc>
          <w:tcPr>
            <w:tcW w:w="1535" w:type="pct"/>
            <w:vMerge/>
            <w:vAlign w:val="center"/>
          </w:tcPr>
          <w:p w14:paraId="359ADB15" w14:textId="77777777" w:rsidR="002B3391" w:rsidRPr="00962ABD" w:rsidRDefault="002B3391" w:rsidP="00472FD8">
            <w:pPr>
              <w:spacing w:before="0" w:after="0"/>
              <w:rPr>
                <w:rFonts w:cstheme="minorHAnsi"/>
                <w:sz w:val="20"/>
                <w:szCs w:val="20"/>
              </w:rPr>
            </w:pPr>
          </w:p>
        </w:tc>
        <w:tc>
          <w:tcPr>
            <w:tcW w:w="3153" w:type="pct"/>
          </w:tcPr>
          <w:p w14:paraId="10D37E36" w14:textId="77777777" w:rsidR="002B3391" w:rsidRPr="00962ABD" w:rsidRDefault="002B3391" w:rsidP="00472FD8">
            <w:pPr>
              <w:spacing w:before="0" w:after="0"/>
              <w:rPr>
                <w:rFonts w:cstheme="minorHAnsi"/>
                <w:sz w:val="20"/>
                <w:szCs w:val="20"/>
              </w:rPr>
            </w:pPr>
            <w:r w:rsidRPr="00962ABD">
              <w:rPr>
                <w:rFonts w:cstheme="minorHAnsi"/>
                <w:sz w:val="20"/>
                <w:szCs w:val="20"/>
              </w:rPr>
              <w:t>Generar un expediente de cada trimestre documentando cada indicador del PASH, alimentando las fichas técnicas de cada indicador con el documento institucional que soporte cifras calculadas.</w:t>
            </w:r>
          </w:p>
        </w:tc>
      </w:tr>
      <w:tr w:rsidR="002B3391" w:rsidRPr="00962ABD" w14:paraId="03FE9073" w14:textId="77777777" w:rsidTr="00962ABD">
        <w:trPr>
          <w:trHeight w:val="834"/>
        </w:trPr>
        <w:tc>
          <w:tcPr>
            <w:tcW w:w="312" w:type="pct"/>
            <w:vMerge w:val="restart"/>
            <w:vAlign w:val="center"/>
          </w:tcPr>
          <w:p w14:paraId="65F63ED1" w14:textId="77777777" w:rsidR="002B3391" w:rsidRPr="00962ABD" w:rsidRDefault="002B3391" w:rsidP="00FF1CA7">
            <w:pPr>
              <w:spacing w:before="0" w:after="0"/>
              <w:jc w:val="center"/>
              <w:rPr>
                <w:rFonts w:cstheme="minorHAnsi"/>
                <w:sz w:val="20"/>
                <w:szCs w:val="20"/>
              </w:rPr>
            </w:pPr>
            <w:r w:rsidRPr="00962ABD">
              <w:rPr>
                <w:rFonts w:cstheme="minorHAnsi"/>
                <w:sz w:val="20"/>
                <w:szCs w:val="20"/>
              </w:rPr>
              <w:t>2018</w:t>
            </w:r>
          </w:p>
        </w:tc>
        <w:tc>
          <w:tcPr>
            <w:tcW w:w="1535" w:type="pct"/>
            <w:vMerge w:val="restart"/>
            <w:vAlign w:val="center"/>
          </w:tcPr>
          <w:p w14:paraId="32D4C7F2" w14:textId="77777777" w:rsidR="002B3391" w:rsidRPr="00962ABD" w:rsidRDefault="002B3391" w:rsidP="00472FD8">
            <w:pPr>
              <w:spacing w:before="0" w:after="0"/>
              <w:rPr>
                <w:rFonts w:cstheme="minorHAnsi"/>
                <w:sz w:val="20"/>
                <w:szCs w:val="20"/>
              </w:rPr>
            </w:pPr>
            <w:r w:rsidRPr="00962ABD">
              <w:rPr>
                <w:rFonts w:cstheme="minorHAnsi"/>
                <w:sz w:val="20"/>
                <w:szCs w:val="20"/>
              </w:rPr>
              <w:t>Evaluación Estratégica sobre Planeación, Programación, Monitoreo y Evaluación.</w:t>
            </w:r>
          </w:p>
          <w:p w14:paraId="28075799" w14:textId="77777777" w:rsidR="002B3391" w:rsidRPr="00962ABD" w:rsidRDefault="002B3391" w:rsidP="00472FD8">
            <w:pPr>
              <w:spacing w:before="0" w:after="0"/>
              <w:rPr>
                <w:rFonts w:cstheme="minorHAnsi"/>
                <w:sz w:val="20"/>
                <w:szCs w:val="20"/>
              </w:rPr>
            </w:pPr>
          </w:p>
        </w:tc>
        <w:tc>
          <w:tcPr>
            <w:tcW w:w="3153" w:type="pct"/>
          </w:tcPr>
          <w:p w14:paraId="3CB84367" w14:textId="77777777" w:rsidR="002B3391" w:rsidRPr="00962ABD" w:rsidRDefault="002B3391" w:rsidP="00472FD8">
            <w:pPr>
              <w:spacing w:before="0" w:after="0"/>
              <w:rPr>
                <w:rFonts w:cstheme="minorHAnsi"/>
                <w:sz w:val="20"/>
                <w:szCs w:val="20"/>
              </w:rPr>
            </w:pPr>
            <w:r w:rsidRPr="00962ABD">
              <w:rPr>
                <w:rFonts w:cstheme="minorHAnsi"/>
                <w:sz w:val="20"/>
                <w:szCs w:val="20"/>
              </w:rPr>
              <w:t>Corroborar que todos los proyectos apoyados con el FAFEF cuenten con indicadores que permitan medir el logro de sus metas y el cumplimiento de sus objetivos y que dicha información sea reportada a través del SIMIR.</w:t>
            </w:r>
          </w:p>
        </w:tc>
      </w:tr>
      <w:tr w:rsidR="002B3391" w:rsidRPr="00962ABD" w14:paraId="385E2FCC" w14:textId="77777777" w:rsidTr="00962ABD">
        <w:trPr>
          <w:trHeight w:val="1046"/>
        </w:trPr>
        <w:tc>
          <w:tcPr>
            <w:tcW w:w="312" w:type="pct"/>
            <w:vMerge/>
            <w:vAlign w:val="center"/>
          </w:tcPr>
          <w:p w14:paraId="57F850EF" w14:textId="77777777" w:rsidR="002B3391" w:rsidRPr="00962ABD" w:rsidRDefault="002B3391" w:rsidP="00472FD8">
            <w:pPr>
              <w:spacing w:before="0" w:after="0"/>
              <w:jc w:val="center"/>
              <w:rPr>
                <w:rFonts w:cstheme="minorHAnsi"/>
                <w:sz w:val="20"/>
                <w:szCs w:val="20"/>
              </w:rPr>
            </w:pPr>
          </w:p>
        </w:tc>
        <w:tc>
          <w:tcPr>
            <w:tcW w:w="1535" w:type="pct"/>
            <w:vMerge/>
          </w:tcPr>
          <w:p w14:paraId="6C45D3C3" w14:textId="77777777" w:rsidR="002B3391" w:rsidRPr="00962ABD" w:rsidRDefault="002B3391" w:rsidP="00472FD8">
            <w:pPr>
              <w:spacing w:before="0" w:after="0"/>
              <w:rPr>
                <w:rFonts w:cstheme="minorHAnsi"/>
                <w:sz w:val="20"/>
                <w:szCs w:val="20"/>
              </w:rPr>
            </w:pPr>
          </w:p>
        </w:tc>
        <w:tc>
          <w:tcPr>
            <w:tcW w:w="3153" w:type="pct"/>
          </w:tcPr>
          <w:p w14:paraId="4DD9D21B" w14:textId="77777777" w:rsidR="002B3391" w:rsidRPr="00962ABD" w:rsidRDefault="002B3391" w:rsidP="00472FD8">
            <w:pPr>
              <w:spacing w:before="0" w:after="0"/>
              <w:rPr>
                <w:rFonts w:cstheme="minorHAnsi"/>
                <w:sz w:val="20"/>
                <w:szCs w:val="20"/>
              </w:rPr>
            </w:pPr>
            <w:r w:rsidRPr="00962ABD">
              <w:rPr>
                <w:rFonts w:cstheme="minorHAnsi"/>
                <w:sz w:val="20"/>
                <w:szCs w:val="20"/>
              </w:rPr>
              <w:t>Establecer un proceso de monitoreo a través del SIMIR a los programas a los que se canaliza el FAFEF, mediante el cual se establezca la vinculación y comunicación efectiva con las Unidades Responsables de cada uno de los programas a los que apoya el FAFEF.</w:t>
            </w:r>
          </w:p>
        </w:tc>
      </w:tr>
      <w:tr w:rsidR="002B3391" w:rsidRPr="00962ABD" w14:paraId="512C7F7F" w14:textId="77777777" w:rsidTr="00962ABD">
        <w:trPr>
          <w:trHeight w:val="1274"/>
        </w:trPr>
        <w:tc>
          <w:tcPr>
            <w:tcW w:w="312" w:type="pct"/>
            <w:vMerge/>
            <w:vAlign w:val="center"/>
          </w:tcPr>
          <w:p w14:paraId="105C84B9" w14:textId="77777777" w:rsidR="002B3391" w:rsidRPr="00962ABD" w:rsidRDefault="002B3391" w:rsidP="00472FD8">
            <w:pPr>
              <w:spacing w:before="0" w:after="0"/>
              <w:jc w:val="center"/>
              <w:rPr>
                <w:rFonts w:cstheme="minorHAnsi"/>
                <w:sz w:val="20"/>
                <w:szCs w:val="20"/>
              </w:rPr>
            </w:pPr>
          </w:p>
        </w:tc>
        <w:tc>
          <w:tcPr>
            <w:tcW w:w="1535" w:type="pct"/>
            <w:vMerge/>
          </w:tcPr>
          <w:p w14:paraId="485C57FE" w14:textId="77777777" w:rsidR="002B3391" w:rsidRPr="00962ABD" w:rsidRDefault="002B3391" w:rsidP="00472FD8">
            <w:pPr>
              <w:spacing w:before="0" w:after="0"/>
              <w:rPr>
                <w:rFonts w:cstheme="minorHAnsi"/>
                <w:sz w:val="20"/>
                <w:szCs w:val="20"/>
              </w:rPr>
            </w:pPr>
          </w:p>
        </w:tc>
        <w:tc>
          <w:tcPr>
            <w:tcW w:w="3153" w:type="pct"/>
          </w:tcPr>
          <w:p w14:paraId="19A87A40" w14:textId="678AF9F8" w:rsidR="002B3391" w:rsidRPr="00962ABD" w:rsidRDefault="002B3391" w:rsidP="00472FD8">
            <w:pPr>
              <w:spacing w:before="0" w:after="0"/>
              <w:rPr>
                <w:rFonts w:cstheme="minorHAnsi"/>
                <w:sz w:val="20"/>
                <w:szCs w:val="20"/>
              </w:rPr>
            </w:pPr>
            <w:r w:rsidRPr="00962ABD">
              <w:rPr>
                <w:rFonts w:cstheme="minorHAnsi"/>
                <w:sz w:val="20"/>
                <w:szCs w:val="20"/>
              </w:rPr>
              <w:t xml:space="preserve">Establecer un diagrama de flujo de la coordinación del </w:t>
            </w:r>
            <w:r w:rsidR="00F43C33" w:rsidRPr="00962ABD">
              <w:rPr>
                <w:rFonts w:cstheme="minorHAnsi"/>
                <w:sz w:val="20"/>
                <w:szCs w:val="20"/>
              </w:rPr>
              <w:t>F</w:t>
            </w:r>
            <w:r w:rsidRPr="00962ABD">
              <w:rPr>
                <w:rFonts w:cstheme="minorHAnsi"/>
                <w:sz w:val="20"/>
                <w:szCs w:val="20"/>
              </w:rPr>
              <w:t>ondo donde se detallen los pasos en el proceso de monitoreo de los programas a través del SIMIR.</w:t>
            </w:r>
          </w:p>
          <w:p w14:paraId="6F66ADF5" w14:textId="07C01D51" w:rsidR="002B3391" w:rsidRPr="00962ABD" w:rsidRDefault="002B3391" w:rsidP="00472FD8">
            <w:pPr>
              <w:spacing w:before="0" w:after="0"/>
              <w:rPr>
                <w:rFonts w:cstheme="minorHAnsi"/>
                <w:sz w:val="20"/>
                <w:szCs w:val="20"/>
              </w:rPr>
            </w:pPr>
            <w:r w:rsidRPr="00962ABD">
              <w:rPr>
                <w:rFonts w:cstheme="minorHAnsi"/>
                <w:sz w:val="20"/>
                <w:szCs w:val="20"/>
              </w:rPr>
              <w:t xml:space="preserve">Contar con información financiera para cada uno de los proyectos que son beneficiados del </w:t>
            </w:r>
            <w:r w:rsidR="00F43C33" w:rsidRPr="00962ABD">
              <w:rPr>
                <w:rFonts w:cstheme="minorHAnsi"/>
                <w:sz w:val="20"/>
                <w:szCs w:val="20"/>
              </w:rPr>
              <w:t>F</w:t>
            </w:r>
            <w:r w:rsidRPr="00962ABD">
              <w:rPr>
                <w:rFonts w:cstheme="minorHAnsi"/>
                <w:sz w:val="20"/>
                <w:szCs w:val="20"/>
              </w:rPr>
              <w:t>ondo con el fin de establecer la contribución que el FAFEF realiza al cumplimiento de los logros de los programas de los cuales se derivan.</w:t>
            </w:r>
          </w:p>
        </w:tc>
      </w:tr>
    </w:tbl>
    <w:p w14:paraId="5F2E9A24" w14:textId="250712E2" w:rsidR="00455C8A" w:rsidRDefault="00455C8A" w:rsidP="003F783A">
      <w:r w:rsidRPr="00455C8A">
        <w:rPr>
          <w:rStyle w:val="FuenteCar"/>
        </w:rPr>
        <w:t xml:space="preserve">Fuente: Elaboración propia con base en </w:t>
      </w:r>
      <w:r>
        <w:rPr>
          <w:rStyle w:val="FuenteCar"/>
        </w:rPr>
        <w:t>resultados de evaluaciones externas 2014,2015, 2016 y 2018.</w:t>
      </w:r>
    </w:p>
    <w:p w14:paraId="54FB882C" w14:textId="47C4AD06" w:rsidR="008724F8" w:rsidRPr="002B3391" w:rsidRDefault="008724F8" w:rsidP="003F783A">
      <w:r>
        <w:br w:type="page"/>
      </w:r>
    </w:p>
    <w:p w14:paraId="4F49E332" w14:textId="1E0B9E6B" w:rsidR="00487B6A" w:rsidRPr="00E132E1" w:rsidRDefault="00E132E1" w:rsidP="00E132E1">
      <w:pPr>
        <w:pStyle w:val="Ttulo2"/>
      </w:pPr>
      <w:bookmarkStart w:id="38" w:name="_Toc61633641"/>
      <w:r>
        <w:lastRenderedPageBreak/>
        <w:t xml:space="preserve">1.2 </w:t>
      </w:r>
      <w:r w:rsidR="00487B6A" w:rsidRPr="00E132E1">
        <w:t>Valoración de la contribución del FAFEF a la o las problemáticas de la entidad federativa</w:t>
      </w:r>
      <w:bookmarkEnd w:id="38"/>
    </w:p>
    <w:p w14:paraId="4CBA9CD6" w14:textId="67D77254" w:rsidR="007461CA" w:rsidRPr="00E23500" w:rsidRDefault="008724F8" w:rsidP="006F647F">
      <w:pPr>
        <w:spacing w:before="0" w:after="0"/>
        <w:contextualSpacing/>
        <w:rPr>
          <w:rFonts w:cstheme="minorHAnsi"/>
          <w:b/>
        </w:rPr>
      </w:pPr>
      <w:r w:rsidRPr="00E23500">
        <w:rPr>
          <w:rFonts w:cstheme="minorHAnsi"/>
          <w:b/>
        </w:rPr>
        <w:t xml:space="preserve">1. </w:t>
      </w:r>
      <w:r w:rsidR="007461CA" w:rsidRPr="00E23500">
        <w:rPr>
          <w:rFonts w:cstheme="minorHAnsi"/>
          <w:b/>
        </w:rPr>
        <w:t>La entidad federativa cuenta con un diagnóstico sobre la/las problemáticas a las que el FAFEF contribuye a atender y tiene las siguientes características:</w:t>
      </w:r>
    </w:p>
    <w:p w14:paraId="2E1F957C" w14:textId="77777777" w:rsidR="007461CA" w:rsidRPr="007461CA" w:rsidRDefault="007461CA" w:rsidP="00F92F32">
      <w:pPr>
        <w:numPr>
          <w:ilvl w:val="1"/>
          <w:numId w:val="14"/>
        </w:numPr>
        <w:spacing w:before="0" w:after="0"/>
        <w:contextualSpacing/>
        <w:rPr>
          <w:rFonts w:cstheme="minorHAnsi"/>
          <w:b/>
        </w:rPr>
      </w:pPr>
      <w:r w:rsidRPr="00E23500">
        <w:rPr>
          <w:rFonts w:cstheme="minorHAnsi"/>
          <w:b/>
        </w:rPr>
        <w:t>Se identifica y describe el problema central dentro del entorno de política pública al que respondería</w:t>
      </w:r>
      <w:r w:rsidRPr="007461CA">
        <w:rPr>
          <w:rFonts w:cstheme="minorHAnsi"/>
          <w:b/>
        </w:rPr>
        <w:t xml:space="preserve"> el FAFEF en la entidad federativa;</w:t>
      </w:r>
    </w:p>
    <w:p w14:paraId="0CB6846D" w14:textId="77777777" w:rsidR="007461CA" w:rsidRPr="007461CA" w:rsidRDefault="007461CA" w:rsidP="00F92F32">
      <w:pPr>
        <w:numPr>
          <w:ilvl w:val="1"/>
          <w:numId w:val="14"/>
        </w:numPr>
        <w:spacing w:before="0" w:after="0"/>
        <w:contextualSpacing/>
        <w:rPr>
          <w:rFonts w:cstheme="minorHAnsi"/>
          <w:b/>
        </w:rPr>
      </w:pPr>
      <w:r w:rsidRPr="007461CA">
        <w:rPr>
          <w:rFonts w:cstheme="minorHAnsi"/>
          <w:b/>
        </w:rPr>
        <w:t>Presenta un árbol de problemas sobre la o las problemáticas en la entidad;</w:t>
      </w:r>
    </w:p>
    <w:p w14:paraId="5102FCEC" w14:textId="77777777" w:rsidR="007461CA" w:rsidRPr="007461CA" w:rsidRDefault="007461CA" w:rsidP="00F92F32">
      <w:pPr>
        <w:numPr>
          <w:ilvl w:val="1"/>
          <w:numId w:val="14"/>
        </w:numPr>
        <w:spacing w:before="0" w:after="0"/>
        <w:contextualSpacing/>
        <w:rPr>
          <w:rFonts w:cstheme="minorHAnsi"/>
          <w:b/>
        </w:rPr>
      </w:pPr>
      <w:r w:rsidRPr="007461CA">
        <w:rPr>
          <w:rFonts w:cstheme="minorHAnsi"/>
          <w:b/>
        </w:rPr>
        <w:t>Presenta un árbol de objetivos;</w:t>
      </w:r>
    </w:p>
    <w:p w14:paraId="7AADD3D4" w14:textId="77777777" w:rsidR="007461CA" w:rsidRPr="007461CA" w:rsidRDefault="007461CA" w:rsidP="00F92F32">
      <w:pPr>
        <w:numPr>
          <w:ilvl w:val="1"/>
          <w:numId w:val="14"/>
        </w:numPr>
        <w:spacing w:before="0" w:after="0"/>
        <w:contextualSpacing/>
        <w:rPr>
          <w:rFonts w:cstheme="minorHAnsi"/>
          <w:b/>
        </w:rPr>
      </w:pPr>
      <w:r w:rsidRPr="007461CA">
        <w:rPr>
          <w:rFonts w:cstheme="minorHAnsi"/>
          <w:b/>
        </w:rPr>
        <w:t>Presenta una MIR;</w:t>
      </w:r>
    </w:p>
    <w:p w14:paraId="79A47402" w14:textId="4DB03A57" w:rsidR="007461CA" w:rsidRDefault="007461CA" w:rsidP="00F92F32">
      <w:pPr>
        <w:numPr>
          <w:ilvl w:val="1"/>
          <w:numId w:val="14"/>
        </w:numPr>
        <w:spacing w:before="0"/>
        <w:ind w:left="641" w:hanging="357"/>
        <w:rPr>
          <w:rFonts w:cstheme="minorHAnsi"/>
          <w:b/>
        </w:rPr>
      </w:pPr>
      <w:r w:rsidRPr="007461CA">
        <w:rPr>
          <w:rFonts w:cstheme="minorHAnsi"/>
          <w:b/>
        </w:rPr>
        <w:t>Define un plazo para su revisión y actualización.</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55215B" w:rsidRPr="006F647F" w14:paraId="769FE94F" w14:textId="77777777" w:rsidTr="00457AF6">
        <w:trPr>
          <w:trHeight w:val="260"/>
          <w:jc w:val="center"/>
        </w:trPr>
        <w:tc>
          <w:tcPr>
            <w:tcW w:w="675" w:type="pct"/>
            <w:shd w:val="clear" w:color="auto" w:fill="FFFFFF"/>
          </w:tcPr>
          <w:p w14:paraId="6C8C1251" w14:textId="77777777" w:rsidR="0055215B" w:rsidRPr="006F647F" w:rsidRDefault="0055215B" w:rsidP="00217D24">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6F647F">
              <w:rPr>
                <w:rFonts w:ascii="Calibri" w:eastAsia="Calibri" w:hAnsi="Calibri" w:cs="Calibri"/>
                <w:b/>
                <w:color w:val="000000"/>
                <w:sz w:val="20"/>
                <w:szCs w:val="20"/>
                <w:lang w:eastAsia="es-MX"/>
              </w:rPr>
              <w:t>Respuesta</w:t>
            </w:r>
          </w:p>
        </w:tc>
        <w:tc>
          <w:tcPr>
            <w:tcW w:w="383" w:type="pct"/>
            <w:shd w:val="clear" w:color="auto" w:fill="FFFFFF"/>
            <w:vAlign w:val="center"/>
          </w:tcPr>
          <w:p w14:paraId="54A798DF" w14:textId="77777777" w:rsidR="0055215B" w:rsidRPr="006F647F" w:rsidRDefault="0055215B" w:rsidP="00217D24">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6F647F">
              <w:rPr>
                <w:rFonts w:ascii="Calibri" w:eastAsia="Calibri" w:hAnsi="Calibri" w:cs="Calibri"/>
                <w:b/>
                <w:color w:val="000000"/>
                <w:sz w:val="20"/>
                <w:szCs w:val="20"/>
                <w:lang w:eastAsia="es-MX"/>
              </w:rPr>
              <w:t>Nivel</w:t>
            </w:r>
          </w:p>
        </w:tc>
        <w:tc>
          <w:tcPr>
            <w:tcW w:w="3942" w:type="pct"/>
            <w:shd w:val="clear" w:color="auto" w:fill="FFFFFF"/>
            <w:vAlign w:val="center"/>
          </w:tcPr>
          <w:p w14:paraId="3CA08F22" w14:textId="77777777" w:rsidR="0055215B" w:rsidRPr="006F647F" w:rsidRDefault="0055215B" w:rsidP="00217D24">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6F647F">
              <w:rPr>
                <w:rFonts w:ascii="Calibri" w:eastAsia="Calibri" w:hAnsi="Calibri" w:cs="Calibri"/>
                <w:b/>
                <w:color w:val="000000"/>
                <w:sz w:val="20"/>
                <w:szCs w:val="20"/>
                <w:lang w:eastAsia="es-MX"/>
              </w:rPr>
              <w:t>Criterios</w:t>
            </w:r>
          </w:p>
        </w:tc>
      </w:tr>
      <w:tr w:rsidR="0055215B" w:rsidRPr="006F647F" w14:paraId="7F8CB1C1" w14:textId="77777777" w:rsidTr="00457AF6">
        <w:trPr>
          <w:trHeight w:val="400"/>
          <w:jc w:val="center"/>
        </w:trPr>
        <w:tc>
          <w:tcPr>
            <w:tcW w:w="675" w:type="pct"/>
            <w:shd w:val="clear" w:color="auto" w:fill="FFFFFF"/>
            <w:vAlign w:val="center"/>
          </w:tcPr>
          <w:p w14:paraId="6FC6735B" w14:textId="77777777" w:rsidR="0055215B" w:rsidRPr="006F647F" w:rsidRDefault="0055215B" w:rsidP="00D105A8">
            <w:pPr>
              <w:jc w:val="center"/>
              <w:rPr>
                <w:sz w:val="20"/>
                <w:szCs w:val="20"/>
                <w:lang w:eastAsia="es-MX"/>
              </w:rPr>
            </w:pPr>
            <w:r w:rsidRPr="006F647F">
              <w:rPr>
                <w:sz w:val="20"/>
                <w:szCs w:val="20"/>
                <w:lang w:eastAsia="es-MX"/>
              </w:rPr>
              <w:t>Sí</w:t>
            </w:r>
          </w:p>
        </w:tc>
        <w:tc>
          <w:tcPr>
            <w:tcW w:w="383" w:type="pct"/>
            <w:shd w:val="clear" w:color="auto" w:fill="FFFFFF"/>
            <w:vAlign w:val="center"/>
          </w:tcPr>
          <w:p w14:paraId="2B446D69" w14:textId="77777777" w:rsidR="0055215B" w:rsidRPr="006F647F" w:rsidRDefault="0055215B" w:rsidP="00D105A8">
            <w:pPr>
              <w:jc w:val="center"/>
              <w:rPr>
                <w:sz w:val="20"/>
                <w:szCs w:val="20"/>
                <w:lang w:eastAsia="es-MX"/>
              </w:rPr>
            </w:pPr>
            <w:r w:rsidRPr="006F647F">
              <w:rPr>
                <w:sz w:val="20"/>
                <w:szCs w:val="20"/>
                <w:lang w:eastAsia="es-MX"/>
              </w:rPr>
              <w:t>2</w:t>
            </w:r>
          </w:p>
        </w:tc>
        <w:tc>
          <w:tcPr>
            <w:tcW w:w="3942" w:type="pct"/>
            <w:shd w:val="clear" w:color="auto" w:fill="FFFFFF"/>
          </w:tcPr>
          <w:p w14:paraId="7B2618A7" w14:textId="77777777" w:rsidR="0055215B" w:rsidRPr="006F647F" w:rsidRDefault="0055215B" w:rsidP="0055215B">
            <w:pPr>
              <w:rPr>
                <w:sz w:val="20"/>
                <w:szCs w:val="20"/>
                <w:lang w:eastAsia="es-MX"/>
              </w:rPr>
            </w:pPr>
            <w:r w:rsidRPr="006F647F">
              <w:rPr>
                <w:sz w:val="20"/>
                <w:szCs w:val="20"/>
                <w:lang w:eastAsia="es-MX"/>
              </w:rPr>
              <w:t xml:space="preserve">El diagnóstico tiene </w:t>
            </w:r>
            <w:r w:rsidRPr="000D117B">
              <w:rPr>
                <w:b/>
                <w:sz w:val="20"/>
                <w:szCs w:val="20"/>
                <w:lang w:eastAsia="es-MX"/>
              </w:rPr>
              <w:t>dos</w:t>
            </w:r>
            <w:r w:rsidRPr="006F647F">
              <w:rPr>
                <w:b/>
                <w:sz w:val="20"/>
                <w:szCs w:val="20"/>
                <w:lang w:eastAsia="es-MX"/>
              </w:rPr>
              <w:t xml:space="preserve"> </w:t>
            </w:r>
            <w:r w:rsidRPr="006F647F">
              <w:rPr>
                <w:sz w:val="20"/>
                <w:szCs w:val="20"/>
                <w:lang w:eastAsia="es-MX"/>
              </w:rPr>
              <w:t>de las características establecidas en la pregunta.</w:t>
            </w:r>
          </w:p>
        </w:tc>
      </w:tr>
    </w:tbl>
    <w:p w14:paraId="7E266FE0" w14:textId="54FD32FE" w:rsidR="00ED641C" w:rsidRDefault="00ED641C" w:rsidP="00ED641C">
      <w:r w:rsidRPr="00753EAF">
        <w:t xml:space="preserve">El </w:t>
      </w:r>
      <w:r w:rsidR="001E75EF">
        <w:t>E</w:t>
      </w:r>
      <w:r w:rsidRPr="00753EAF">
        <w:t xml:space="preserve">stado de Tamaulipas dispone de un Diagnóstico </w:t>
      </w:r>
      <w:r>
        <w:t>con antecedentes, identificación definición y descripción de</w:t>
      </w:r>
      <w:r w:rsidR="00826CDE">
        <w:t xml:space="preserve"> </w:t>
      </w:r>
      <w:r>
        <w:t>la problemática que podría atenderse con recursos del FAFEF</w:t>
      </w:r>
      <w:r w:rsidRPr="001C29C0">
        <w:t xml:space="preserve"> </w:t>
      </w:r>
      <w:r>
        <w:t>considerando y describiendo la situación actual de los nueve rubros de gasto establecidos en la LCF para el Fondo; presenta además, los apartados de experiencias de atención</w:t>
      </w:r>
      <w:r w:rsidRPr="00572DE0">
        <w:t>, árbol del problema, árbol de</w:t>
      </w:r>
      <w:r>
        <w:t>l</w:t>
      </w:r>
      <w:r w:rsidRPr="00572DE0">
        <w:t xml:space="preserve"> objetivo,</w:t>
      </w:r>
      <w:r>
        <w:t xml:space="preserve"> determinación de los objetivos del Programa,</w:t>
      </w:r>
      <w:r w:rsidRPr="003C6C6F">
        <w:t xml:space="preserve"> </w:t>
      </w:r>
      <w:r>
        <w:t>la aportación del Programa a los objetivos</w:t>
      </w:r>
      <w:r w:rsidR="002006D9">
        <w:t xml:space="preserve"> del PED 2016-2022</w:t>
      </w:r>
      <w:r>
        <w:t>, diseño del Programa propuesto (padrón de beneficiarios y MIR), análisis de similitudes o complementariedades y presupuesto.</w:t>
      </w:r>
    </w:p>
    <w:p w14:paraId="21944067" w14:textId="29DC725C" w:rsidR="00ED641C" w:rsidRPr="00753EAF" w:rsidRDefault="00ED641C" w:rsidP="00ED641C">
      <w:r>
        <w:t xml:space="preserve">No obstante lo anterior, la </w:t>
      </w:r>
      <w:r w:rsidRPr="00753EAF">
        <w:t>problemática identificada</w:t>
      </w:r>
      <w:r>
        <w:t xml:space="preserve"> en el Diagnóstico</w:t>
      </w:r>
      <w:r w:rsidRPr="00753EAF">
        <w:t xml:space="preserve">, se centra fundamentalmente en resaltar la insuficiencia de recursos para atender diversas prioridades en </w:t>
      </w:r>
      <w:r w:rsidR="00887EC5">
        <w:t>Tamaulipas</w:t>
      </w:r>
      <w:r w:rsidRPr="00753EAF">
        <w:t xml:space="preserve">, mismas que no se enuncian en el desarrollo del mismo; en tal caso, se menciona que la determinación de prioridades que serán atendidas por el Fondo en cada ejercicio fiscal, se identificarán dentro de la estructura programática estatal, para que a través de los programas presupuestarios (Pp) que estén vinculados a la prioridades detectadas para recibir los recursos del FAFEF se puedan monitorear gradualmente los resultados de los </w:t>
      </w:r>
      <w:r>
        <w:t>Pp</w:t>
      </w:r>
      <w:r w:rsidRPr="00753EAF">
        <w:t>, en los cuales se utilicen dichos recursos, con la focalización correspondiente.</w:t>
      </w:r>
    </w:p>
    <w:p w14:paraId="1A6D3353" w14:textId="442C6B12" w:rsidR="0055215B" w:rsidRPr="00753EAF" w:rsidRDefault="0055215B" w:rsidP="0055215B">
      <w:r w:rsidRPr="00753EAF">
        <w:t>De acuerdo con lo anterior, la problemática en la que se centra el Diagnóstico, no está estructurada en un árbol de problemas, en consecuencia, no se define un árbol de objetivos, ya que el objetivo de FAFEF en el Estado está enfocado en fortalecer el presupuesto, así como contribuir a su saneamiento financiero. Al respecto, se hace mención que los bienes y servicios que producirá el Fondo, serán los previstos por los Pp operados en el Estado en cada ejercicio fiscal y que estén vinculados a las prioridades detectadas para recibir los recursos del FAFEF, con la respectiva focalización en cada caso. Por lo tanto, se sugiere que los Pp que reciban recursos del F</w:t>
      </w:r>
      <w:r w:rsidR="00F520D6">
        <w:t>ondo</w:t>
      </w:r>
      <w:r w:rsidRPr="00753EAF">
        <w:t xml:space="preserve">, cuenten con un diagnóstico </w:t>
      </w:r>
      <w:r w:rsidR="00F520D6">
        <w:t>que</w:t>
      </w:r>
      <w:r w:rsidRPr="00753EAF">
        <w:t xml:space="preserve"> tengan identificada la problemática que buscan atender con </w:t>
      </w:r>
      <w:r w:rsidR="00F520D6">
        <w:t>estos</w:t>
      </w:r>
      <w:r w:rsidRPr="00753EAF">
        <w:t xml:space="preserve"> recursos</w:t>
      </w:r>
      <w:r w:rsidR="00F520D6">
        <w:t xml:space="preserve">. </w:t>
      </w:r>
    </w:p>
    <w:p w14:paraId="255EBB80" w14:textId="0B363A3E" w:rsidR="00B31A0F" w:rsidRDefault="0055215B" w:rsidP="00A67FC9">
      <w:r w:rsidRPr="00753EAF">
        <w:t xml:space="preserve">Por otro lado, el Diagnóstico incorpora una Matriz de Indicadores para Resultados (MIR), determinada por la Federación a través de la SHCP y cuyos indicadores contribuyen a mostrar de manera agregada el efecto del FAFEF a nivel nacional, sin embargo, </w:t>
      </w:r>
      <w:r w:rsidR="00F520D6">
        <w:t xml:space="preserve">en opinión de los funcionarios estatales entrevistados, </w:t>
      </w:r>
      <w:r w:rsidRPr="00753EAF">
        <w:t>los resultados obtenidos a través de esos indicadores no son de mucha utilidad para su uso específico en la entidad</w:t>
      </w:r>
      <w:r w:rsidR="00887EC5">
        <w:t xml:space="preserve"> federativa</w:t>
      </w:r>
      <w:r w:rsidRPr="00753EAF">
        <w:t xml:space="preserve">, ya que no permiten identificar de manera particular los efectos del Fondo en la población beneficiaria. Sobre este aspecto, los resultados del uso de los recursos del FAFEF, se analizan en función de las MIR de los Pp, cuyo presupuesto </w:t>
      </w:r>
      <w:r w:rsidR="006A1035" w:rsidRPr="00753EAF">
        <w:t>cont</w:t>
      </w:r>
      <w:r w:rsidR="006A1035">
        <w:t>iene</w:t>
      </w:r>
      <w:r w:rsidRPr="00753EAF">
        <w:t xml:space="preserve"> parte o todos sus recursos provenientes del Fondo en cada ejercicio fiscal.</w:t>
      </w:r>
      <w:r>
        <w:t xml:space="preserve"> </w:t>
      </w:r>
      <w:r w:rsidRPr="00753EAF">
        <w:t>En el Diagnóstico no se identificó la definición de un plazo para su revisión y actualización</w:t>
      </w:r>
      <w:r w:rsidR="009F250F">
        <w:t xml:space="preserve">. </w:t>
      </w:r>
    </w:p>
    <w:p w14:paraId="03AFF1A9" w14:textId="5362EB03" w:rsidR="00ED641C" w:rsidRDefault="00D35F05" w:rsidP="00A67FC9">
      <w:pPr>
        <w:sectPr w:rsidR="00ED641C" w:rsidSect="00A201C4">
          <w:pgSz w:w="12240" w:h="15840" w:code="1"/>
          <w:pgMar w:top="1134" w:right="1134" w:bottom="1134" w:left="1134" w:header="709" w:footer="709" w:gutter="0"/>
          <w:cols w:space="708"/>
          <w:docGrid w:linePitch="360"/>
        </w:sectPr>
      </w:pPr>
      <w:r w:rsidRPr="009A3209">
        <w:t>En este sentido</w:t>
      </w:r>
      <w:r w:rsidR="00B31A0F" w:rsidRPr="009A3209">
        <w:t xml:space="preserve">, </w:t>
      </w:r>
      <w:r w:rsidRPr="009A3209">
        <w:t xml:space="preserve">se recomienda la mejora del documento de Diagnóstico integrando en este las problemáticas detectadas en cada uno de </w:t>
      </w:r>
      <w:r w:rsidR="00B31A0F" w:rsidRPr="009A3209">
        <w:t xml:space="preserve">los rubros de </w:t>
      </w:r>
      <w:r w:rsidR="00CF4724" w:rsidRPr="009A3209">
        <w:t>gasto especificados</w:t>
      </w:r>
      <w:r w:rsidR="00B31A0F" w:rsidRPr="009A3209">
        <w:t xml:space="preserve"> en la LCF</w:t>
      </w:r>
      <w:r w:rsidR="002C6015" w:rsidRPr="009A3209">
        <w:t xml:space="preserve"> a los cuales se destine recursos del Fondo en la entidad</w:t>
      </w:r>
      <w:r w:rsidR="00887EC5">
        <w:t xml:space="preserve"> federativa</w:t>
      </w:r>
      <w:r w:rsidR="00BD4EA4" w:rsidRPr="009A3209">
        <w:t xml:space="preserve">. </w:t>
      </w:r>
      <w:r w:rsidR="002C6015" w:rsidRPr="009A3209">
        <w:t xml:space="preserve">El diagnóstico debería atender los criterios metodológicos </w:t>
      </w:r>
      <w:r w:rsidR="00887742">
        <w:t xml:space="preserve">establecidos en los “Aspectos a considerar para la elaboración del diagnóstico de los programas presupuestarios de nueva creación o con cambios sustanciales que se proponga incluir en la Estructura Programática del PEF, </w:t>
      </w:r>
      <w:r w:rsidR="002C6015" w:rsidRPr="009A3209">
        <w:t xml:space="preserve">definidos por la SHCP y el </w:t>
      </w:r>
      <w:r w:rsidR="002C6015" w:rsidRPr="009A3209">
        <w:lastRenderedPageBreak/>
        <w:t>CONEVAL</w:t>
      </w:r>
      <w:r w:rsidR="00887742">
        <w:t xml:space="preserve"> y ´publicados en 2019</w:t>
      </w:r>
      <w:r w:rsidR="00887742">
        <w:rPr>
          <w:rStyle w:val="Refdenotaalpie"/>
        </w:rPr>
        <w:footnoteReference w:id="15"/>
      </w:r>
      <w:r w:rsidR="002C6015" w:rsidRPr="009A3209">
        <w:t xml:space="preserve">. Para su elaboración se sugiere los siguientes elementos mínimos: Identificación del problema, </w:t>
      </w:r>
      <w:r w:rsidR="001E75EF">
        <w:t>E</w:t>
      </w:r>
      <w:r w:rsidR="002C6015" w:rsidRPr="009A3209">
        <w:t>stado actual del problema, evolución del Problema, árbol del problema, árbol de objetivos, justificación teórica y empírica de la intervención, cobertura, Matriz de Indicadores, presupuesto, entre otros.</w:t>
      </w:r>
      <w:r w:rsidR="00D537AF" w:rsidRPr="009A3209">
        <w:t xml:space="preserve"> Adicionalmente y considerando que actualmente existen en la entidad</w:t>
      </w:r>
      <w:r w:rsidR="001C0D34">
        <w:t xml:space="preserve"> federativa</w:t>
      </w:r>
      <w:r w:rsidR="00D537AF" w:rsidRPr="009A3209">
        <w:t xml:space="preserve"> esfuerzos para la implementación del PbR y que se ha trabajado en la elaboración de Matrices de Indicadores para cada Pp de la estructura programática estatal, se recomienda integrar en el diagnóstico las problemáticas de los Pp que reciben recursos del FAFEF. </w:t>
      </w:r>
      <w:r w:rsidR="00BD4EA4" w:rsidRPr="009A3209">
        <w:t>Una forma de poder integrar las problemáticas detectadas en los Pp es mediante la elaboración de varias MIR</w:t>
      </w:r>
      <w:r w:rsidRPr="009A3209">
        <w:t xml:space="preserve"> </w:t>
      </w:r>
      <w:r w:rsidR="00BD4EA4" w:rsidRPr="009A3209">
        <w:t xml:space="preserve">(en cascada) cuya metodología se describe en el Manual </w:t>
      </w:r>
      <w:r w:rsidR="00BD4EA4" w:rsidRPr="009A3209">
        <w:rPr>
          <w:b/>
          <w:bCs/>
          <w:i/>
          <w:iCs/>
        </w:rPr>
        <w:t>Formulación de Programas con la Metodología del Marco Lógico</w:t>
      </w:r>
      <w:r w:rsidR="00BD4EA4" w:rsidRPr="009A3209">
        <w:rPr>
          <w:rStyle w:val="Refdenotaalpie"/>
        </w:rPr>
        <w:footnoteReference w:id="16"/>
      </w:r>
      <w:r w:rsidRPr="009A3209">
        <w:t>considerando la integralidad</w:t>
      </w:r>
      <w:r w:rsidR="00ED641C" w:rsidRPr="009A3209">
        <w:t>,</w:t>
      </w:r>
      <w:r w:rsidR="00BD4EA4" w:rsidRPr="009A3209">
        <w:t xml:space="preserve"> y definiendo </w:t>
      </w:r>
      <w:r w:rsidR="00ED641C" w:rsidRPr="009A3209">
        <w:t>el árbol de problemas, el árbol de objetivos,</w:t>
      </w:r>
      <w:r w:rsidR="00826CDE">
        <w:t xml:space="preserve"> </w:t>
      </w:r>
      <w:r w:rsidR="00ED641C" w:rsidRPr="009A3209">
        <w:t xml:space="preserve">la aportación del Fondo a los objetivos del </w:t>
      </w:r>
      <w:r w:rsidR="00C91DB2" w:rsidRPr="009A3209">
        <w:t>PED 2016-2022</w:t>
      </w:r>
      <w:r w:rsidR="00ED641C" w:rsidRPr="009A3209">
        <w:t>, la identificación,</w:t>
      </w:r>
      <w:r w:rsidR="00826CDE">
        <w:t xml:space="preserve"> </w:t>
      </w:r>
      <w:r w:rsidR="00ED641C" w:rsidRPr="009A3209">
        <w:t xml:space="preserve">caracterización y cuantificación de la población </w:t>
      </w:r>
      <w:r w:rsidR="00B66B72" w:rsidRPr="009A3209">
        <w:t xml:space="preserve">potencial y </w:t>
      </w:r>
      <w:r w:rsidR="00ED641C" w:rsidRPr="009A3209">
        <w:t>objetivo y su frecuencia de actualización,</w:t>
      </w:r>
      <w:r w:rsidR="00826CDE">
        <w:t xml:space="preserve"> </w:t>
      </w:r>
      <w:r w:rsidR="00BD4EA4" w:rsidRPr="009A3209">
        <w:t>para cada uno de los rubros de gasto permitidos en la LCF</w:t>
      </w:r>
      <w:r w:rsidR="007B3562" w:rsidRPr="009A3209">
        <w:t xml:space="preserve"> que han sido y serán prioritarios en el </w:t>
      </w:r>
      <w:r w:rsidR="00DB3324">
        <w:t>E</w:t>
      </w:r>
      <w:r w:rsidR="007B3562" w:rsidRPr="009A3209">
        <w:t>stado de Tamaulipas</w:t>
      </w:r>
      <w:r w:rsidR="00BD4EA4" w:rsidRPr="009A3209">
        <w:t>.</w:t>
      </w:r>
    </w:p>
    <w:p w14:paraId="71D20D4A" w14:textId="38E6D434" w:rsidR="00050989" w:rsidRPr="008724F8" w:rsidRDefault="008724F8" w:rsidP="007065D3">
      <w:pPr>
        <w:spacing w:before="0" w:after="0"/>
        <w:rPr>
          <w:rFonts w:cstheme="minorHAnsi"/>
          <w:b/>
        </w:rPr>
      </w:pPr>
      <w:r w:rsidRPr="00E23500">
        <w:rPr>
          <w:rFonts w:cstheme="minorHAnsi"/>
          <w:b/>
        </w:rPr>
        <w:lastRenderedPageBreak/>
        <w:t xml:space="preserve">2. </w:t>
      </w:r>
      <w:r w:rsidR="00050989" w:rsidRPr="00E23500">
        <w:rPr>
          <w:rFonts w:cstheme="minorHAnsi"/>
          <w:b/>
        </w:rPr>
        <w:t>La entidad federativa cuenta con un documento de planeación estratégica acerca de la o las problemáticas a las que contribuye a atender el FAFEF, donde se defina lo siguiente:</w:t>
      </w:r>
      <w:r w:rsidR="00050989" w:rsidRPr="008724F8">
        <w:rPr>
          <w:rFonts w:cstheme="minorHAnsi"/>
          <w:b/>
        </w:rPr>
        <w:t xml:space="preserve"> </w:t>
      </w:r>
    </w:p>
    <w:p w14:paraId="2254BE7B" w14:textId="1A2933D4" w:rsidR="00050989" w:rsidRPr="00050989" w:rsidRDefault="00050989" w:rsidP="00F92F32">
      <w:pPr>
        <w:numPr>
          <w:ilvl w:val="0"/>
          <w:numId w:val="15"/>
        </w:numPr>
        <w:spacing w:before="0" w:after="0"/>
        <w:contextualSpacing/>
        <w:rPr>
          <w:rFonts w:cstheme="minorHAnsi"/>
          <w:b/>
        </w:rPr>
      </w:pPr>
      <w:r w:rsidRPr="00050989">
        <w:rPr>
          <w:rFonts w:cstheme="minorHAnsi"/>
          <w:b/>
        </w:rPr>
        <w:t>La magnitud o dimensión de la o las problemáticas a atender</w:t>
      </w:r>
    </w:p>
    <w:p w14:paraId="281C2C0F"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Objetivos a alcanzar en el corto plazo (a dos años) de la o las problemáticas:</w:t>
      </w:r>
    </w:p>
    <w:p w14:paraId="5BD2F7D7"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Objetivos a alcanzar en el mediano plazo (a seis años) de la o las problemáticas;</w:t>
      </w:r>
    </w:p>
    <w:p w14:paraId="477ADC61"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Objetivos a alcanzar en el largo plazo (a más de 10 años) de la o las problemáticas;</w:t>
      </w:r>
    </w:p>
    <w:p w14:paraId="4F6556F2"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Relación entre el presupuesto requerido para cada año y las metas de cobertura</w:t>
      </w:r>
    </w:p>
    <w:p w14:paraId="7DC5565B"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Indicadores de Resultados para medir los avances:</w:t>
      </w:r>
    </w:p>
    <w:p w14:paraId="168ED619"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Metas definidas para cada año congruentes con los objetivos de corto, mediano y largo plazos para la o las problemáticas;</w:t>
      </w:r>
    </w:p>
    <w:p w14:paraId="00B84C6F" w14:textId="77777777" w:rsidR="00050989" w:rsidRPr="00050989" w:rsidRDefault="00050989" w:rsidP="00F92F32">
      <w:pPr>
        <w:numPr>
          <w:ilvl w:val="0"/>
          <w:numId w:val="15"/>
        </w:numPr>
        <w:spacing w:before="0" w:after="0"/>
        <w:contextualSpacing/>
        <w:rPr>
          <w:rFonts w:cstheme="minorHAnsi"/>
          <w:b/>
        </w:rPr>
      </w:pPr>
      <w:r w:rsidRPr="00050989">
        <w:rPr>
          <w:rFonts w:cstheme="minorHAnsi"/>
          <w:b/>
        </w:rPr>
        <w:t>Áreas identificadas donde el FAFEF fortalecerá el presupuesto de la entidad federativa</w:t>
      </w:r>
    </w:p>
    <w:p w14:paraId="3958FF83" w14:textId="12CA1493" w:rsidR="00050989" w:rsidRDefault="00050989" w:rsidP="00F92F32">
      <w:pPr>
        <w:numPr>
          <w:ilvl w:val="0"/>
          <w:numId w:val="15"/>
        </w:numPr>
        <w:spacing w:before="0"/>
        <w:ind w:left="641" w:hanging="357"/>
        <w:rPr>
          <w:rFonts w:cstheme="minorHAnsi"/>
          <w:b/>
        </w:rPr>
      </w:pPr>
      <w:r w:rsidRPr="00050989">
        <w:rPr>
          <w:rFonts w:cstheme="minorHAnsi"/>
          <w:b/>
        </w:rPr>
        <w:t>Porcentaje que se destinará del FAFEF en la entidad federativa a cada área identificada.</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2005F7" w:rsidRPr="007065D3" w14:paraId="4161F230" w14:textId="77777777" w:rsidTr="00962ABD">
        <w:trPr>
          <w:trHeight w:val="260"/>
          <w:jc w:val="center"/>
        </w:trPr>
        <w:tc>
          <w:tcPr>
            <w:tcW w:w="675" w:type="pct"/>
            <w:shd w:val="clear" w:color="auto" w:fill="FFFFFF"/>
          </w:tcPr>
          <w:p w14:paraId="1BDC8A43" w14:textId="77777777" w:rsidR="002005F7" w:rsidRPr="007065D3" w:rsidRDefault="002005F7" w:rsidP="002005F7">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7065D3">
              <w:rPr>
                <w:rFonts w:ascii="Calibri" w:eastAsia="Calibri" w:hAnsi="Calibri" w:cs="Calibri"/>
                <w:b/>
                <w:color w:val="000000"/>
                <w:sz w:val="20"/>
                <w:szCs w:val="20"/>
                <w:lang w:eastAsia="es-MX"/>
              </w:rPr>
              <w:t>Respuesta</w:t>
            </w:r>
          </w:p>
        </w:tc>
        <w:tc>
          <w:tcPr>
            <w:tcW w:w="383" w:type="pct"/>
            <w:shd w:val="clear" w:color="auto" w:fill="FFFFFF"/>
            <w:vAlign w:val="center"/>
          </w:tcPr>
          <w:p w14:paraId="76B0E74E" w14:textId="77777777" w:rsidR="002005F7" w:rsidRPr="007065D3" w:rsidRDefault="002005F7" w:rsidP="002005F7">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7065D3">
              <w:rPr>
                <w:rFonts w:ascii="Calibri" w:eastAsia="Calibri" w:hAnsi="Calibri" w:cs="Calibri"/>
                <w:b/>
                <w:color w:val="000000"/>
                <w:sz w:val="20"/>
                <w:szCs w:val="20"/>
                <w:lang w:eastAsia="es-MX"/>
              </w:rPr>
              <w:t>Nivel</w:t>
            </w:r>
          </w:p>
        </w:tc>
        <w:tc>
          <w:tcPr>
            <w:tcW w:w="3942" w:type="pct"/>
            <w:shd w:val="clear" w:color="auto" w:fill="FFFFFF"/>
            <w:vAlign w:val="center"/>
          </w:tcPr>
          <w:p w14:paraId="7BA699A9" w14:textId="77777777" w:rsidR="002005F7" w:rsidRPr="007065D3" w:rsidRDefault="002005F7" w:rsidP="002005F7">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7065D3">
              <w:rPr>
                <w:rFonts w:ascii="Calibri" w:eastAsia="Calibri" w:hAnsi="Calibri" w:cs="Calibri"/>
                <w:b/>
                <w:color w:val="000000"/>
                <w:sz w:val="20"/>
                <w:szCs w:val="20"/>
                <w:lang w:eastAsia="es-MX"/>
              </w:rPr>
              <w:t>Criterios</w:t>
            </w:r>
          </w:p>
        </w:tc>
      </w:tr>
      <w:tr w:rsidR="002005F7" w:rsidRPr="007065D3" w14:paraId="7690F20A" w14:textId="77777777" w:rsidTr="00962ABD">
        <w:trPr>
          <w:trHeight w:val="400"/>
          <w:jc w:val="center"/>
        </w:trPr>
        <w:tc>
          <w:tcPr>
            <w:tcW w:w="675" w:type="pct"/>
            <w:shd w:val="clear" w:color="auto" w:fill="FFFFFF"/>
            <w:vAlign w:val="center"/>
          </w:tcPr>
          <w:p w14:paraId="6594F6C6" w14:textId="510AB1B8" w:rsidR="002005F7" w:rsidRPr="007065D3" w:rsidRDefault="00ED641C" w:rsidP="00ED641C">
            <w:pPr>
              <w:pBdr>
                <w:top w:val="nil"/>
                <w:left w:val="nil"/>
                <w:bottom w:val="nil"/>
                <w:right w:val="nil"/>
                <w:between w:val="nil"/>
              </w:pBdr>
              <w:shd w:val="clear" w:color="auto" w:fill="FFFFFF"/>
              <w:spacing w:before="0" w:after="0"/>
              <w:ind w:firstLine="7"/>
              <w:jc w:val="center"/>
              <w:rPr>
                <w:rFonts w:eastAsia="Calibri" w:cs="Arial"/>
                <w:color w:val="000000"/>
                <w:sz w:val="20"/>
                <w:szCs w:val="20"/>
                <w:lang w:eastAsia="es-MX"/>
              </w:rPr>
            </w:pPr>
            <w:r w:rsidRPr="007065D3">
              <w:rPr>
                <w:rFonts w:eastAsia="Calibri" w:cs="Arial"/>
                <w:color w:val="000000"/>
                <w:sz w:val="20"/>
                <w:szCs w:val="20"/>
                <w:lang w:eastAsia="es-MX"/>
              </w:rPr>
              <w:t>No</w:t>
            </w:r>
          </w:p>
        </w:tc>
        <w:tc>
          <w:tcPr>
            <w:tcW w:w="383" w:type="pct"/>
            <w:shd w:val="clear" w:color="auto" w:fill="FFFFFF"/>
            <w:vAlign w:val="center"/>
          </w:tcPr>
          <w:p w14:paraId="1ECBF3E1" w14:textId="5B345469" w:rsidR="002005F7" w:rsidRPr="007065D3" w:rsidRDefault="002005F7" w:rsidP="00C53AFF">
            <w:pPr>
              <w:pBdr>
                <w:top w:val="nil"/>
                <w:left w:val="nil"/>
                <w:bottom w:val="nil"/>
                <w:right w:val="nil"/>
                <w:between w:val="nil"/>
              </w:pBdr>
              <w:shd w:val="clear" w:color="auto" w:fill="FFFFFF"/>
              <w:spacing w:before="0" w:after="0"/>
              <w:ind w:firstLine="7"/>
              <w:jc w:val="center"/>
              <w:rPr>
                <w:rFonts w:eastAsia="Calibri" w:cs="Arial"/>
                <w:color w:val="000000"/>
                <w:sz w:val="20"/>
                <w:szCs w:val="20"/>
                <w:lang w:eastAsia="es-MX"/>
              </w:rPr>
            </w:pPr>
          </w:p>
        </w:tc>
        <w:tc>
          <w:tcPr>
            <w:tcW w:w="3942" w:type="pct"/>
            <w:shd w:val="clear" w:color="auto" w:fill="FFFFFF"/>
            <w:vAlign w:val="center"/>
          </w:tcPr>
          <w:p w14:paraId="7130C20A" w14:textId="2250CD77" w:rsidR="002005F7" w:rsidRPr="007065D3" w:rsidRDefault="002005F7" w:rsidP="00962ABD">
            <w:pPr>
              <w:shd w:val="clear" w:color="auto" w:fill="FFFFFF"/>
              <w:spacing w:before="0" w:after="0"/>
              <w:ind w:firstLine="7"/>
              <w:rPr>
                <w:rFonts w:eastAsia="Calibri" w:cs="Arial"/>
                <w:color w:val="000000"/>
                <w:sz w:val="20"/>
                <w:szCs w:val="20"/>
                <w:lang w:eastAsia="es-MX"/>
              </w:rPr>
            </w:pPr>
          </w:p>
        </w:tc>
      </w:tr>
    </w:tbl>
    <w:p w14:paraId="6D94578B" w14:textId="375AD3C3" w:rsidR="00BA6B47" w:rsidRPr="00753EAF" w:rsidRDefault="00BA6B47" w:rsidP="00BA6B47">
      <w:r w:rsidRPr="00753EAF">
        <w:t xml:space="preserve">A excepción del Diagnóstico 2018 del FAFEF para el </w:t>
      </w:r>
      <w:r w:rsidR="008A1848">
        <w:t>E</w:t>
      </w:r>
      <w:r w:rsidRPr="00753EAF">
        <w:t xml:space="preserve">stado y de las </w:t>
      </w:r>
      <w:r w:rsidR="001F0503">
        <w:t>m</w:t>
      </w:r>
      <w:r w:rsidRPr="00753EAF">
        <w:t xml:space="preserve">inutas del Grupo de Trabajo de la Subsecretaría de Egresos, no se identificó alguna otra evidencia documental de planeación estratégica para la utilización de los recursos del FAFEF en el que se describa la problemática a atender y que contemple la definición de los aspectos considerados en los TdR. </w:t>
      </w:r>
      <w:r>
        <w:t>Por otro lado, e</w:t>
      </w:r>
      <w:r w:rsidRPr="00753EAF">
        <w:t xml:space="preserve">n </w:t>
      </w:r>
      <w:r w:rsidR="001C0D34">
        <w:t>Tamaulipas</w:t>
      </w:r>
      <w:r w:rsidRPr="00753EAF">
        <w:t xml:space="preserve"> disponen del PED 2016- 2022, sin embargo, esta herramienta es para todo el ámbito de planeación de la entidad</w:t>
      </w:r>
      <w:r w:rsidR="001C0D34">
        <w:t xml:space="preserve"> federativa</w:t>
      </w:r>
      <w:r>
        <w:t xml:space="preserve"> y la alineación del FAFEF no aplica en forma directa con ésta, ya que </w:t>
      </w:r>
      <w:r w:rsidRPr="00C5500E">
        <w:t>la contribución del Fondo a los objetivos establecidos en el PED, se determina</w:t>
      </w:r>
      <w:r w:rsidR="001F0503">
        <w:t xml:space="preserve">n </w:t>
      </w:r>
      <w:r w:rsidRPr="00C5500E">
        <w:t xml:space="preserve">en función de la alineación y focalización de prioridades que tengan los </w:t>
      </w:r>
      <w:r>
        <w:t>P</w:t>
      </w:r>
      <w:r w:rsidRPr="00C5500E">
        <w:t>p de la estructura programática estatal, a través de los cuales se priorice en cada ejercicio fiscal la utilización de dichos recursos.</w:t>
      </w:r>
    </w:p>
    <w:p w14:paraId="6EEF6F65" w14:textId="2E69EF05" w:rsidR="00BA6B47" w:rsidRPr="00F4248C" w:rsidRDefault="00BA6B47" w:rsidP="00BA6B47">
      <w:r w:rsidRPr="00753EAF">
        <w:t xml:space="preserve">Es importante resaltar que el establecimiento del Grupo de Trabajo de la SE representa un mecanismo para la toma decisiones en materia presupuestaria, al contribuir a identificar de manera más precisa las prioridades sobre las cuales se deberán asignar los recursos del FAFEF y, por ende, los </w:t>
      </w:r>
      <w:r>
        <w:t>P</w:t>
      </w:r>
      <w:r w:rsidRPr="00753EAF">
        <w:t>p de la estructura programática estatal, que serán sujetos a recibir y operar estos recursos conforme a sus respectivas modalidades de gasto.</w:t>
      </w:r>
      <w:r>
        <w:t xml:space="preserve"> En sus minutas de reunión se puede observar las á</w:t>
      </w:r>
      <w:r w:rsidRPr="00F4248C">
        <w:t>reas identificadas donde el FAFEF fortalece el presupuesto de la entidad federativa</w:t>
      </w:r>
      <w:r>
        <w:t>, así como el p</w:t>
      </w:r>
      <w:r w:rsidRPr="00F4248C">
        <w:t>orcentaje que se destina del FAFEF a cada área</w:t>
      </w:r>
      <w:r w:rsidR="00CA7292">
        <w:t xml:space="preserve"> o Pp</w:t>
      </w:r>
      <w:r w:rsidRPr="00F4248C">
        <w:t xml:space="preserve"> identificad</w:t>
      </w:r>
      <w:r w:rsidR="00CA7292">
        <w:t>o</w:t>
      </w:r>
      <w:r w:rsidRPr="00F4248C">
        <w:t>.</w:t>
      </w:r>
    </w:p>
    <w:p w14:paraId="7291784A" w14:textId="38A49330" w:rsidR="00BA6B47" w:rsidRPr="00753EAF" w:rsidRDefault="00BA6B47" w:rsidP="00BA6B47">
      <w:r w:rsidRPr="00187BCC">
        <w:t xml:space="preserve">Por lo </w:t>
      </w:r>
      <w:r w:rsidR="00CA7292" w:rsidRPr="00187BCC">
        <w:t>tanto, se recomienda que</w:t>
      </w:r>
      <w:r w:rsidRPr="00187BCC">
        <w:t xml:space="preserve"> en el marco de las atribuciones del Grupo de Trabajo como entidad institucional del FAFEF en </w:t>
      </w:r>
      <w:r w:rsidR="00576FAE">
        <w:t>Tamaulipas</w:t>
      </w:r>
      <w:r w:rsidRPr="00187BCC">
        <w:t>, retome la elaboración de un documento de Planeación Estratégica que contribuya al ejercicio eficaz y eficiente de los recursos del Fondo. En su elaboración es necesario se retome la problemática, a partir de la cual se lleva a cabo la determinación de prioridades que serán atendidas por el Fondo en cada ejercicio fiscal y que se identifican dentro de la estructura programática estatal, definiendo, además, la magnitud o dimensión de la misma, la planeación en el corto, mediano y largo</w:t>
      </w:r>
      <w:r w:rsidR="00CA7292" w:rsidRPr="00187BCC">
        <w:t xml:space="preserve"> plazos</w:t>
      </w:r>
      <w:r w:rsidRPr="00187BCC">
        <w:t xml:space="preserve"> para su atención, así como la relación entre el presupuesto requerido para cada año y las metas de cobertura.</w:t>
      </w:r>
      <w:r w:rsidRPr="00753EAF">
        <w:t xml:space="preserve"> </w:t>
      </w:r>
    </w:p>
    <w:p w14:paraId="246A80CC" w14:textId="1250FF4C" w:rsidR="00121328" w:rsidRDefault="00BA6B47" w:rsidP="00162100">
      <w:pPr>
        <w:rPr>
          <w:rFonts w:cstheme="minorHAnsi"/>
          <w:b/>
        </w:rPr>
      </w:pPr>
      <w:r w:rsidRPr="00753EAF">
        <w:t>Por otra parte, se menciona también que para el ejercicio 2019, se puso en operación la estrategia del Presupuesto basado en Resultados (PbR), cuyo propósito es la generación de información de desempeño, observada a través del monitoreo de indicadores de los Pp que cuentan con recursos del FAFEF como parte de su presupuesto. A través de esa información se cuenta con más elementos para establecer la pertinencia de los sectores y modalidades de aplicación de los recursos del Fondo a ser utilizadas en cada ejercicio fiscal. Asimismo, se definieron los Lineamientos para la revisión y actualización de metas, mejora, calendarización y seguimiento de la MIR de los Programas presupuestarios 2019.</w:t>
      </w:r>
      <w:r w:rsidR="00121328">
        <w:rPr>
          <w:rFonts w:cstheme="minorHAnsi"/>
          <w:b/>
        </w:rPr>
        <w:br w:type="page"/>
      </w:r>
    </w:p>
    <w:p w14:paraId="5221D9CF" w14:textId="4FFB6D06" w:rsidR="008F5DC1" w:rsidRPr="00E14252" w:rsidRDefault="003B5E62" w:rsidP="00E14252">
      <w:pPr>
        <w:pStyle w:val="Ttulo1"/>
      </w:pPr>
      <w:bookmarkStart w:id="40" w:name="_Toc61633642"/>
      <w:r w:rsidRPr="00E14252">
        <w:lastRenderedPageBreak/>
        <w:t xml:space="preserve">IV. </w:t>
      </w:r>
      <w:r w:rsidR="008F5DC1" w:rsidRPr="00E14252">
        <w:t>Módulo 2.</w:t>
      </w:r>
      <w:bookmarkStart w:id="41" w:name="_Hlk44233874"/>
      <w:r w:rsidR="008F5DC1" w:rsidRPr="00E14252">
        <w:t xml:space="preserve"> Matriz de Indicadores para Resultados (MIR)</w:t>
      </w:r>
      <w:bookmarkEnd w:id="41"/>
      <w:bookmarkEnd w:id="40"/>
    </w:p>
    <w:p w14:paraId="0122227E" w14:textId="7D3A4933" w:rsidR="00050989" w:rsidRPr="008724F8" w:rsidRDefault="008724F8" w:rsidP="007065D3">
      <w:pPr>
        <w:spacing w:before="0" w:after="0"/>
        <w:contextualSpacing/>
        <w:rPr>
          <w:rFonts w:cstheme="minorHAnsi"/>
          <w:b/>
        </w:rPr>
      </w:pPr>
      <w:r w:rsidRPr="00E23500">
        <w:rPr>
          <w:rFonts w:cstheme="minorHAnsi"/>
          <w:b/>
        </w:rPr>
        <w:t xml:space="preserve">3. </w:t>
      </w:r>
      <w:r w:rsidR="00050989" w:rsidRPr="00E23500">
        <w:rPr>
          <w:rFonts w:cstheme="minorHAnsi"/>
          <w:b/>
        </w:rPr>
        <w:t>¿</w:t>
      </w:r>
      <w:bookmarkStart w:id="42" w:name="_Hlk56546779"/>
      <w:r w:rsidR="00050989" w:rsidRPr="00E23500">
        <w:rPr>
          <w:rFonts w:cstheme="minorHAnsi"/>
          <w:b/>
        </w:rPr>
        <w:t>Cómo documenta la entidad federativa los resultados de las aportaciones del FAFEF?</w:t>
      </w:r>
      <w:bookmarkEnd w:id="42"/>
    </w:p>
    <w:p w14:paraId="1591EA62" w14:textId="77777777" w:rsidR="00050989" w:rsidRPr="00050989" w:rsidRDefault="00050989" w:rsidP="00F92F32">
      <w:pPr>
        <w:numPr>
          <w:ilvl w:val="0"/>
          <w:numId w:val="16"/>
        </w:numPr>
        <w:spacing w:before="0" w:after="0"/>
        <w:contextualSpacing/>
        <w:rPr>
          <w:rFonts w:cstheme="minorHAnsi"/>
          <w:b/>
        </w:rPr>
      </w:pPr>
      <w:r w:rsidRPr="00050989">
        <w:rPr>
          <w:rFonts w:cstheme="minorHAnsi"/>
          <w:b/>
        </w:rPr>
        <w:t>Indicadores de la MIR asociados al FAFEF</w:t>
      </w:r>
    </w:p>
    <w:p w14:paraId="19D96455" w14:textId="77777777" w:rsidR="00050989" w:rsidRPr="00050989" w:rsidRDefault="00050989" w:rsidP="00F92F32">
      <w:pPr>
        <w:numPr>
          <w:ilvl w:val="0"/>
          <w:numId w:val="16"/>
        </w:numPr>
        <w:spacing w:before="0" w:after="0"/>
        <w:contextualSpacing/>
        <w:rPr>
          <w:rFonts w:cstheme="minorHAnsi"/>
          <w:b/>
        </w:rPr>
      </w:pPr>
      <w:r w:rsidRPr="00050989">
        <w:rPr>
          <w:rFonts w:cstheme="minorHAnsi"/>
          <w:b/>
        </w:rPr>
        <w:t>Indicadores asociados a la estructura programática estatal.</w:t>
      </w:r>
    </w:p>
    <w:p w14:paraId="43EACEBB" w14:textId="77777777" w:rsidR="00050989" w:rsidRPr="00050989" w:rsidRDefault="00050989" w:rsidP="00F92F32">
      <w:pPr>
        <w:numPr>
          <w:ilvl w:val="0"/>
          <w:numId w:val="16"/>
        </w:numPr>
        <w:spacing w:before="0" w:after="0"/>
        <w:contextualSpacing/>
        <w:rPr>
          <w:rFonts w:cstheme="minorHAnsi"/>
          <w:b/>
        </w:rPr>
      </w:pPr>
      <w:r w:rsidRPr="00050989">
        <w:rPr>
          <w:rFonts w:cstheme="minorHAnsi"/>
          <w:b/>
        </w:rPr>
        <w:t xml:space="preserve">Evaluaciones </w:t>
      </w:r>
    </w:p>
    <w:p w14:paraId="2209C6D2" w14:textId="5512583D" w:rsidR="00050989" w:rsidRDefault="00050989" w:rsidP="00F92F32">
      <w:pPr>
        <w:numPr>
          <w:ilvl w:val="0"/>
          <w:numId w:val="16"/>
        </w:numPr>
        <w:spacing w:before="0" w:after="0"/>
        <w:contextualSpacing/>
        <w:rPr>
          <w:rFonts w:cstheme="minorHAnsi"/>
          <w:b/>
        </w:rPr>
      </w:pPr>
      <w:r w:rsidRPr="00050989">
        <w:rPr>
          <w:rFonts w:cstheme="minorHAnsi"/>
          <w:b/>
        </w:rPr>
        <w:t>Otros mecanismos</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2005F7" w:rsidRPr="007065D3" w14:paraId="19347343" w14:textId="77777777" w:rsidTr="008F58B0">
        <w:trPr>
          <w:trHeight w:val="260"/>
          <w:jc w:val="center"/>
        </w:trPr>
        <w:tc>
          <w:tcPr>
            <w:tcW w:w="675" w:type="pct"/>
            <w:shd w:val="clear" w:color="auto" w:fill="FFFFFF"/>
          </w:tcPr>
          <w:p w14:paraId="7B08C811" w14:textId="77777777" w:rsidR="002005F7" w:rsidRPr="007065D3" w:rsidRDefault="002005F7" w:rsidP="00D105A8">
            <w:pPr>
              <w:spacing w:before="0" w:after="0"/>
              <w:jc w:val="center"/>
              <w:rPr>
                <w:b/>
                <w:bCs/>
                <w:sz w:val="20"/>
                <w:szCs w:val="20"/>
                <w:lang w:eastAsia="es-MX"/>
              </w:rPr>
            </w:pPr>
            <w:r w:rsidRPr="007065D3">
              <w:rPr>
                <w:b/>
                <w:bCs/>
                <w:sz w:val="20"/>
                <w:szCs w:val="20"/>
                <w:lang w:eastAsia="es-MX"/>
              </w:rPr>
              <w:t>Respuesta</w:t>
            </w:r>
          </w:p>
        </w:tc>
        <w:tc>
          <w:tcPr>
            <w:tcW w:w="383" w:type="pct"/>
            <w:shd w:val="clear" w:color="auto" w:fill="FFFFFF"/>
            <w:vAlign w:val="center"/>
          </w:tcPr>
          <w:p w14:paraId="1AF0234D" w14:textId="77777777" w:rsidR="002005F7" w:rsidRPr="007065D3" w:rsidRDefault="002005F7" w:rsidP="00D105A8">
            <w:pPr>
              <w:spacing w:before="0" w:after="0"/>
              <w:jc w:val="center"/>
              <w:rPr>
                <w:b/>
                <w:bCs/>
                <w:sz w:val="20"/>
                <w:szCs w:val="20"/>
                <w:lang w:eastAsia="es-MX"/>
              </w:rPr>
            </w:pPr>
            <w:r w:rsidRPr="007065D3">
              <w:rPr>
                <w:b/>
                <w:bCs/>
                <w:sz w:val="20"/>
                <w:szCs w:val="20"/>
                <w:lang w:eastAsia="es-MX"/>
              </w:rPr>
              <w:t>Nivel</w:t>
            </w:r>
          </w:p>
        </w:tc>
        <w:tc>
          <w:tcPr>
            <w:tcW w:w="3942" w:type="pct"/>
            <w:shd w:val="clear" w:color="auto" w:fill="FFFFFF"/>
            <w:vAlign w:val="center"/>
          </w:tcPr>
          <w:p w14:paraId="0986F367" w14:textId="77777777" w:rsidR="002005F7" w:rsidRPr="007065D3" w:rsidRDefault="002005F7" w:rsidP="00D105A8">
            <w:pPr>
              <w:spacing w:before="0" w:after="0"/>
              <w:jc w:val="center"/>
              <w:rPr>
                <w:b/>
                <w:bCs/>
                <w:sz w:val="20"/>
                <w:szCs w:val="20"/>
                <w:lang w:eastAsia="es-MX"/>
              </w:rPr>
            </w:pPr>
            <w:r w:rsidRPr="007065D3">
              <w:rPr>
                <w:b/>
                <w:bCs/>
                <w:sz w:val="20"/>
                <w:szCs w:val="20"/>
                <w:lang w:eastAsia="es-MX"/>
              </w:rPr>
              <w:t>Criterios</w:t>
            </w:r>
          </w:p>
        </w:tc>
      </w:tr>
      <w:tr w:rsidR="002005F7" w:rsidRPr="007065D3" w14:paraId="293AD551" w14:textId="77777777" w:rsidTr="008F58B0">
        <w:trPr>
          <w:trHeight w:val="400"/>
          <w:jc w:val="center"/>
        </w:trPr>
        <w:tc>
          <w:tcPr>
            <w:tcW w:w="675" w:type="pct"/>
            <w:shd w:val="clear" w:color="auto" w:fill="FFFFFF"/>
            <w:vAlign w:val="center"/>
          </w:tcPr>
          <w:p w14:paraId="0C3697B3" w14:textId="6FB31DFF" w:rsidR="002005F7" w:rsidRPr="007065D3" w:rsidRDefault="000A7998" w:rsidP="00B67433">
            <w:pPr>
              <w:spacing w:before="0" w:after="0"/>
              <w:jc w:val="center"/>
              <w:rPr>
                <w:sz w:val="20"/>
                <w:szCs w:val="20"/>
                <w:lang w:eastAsia="es-MX"/>
              </w:rPr>
            </w:pPr>
            <w:r w:rsidRPr="007065D3">
              <w:rPr>
                <w:sz w:val="20"/>
                <w:szCs w:val="20"/>
                <w:lang w:eastAsia="es-MX"/>
              </w:rPr>
              <w:t>Sí</w:t>
            </w:r>
          </w:p>
        </w:tc>
        <w:tc>
          <w:tcPr>
            <w:tcW w:w="383" w:type="pct"/>
            <w:shd w:val="clear" w:color="auto" w:fill="FFFFFF"/>
            <w:vAlign w:val="center"/>
          </w:tcPr>
          <w:p w14:paraId="25667702" w14:textId="2EB21C9D" w:rsidR="002005F7" w:rsidRPr="007065D3" w:rsidRDefault="00586CEC" w:rsidP="00B67433">
            <w:pPr>
              <w:spacing w:before="0" w:after="0"/>
              <w:jc w:val="center"/>
              <w:rPr>
                <w:sz w:val="20"/>
                <w:szCs w:val="20"/>
                <w:lang w:eastAsia="es-MX"/>
              </w:rPr>
            </w:pPr>
            <w:r w:rsidRPr="007065D3">
              <w:rPr>
                <w:sz w:val="20"/>
                <w:szCs w:val="20"/>
                <w:lang w:eastAsia="es-MX"/>
              </w:rPr>
              <w:t>3</w:t>
            </w:r>
          </w:p>
        </w:tc>
        <w:tc>
          <w:tcPr>
            <w:tcW w:w="3942" w:type="pct"/>
            <w:shd w:val="clear" w:color="auto" w:fill="FFFFFF"/>
            <w:vAlign w:val="center"/>
          </w:tcPr>
          <w:p w14:paraId="2E630EC8" w14:textId="091BA085" w:rsidR="002005F7" w:rsidRPr="007065D3" w:rsidRDefault="000A7998" w:rsidP="00B67433">
            <w:pPr>
              <w:spacing w:before="0" w:after="0"/>
              <w:rPr>
                <w:sz w:val="20"/>
                <w:szCs w:val="20"/>
                <w:lang w:eastAsia="es-MX"/>
              </w:rPr>
            </w:pPr>
            <w:r w:rsidRPr="007065D3">
              <w:rPr>
                <w:rFonts w:cs="Arial"/>
                <w:sz w:val="20"/>
                <w:szCs w:val="20"/>
                <w:lang w:eastAsia="es-MX"/>
              </w:rPr>
              <w:t xml:space="preserve">La entidad federativa documenta información mediante </w:t>
            </w:r>
            <w:r w:rsidR="000D117B" w:rsidRPr="000D117B">
              <w:rPr>
                <w:rFonts w:cs="Arial"/>
                <w:b/>
                <w:bCs/>
                <w:sz w:val="20"/>
                <w:szCs w:val="20"/>
                <w:lang w:eastAsia="es-MX"/>
              </w:rPr>
              <w:t>tres</w:t>
            </w:r>
            <w:r w:rsidRPr="000D117B">
              <w:rPr>
                <w:rFonts w:cs="Arial"/>
                <w:sz w:val="20"/>
                <w:szCs w:val="20"/>
                <w:lang w:eastAsia="es-MX"/>
              </w:rPr>
              <w:t xml:space="preserve"> </w:t>
            </w:r>
            <w:r w:rsidRPr="007065D3">
              <w:rPr>
                <w:rFonts w:cs="Arial"/>
                <w:sz w:val="20"/>
                <w:szCs w:val="20"/>
                <w:lang w:eastAsia="es-MX"/>
              </w:rPr>
              <w:t>de las características establecida</w:t>
            </w:r>
            <w:r w:rsidR="00912D8D" w:rsidRPr="007065D3">
              <w:rPr>
                <w:rFonts w:cs="Arial"/>
                <w:sz w:val="20"/>
                <w:szCs w:val="20"/>
                <w:lang w:eastAsia="es-MX"/>
              </w:rPr>
              <w:t>s</w:t>
            </w:r>
          </w:p>
        </w:tc>
      </w:tr>
    </w:tbl>
    <w:p w14:paraId="5D63B190" w14:textId="20097C87" w:rsidR="008877C6" w:rsidRPr="002B3391" w:rsidRDefault="0027160C" w:rsidP="008877C6">
      <w:bookmarkStart w:id="43" w:name="_Hlk53058847"/>
      <w:r>
        <w:t>La entidad federativa no cuenta con una MIR específica para el FAFEF</w:t>
      </w:r>
      <w:bookmarkEnd w:id="43"/>
      <w:r>
        <w:t xml:space="preserve">. </w:t>
      </w:r>
      <w:r w:rsidR="008877C6" w:rsidRPr="002B3391">
        <w:t xml:space="preserve">De acuerdo con la evidencia documental del FAFEF en </w:t>
      </w:r>
      <w:r w:rsidR="003B58A0">
        <w:t>Tamaulipas</w:t>
      </w:r>
      <w:r w:rsidR="008877C6" w:rsidRPr="002B3391">
        <w:t>, los resultados y recomendaciones de las evaluaciones y auditorías, han sido elementos a considerar en la toma de decisiones, respecto a la operación del Fondo en la entidad</w:t>
      </w:r>
      <w:r w:rsidR="003B58A0">
        <w:t xml:space="preserve"> federativa</w:t>
      </w:r>
      <w:r w:rsidR="008877C6" w:rsidRPr="002B3391">
        <w:t xml:space="preserve">. Los hallazgos y recomendaciones de las Auditorías Combinadas de Cumplimiento y Desempeño de los recursos del Fondo del 2013 al 2018 derivaron en la elaboración del </w:t>
      </w:r>
      <w:r w:rsidR="008877C6">
        <w:t>d</w:t>
      </w:r>
      <w:r w:rsidR="008877C6" w:rsidRPr="002B3391">
        <w:t xml:space="preserve">iagnóstico por parte de la </w:t>
      </w:r>
      <w:r w:rsidR="008877C6">
        <w:t>SF</w:t>
      </w:r>
      <w:r w:rsidR="008877C6" w:rsidRPr="002B3391">
        <w:t>, a través de la SE y coordinado por la DPE, c</w:t>
      </w:r>
      <w:r w:rsidR="008877C6">
        <w:t>omo</w:t>
      </w:r>
      <w:r w:rsidR="008877C6" w:rsidRPr="002B3391">
        <w:t xml:space="preserve"> un mecanismo estratégico e institucional para determinar la asignación de recursos provenientes de dicho </w:t>
      </w:r>
      <w:r w:rsidR="004A60F0">
        <w:t>F</w:t>
      </w:r>
      <w:r w:rsidR="008877C6" w:rsidRPr="002B3391">
        <w:t>ondo. En dicho diagnóstico, se expresa</w:t>
      </w:r>
      <w:r w:rsidR="009E59DF">
        <w:t xml:space="preserve"> que</w:t>
      </w:r>
      <w:r w:rsidR="008877C6" w:rsidRPr="002B3391">
        <w:t xml:space="preserve"> l</w:t>
      </w:r>
      <w:r w:rsidR="009E59DF">
        <w:t xml:space="preserve">os </w:t>
      </w:r>
      <w:r w:rsidR="009E59DF" w:rsidRPr="002B3391">
        <w:t>indicadores</w:t>
      </w:r>
      <w:r w:rsidR="009E59DF">
        <w:t xml:space="preserve"> de la</w:t>
      </w:r>
      <w:r w:rsidR="009E59DF" w:rsidRPr="002B3391">
        <w:t xml:space="preserve"> </w:t>
      </w:r>
      <w:r w:rsidR="008877C6" w:rsidRPr="002B3391">
        <w:t>MIR del FAFEF contribuyen a mostrar de manera agregada el efecto del FAFEF a nivel nacional, sin embargo, al ser su objetivo fortalecer los presupuestos de las entidades federativas, a las regiones que las conforman, así como contribuir a su saneamiento financiero, los resultados obtenidos a través de esos indicadores no resultan de mucha utilidad para su uso específico en la entidad</w:t>
      </w:r>
      <w:r w:rsidR="003B58A0">
        <w:t xml:space="preserve"> federativa</w:t>
      </w:r>
      <w:r w:rsidR="008877C6" w:rsidRPr="002B3391">
        <w:t>, ya que no permiten la identificación, caracterización, cuantificación y frecuencia de actualización de la población potencial u objetivo directamente relacionada con el FAFEF y, por lo tanto, los efectos del Fondo en población beneficiaria atendida..</w:t>
      </w:r>
    </w:p>
    <w:p w14:paraId="549FB7EE" w14:textId="1E2B27A1" w:rsidR="008877C6" w:rsidRDefault="008877C6" w:rsidP="008877C6">
      <w:r w:rsidRPr="002B3391">
        <w:t>Derivado de la limitante anterior, y también en respuesta a los resultados y recomendaciones de las evaluaciones y auditorías al FAFEF, a principios del 2018 se estableció el Grupo de Trabajo, integrado por los titulares de la SE, así como de las Direcciones de Planeación y Control Hacendario</w:t>
      </w:r>
      <w:r>
        <w:t xml:space="preserve"> (DPCH)</w:t>
      </w:r>
      <w:r w:rsidRPr="002B3391">
        <w:t>, de Contabilidad</w:t>
      </w:r>
      <w:r>
        <w:t xml:space="preserve"> (DC)</w:t>
      </w:r>
      <w:r w:rsidRPr="002B3391">
        <w:t>, de Planeación Estratégica y de la Unidad de Inversión</w:t>
      </w:r>
      <w:r w:rsidR="0027160C">
        <w:t xml:space="preserve"> (UI)</w:t>
      </w:r>
      <w:r w:rsidRPr="002B3391">
        <w:t xml:space="preserve">, como un mecanismo estratégico e institucional para determinar la asignación de los recursos de dicho Fondo en </w:t>
      </w:r>
      <w:r w:rsidR="003B58A0">
        <w:t>Tamaulipas</w:t>
      </w:r>
      <w:r w:rsidRPr="002B3391">
        <w:t>.</w:t>
      </w:r>
    </w:p>
    <w:p w14:paraId="2CDDAEC9" w14:textId="725BF5B8" w:rsidR="009220C3" w:rsidRPr="007065D3" w:rsidRDefault="009220C3" w:rsidP="007065D3">
      <w:r w:rsidRPr="007065D3">
        <w:t>La entidad</w:t>
      </w:r>
      <w:r w:rsidR="003B58A0">
        <w:t xml:space="preserve"> federativa</w:t>
      </w:r>
      <w:r w:rsidRPr="007065D3">
        <w:t xml:space="preserve"> también cuenta con informes trimestrales sobre la Situación Económica, las Finanzas Públicas y la Deuda Pública, visibles en el</w:t>
      </w:r>
      <w:r w:rsidR="00FB46BC" w:rsidRPr="007065D3">
        <w:t xml:space="preserve"> Sistema del Formato Único (SFU) en el </w:t>
      </w:r>
      <w:r w:rsidRPr="007065D3">
        <w:t>portal tanto del Gobierno como de la S</w:t>
      </w:r>
      <w:r w:rsidR="001E1258">
        <w:t>F</w:t>
      </w:r>
      <w:r w:rsidRPr="007065D3">
        <w:t xml:space="preserve"> </w:t>
      </w:r>
      <w:r w:rsidR="00FB46BC" w:rsidRPr="007065D3">
        <w:t xml:space="preserve">en el link </w:t>
      </w:r>
      <w:hyperlink r:id="rId13" w:history="1">
        <w:r w:rsidR="00FB46BC" w:rsidRPr="007065D3">
          <w:rPr>
            <w:rStyle w:val="Hipervnculo"/>
          </w:rPr>
          <w:t>http://transparencia.tamaulipas.gob.mx/informacion-publica/tema/recursos-federales/ejercicio-y-destino-de-los-recursos-federales-sfu-historico/</w:t>
        </w:r>
      </w:hyperlink>
      <w:r w:rsidRPr="007065D3">
        <w:t xml:space="preserve">, </w:t>
      </w:r>
      <w:bookmarkStart w:id="44" w:name="_Hlk53059416"/>
      <w:r w:rsidRPr="007065D3">
        <w:t>dando de esta manera cumplimiento a los Lineamientos para informar sobre los Recursos Federales Transferidos a las Entidades Federativas, Municipios y Demarcaciones territoriales del Distrito Federal, y de operación de los recursos del Ramo General 33</w:t>
      </w:r>
      <w:r w:rsidRPr="001E1258">
        <w:rPr>
          <w:vertAlign w:val="superscript"/>
        </w:rPr>
        <w:footnoteReference w:id="17"/>
      </w:r>
      <w:r w:rsidRPr="007065D3">
        <w:t>, a través del SRFT</w:t>
      </w:r>
      <w:bookmarkEnd w:id="44"/>
      <w:r w:rsidRPr="007065D3">
        <w:t>.</w:t>
      </w:r>
      <w:r w:rsidR="00C20F67">
        <w:t xml:space="preserve"> </w:t>
      </w:r>
      <w:bookmarkStart w:id="45" w:name="_Hlk53059311"/>
      <w:r w:rsidR="00C20F67">
        <w:t xml:space="preserve">Dados los rubros que se han atendido con los recursos del Fondo en </w:t>
      </w:r>
      <w:r w:rsidR="003B58A0">
        <w:t>Tamaulipas</w:t>
      </w:r>
      <w:r w:rsidR="00C20F67">
        <w:t xml:space="preserve">, </w:t>
      </w:r>
      <w:r w:rsidR="00C20F67" w:rsidRPr="002B3391">
        <w:t xml:space="preserve">se identifica que el FAFEF en el </w:t>
      </w:r>
      <w:r w:rsidR="008A1848">
        <w:t>E</w:t>
      </w:r>
      <w:r w:rsidR="00C20F67" w:rsidRPr="002B3391">
        <w:t xml:space="preserve">stado contribuye a dos indicadores establecidos en la MIR federal: </w:t>
      </w:r>
      <w:r w:rsidR="00C20F67" w:rsidRPr="002B3391">
        <w:rPr>
          <w:i/>
          <w:iCs/>
        </w:rPr>
        <w:t xml:space="preserve">índice de impacto de deuda pública </w:t>
      </w:r>
      <w:r w:rsidR="00C20F67" w:rsidRPr="002B3391">
        <w:t>y</w:t>
      </w:r>
      <w:r w:rsidR="00C20F67" w:rsidRPr="002B3391">
        <w:rPr>
          <w:i/>
          <w:iCs/>
        </w:rPr>
        <w:t xml:space="preserve"> avance en el cumplimiento de las metas</w:t>
      </w:r>
      <w:r w:rsidR="00C20F67" w:rsidRPr="002B3391">
        <w:t>, indicadores que se reportan a la SHCP</w:t>
      </w:r>
      <w:bookmarkEnd w:id="45"/>
      <w:r w:rsidR="00C20F67">
        <w:t>.</w:t>
      </w:r>
    </w:p>
    <w:p w14:paraId="2DE3C0AC" w14:textId="42D6140A" w:rsidR="0087189F" w:rsidRPr="007065D3" w:rsidRDefault="009220C3" w:rsidP="007065D3">
      <w:bookmarkStart w:id="46" w:name="_Hlk53059803"/>
      <w:r w:rsidRPr="001F0503">
        <w:t xml:space="preserve">En lo que respecta al monitoreo en el ámbito estatal, </w:t>
      </w:r>
      <w:r w:rsidR="00576FAE">
        <w:rPr>
          <w:rFonts w:cstheme="minorHAnsi"/>
        </w:rPr>
        <w:t>Tamaulipas</w:t>
      </w:r>
      <w:r w:rsidR="0087189F" w:rsidRPr="001F0503">
        <w:rPr>
          <w:rFonts w:cstheme="minorHAnsi"/>
        </w:rPr>
        <w:t xml:space="preserve"> documenta los resultados de las aportaciones del FAFEF</w:t>
      </w:r>
      <w:r w:rsidR="0087189F" w:rsidRPr="007065D3">
        <w:t xml:space="preserve"> mediante la</w:t>
      </w:r>
      <w:r w:rsidRPr="007065D3">
        <w:t xml:space="preserve"> realización de evaluacion</w:t>
      </w:r>
      <w:r w:rsidR="0087189F" w:rsidRPr="007065D3">
        <w:t xml:space="preserve">es externas; en sitio oficial </w:t>
      </w:r>
      <w:hyperlink r:id="rId14" w:history="1">
        <w:r w:rsidR="0087189F" w:rsidRPr="007065D3">
          <w:rPr>
            <w:rStyle w:val="Hipervnculo"/>
          </w:rPr>
          <w:t>http://transparencia.tamaulipas.gob.mx/transparencia-fiscal/marco-programatico/evaluaciones/</w:t>
        </w:r>
      </w:hyperlink>
      <w:r w:rsidR="0087189F" w:rsidRPr="007065D3">
        <w:t>, es posible observar los documentos de las evaluaciones aplicadas al FAFEF en el Estado en los ejercicios fiscales 2014, 2015, 2016 y 2018.</w:t>
      </w:r>
    </w:p>
    <w:p w14:paraId="0C85A8FB" w14:textId="169B32F9" w:rsidR="009220C3" w:rsidRPr="007065D3" w:rsidRDefault="0087189F" w:rsidP="007065D3">
      <w:r w:rsidRPr="007065D3">
        <w:lastRenderedPageBreak/>
        <w:t>Por otra parte,</w:t>
      </w:r>
      <w:r w:rsidR="00CB6623">
        <w:t xml:space="preserve"> a partir del ejercicio 2019,</w:t>
      </w:r>
      <w:r w:rsidRPr="007065D3">
        <w:t xml:space="preserve"> t</w:t>
      </w:r>
      <w:r w:rsidR="009220C3" w:rsidRPr="007065D3">
        <w:t>ambién se documentan los resultados observados a través de los indicadores de desempeño de los Pp que reciben recursos del FAFEF como parte de su presupuesto y que forman parte de la estructura programática estatal, lo cual se reporta</w:t>
      </w:r>
      <w:r w:rsidR="00F51231" w:rsidRPr="007065D3">
        <w:t xml:space="preserve"> (previo proceso de </w:t>
      </w:r>
      <w:r w:rsidR="00F51231" w:rsidRPr="007065D3">
        <w:rPr>
          <w:rFonts w:cstheme="minorHAnsi"/>
        </w:rPr>
        <w:t>revisión y validación conforme a lo establecido en los Lineamientos</w:t>
      </w:r>
      <w:r w:rsidR="009220C3" w:rsidRPr="007065D3">
        <w:t xml:space="preserve"> </w:t>
      </w:r>
      <w:r w:rsidR="00F51231" w:rsidRPr="007065D3">
        <w:t xml:space="preserve">para la revisión y actualización de metas, mejora, calendarización y seguimiento de la MIR de los Pp) </w:t>
      </w:r>
      <w:r w:rsidR="009220C3" w:rsidRPr="007065D3">
        <w:t>a través del SIMIR</w:t>
      </w:r>
      <w:r w:rsidRPr="007065D3">
        <w:t xml:space="preserve">, </w:t>
      </w:r>
      <w:r w:rsidR="00F51231" w:rsidRPr="007065D3">
        <w:t>el cual es una fuente oficial de información sobre el desempeño de los Pp para realizar la evaluación del gasto público en la entidad</w:t>
      </w:r>
      <w:r w:rsidR="00913EEE">
        <w:t xml:space="preserve"> federativa</w:t>
      </w:r>
      <w:r w:rsidR="009220C3" w:rsidRPr="007065D3">
        <w:t>. No obstante, se destaca que la creación de este sistema fue durante el ejercicio 2019, por lo que no se cuenta con información en dicho sistema de ejercicios fiscales anteriores</w:t>
      </w:r>
      <w:bookmarkEnd w:id="46"/>
      <w:r w:rsidR="009220C3" w:rsidRPr="007065D3">
        <w:t>.</w:t>
      </w:r>
    </w:p>
    <w:p w14:paraId="7EB06698" w14:textId="3372B860" w:rsidR="009220C3" w:rsidRPr="007065D3" w:rsidRDefault="008877C6" w:rsidP="007065D3">
      <w:r>
        <w:t>C</w:t>
      </w:r>
      <w:r w:rsidR="009220C3" w:rsidRPr="007065D3">
        <w:t xml:space="preserve">omo parte de la estrategia del PbR, establecida en 2019, el Grupo de Trabajo cumple al atender la necesidad de implementar acciones y medidas para reforzar la planeación, programación y monitoreo de los resultados esperados en el Estado a raíz de la utilización de los recursos del FAFEF en cada ejercicio fiscal, siempre en apego a lo establecido en el </w:t>
      </w:r>
      <w:r w:rsidR="006F1013">
        <w:t>A</w:t>
      </w:r>
      <w:r w:rsidR="009220C3" w:rsidRPr="007065D3">
        <w:t>rtículo 47 de la LCF, cuyos resultados se podrán monitorear a través de las MIR de los Pp, cuyo presupuesto contenga parte o todos sus recursos provenientes del FAFEF.</w:t>
      </w:r>
      <w:r w:rsidR="00667639" w:rsidRPr="007065D3">
        <w:t xml:space="preserve"> En la minuta de la segunda reunión del Grupo de Trabajo es posible observar la determinación del uso de los recursos del FAFEF en el </w:t>
      </w:r>
      <w:r w:rsidR="008A1848">
        <w:t>E</w:t>
      </w:r>
      <w:r w:rsidR="00667639" w:rsidRPr="007065D3">
        <w:t xml:space="preserve">stado para el ejercicio 2018, en donde se plantea una primera etapa de la asignación de recursos por Pp. </w:t>
      </w:r>
    </w:p>
    <w:p w14:paraId="2C832126" w14:textId="77777777" w:rsidR="008877C6" w:rsidRPr="007065D3" w:rsidRDefault="008877C6" w:rsidP="007065D3"/>
    <w:p w14:paraId="0069E8CA" w14:textId="6C985FA5" w:rsidR="00E8348D" w:rsidRDefault="00E8348D" w:rsidP="007C2033"/>
    <w:p w14:paraId="6E380BDD" w14:textId="77777777" w:rsidR="001A1241" w:rsidRDefault="001A1241" w:rsidP="007C2033">
      <w:pPr>
        <w:sectPr w:rsidR="001A1241" w:rsidSect="00A201C4">
          <w:pgSz w:w="12240" w:h="15840" w:code="1"/>
          <w:pgMar w:top="1134" w:right="1134" w:bottom="1134" w:left="1134" w:header="709" w:footer="709" w:gutter="0"/>
          <w:cols w:space="708"/>
          <w:docGrid w:linePitch="360"/>
        </w:sectPr>
      </w:pPr>
    </w:p>
    <w:p w14:paraId="1E0F174E" w14:textId="2EF4A038" w:rsidR="00FD4842" w:rsidRDefault="008724F8" w:rsidP="008F5DC1">
      <w:pPr>
        <w:spacing w:before="0" w:after="0" w:line="259" w:lineRule="auto"/>
        <w:rPr>
          <w:rFonts w:ascii="Arial" w:eastAsia="Calibri" w:hAnsi="Arial" w:cs="Arial"/>
          <w:b/>
          <w:sz w:val="20"/>
          <w:szCs w:val="20"/>
        </w:rPr>
      </w:pPr>
      <w:r w:rsidRPr="00E23500">
        <w:rPr>
          <w:rFonts w:cstheme="minorHAnsi"/>
          <w:b/>
        </w:rPr>
        <w:lastRenderedPageBreak/>
        <w:t xml:space="preserve">4. </w:t>
      </w:r>
      <w:r w:rsidR="008F5DC1" w:rsidRPr="00E23500">
        <w:rPr>
          <w:rFonts w:ascii="Arial" w:eastAsia="Calibri" w:hAnsi="Arial" w:cs="Arial"/>
          <w:b/>
          <w:sz w:val="20"/>
          <w:szCs w:val="20"/>
        </w:rPr>
        <w:t>¿Cómo fueron definidos los indicadores y las metas con las que la entidad federativa reporta los resultados de la aplicación de los recursos del FAFEF?</w:t>
      </w:r>
    </w:p>
    <w:p w14:paraId="26778800" w14:textId="77777777" w:rsidR="00C07884" w:rsidRPr="007065D3" w:rsidRDefault="00C07884" w:rsidP="00AE25DD">
      <w:pPr>
        <w:rPr>
          <w:b/>
          <w:bCs/>
        </w:rPr>
      </w:pPr>
      <w:r w:rsidRPr="007065D3">
        <w:rPr>
          <w:b/>
          <w:bCs/>
        </w:rPr>
        <w:t>No procede valoración cuantitativa.</w:t>
      </w:r>
    </w:p>
    <w:p w14:paraId="6327D7E2" w14:textId="12E21D9F" w:rsidR="00D3784F" w:rsidRDefault="009220C3" w:rsidP="00AE25DD">
      <w:r>
        <w:t xml:space="preserve">En el ámbito federal, </w:t>
      </w:r>
      <w:r w:rsidR="001A1241">
        <w:t xml:space="preserve">es decir, los indicadores registrados en el SRFT, están preestablecidos por la SHCP, a través de la </w:t>
      </w:r>
      <w:r>
        <w:t>MIR</w:t>
      </w:r>
      <w:r w:rsidR="00D3784F">
        <w:t xml:space="preserve"> y la determinación de indicadores y metas se realiza conforme a los lineamientos</w:t>
      </w:r>
      <w:r w:rsidR="00D3784F" w:rsidRPr="00D3784F">
        <w:rPr>
          <w:rFonts w:cs="Times New Roman"/>
        </w:rPr>
        <w:t xml:space="preserve"> </w:t>
      </w:r>
      <w:r w:rsidR="00D3784F" w:rsidRPr="00D8504E">
        <w:rPr>
          <w:rFonts w:cs="Times New Roman"/>
        </w:rPr>
        <w:t>para informar sobre los recursos federales transferidos a las entidades federativas, municipios y demarcaciones territoriales del Distrito Federal, y de operación de los recursos del Ramo General 33</w:t>
      </w:r>
      <w:r w:rsidR="00D3784F">
        <w:t xml:space="preserve">. La entidad </w:t>
      </w:r>
      <w:r w:rsidR="00AC63FF">
        <w:t xml:space="preserve">federativa </w:t>
      </w:r>
      <w:r w:rsidR="00D3784F">
        <w:t>definió los indicadores de común acuerdo con la Dependencia Coordinadora del FAFEF, en el marco de los esquemas de coordinación intergubernamental a los que hace referencia el lineamiento Décimo Cuarto, Facción Primera.</w:t>
      </w:r>
    </w:p>
    <w:p w14:paraId="265BA79E" w14:textId="18FD8F29" w:rsidR="00A50DA9" w:rsidRDefault="00A50DA9" w:rsidP="00A50DA9">
      <w:r>
        <w:t xml:space="preserve">Sin embargo, </w:t>
      </w:r>
      <w:r w:rsidR="00907564">
        <w:t xml:space="preserve">en la opinión de los operadores del FAFEF en </w:t>
      </w:r>
      <w:r w:rsidR="00AC63FF">
        <w:t>Tamaulipas,</w:t>
      </w:r>
      <w:r w:rsidR="00907564">
        <w:t xml:space="preserve"> </w:t>
      </w:r>
      <w:r>
        <w:t xml:space="preserve">tales indicadores contribuyen a mostrar de manera agregada el efecto del FAFEF a nivel nacional, por lo tanto, los resultados obtenidos a través de esos indicadores no son de mucha utilidad para su uso específico en el Estado, ya que no permiten identificar de manera particular los efectos del Fondo en </w:t>
      </w:r>
      <w:r w:rsidR="00907564">
        <w:t xml:space="preserve">la </w:t>
      </w:r>
      <w:r>
        <w:t>población beneficiaria</w:t>
      </w:r>
      <w:r w:rsidR="00907564">
        <w:t xml:space="preserve"> atendida</w:t>
      </w:r>
      <w:r>
        <w:t xml:space="preserve">. </w:t>
      </w:r>
    </w:p>
    <w:p w14:paraId="734A6757" w14:textId="0D08FED1" w:rsidR="00D3784F" w:rsidRDefault="00D3784F" w:rsidP="00D3784F">
      <w:bookmarkStart w:id="47" w:name="_Hlk53059955"/>
      <w:r>
        <w:t xml:space="preserve">Respecto a la definición de metas, es el Grupo de Trabajo </w:t>
      </w:r>
      <w:r w:rsidRPr="00287E62">
        <w:t xml:space="preserve">de la Subsecretaría de Egresos, </w:t>
      </w:r>
      <w:r>
        <w:t xml:space="preserve">en el que </w:t>
      </w:r>
      <w:r w:rsidRPr="00287E62">
        <w:t>participan todos los Directores de Área, así como el titular de dicha Subsecretaría</w:t>
      </w:r>
      <w:r>
        <w:t xml:space="preserve"> y como </w:t>
      </w:r>
      <w:r w:rsidRPr="003C39A1">
        <w:t xml:space="preserve">instancia institucional administrativa y ejecutora de los recursos del FAFEF en </w:t>
      </w:r>
      <w:r w:rsidR="006131A3">
        <w:t>Tamaulipas</w:t>
      </w:r>
      <w:r>
        <w:t>, la instancia responsable de la definición de las metas para los indicadores de la MIR.</w:t>
      </w:r>
      <w:r w:rsidR="00324096">
        <w:t xml:space="preserve"> De acuerdo con la información disponible, la definición de las metas responde al objetivo que pretende alcanzar el indicador en el periodo reportado, sin embargo, no se contó con información en la que se puede verificar el método de cálculo. </w:t>
      </w:r>
    </w:p>
    <w:bookmarkEnd w:id="47"/>
    <w:p w14:paraId="5AF28329" w14:textId="6172B970" w:rsidR="000526B0" w:rsidRDefault="00324096" w:rsidP="00324096">
      <w:r w:rsidRPr="00187BCC">
        <w:t xml:space="preserve">Al respecto, </w:t>
      </w:r>
      <w:r w:rsidR="000526B0" w:rsidRPr="00285CF9">
        <w:t>se recomienda que sea el Grupo de Trabajo en la entidad federativa, quién plantee las metas estatales para cada indicador de la MIR Federal del Fondo que el estado reporta a través del SRFT; ya que su definición es un trabajo de planeación estratégica que debe estar a cargo de los ejecutores de los programas y del área de planeación. Asimismo, tener en cuenta que, para establecer metas se debe asegurar que sean cuantificables y que estén directamente relacionadas con el objetivo; además, que deben estar orientadas a mejorar los resultados del desempeño, es decir debe ser retadora y ser factible de alcanzar (estas condiciones también se deben observar en el establecimiento de metas de los indicadores de los Pp que reciben recursos del Fondo). Cuando los recursos se destinen a un rubro de gasto con ejercicio en años anteriores se deberá considerar el nivel alcanzado en las metas de dichos rubros</w:t>
      </w:r>
    </w:p>
    <w:p w14:paraId="48D9A05B" w14:textId="1E930F0F" w:rsidR="00D70712" w:rsidRDefault="00324096" w:rsidP="000620B1">
      <w:r w:rsidRPr="00285CF9">
        <w:t>E</w:t>
      </w:r>
      <w:r w:rsidR="009220C3" w:rsidRPr="00285CF9">
        <w:t xml:space="preserve">n lo que respecta al monitoreo </w:t>
      </w:r>
      <w:bookmarkStart w:id="48" w:name="_Hlk53131545"/>
      <w:r w:rsidR="009220C3" w:rsidRPr="00285CF9">
        <w:t>en el ámbito estatal, los resultados observados se documentan también a través de los indicadores de desempeño de los Pp que reciben recursos del FAFEF como parte de su presupuesto y que</w:t>
      </w:r>
      <w:r w:rsidR="009220C3" w:rsidRPr="000620B1">
        <w:rPr>
          <w:rFonts w:cstheme="minorHAnsi"/>
        </w:rPr>
        <w:t xml:space="preserve"> forman parte de la estructura programática estatal, lo cual se reporta a través del SIMIR, éste último a partir del ejercicio 2019. Es decir, una vez que se asignan recursos del Fondo a los Pp, cada uno cuenta con indicadores y metas a través de sus MIR/FID, </w:t>
      </w:r>
      <w:r w:rsidR="009B0A94" w:rsidRPr="000620B1">
        <w:rPr>
          <w:rFonts w:cstheme="minorHAnsi"/>
        </w:rPr>
        <w:t>de acuerdo con</w:t>
      </w:r>
      <w:r w:rsidR="009220C3" w:rsidRPr="000620B1">
        <w:rPr>
          <w:rFonts w:cstheme="minorHAnsi"/>
        </w:rPr>
        <w:t xml:space="preserve"> lo establecido en los Criterios para implantar la estrategia del PbR en Tamaulipas, así </w:t>
      </w:r>
      <w:r w:rsidR="00221F00" w:rsidRPr="000620B1">
        <w:rPr>
          <w:rFonts w:cstheme="minorHAnsi"/>
        </w:rPr>
        <w:t>como los</w:t>
      </w:r>
      <w:r w:rsidR="009220C3" w:rsidRPr="000620B1">
        <w:rPr>
          <w:rFonts w:cstheme="minorHAnsi"/>
        </w:rPr>
        <w:t xml:space="preserve"> Lineamientos MIR para registro de avances en metas y resultados</w:t>
      </w:r>
      <w:bookmarkEnd w:id="48"/>
      <w:r w:rsidR="009220C3" w:rsidRPr="000620B1">
        <w:rPr>
          <w:rFonts w:cstheme="minorHAnsi"/>
        </w:rPr>
        <w:t>.</w:t>
      </w:r>
      <w:r w:rsidR="00D70712">
        <w:br w:type="page"/>
      </w:r>
    </w:p>
    <w:p w14:paraId="092E69E0" w14:textId="3EC8F424" w:rsidR="00D70712" w:rsidRPr="00147A15" w:rsidRDefault="003B5E62" w:rsidP="003B5E62">
      <w:pPr>
        <w:pStyle w:val="Ttulo1"/>
      </w:pPr>
      <w:bookmarkStart w:id="49" w:name="_Toc61633643"/>
      <w:r>
        <w:lastRenderedPageBreak/>
        <w:t xml:space="preserve">V. </w:t>
      </w:r>
      <w:r w:rsidR="00D70712" w:rsidRPr="00147A15">
        <w:t xml:space="preserve">Módulo 3. </w:t>
      </w:r>
      <w:bookmarkStart w:id="50" w:name="_Hlk44235170"/>
      <w:r w:rsidR="00D70712" w:rsidRPr="00147A15">
        <w:t>Consistencia entre los elementos del diseño</w:t>
      </w:r>
      <w:bookmarkEnd w:id="50"/>
      <w:bookmarkEnd w:id="49"/>
    </w:p>
    <w:p w14:paraId="5FE9A391" w14:textId="54D2FA96" w:rsidR="00D70712" w:rsidRPr="00BC05EE" w:rsidRDefault="00D70712" w:rsidP="00C41516">
      <w:pPr>
        <w:spacing w:before="0" w:after="0"/>
        <w:contextualSpacing/>
        <w:rPr>
          <w:rFonts w:cstheme="minorHAnsi"/>
          <w:b/>
        </w:rPr>
      </w:pPr>
      <w:r w:rsidRPr="00E23500">
        <w:rPr>
          <w:rFonts w:cstheme="minorHAnsi"/>
          <w:b/>
        </w:rPr>
        <w:t>5. Para la operación del Fondo en la entidad federativa, ¿ésta utiliza información derivada de análisis externos (evaluaciones, auditorías al desempeño, informes de organizaciones independientes u otros relevantes) …</w:t>
      </w:r>
    </w:p>
    <w:p w14:paraId="2134C9B8" w14:textId="77777777" w:rsidR="00D70712" w:rsidRPr="00C41516" w:rsidRDefault="00D70712" w:rsidP="00F92F32">
      <w:pPr>
        <w:numPr>
          <w:ilvl w:val="0"/>
          <w:numId w:val="17"/>
        </w:numPr>
        <w:spacing w:before="0" w:after="0"/>
        <w:contextualSpacing/>
        <w:rPr>
          <w:rFonts w:cstheme="minorHAnsi"/>
          <w:b/>
        </w:rPr>
      </w:pPr>
      <w:r w:rsidRPr="00C41516">
        <w:rPr>
          <w:rFonts w:cstheme="minorHAnsi"/>
          <w:b/>
        </w:rPr>
        <w:t>De manera regular, es decir, se consideran como uno de los elementos para la toma de decisiones sobre la operación del FAFEF en la entidad federativa;</w:t>
      </w:r>
    </w:p>
    <w:p w14:paraId="012B5BBC" w14:textId="77777777" w:rsidR="00D70712" w:rsidRPr="00C41516" w:rsidRDefault="00D70712" w:rsidP="00F92F32">
      <w:pPr>
        <w:numPr>
          <w:ilvl w:val="0"/>
          <w:numId w:val="17"/>
        </w:numPr>
        <w:spacing w:before="0" w:after="0"/>
        <w:contextualSpacing/>
        <w:rPr>
          <w:rFonts w:cstheme="minorHAnsi"/>
          <w:b/>
        </w:rPr>
      </w:pPr>
      <w:r w:rsidRPr="00C41516">
        <w:rPr>
          <w:rFonts w:cstheme="minorHAnsi"/>
          <w:b/>
        </w:rPr>
        <w:t>De manera institucionalizada, es decir, sigue un procedimiento establecido en un documento oficial;</w:t>
      </w:r>
    </w:p>
    <w:p w14:paraId="776ADE23" w14:textId="77777777" w:rsidR="00D70712" w:rsidRPr="00C41516" w:rsidRDefault="00D70712" w:rsidP="00F92F32">
      <w:pPr>
        <w:numPr>
          <w:ilvl w:val="0"/>
          <w:numId w:val="17"/>
        </w:numPr>
        <w:spacing w:before="0" w:after="0"/>
        <w:contextualSpacing/>
        <w:rPr>
          <w:rFonts w:cstheme="minorHAnsi"/>
          <w:b/>
        </w:rPr>
      </w:pPr>
      <w:r w:rsidRPr="00C41516">
        <w:rPr>
          <w:rFonts w:cstheme="minorHAnsi"/>
          <w:b/>
        </w:rPr>
        <w:t>Para definir acciones y actividades que contribuyan a mejorar su gestión o sus resultados;</w:t>
      </w:r>
    </w:p>
    <w:p w14:paraId="59D8D050" w14:textId="77777777" w:rsidR="00D70712" w:rsidRPr="00C41516" w:rsidRDefault="00D70712" w:rsidP="00F92F32">
      <w:pPr>
        <w:numPr>
          <w:ilvl w:val="0"/>
          <w:numId w:val="17"/>
        </w:numPr>
        <w:spacing w:before="0"/>
        <w:ind w:left="641" w:hanging="357"/>
        <w:rPr>
          <w:rFonts w:cstheme="minorHAnsi"/>
          <w:b/>
        </w:rPr>
      </w:pPr>
      <w:r w:rsidRPr="00C41516">
        <w:rPr>
          <w:rFonts w:cstheme="minorHAnsi"/>
          <w:b/>
        </w:rPr>
        <w:t>De manera participativa: participan operadores, gerentes y personal de las instancias ejecutoras del Fondo en la entidad federativa?</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D70712" w:rsidRPr="00C41516" w14:paraId="4CE905FD" w14:textId="77777777" w:rsidTr="008F58B0">
        <w:trPr>
          <w:trHeight w:val="260"/>
          <w:jc w:val="center"/>
        </w:trPr>
        <w:tc>
          <w:tcPr>
            <w:tcW w:w="675" w:type="pct"/>
            <w:shd w:val="clear" w:color="auto" w:fill="FFFFFF"/>
          </w:tcPr>
          <w:p w14:paraId="708DB489" w14:textId="77777777" w:rsidR="00D70712" w:rsidRPr="00C41516" w:rsidRDefault="00D70712"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41516">
              <w:rPr>
                <w:rFonts w:ascii="Calibri" w:eastAsia="Calibri" w:hAnsi="Calibri" w:cs="Calibri"/>
                <w:b/>
                <w:color w:val="000000"/>
                <w:sz w:val="20"/>
                <w:szCs w:val="20"/>
                <w:lang w:eastAsia="es-MX"/>
              </w:rPr>
              <w:t>Respuesta</w:t>
            </w:r>
          </w:p>
        </w:tc>
        <w:tc>
          <w:tcPr>
            <w:tcW w:w="383" w:type="pct"/>
            <w:shd w:val="clear" w:color="auto" w:fill="FFFFFF"/>
            <w:vAlign w:val="center"/>
          </w:tcPr>
          <w:p w14:paraId="0753D798" w14:textId="77777777" w:rsidR="00D70712" w:rsidRPr="00C41516" w:rsidRDefault="00D70712"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41516">
              <w:rPr>
                <w:rFonts w:ascii="Calibri" w:eastAsia="Calibri" w:hAnsi="Calibri" w:cs="Calibri"/>
                <w:b/>
                <w:color w:val="000000"/>
                <w:sz w:val="20"/>
                <w:szCs w:val="20"/>
                <w:lang w:eastAsia="es-MX"/>
              </w:rPr>
              <w:t>Nivel</w:t>
            </w:r>
          </w:p>
        </w:tc>
        <w:tc>
          <w:tcPr>
            <w:tcW w:w="3942" w:type="pct"/>
            <w:shd w:val="clear" w:color="auto" w:fill="FFFFFF"/>
            <w:vAlign w:val="center"/>
          </w:tcPr>
          <w:p w14:paraId="3682A462" w14:textId="77777777" w:rsidR="00D70712" w:rsidRPr="00C41516" w:rsidRDefault="00D70712" w:rsidP="00D105A8">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C41516">
              <w:rPr>
                <w:rFonts w:ascii="Calibri" w:eastAsia="Calibri" w:hAnsi="Calibri" w:cs="Calibri"/>
                <w:b/>
                <w:color w:val="000000"/>
                <w:sz w:val="20"/>
                <w:szCs w:val="20"/>
                <w:lang w:eastAsia="es-MX"/>
              </w:rPr>
              <w:t>Criterios</w:t>
            </w:r>
          </w:p>
        </w:tc>
      </w:tr>
      <w:tr w:rsidR="00D70712" w:rsidRPr="00C41516" w14:paraId="7191650D" w14:textId="77777777" w:rsidTr="008F58B0">
        <w:trPr>
          <w:trHeight w:val="400"/>
          <w:jc w:val="center"/>
        </w:trPr>
        <w:tc>
          <w:tcPr>
            <w:tcW w:w="675" w:type="pct"/>
            <w:shd w:val="clear" w:color="auto" w:fill="FFFFFF"/>
            <w:vAlign w:val="center"/>
          </w:tcPr>
          <w:p w14:paraId="22979234" w14:textId="77777777" w:rsidR="00D70712" w:rsidRPr="00C41516" w:rsidRDefault="00D70712" w:rsidP="006A5F1B">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C41516">
              <w:rPr>
                <w:rFonts w:ascii="Calibri" w:eastAsia="Calibri" w:hAnsi="Calibri" w:cs="Calibri"/>
                <w:color w:val="000000"/>
                <w:sz w:val="20"/>
                <w:szCs w:val="20"/>
                <w:lang w:eastAsia="es-MX"/>
              </w:rPr>
              <w:t>Sí</w:t>
            </w:r>
          </w:p>
        </w:tc>
        <w:tc>
          <w:tcPr>
            <w:tcW w:w="383" w:type="pct"/>
            <w:shd w:val="clear" w:color="auto" w:fill="FFFFFF"/>
            <w:vAlign w:val="center"/>
          </w:tcPr>
          <w:p w14:paraId="2BD09FD2" w14:textId="77777777" w:rsidR="00D70712" w:rsidRPr="00C41516" w:rsidRDefault="00D70712" w:rsidP="006A5F1B">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C41516">
              <w:rPr>
                <w:rFonts w:ascii="Calibri" w:eastAsia="Calibri" w:hAnsi="Calibri" w:cs="Calibri"/>
                <w:color w:val="000000"/>
                <w:sz w:val="20"/>
                <w:szCs w:val="20"/>
                <w:lang w:eastAsia="es-MX"/>
              </w:rPr>
              <w:t>4</w:t>
            </w:r>
          </w:p>
        </w:tc>
        <w:tc>
          <w:tcPr>
            <w:tcW w:w="3942" w:type="pct"/>
            <w:shd w:val="clear" w:color="auto" w:fill="FFFFFF"/>
          </w:tcPr>
          <w:p w14:paraId="19767C75" w14:textId="59643876" w:rsidR="00D70712" w:rsidRPr="00C41516" w:rsidRDefault="001A5953" w:rsidP="006A5F1B">
            <w:pPr>
              <w:tabs>
                <w:tab w:val="left" w:pos="256"/>
              </w:tabs>
              <w:spacing w:before="0" w:after="0"/>
              <w:contextualSpacing/>
              <w:rPr>
                <w:rFonts w:ascii="Calibri" w:eastAsia="Calibri" w:hAnsi="Calibri" w:cs="Calibri"/>
                <w:color w:val="000000"/>
                <w:sz w:val="20"/>
                <w:szCs w:val="20"/>
                <w:lang w:eastAsia="es-MX"/>
              </w:rPr>
            </w:pPr>
            <w:r w:rsidRPr="00C41516">
              <w:rPr>
                <w:rFonts w:ascii="Calibri" w:eastAsia="Calibri" w:hAnsi="Calibri" w:cs="Calibri"/>
                <w:color w:val="000000"/>
                <w:sz w:val="20"/>
                <w:szCs w:val="20"/>
                <w:lang w:eastAsia="es-MX"/>
              </w:rPr>
              <w:t xml:space="preserve">Para la operación del Fondo en la entidad federativa, ésta utiliza informes de evaluaciones externas y cumple con </w:t>
            </w:r>
            <w:r w:rsidRPr="000D117B">
              <w:rPr>
                <w:rFonts w:ascii="Calibri" w:eastAsia="Calibri" w:hAnsi="Calibri" w:cs="Calibri"/>
                <w:b/>
                <w:bCs/>
                <w:color w:val="000000"/>
                <w:sz w:val="20"/>
                <w:szCs w:val="20"/>
                <w:lang w:eastAsia="es-MX"/>
              </w:rPr>
              <w:t>todas</w:t>
            </w:r>
            <w:r w:rsidRPr="00C41516">
              <w:rPr>
                <w:rFonts w:ascii="Calibri" w:eastAsia="Calibri" w:hAnsi="Calibri" w:cs="Calibri"/>
                <w:color w:val="000000"/>
                <w:sz w:val="20"/>
                <w:szCs w:val="20"/>
                <w:lang w:eastAsia="es-MX"/>
              </w:rPr>
              <w:t xml:space="preserve"> de las características establecidas en la pregunta.</w:t>
            </w:r>
          </w:p>
        </w:tc>
      </w:tr>
    </w:tbl>
    <w:p w14:paraId="4EBBFC68" w14:textId="45EB61BC" w:rsidR="002E1D4A" w:rsidRPr="00753EAF" w:rsidRDefault="00221451" w:rsidP="00AE25DD">
      <w:r>
        <w:t>E</w:t>
      </w:r>
      <w:r w:rsidR="002E1D4A" w:rsidRPr="00753EAF">
        <w:t xml:space="preserve">xiste evidencia documental de la realización de evaluaciones de Consistencia y Resultados de los Programas Financiados con recursos del FAFEF de los ejercicios fiscales 2014 a 2016, así como una Evaluación Estratégica sobre Planeación, Programación, Monitoreo y Evaluación de este Fondo para 2019. </w:t>
      </w:r>
      <w:bookmarkStart w:id="51" w:name="_Hlk43646669"/>
      <w:r w:rsidR="002E1D4A" w:rsidRPr="00753EAF">
        <w:t xml:space="preserve">Asimismo, existe evidencia documental de la realización de Auditorías Combinadas de Cumplimiento y </w:t>
      </w:r>
      <w:bookmarkStart w:id="52" w:name="_Hlk43646577"/>
      <w:r w:rsidR="002E1D4A" w:rsidRPr="00753EAF">
        <w:t xml:space="preserve">Desempeño de los recursos del Fondo del 2013 al 2018, cuyos resultados y recomendaciones de las evaluaciones y auditorías, han sido elementos a considerar en la toma de decisiones, </w:t>
      </w:r>
      <w:r w:rsidR="00387BA8">
        <w:t xml:space="preserve">para la mejora de los procesos de asignación, ejercicio y seguimiento del </w:t>
      </w:r>
      <w:r w:rsidR="002E1D4A" w:rsidRPr="00753EAF">
        <w:t xml:space="preserve">Fondo en </w:t>
      </w:r>
      <w:r w:rsidR="00717157">
        <w:t>Tamaulipas</w:t>
      </w:r>
      <w:r w:rsidR="002E1D4A" w:rsidRPr="00753EAF">
        <w:t>.</w:t>
      </w:r>
    </w:p>
    <w:p w14:paraId="1CCF0690" w14:textId="271C0A04" w:rsidR="002E1D4A" w:rsidRPr="00E23500" w:rsidRDefault="00D67FD2" w:rsidP="0061515E">
      <w:pPr>
        <w:ind w:left="284" w:hanging="284"/>
      </w:pPr>
      <w:r w:rsidRPr="00E23500">
        <w:t xml:space="preserve">a) </w:t>
      </w:r>
      <w:r w:rsidR="0039757E">
        <w:t>Existe evidencia</w:t>
      </w:r>
      <w:r w:rsidR="00A714CE" w:rsidRPr="00E23500">
        <w:t xml:space="preserve"> que los resultados y recomendaciones </w:t>
      </w:r>
      <w:r w:rsidRPr="00E23500">
        <w:t>derivada</w:t>
      </w:r>
      <w:r w:rsidR="00A714CE" w:rsidRPr="00E23500">
        <w:t>s</w:t>
      </w:r>
      <w:r w:rsidRPr="00E23500">
        <w:t xml:space="preserve"> de evaluaciones y de las auditorias de desempeño</w:t>
      </w:r>
      <w:r w:rsidR="00A714CE" w:rsidRPr="00E23500">
        <w:t>,</w:t>
      </w:r>
      <w:r w:rsidRPr="00E23500">
        <w:t xml:space="preserve"> </w:t>
      </w:r>
      <w:r w:rsidR="00A714CE" w:rsidRPr="00E23500">
        <w:t>han sido elementos</w:t>
      </w:r>
      <w:r w:rsidR="0039757E">
        <w:t xml:space="preserve"> a considerar</w:t>
      </w:r>
      <w:r w:rsidR="00273A84" w:rsidRPr="00E23500">
        <w:t xml:space="preserve"> </w:t>
      </w:r>
      <w:r w:rsidR="00A714CE" w:rsidRPr="00E23500">
        <w:t>para la toma de decisiones sobre la operación</w:t>
      </w:r>
      <w:r w:rsidR="00273A84" w:rsidRPr="00E23500">
        <w:t xml:space="preserve"> del Fondo</w:t>
      </w:r>
      <w:r w:rsidRPr="00E23500">
        <w:t xml:space="preserve">, ya que </w:t>
      </w:r>
      <w:r w:rsidR="00A714CE" w:rsidRPr="00E23500">
        <w:t xml:space="preserve">ambos </w:t>
      </w:r>
      <w:r w:rsidRPr="00E23500">
        <w:t>procesos que se han venido aplicando de</w:t>
      </w:r>
      <w:r w:rsidR="00A714CE" w:rsidRPr="00E23500">
        <w:t xml:space="preserve"> </w:t>
      </w:r>
      <w:r w:rsidRPr="00E23500">
        <w:t xml:space="preserve">manera </w:t>
      </w:r>
      <w:r w:rsidR="00EF54F3" w:rsidRPr="00E23500">
        <w:t>anual.</w:t>
      </w:r>
      <w:r w:rsidRPr="00E23500">
        <w:t xml:space="preserve"> </w:t>
      </w:r>
      <w:r w:rsidR="002E1D4A" w:rsidRPr="00E23500">
        <w:t>Las recomendaciones planteadas en ambos instrumentos de rendición de cuentas, en donde participan organismos administradores y ejecutores de los recursos del Fondo, derivaron en la elaboración del Diagnóstico del FAFEF por parte de la SF, a través de la SE y coordinado por la D</w:t>
      </w:r>
      <w:r w:rsidR="0039757E">
        <w:t>P</w:t>
      </w:r>
      <w:r w:rsidR="002E1D4A" w:rsidRPr="00E23500">
        <w:t xml:space="preserve">E, como un mecanismo estratégico e institucional para determinar la asignación de recursos provenientes de dicho </w:t>
      </w:r>
      <w:r w:rsidR="004A60F0">
        <w:t>F</w:t>
      </w:r>
      <w:r w:rsidR="002E1D4A" w:rsidRPr="00E23500">
        <w:t xml:space="preserve">ondo. </w:t>
      </w:r>
    </w:p>
    <w:p w14:paraId="25FC9E22" w14:textId="7F2D26B3" w:rsidR="00EF54F3" w:rsidRPr="00E23500" w:rsidRDefault="00EF54F3" w:rsidP="0061515E">
      <w:pPr>
        <w:ind w:left="284" w:hanging="284"/>
      </w:pPr>
      <w:bookmarkStart w:id="53" w:name="_Hlk43646602"/>
      <w:bookmarkEnd w:id="51"/>
      <w:bookmarkEnd w:id="52"/>
      <w:r w:rsidRPr="00E23500">
        <w:t>b) De manera institucionalizada, la entidad</w:t>
      </w:r>
      <w:r w:rsidR="00F00018">
        <w:t xml:space="preserve"> federativa</w:t>
      </w:r>
      <w:r w:rsidRPr="00E23500">
        <w:t xml:space="preserve"> estableció un Mecanismo para el Seguimiento de los Aspectos Susceptibles de Mejora (ASM)</w:t>
      </w:r>
      <w:r w:rsidR="00EB40B2">
        <w:rPr>
          <w:rStyle w:val="Refdenotaalpie"/>
        </w:rPr>
        <w:footnoteReference w:id="18"/>
      </w:r>
      <w:r w:rsidRPr="00E23500">
        <w:t>, derivados de evaluaciones externas aplicadas al FAFEF, así como a otros Fondos de Gasto Federalizado y a los Pp. La Contraloría Gubernamental emitió a finales del 2018, el Mecanismo para dar seguimiento a los ASM derivados de todas las evaluaciones que se llevan a cabo en la entidad federativa. Se destaca que dicho mecanismo está publicado en el Periódico Oficial del Estado y define de manera clara las acciones para dar seguimiento a los ASM.</w:t>
      </w:r>
    </w:p>
    <w:p w14:paraId="4D3B818D" w14:textId="312E0C06" w:rsidR="002E1D4A" w:rsidRPr="00E23500" w:rsidRDefault="00EF54F3" w:rsidP="0061515E">
      <w:pPr>
        <w:ind w:left="284" w:hanging="284"/>
      </w:pPr>
      <w:r w:rsidRPr="00E23500">
        <w:t>c) El establec</w:t>
      </w:r>
      <w:r w:rsidR="0061515E" w:rsidRPr="00E23500">
        <w:t xml:space="preserve">imiento </w:t>
      </w:r>
      <w:r w:rsidR="002E1D4A" w:rsidRPr="00E23500">
        <w:t xml:space="preserve">del Grupo de trabajo, </w:t>
      </w:r>
      <w:r w:rsidR="0061515E" w:rsidRPr="00E23500">
        <w:t>representa en sí, una de las acciones implementadas como respuesta a</w:t>
      </w:r>
      <w:r w:rsidR="002E1D4A" w:rsidRPr="00E23500">
        <w:t xml:space="preserve"> diversas recomendaciones derivadas de evaluaciones externas y de auditorías aplicadas al FAFEF, en las cuales se manifestó la necesidad de contar con un mecanismo estratégico e institucional para la toma de decisiones en materia presupuestaria, contribuye a identificar de manera más precisa las prioridades sobre las cuales se deberán asignar los recursos del FAFEF.</w:t>
      </w:r>
    </w:p>
    <w:bookmarkEnd w:id="53"/>
    <w:p w14:paraId="4E9007DD" w14:textId="2EE143D1" w:rsidR="0061515E" w:rsidRDefault="0061515E" w:rsidP="0061515E">
      <w:pPr>
        <w:ind w:left="284" w:hanging="284"/>
        <w:rPr>
          <w:highlight w:val="yellow"/>
        </w:rPr>
      </w:pPr>
      <w:r w:rsidRPr="00E23500">
        <w:t xml:space="preserve">d) De manera participativa, en el Grupo de Trabajo, como instancia institucional administrativa y ejecutora de los recursos del FAFEF en </w:t>
      </w:r>
      <w:r w:rsidR="00F00018">
        <w:t>Tamaulipas</w:t>
      </w:r>
      <w:r w:rsidRPr="00E23500">
        <w:t>, participan los titulares de la Subsecretaría de Egresos, así como de las</w:t>
      </w:r>
      <w:r w:rsidRPr="00753EAF">
        <w:t xml:space="preserve"> Direcciones de Planeación y Control Hacendario, de Contabilidad, de Planeación Estratégica y de la Unidad de Inversión</w:t>
      </w:r>
      <w:r>
        <w:t>.</w:t>
      </w:r>
    </w:p>
    <w:p w14:paraId="0D6A5764" w14:textId="3FE7C44B" w:rsidR="0061515E" w:rsidRDefault="0061515E">
      <w:pPr>
        <w:spacing w:before="0" w:after="160" w:line="259" w:lineRule="auto"/>
        <w:jc w:val="left"/>
        <w:sectPr w:rsidR="0061515E" w:rsidSect="00A201C4">
          <w:pgSz w:w="12240" w:h="15840" w:code="1"/>
          <w:pgMar w:top="1134" w:right="1134" w:bottom="1134" w:left="1134" w:header="709" w:footer="709" w:gutter="0"/>
          <w:cols w:space="708"/>
          <w:docGrid w:linePitch="360"/>
        </w:sectPr>
      </w:pPr>
    </w:p>
    <w:p w14:paraId="52F31FD8" w14:textId="77777777" w:rsidR="00D67EE2" w:rsidRPr="00E23500" w:rsidRDefault="00D67EE2" w:rsidP="00EF28E6">
      <w:pPr>
        <w:spacing w:before="0" w:after="0"/>
        <w:contextualSpacing/>
        <w:rPr>
          <w:rFonts w:cstheme="minorHAnsi"/>
          <w:b/>
        </w:rPr>
      </w:pPr>
      <w:r w:rsidRPr="00E23500">
        <w:rPr>
          <w:rFonts w:cstheme="minorHAnsi"/>
          <w:b/>
        </w:rPr>
        <w:lastRenderedPageBreak/>
        <w:t>6. ¿Se considera la información del diagnóstico o de los resultados de la aplicación de los recursos del FAFEF durante el año anterior, en la planeación anual de la entidad federativa…</w:t>
      </w:r>
    </w:p>
    <w:p w14:paraId="5419868C" w14:textId="77777777" w:rsidR="00D67EE2" w:rsidRPr="00E23500" w:rsidRDefault="00D67EE2" w:rsidP="00F92F32">
      <w:pPr>
        <w:numPr>
          <w:ilvl w:val="0"/>
          <w:numId w:val="18"/>
        </w:numPr>
        <w:spacing w:before="0" w:after="0"/>
        <w:contextualSpacing/>
        <w:rPr>
          <w:rFonts w:cstheme="minorHAnsi"/>
          <w:b/>
        </w:rPr>
      </w:pPr>
      <w:r w:rsidRPr="00E23500">
        <w:rPr>
          <w:rFonts w:cstheme="minorHAnsi"/>
          <w:b/>
        </w:rPr>
        <w:t>Para el establecimiento de metas;</w:t>
      </w:r>
    </w:p>
    <w:p w14:paraId="724B83F8" w14:textId="77777777" w:rsidR="00D67EE2" w:rsidRPr="00E23500" w:rsidRDefault="00D67EE2" w:rsidP="00F92F32">
      <w:pPr>
        <w:numPr>
          <w:ilvl w:val="0"/>
          <w:numId w:val="18"/>
        </w:numPr>
        <w:spacing w:before="0" w:after="0"/>
        <w:contextualSpacing/>
        <w:rPr>
          <w:rFonts w:cstheme="minorHAnsi"/>
          <w:b/>
        </w:rPr>
      </w:pPr>
      <w:r w:rsidRPr="00E23500">
        <w:rPr>
          <w:rFonts w:cstheme="minorHAnsi"/>
          <w:b/>
        </w:rPr>
        <w:t xml:space="preserve">Para la asignación de recursos; </w:t>
      </w:r>
    </w:p>
    <w:p w14:paraId="5612BC80" w14:textId="77777777" w:rsidR="00D67EE2" w:rsidRPr="00E23500" w:rsidRDefault="00D67EE2" w:rsidP="00F92F32">
      <w:pPr>
        <w:numPr>
          <w:ilvl w:val="0"/>
          <w:numId w:val="18"/>
        </w:numPr>
        <w:spacing w:before="0" w:after="0"/>
        <w:contextualSpacing/>
        <w:rPr>
          <w:rFonts w:cstheme="minorHAnsi"/>
          <w:b/>
        </w:rPr>
      </w:pPr>
      <w:r w:rsidRPr="00E23500">
        <w:rPr>
          <w:rFonts w:cstheme="minorHAnsi"/>
          <w:b/>
        </w:rPr>
        <w:t>Para la distribución de actividades;</w:t>
      </w:r>
    </w:p>
    <w:p w14:paraId="27D65AA3" w14:textId="77777777" w:rsidR="00D67EE2" w:rsidRPr="00E23500" w:rsidRDefault="00D67EE2" w:rsidP="00F92F32">
      <w:pPr>
        <w:numPr>
          <w:ilvl w:val="0"/>
          <w:numId w:val="18"/>
        </w:numPr>
        <w:spacing w:before="0" w:after="0"/>
        <w:contextualSpacing/>
        <w:rPr>
          <w:rFonts w:cstheme="minorHAnsi"/>
          <w:b/>
        </w:rPr>
      </w:pPr>
      <w:r w:rsidRPr="00E23500">
        <w:rPr>
          <w:rFonts w:cstheme="minorHAnsi"/>
          <w:b/>
        </w:rPr>
        <w:t>Para la selección geográfica de población o área a atenderse</w:t>
      </w:r>
    </w:p>
    <w:p w14:paraId="4D59A4B8" w14:textId="432DC1D5" w:rsidR="00D67EE2" w:rsidRDefault="00D67EE2" w:rsidP="00D67EE2">
      <w:pPr>
        <w:rPr>
          <w:b/>
          <w:bCs/>
        </w:rPr>
      </w:pPr>
      <w:r w:rsidRPr="00EF28E6">
        <w:rPr>
          <w:b/>
          <w:bCs/>
        </w:rPr>
        <w:t>No procede valoración cuantitativa.</w:t>
      </w:r>
    </w:p>
    <w:p w14:paraId="10E6DBEE" w14:textId="1FB07C83" w:rsidR="00EB2ADB" w:rsidRDefault="00EB2ADB" w:rsidP="00EB40B2">
      <w:pPr>
        <w:rPr>
          <w:rFonts w:ascii="Calibri" w:hAnsi="Calibri" w:cs="Calibri"/>
          <w:color w:val="000000"/>
        </w:rPr>
      </w:pPr>
      <w:r>
        <w:rPr>
          <w:rFonts w:ascii="Calibri" w:hAnsi="Calibri" w:cs="Calibri"/>
          <w:color w:val="000000"/>
        </w:rPr>
        <w:t>E</w:t>
      </w:r>
      <w:r w:rsidRPr="00EB2ADB">
        <w:rPr>
          <w:rFonts w:ascii="Calibri" w:hAnsi="Calibri" w:cs="Calibri"/>
          <w:color w:val="000000"/>
        </w:rPr>
        <w:t>l Grupo de Trabajo de la Subsecretaría de Egresos</w:t>
      </w:r>
      <w:r w:rsidR="00EB40B2">
        <w:rPr>
          <w:rFonts w:ascii="Calibri" w:hAnsi="Calibri" w:cs="Calibri"/>
          <w:color w:val="000000"/>
        </w:rPr>
        <w:t>,</w:t>
      </w:r>
      <w:r w:rsidRPr="00EB2ADB">
        <w:rPr>
          <w:rFonts w:ascii="Calibri" w:hAnsi="Calibri" w:cs="Calibri"/>
          <w:color w:val="000000"/>
        </w:rPr>
        <w:t xml:space="preserve"> </w:t>
      </w:r>
      <w:r w:rsidR="00EB40B2">
        <w:rPr>
          <w:rFonts w:ascii="Calibri" w:hAnsi="Calibri" w:cs="Calibri"/>
          <w:color w:val="000000"/>
        </w:rPr>
        <w:t xml:space="preserve">a partir de su creación en 2018, es el encargado en la entidad </w:t>
      </w:r>
      <w:r w:rsidR="00A11D24">
        <w:rPr>
          <w:rFonts w:ascii="Calibri" w:hAnsi="Calibri" w:cs="Calibri"/>
          <w:color w:val="000000"/>
        </w:rPr>
        <w:t xml:space="preserve">federativa </w:t>
      </w:r>
      <w:r w:rsidR="00EB40B2">
        <w:rPr>
          <w:rFonts w:ascii="Calibri" w:hAnsi="Calibri" w:cs="Calibri"/>
          <w:color w:val="000000"/>
        </w:rPr>
        <w:t>de determinar las prioridades de gasto a atender con recursos del Fondo</w:t>
      </w:r>
      <w:r w:rsidR="002D439F">
        <w:rPr>
          <w:rFonts w:ascii="Calibri" w:hAnsi="Calibri" w:cs="Calibri"/>
          <w:color w:val="000000"/>
        </w:rPr>
        <w:t xml:space="preserve">; en la minuta de su primera sesión se identifica el análisis y consideración de los resultados de las evaluaciones y </w:t>
      </w:r>
      <w:r w:rsidR="004A0FA9">
        <w:rPr>
          <w:rFonts w:ascii="Calibri" w:hAnsi="Calibri" w:cs="Calibri"/>
          <w:color w:val="000000"/>
        </w:rPr>
        <w:t>auditorías</w:t>
      </w:r>
      <w:r w:rsidR="002D439F">
        <w:rPr>
          <w:rFonts w:ascii="Calibri" w:hAnsi="Calibri" w:cs="Calibri"/>
          <w:color w:val="000000"/>
        </w:rPr>
        <w:t xml:space="preserve"> realizadas al FAFEF en el </w:t>
      </w:r>
      <w:r w:rsidR="00A912C6">
        <w:rPr>
          <w:rFonts w:ascii="Calibri" w:hAnsi="Calibri" w:cs="Calibri"/>
          <w:color w:val="000000"/>
        </w:rPr>
        <w:t>E</w:t>
      </w:r>
      <w:r w:rsidR="002D439F">
        <w:rPr>
          <w:rFonts w:ascii="Calibri" w:hAnsi="Calibri" w:cs="Calibri"/>
          <w:color w:val="000000"/>
        </w:rPr>
        <w:t xml:space="preserve">stado, cómo elementos útiles en la decisión del destino de gasto, monitoreo y seguimiento de la aplicación de los recursos, </w:t>
      </w:r>
      <w:r w:rsidR="00A13722">
        <w:rPr>
          <w:rFonts w:ascii="Calibri" w:hAnsi="Calibri" w:cs="Calibri"/>
          <w:color w:val="000000"/>
        </w:rPr>
        <w:t>distribución de actividades, etc.</w:t>
      </w:r>
    </w:p>
    <w:p w14:paraId="773AF1D2" w14:textId="26A6D404" w:rsidR="0023374F" w:rsidRPr="00E23500" w:rsidRDefault="0061515E" w:rsidP="00EB2ADB">
      <w:pPr>
        <w:ind w:left="284" w:hanging="284"/>
      </w:pPr>
      <w:r w:rsidRPr="00E23500">
        <w:t>a)</w:t>
      </w:r>
      <w:r w:rsidR="0023374F" w:rsidRPr="00E23500">
        <w:t xml:space="preserve"> Para el establecimiento de metas, de manera general, los resultados que se alcanzan son uno de los factores a considerar en la definición de metas en ejercicios fiscales subsecuentes.</w:t>
      </w:r>
      <w:r w:rsidR="006977A1">
        <w:t xml:space="preserve"> La minuta de la primera reunión del Grupo de Trabajo evidencia que los resultados de la aplicación de los recursos del FAFEF es un elemento importante a considerarse en el establecimiento de metas.</w:t>
      </w:r>
    </w:p>
    <w:p w14:paraId="5D413C2A" w14:textId="6545F89B" w:rsidR="00B20389" w:rsidRPr="00E23500" w:rsidRDefault="0023374F" w:rsidP="00B20389">
      <w:pPr>
        <w:ind w:left="284" w:hanging="284"/>
      </w:pPr>
      <w:r w:rsidRPr="00E23500">
        <w:t>b) Para la asignación de recursos, de igual forma, los resultados que se alcanzan son uno de los factores para determinar los sectores de aplicación de los recursos del FAFEF en ejercicios fiscales subsecuentes</w:t>
      </w:r>
      <w:r w:rsidR="00B20389" w:rsidRPr="00E23500">
        <w:t>. Durante las sesiones, en e</w:t>
      </w:r>
      <w:r w:rsidR="00B20389" w:rsidRPr="00E23500">
        <w:rPr>
          <w:rFonts w:ascii="Calibri" w:hAnsi="Calibri" w:cs="Calibri"/>
        </w:rPr>
        <w:t>l Grupo de Trabajo se llevan a cabo análisis y deliberaciones para establecer las prioridades sobre las cuales se canalizarán los recursos del FAFEF, hecho lo cual se seleccionan los Pp a través de los cuales se dará cauce a dichos recursos y se identifica que las modalidades de los Pp seleccionados, sean acordes a los destinos de elegibilidad que establece la LCF para poder utilizar los recursos del FAFEF.</w:t>
      </w:r>
    </w:p>
    <w:p w14:paraId="002A82C1" w14:textId="1226AF33" w:rsidR="007F7AA3" w:rsidRPr="00E23500" w:rsidRDefault="00B20389" w:rsidP="00AE25DD">
      <w:r w:rsidRPr="00E23500">
        <w:t>U</w:t>
      </w:r>
      <w:r w:rsidR="007F7AA3" w:rsidRPr="00E23500">
        <w:t xml:space="preserve">na de las áreas de mejora detectadas en los mecanismos de seguimiento a los resultados, fue la redistribución de los recursos del FAFEF hacia otros conceptos y no sólo al uso del saneamiento financiero en su totalidad. </w:t>
      </w:r>
    </w:p>
    <w:p w14:paraId="79E6D53D" w14:textId="3BB161D8" w:rsidR="007F7AA3" w:rsidRPr="00E23500" w:rsidRDefault="00B20389" w:rsidP="00AE25DD">
      <w:r w:rsidRPr="00E23500">
        <w:t>De</w:t>
      </w:r>
      <w:r w:rsidR="007F7AA3" w:rsidRPr="00E23500">
        <w:t xml:space="preserve"> acuerdo con información del Diagnóstico 2018, es a partir del año 2017 cuando se comenzó a diversificar la utilización de los recursos del Fondo, determinando en principio utilizar parte de esos recursos para </w:t>
      </w:r>
      <w:r w:rsidRPr="00E23500">
        <w:t>inversión en infraestructura física</w:t>
      </w:r>
      <w:r w:rsidR="007F7AA3" w:rsidRPr="00E23500">
        <w:t xml:space="preserve">. En ese sentido, se </w:t>
      </w:r>
      <w:r w:rsidRPr="00E23500">
        <w:t>sugiere que el</w:t>
      </w:r>
      <w:r w:rsidR="007F7AA3" w:rsidRPr="00E23500">
        <w:t xml:space="preserve"> Diagnóstico se actualice periódicamente</w:t>
      </w:r>
      <w:r w:rsidRPr="00E23500">
        <w:t xml:space="preserve"> y</w:t>
      </w:r>
      <w:r w:rsidR="007F7AA3" w:rsidRPr="00E23500">
        <w:t>,</w:t>
      </w:r>
      <w:r w:rsidRPr="00E23500">
        <w:t xml:space="preserve"> en su caso, que dicho proceso de actualización quede establecido en algún documento normativo, </w:t>
      </w:r>
      <w:r w:rsidR="007F7AA3" w:rsidRPr="00E23500">
        <w:t xml:space="preserve">con </w:t>
      </w:r>
      <w:r w:rsidRPr="00E23500">
        <w:t>e</w:t>
      </w:r>
      <w:r w:rsidR="007F7AA3" w:rsidRPr="00E23500">
        <w:t>l</w:t>
      </w:r>
      <w:r w:rsidRPr="00E23500">
        <w:t xml:space="preserve"> propósito de </w:t>
      </w:r>
      <w:r w:rsidR="007F7AA3" w:rsidRPr="00E23500">
        <w:t>contar con información actualizada que permita ratificar o reorientar la priorización futura de recursos.</w:t>
      </w:r>
    </w:p>
    <w:p w14:paraId="110AABC2" w14:textId="6F601FD9" w:rsidR="00B20389" w:rsidRDefault="007F7AA3" w:rsidP="00AE25DD">
      <w:r w:rsidRPr="00E23500">
        <w:t>En las minutas del Grupo de Trabajo del ejercicio 2018, se aprecia que existe una diversificación en el destino de</w:t>
      </w:r>
      <w:r>
        <w:t xml:space="preserve"> recursos del Fondo, redistribuyéndose entre el Saneamiento financiero (13.30%), a la Inversión en infraestructura física (78.90%), a la Modernización de los sistemas de recaudación (1.36%), así como a </w:t>
      </w:r>
      <w:r w:rsidR="00B20389">
        <w:t>e</w:t>
      </w:r>
      <w:r>
        <w:t xml:space="preserve">ducación pública (3.70%). </w:t>
      </w:r>
    </w:p>
    <w:p w14:paraId="120FB661" w14:textId="6C1801DF" w:rsidR="00B20389" w:rsidRDefault="00B20389" w:rsidP="00B20389">
      <w:pPr>
        <w:ind w:left="284" w:hanging="284"/>
      </w:pPr>
      <w:r>
        <w:t>c) Para la distribución de actividades, t</w:t>
      </w:r>
      <w:r w:rsidR="007F7AA3">
        <w:t>al redistribución implica un análisis y deliberaciones para el establecimiento de las prioridades y necesidades, sobre las cuales se canalizarán los recursos del FAFEF, hecho lo cual se seleccionan los programas presupuestarios estatales, a través de los cuales se dará cauce a dichos recursos y se identifica que las modalidades de los Pp seleccionados, sean acordes a los destinos de elegibilidad que establece la LCF para poder utilizar los recursos del FAFEF. De esta forma, se asignan responsables, según cada procedimiento, y se coordinan entre sí para dar seguimiento a las actividades planeadas para atender las necesidades identificadas.</w:t>
      </w:r>
    </w:p>
    <w:p w14:paraId="291776C7" w14:textId="2741EE77" w:rsidR="00B20389" w:rsidRDefault="00B20389" w:rsidP="006261BB">
      <w:pPr>
        <w:ind w:left="284" w:hanging="284"/>
        <w:sectPr w:rsidR="00B20389" w:rsidSect="00A201C4">
          <w:pgSz w:w="12240" w:h="15840" w:code="1"/>
          <w:pgMar w:top="1134" w:right="1134" w:bottom="1134" w:left="1134" w:header="709" w:footer="709" w:gutter="0"/>
          <w:cols w:space="708"/>
          <w:docGrid w:linePitch="360"/>
        </w:sectPr>
      </w:pPr>
      <w:r>
        <w:t xml:space="preserve">d) </w:t>
      </w:r>
      <w:r w:rsidR="00DF5BA0">
        <w:t>L</w:t>
      </w:r>
      <w:r>
        <w:t>a selección geográfica de población o área a atenderse</w:t>
      </w:r>
      <w:r w:rsidR="00F73C35">
        <w:t xml:space="preserve">, </w:t>
      </w:r>
      <w:r w:rsidR="00DF5BA0">
        <w:t>está determinada en función de la que tengan definida, en su caso, los Pp</w:t>
      </w:r>
      <w:r w:rsidR="006261BB" w:rsidRPr="006261BB">
        <w:t xml:space="preserve"> a través de los cuales </w:t>
      </w:r>
      <w:r w:rsidR="00576DA3">
        <w:t>se canalizarán los recursos del FAFEF</w:t>
      </w:r>
      <w:r w:rsidR="003C75D6">
        <w:t xml:space="preserve"> </w:t>
      </w:r>
      <w:r w:rsidR="00DF5BA0">
        <w:t xml:space="preserve">conforme a la definición de prioridades </w:t>
      </w:r>
      <w:r w:rsidR="00DF5BA0" w:rsidRPr="006261BB">
        <w:t xml:space="preserve">sobre las cuales se </w:t>
      </w:r>
      <w:r w:rsidR="001371C4">
        <w:t>destinan</w:t>
      </w:r>
      <w:r w:rsidR="00DF5BA0" w:rsidRPr="006261BB">
        <w:t xml:space="preserve"> los recursos del FAFEF</w:t>
      </w:r>
      <w:r w:rsidR="006261BB">
        <w:t xml:space="preserve">, </w:t>
      </w:r>
      <w:r w:rsidR="009B0A94">
        <w:t>de acuerdo con</w:t>
      </w:r>
      <w:r w:rsidR="006261BB">
        <w:t xml:space="preserve"> lo señalado en el inciso b).</w:t>
      </w:r>
    </w:p>
    <w:p w14:paraId="53EDFD55" w14:textId="77777777" w:rsidR="000B6755" w:rsidRPr="000B6755" w:rsidRDefault="000B6755" w:rsidP="000B6755">
      <w:pPr>
        <w:spacing w:before="0" w:after="0" w:line="259" w:lineRule="auto"/>
        <w:contextualSpacing/>
        <w:rPr>
          <w:rFonts w:cstheme="minorHAnsi"/>
          <w:b/>
        </w:rPr>
      </w:pPr>
      <w:r w:rsidRPr="00E23500">
        <w:rPr>
          <w:rFonts w:cstheme="minorHAnsi"/>
          <w:b/>
        </w:rPr>
        <w:lastRenderedPageBreak/>
        <w:t>7. ¿Se considera la información del desempeño del FAFEF en la entidad federativa para la toma de decisiones…</w:t>
      </w:r>
    </w:p>
    <w:p w14:paraId="6C1C76A6" w14:textId="77777777" w:rsidR="000B6755" w:rsidRPr="000B6755" w:rsidRDefault="000B6755" w:rsidP="00F92F32">
      <w:pPr>
        <w:numPr>
          <w:ilvl w:val="0"/>
          <w:numId w:val="19"/>
        </w:numPr>
        <w:spacing w:before="0" w:after="0"/>
        <w:contextualSpacing/>
        <w:rPr>
          <w:rFonts w:cstheme="minorHAnsi"/>
          <w:b/>
        </w:rPr>
      </w:pPr>
      <w:r w:rsidRPr="000B6755">
        <w:rPr>
          <w:rFonts w:cstheme="minorHAnsi"/>
          <w:b/>
        </w:rPr>
        <w:t>En el establecimiento de metas;</w:t>
      </w:r>
    </w:p>
    <w:p w14:paraId="1B00B72B" w14:textId="77777777" w:rsidR="000B6755" w:rsidRPr="000B6755" w:rsidRDefault="000B6755" w:rsidP="00F92F32">
      <w:pPr>
        <w:numPr>
          <w:ilvl w:val="0"/>
          <w:numId w:val="19"/>
        </w:numPr>
        <w:spacing w:before="0" w:after="0"/>
        <w:contextualSpacing/>
        <w:rPr>
          <w:rFonts w:cstheme="minorHAnsi"/>
          <w:b/>
        </w:rPr>
      </w:pPr>
      <w:r w:rsidRPr="000B6755">
        <w:rPr>
          <w:rFonts w:cstheme="minorHAnsi"/>
          <w:b/>
        </w:rPr>
        <w:t xml:space="preserve">En la asignación de recursos; </w:t>
      </w:r>
    </w:p>
    <w:p w14:paraId="057F9FA7" w14:textId="77777777" w:rsidR="000B6755" w:rsidRPr="000B6755" w:rsidRDefault="000B6755" w:rsidP="00F92F32">
      <w:pPr>
        <w:numPr>
          <w:ilvl w:val="0"/>
          <w:numId w:val="19"/>
        </w:numPr>
        <w:spacing w:before="0" w:after="0"/>
        <w:contextualSpacing/>
        <w:rPr>
          <w:rFonts w:cstheme="minorHAnsi"/>
          <w:b/>
        </w:rPr>
      </w:pPr>
      <w:r w:rsidRPr="000B6755">
        <w:rPr>
          <w:rFonts w:cstheme="minorHAnsi"/>
          <w:b/>
        </w:rPr>
        <w:t>En la distribución de actividades;</w:t>
      </w:r>
    </w:p>
    <w:p w14:paraId="0C1C7189" w14:textId="1EE39741" w:rsidR="000B6755" w:rsidRPr="000B6755" w:rsidRDefault="000B6755" w:rsidP="00F92F32">
      <w:pPr>
        <w:numPr>
          <w:ilvl w:val="0"/>
          <w:numId w:val="19"/>
        </w:numPr>
        <w:spacing w:before="0"/>
        <w:ind w:left="641" w:hanging="357"/>
        <w:rPr>
          <w:rFonts w:cstheme="minorHAnsi"/>
          <w:b/>
        </w:rPr>
      </w:pPr>
      <w:r w:rsidRPr="000B6755">
        <w:rPr>
          <w:rFonts w:cstheme="minorHAnsi"/>
          <w:b/>
        </w:rPr>
        <w:t>En la selección geográfica de población o área a atenderse</w:t>
      </w:r>
      <w:r w:rsidR="00EF28E6">
        <w:rPr>
          <w:rFonts w:cstheme="minorHAnsi"/>
          <w:b/>
        </w:rPr>
        <w:t>.</w:t>
      </w:r>
    </w:p>
    <w:p w14:paraId="7AF1F8EA" w14:textId="4AC97926" w:rsidR="000B6755" w:rsidRPr="00EF28E6" w:rsidRDefault="000B6755" w:rsidP="000B6755">
      <w:pPr>
        <w:spacing w:before="0" w:after="0"/>
        <w:rPr>
          <w:rFonts w:cstheme="minorHAnsi"/>
          <w:b/>
          <w:bCs/>
        </w:rPr>
      </w:pPr>
      <w:r w:rsidRPr="00EF28E6">
        <w:rPr>
          <w:rFonts w:cstheme="minorHAnsi"/>
          <w:b/>
          <w:bCs/>
        </w:rPr>
        <w:t>No procede valoración cuantitativa.</w:t>
      </w:r>
    </w:p>
    <w:p w14:paraId="2E3971A9" w14:textId="44DDCF57" w:rsidR="000B6755" w:rsidRDefault="00BB5A99" w:rsidP="00EF28E6">
      <w:pPr>
        <w:spacing w:after="0"/>
        <w:rPr>
          <w:rFonts w:cstheme="minorHAnsi"/>
        </w:rPr>
      </w:pPr>
      <w:r>
        <w:rPr>
          <w:rFonts w:cstheme="minorHAnsi"/>
        </w:rPr>
        <w:t>Hasta el ejercicio 2018, no se identificó evidencia respecto al uso de información de desempeño del FAFEF en la entidad</w:t>
      </w:r>
      <w:r w:rsidR="00A11D24">
        <w:rPr>
          <w:rFonts w:cstheme="minorHAnsi"/>
        </w:rPr>
        <w:t xml:space="preserve"> federativa</w:t>
      </w:r>
      <w:r>
        <w:rPr>
          <w:rFonts w:cstheme="minorHAnsi"/>
        </w:rPr>
        <w:t xml:space="preserve"> para la toma de decisiones en cuanto al establecimiento de metas, la asignación de recursos, la distribución de actividades y para la selección geográfica de la población o área a atenderse. </w:t>
      </w:r>
    </w:p>
    <w:p w14:paraId="0795329B" w14:textId="564F5962" w:rsidR="00BB5A99" w:rsidRDefault="00BB5A99" w:rsidP="00E34FDA">
      <w:pPr>
        <w:ind w:left="284" w:hanging="284"/>
      </w:pPr>
      <w:r>
        <w:t>a) En el establecimiento de metas</w:t>
      </w:r>
      <w:r w:rsidR="00EE0E95">
        <w:t xml:space="preserve">, con la implementación de la estrategia del PbR en el ejercicio 2019 </w:t>
      </w:r>
      <w:r w:rsidR="00EE0E95" w:rsidRPr="00753EAF">
        <w:t>se inici</w:t>
      </w:r>
      <w:r w:rsidR="00EE0E95">
        <w:t>ó</w:t>
      </w:r>
      <w:r w:rsidR="00EE0E95" w:rsidRPr="00753EAF">
        <w:t xml:space="preserve"> la generación de información de desempeño</w:t>
      </w:r>
      <w:r w:rsidR="00EE0E95">
        <w:t xml:space="preserve"> del FAFEF en el Estado</w:t>
      </w:r>
      <w:r w:rsidR="00EE0E95" w:rsidRPr="00753EAF">
        <w:t>, observada a través del monitoreo de indicadores de los Pp que cuentan con recursos del FAFEF como parte de su presupuesto</w:t>
      </w:r>
      <w:r w:rsidR="00EE0E95">
        <w:t xml:space="preserve">. </w:t>
      </w:r>
      <w:r w:rsidR="00EE0E95" w:rsidRPr="00753EAF">
        <w:t>A través de esa información se cuenta con más elementos para el establecimiento de metas</w:t>
      </w:r>
      <w:r w:rsidR="00EE0E95">
        <w:t>.</w:t>
      </w:r>
    </w:p>
    <w:p w14:paraId="2942604D" w14:textId="563D5432" w:rsidR="000613AD" w:rsidRPr="00753EAF" w:rsidRDefault="00EE0E95" w:rsidP="00E34FDA">
      <w:pPr>
        <w:ind w:left="284" w:hanging="284"/>
      </w:pPr>
      <w:r>
        <w:t>b) En la asignación de recursos, la información generada</w:t>
      </w:r>
      <w:r w:rsidR="000613AD">
        <w:t xml:space="preserve"> del desempeño del FAFEF con la implementación de la estrategia del PbR</w:t>
      </w:r>
      <w:r>
        <w:t xml:space="preserve"> </w:t>
      </w:r>
      <w:r w:rsidR="000613AD">
        <w:t xml:space="preserve">permitirá contar con más elementos para la asignación de recursos del Fondo, </w:t>
      </w:r>
      <w:r w:rsidR="000613AD" w:rsidRPr="00753EAF">
        <w:t>lo que contribuye a la pertinencia de los sectores y modalidades de aplicación de los recursos del Fondo a ser utilizadas en cada ejercicio fiscal.</w:t>
      </w:r>
    </w:p>
    <w:p w14:paraId="2920D2F0" w14:textId="6BA4BD3A" w:rsidR="00597938" w:rsidRDefault="000613AD" w:rsidP="00597938">
      <w:pPr>
        <w:ind w:left="284" w:hanging="284"/>
      </w:pPr>
      <w:r>
        <w:t>c) En la distribución de actividades, con la incorporación de la figura de los Pp en la estructura programática hasta 2019</w:t>
      </w:r>
      <w:r w:rsidR="00597938">
        <w:t xml:space="preserve"> como parte de la implementación de los “Criterios para la incorporación de la Estrategia del Presupuesto Basado en Resultados en el Estado de Tamaulipas”, se asignaron responsables, según cada procedimiento, y se coordinan entre sí para dar seguimiento a las actividades planeadas para atender las necesidades identificadas en cada Pp.</w:t>
      </w:r>
    </w:p>
    <w:p w14:paraId="110B8AD7" w14:textId="77E2E2FD" w:rsidR="00597938" w:rsidRDefault="00597938" w:rsidP="00597938">
      <w:r>
        <w:t xml:space="preserve">Es importante resaltar </w:t>
      </w:r>
      <w:r w:rsidR="00700D46">
        <w:t>que,</w:t>
      </w:r>
      <w:r>
        <w:t xml:space="preserve"> si bien durante 2018 se incorporó en la estructura programática la figura de los Pp, fue hasta 2019 que se empezaron a desarrollar gradualmente las primeras MIR y las primeras FID de los Pp, los cuales fueron cargadas en el SIMIR, siendo 2019 </w:t>
      </w:r>
      <w:r w:rsidR="00E34FDA">
        <w:t>el año en que inició su operación este sistema.</w:t>
      </w:r>
    </w:p>
    <w:p w14:paraId="670B0B10" w14:textId="21347CA0" w:rsidR="007F7AA3" w:rsidRPr="00753EAF" w:rsidRDefault="00E34FDA" w:rsidP="00AE25DD">
      <w:r>
        <w:t>De esta forma,</w:t>
      </w:r>
      <w:r w:rsidR="007F7AA3" w:rsidRPr="00753EAF">
        <w:t xml:space="preserve"> la entidad federativa recientemente puso en operación el SIMIR, en el cual se concentra la información y se monitorean todos los Pp, entre ellos, los que reciben recursos del FAFEF como parte de su presupuesto, este último identificado a través de la información que se tienen en el Sistema de Plataforma Única. En ese sentido y como parte de los elementos para implantar la estrategia del PbR en Tamaulipas, los Pp deben cargar en el SIMIR su información relacionada con las prioridades del PED a las cuales contribuye cada Programa.</w:t>
      </w:r>
    </w:p>
    <w:p w14:paraId="7DB77AAF" w14:textId="0F24F739" w:rsidR="00E34FDA" w:rsidRPr="00E34FDA" w:rsidRDefault="00E34FDA" w:rsidP="00E34FDA">
      <w:pPr>
        <w:ind w:left="284" w:hanging="284"/>
      </w:pPr>
      <w:r>
        <w:t xml:space="preserve">d) </w:t>
      </w:r>
      <w:r w:rsidRPr="00E34FDA">
        <w:t>En la selección geográfica de población o área a atenderse, como se señaló antes, l</w:t>
      </w:r>
      <w:r>
        <w:t xml:space="preserve">a selección geográfica de población o área a </w:t>
      </w:r>
      <w:r w:rsidR="000459EB">
        <w:t>atenderse</w:t>
      </w:r>
      <w:r>
        <w:t xml:space="preserve"> está determinada en función de la que tengan definida, en su caso, los Pp</w:t>
      </w:r>
      <w:r w:rsidRPr="006261BB">
        <w:t xml:space="preserve"> a través de los cuales </w:t>
      </w:r>
      <w:r>
        <w:t xml:space="preserve">se canalizarán los recursos del FAFEF conforme a la definición de prioridades </w:t>
      </w:r>
      <w:r w:rsidRPr="006261BB">
        <w:t>sobre las cuales se canalizarán los recursos del F</w:t>
      </w:r>
      <w:r>
        <w:t>ondo.</w:t>
      </w:r>
    </w:p>
    <w:p w14:paraId="220CA54B" w14:textId="739026E4" w:rsidR="002726F7" w:rsidRDefault="002726F7" w:rsidP="00AE25DD">
      <w:r>
        <w:br w:type="page"/>
      </w:r>
    </w:p>
    <w:p w14:paraId="3C6A93F8" w14:textId="77777777" w:rsidR="002726F7" w:rsidRPr="002726F7" w:rsidRDefault="002726F7" w:rsidP="00700D46">
      <w:pPr>
        <w:spacing w:before="0" w:after="0"/>
        <w:ind w:left="284" w:hanging="284"/>
        <w:rPr>
          <w:rFonts w:cstheme="minorHAnsi"/>
          <w:b/>
        </w:rPr>
      </w:pPr>
      <w:r w:rsidRPr="00E23500">
        <w:rPr>
          <w:rFonts w:cstheme="minorHAnsi"/>
          <w:b/>
        </w:rPr>
        <w:lastRenderedPageBreak/>
        <w:t>8.</w:t>
      </w:r>
      <w:r w:rsidRPr="00E23500">
        <w:rPr>
          <w:rFonts w:cstheme="minorHAnsi"/>
          <w:b/>
        </w:rPr>
        <w:tab/>
        <w:t>¿Existe un plan estratégico para el FAFEF en la entidad federativa que cumpla con las siguientes características:</w:t>
      </w:r>
    </w:p>
    <w:p w14:paraId="5FBB75A5" w14:textId="5E648FD7" w:rsidR="002726F7" w:rsidRPr="002726F7" w:rsidRDefault="002726F7" w:rsidP="00F92F32">
      <w:pPr>
        <w:numPr>
          <w:ilvl w:val="0"/>
          <w:numId w:val="20"/>
        </w:numPr>
        <w:spacing w:before="0" w:after="0"/>
        <w:rPr>
          <w:rFonts w:cstheme="minorHAnsi"/>
          <w:b/>
        </w:rPr>
      </w:pPr>
      <w:r w:rsidRPr="002726F7">
        <w:rPr>
          <w:rFonts w:cstheme="minorHAnsi"/>
          <w:b/>
        </w:rPr>
        <w:t>Es producto de ejercicios de planeación institucionalizados, es decir, sigue un procedimiento establecido en un documento oficial;</w:t>
      </w:r>
    </w:p>
    <w:p w14:paraId="359D3201" w14:textId="67F73BBB" w:rsidR="002726F7" w:rsidRPr="002726F7" w:rsidRDefault="002726F7" w:rsidP="00F92F32">
      <w:pPr>
        <w:numPr>
          <w:ilvl w:val="0"/>
          <w:numId w:val="20"/>
        </w:numPr>
        <w:spacing w:before="0" w:after="0"/>
        <w:rPr>
          <w:rFonts w:cstheme="minorHAnsi"/>
          <w:b/>
        </w:rPr>
      </w:pPr>
      <w:r w:rsidRPr="002726F7">
        <w:rPr>
          <w:rFonts w:cstheme="minorHAnsi"/>
          <w:b/>
        </w:rPr>
        <w:t>Abarca un horizonte de al menos cinco años;</w:t>
      </w:r>
    </w:p>
    <w:p w14:paraId="6A941BE4" w14:textId="06A15D87" w:rsidR="002726F7" w:rsidRPr="002726F7" w:rsidRDefault="002726F7" w:rsidP="00F92F32">
      <w:pPr>
        <w:numPr>
          <w:ilvl w:val="0"/>
          <w:numId w:val="20"/>
        </w:numPr>
        <w:spacing w:before="0" w:after="0"/>
        <w:rPr>
          <w:rFonts w:cstheme="minorHAnsi"/>
          <w:b/>
        </w:rPr>
      </w:pPr>
      <w:r w:rsidRPr="002726F7">
        <w:rPr>
          <w:rFonts w:cstheme="minorHAnsi"/>
          <w:b/>
        </w:rPr>
        <w:t>Establece los resultados que se pretenden alcanzar con la ejecución del Fondo y son consistentes con lo establecido en el Fin y el Propósito de su MIR vigente local;</w:t>
      </w:r>
    </w:p>
    <w:p w14:paraId="4EFED743" w14:textId="2C218646" w:rsidR="002726F7" w:rsidRPr="002726F7" w:rsidRDefault="002726F7" w:rsidP="00F92F32">
      <w:pPr>
        <w:numPr>
          <w:ilvl w:val="0"/>
          <w:numId w:val="20"/>
        </w:numPr>
        <w:spacing w:before="0"/>
        <w:ind w:left="641" w:hanging="357"/>
        <w:rPr>
          <w:rFonts w:cstheme="minorHAnsi"/>
          <w:b/>
        </w:rPr>
      </w:pPr>
      <w:r w:rsidRPr="002726F7">
        <w:rPr>
          <w:rFonts w:cstheme="minorHAnsi"/>
          <w:b/>
        </w:rPr>
        <w:t>Cuenta con indicadores para medir los avances en el logro de sus objetivos consistentes con lo establecido en su MIR vigente?</w:t>
      </w:r>
    </w:p>
    <w:p w14:paraId="00B88EC2" w14:textId="77777777" w:rsidR="002726F7" w:rsidRPr="00700D46" w:rsidRDefault="002726F7" w:rsidP="002726F7">
      <w:pPr>
        <w:spacing w:before="0" w:after="0"/>
        <w:rPr>
          <w:rFonts w:cstheme="minorHAnsi"/>
          <w:b/>
          <w:bCs/>
        </w:rPr>
      </w:pPr>
      <w:r w:rsidRPr="00700D46">
        <w:rPr>
          <w:rFonts w:cstheme="minorHAnsi"/>
          <w:b/>
          <w:bCs/>
        </w:rPr>
        <w:t>No procede valoración cuantitativa.</w:t>
      </w:r>
    </w:p>
    <w:p w14:paraId="51B2077B" w14:textId="2714473D" w:rsidR="00E97DED" w:rsidRDefault="0048584A" w:rsidP="00AE25DD">
      <w:r w:rsidRPr="00753EAF">
        <w:t xml:space="preserve">No </w:t>
      </w:r>
      <w:r w:rsidR="00E97DED">
        <w:t xml:space="preserve">se encontró evidencia documental de la definición de </w:t>
      </w:r>
      <w:r w:rsidRPr="00753EAF">
        <w:t>un plan estratégico para el FAFEF en</w:t>
      </w:r>
      <w:r w:rsidR="00A11D24">
        <w:t xml:space="preserve"> Tamaulipas</w:t>
      </w:r>
      <w:r w:rsidRPr="00753EAF">
        <w:t>, que cumpla con las características expresadas</w:t>
      </w:r>
      <w:r w:rsidR="00E97DED">
        <w:t xml:space="preserve"> en la pregunta</w:t>
      </w:r>
      <w:r w:rsidRPr="00753EAF">
        <w:t>.</w:t>
      </w:r>
    </w:p>
    <w:p w14:paraId="6BD03896" w14:textId="5B0C2A2D" w:rsidR="00ED77A7" w:rsidRDefault="0048584A" w:rsidP="00AE25DD">
      <w:r w:rsidRPr="00187BCC">
        <w:t xml:space="preserve">En ese sentido, se </w:t>
      </w:r>
      <w:r w:rsidR="00E97DED" w:rsidRPr="00187BCC">
        <w:t xml:space="preserve">sugiere definir </w:t>
      </w:r>
      <w:r w:rsidRPr="00187BCC">
        <w:t>un plan estratégico de mediano plazo (de 5 años)</w:t>
      </w:r>
      <w:r w:rsidR="00E97DED" w:rsidRPr="00187BCC">
        <w:t xml:space="preserve"> que sea producto de ejercicios de planeación institucionalizados</w:t>
      </w:r>
      <w:r w:rsidR="00ED77A7" w:rsidRPr="00187BCC">
        <w:t>,</w:t>
      </w:r>
      <w:r w:rsidR="00E97DED" w:rsidRPr="00187BCC">
        <w:t xml:space="preserve"> por </w:t>
      </w:r>
      <w:r w:rsidR="00ED77A7" w:rsidRPr="00187BCC">
        <w:t>l</w:t>
      </w:r>
      <w:r w:rsidR="00E97DED" w:rsidRPr="00187BCC">
        <w:t xml:space="preserve">o que se recomienda que sea </w:t>
      </w:r>
      <w:r w:rsidR="00ED77A7" w:rsidRPr="00187BCC">
        <w:t>el Grupo de Trabajo de la Subsecretaría de Egresos, en el que participan todos los Directores de Área, así como el titular de dicha Subsecretaría y como instancia institucional administrativa y ejecutora de los recursos del FAFEF en la entidad</w:t>
      </w:r>
      <w:r w:rsidR="00F071F1">
        <w:t xml:space="preserve"> federativa</w:t>
      </w:r>
      <w:r w:rsidR="00ED77A7" w:rsidRPr="00187BCC">
        <w:t>, la instancia responsable de la definición de dicho plan, en el cual se establezcan los resultados que se pretenden alcanzar con la ejecución del Fondo</w:t>
      </w:r>
      <w:r w:rsidR="000D51C0" w:rsidRPr="00187BCC">
        <w:t>, así como indicadores pertinentes que permitan medir los avances en el logro de sus objetivos consistentes con lo establecido en su MIR vigente.</w:t>
      </w:r>
    </w:p>
    <w:p w14:paraId="5DADE0C7" w14:textId="5E5B085B" w:rsidR="00ED77A7" w:rsidRDefault="000D51C0" w:rsidP="00ED77A7">
      <w:r>
        <w:t xml:space="preserve">Por </w:t>
      </w:r>
      <w:r w:rsidR="0075353C">
        <w:t>l</w:t>
      </w:r>
      <w:r>
        <w:t>o tanto, a la par con el plan estratégico, s</w:t>
      </w:r>
      <w:r w:rsidR="00ED77A7">
        <w:t>e sugiere también la definición de una MIR estatal</w:t>
      </w:r>
      <w:r w:rsidR="00B50BC0">
        <w:t xml:space="preserve"> (considerando las recomendaciones vertidas en la respuesta a la pregunta 1)</w:t>
      </w:r>
      <w:r w:rsidR="00ED77A7">
        <w:t xml:space="preserve">, de tal forma que </w:t>
      </w:r>
      <w:r>
        <w:t xml:space="preserve">el establecimiento </w:t>
      </w:r>
      <w:r w:rsidR="00ED77A7">
        <w:t xml:space="preserve">de los resultados </w:t>
      </w:r>
      <w:r>
        <w:t xml:space="preserve">que </w:t>
      </w:r>
      <w:r w:rsidR="00ED77A7" w:rsidRPr="00753EAF">
        <w:t>se pretenden</w:t>
      </w:r>
      <w:r w:rsidR="00ED77A7">
        <w:t xml:space="preserve"> alcanzar con la ejecución del F</w:t>
      </w:r>
      <w:r w:rsidR="00ED77A7" w:rsidRPr="00753EAF">
        <w:t>ondo</w:t>
      </w:r>
      <w:r>
        <w:t>, señalados en la elaboración del plan estratégico, sean consistentes con el Fin y Propósito definidos en dicha MIR.</w:t>
      </w:r>
    </w:p>
    <w:p w14:paraId="7486A196" w14:textId="32B7A6F5" w:rsidR="0075353C" w:rsidRDefault="0075353C" w:rsidP="00AE25DD">
      <w:r>
        <w:t xml:space="preserve">Por otro lado, </w:t>
      </w:r>
      <w:r w:rsidR="00331738">
        <w:t xml:space="preserve">como se mencionó antes, la figura de </w:t>
      </w:r>
      <w:r>
        <w:t>los Pp</w:t>
      </w:r>
      <w:r w:rsidR="00331738">
        <w:t xml:space="preserve"> es de reciente incorporación a la estructura program</w:t>
      </w:r>
      <w:r w:rsidR="00E714AC">
        <w:t xml:space="preserve">ática y </w:t>
      </w:r>
      <w:r w:rsidR="00E714AC" w:rsidRPr="00E714AC">
        <w:t>sigue un procedimiento de planeación institucionalizada. P</w:t>
      </w:r>
      <w:r w:rsidR="0072732C">
        <w:t>or lo que a la fecha se están desarrollando Diagnósticos para casi todos los Pp de la modalidad K (la mayoría de los Pp que reciben recursos del FAFEF son de esta modalidad – proyectos de inversión). Del mismo modo, fue hasta el 2019 que se empezaron a desarrollar gradualmente las primeras MIR y las primeras FID de los Pp, sin embargo, las primeras versiones de estos instrumentos aún presentaban áreas imp</w:t>
      </w:r>
      <w:r w:rsidR="00E714AC">
        <w:t xml:space="preserve">ortantes de mejora en su diseño, sobre lo cual la Secretaría de Finanzas está iniciando en el segundo semestre del ejercicio en curso, un proceso de análisis para la validación de la MIR/FID, aplicando la metodología </w:t>
      </w:r>
      <w:r w:rsidR="006E3521" w:rsidRPr="006E3521">
        <w:t>para la aprobación de indicadores de los programas sociales</w:t>
      </w:r>
      <w:r w:rsidR="006E3521">
        <w:t xml:space="preserve"> -</w:t>
      </w:r>
      <w:r w:rsidR="00E714AC">
        <w:t>CREMA (</w:t>
      </w:r>
      <w:r w:rsidR="00E714AC" w:rsidRPr="00E714AC">
        <w:t xml:space="preserve">Claro, Relevante, Económico, Monitoreable, Adecuado) desarrollada por el </w:t>
      </w:r>
      <w:r w:rsidR="00C206B4" w:rsidRPr="00C206B4">
        <w:t xml:space="preserve">Consejo Nacional de Evaluación de la Política de Desarrollo Social </w:t>
      </w:r>
      <w:r w:rsidR="00E714AC" w:rsidRPr="00E714AC">
        <w:t>(CONEVAL).</w:t>
      </w:r>
    </w:p>
    <w:p w14:paraId="1C508001" w14:textId="77777777" w:rsidR="002C3C0C" w:rsidRDefault="002C3C0C" w:rsidP="00AE25DD">
      <w:r>
        <w:br w:type="page"/>
      </w:r>
    </w:p>
    <w:p w14:paraId="2A7A902A" w14:textId="76475FEC" w:rsidR="002C3C0C" w:rsidRPr="002C3C0C" w:rsidRDefault="002C3C0C" w:rsidP="00D26B7A">
      <w:pPr>
        <w:spacing w:before="0" w:after="0"/>
        <w:contextualSpacing/>
        <w:rPr>
          <w:rFonts w:cstheme="minorHAnsi"/>
          <w:b/>
        </w:rPr>
      </w:pPr>
      <w:r w:rsidRPr="00E23500">
        <w:rPr>
          <w:rFonts w:cstheme="minorHAnsi"/>
          <w:b/>
        </w:rPr>
        <w:lastRenderedPageBreak/>
        <w:t>9.</w:t>
      </w:r>
      <w:r w:rsidR="00D26B7A">
        <w:rPr>
          <w:rFonts w:cstheme="minorHAnsi"/>
          <w:b/>
        </w:rPr>
        <w:t xml:space="preserve"> </w:t>
      </w:r>
      <w:r w:rsidRPr="00E23500">
        <w:rPr>
          <w:rFonts w:cstheme="minorHAnsi"/>
          <w:b/>
        </w:rPr>
        <w:t>¿El PAT del FAFEF en la entidad federativa cumple con las siguientes características:</w:t>
      </w:r>
    </w:p>
    <w:p w14:paraId="3AF97027" w14:textId="0EFAC878" w:rsidR="002C3C0C" w:rsidRPr="002C3C0C" w:rsidRDefault="002C3C0C" w:rsidP="00F92F32">
      <w:pPr>
        <w:numPr>
          <w:ilvl w:val="0"/>
          <w:numId w:val="21"/>
        </w:numPr>
        <w:spacing w:before="0" w:after="0"/>
        <w:rPr>
          <w:rFonts w:cstheme="minorHAnsi"/>
          <w:b/>
        </w:rPr>
      </w:pPr>
      <w:r w:rsidRPr="002C3C0C">
        <w:rPr>
          <w:rFonts w:cstheme="minorHAnsi"/>
          <w:b/>
        </w:rPr>
        <w:t>Es producto de ejercicios de planeación institucionalizados, es decir, siguen un procedimiento establecido en un documento oficial;</w:t>
      </w:r>
    </w:p>
    <w:p w14:paraId="0E505A4B" w14:textId="29CA9231" w:rsidR="002C3C0C" w:rsidRPr="002C3C0C" w:rsidRDefault="002C3C0C" w:rsidP="00F92F32">
      <w:pPr>
        <w:numPr>
          <w:ilvl w:val="0"/>
          <w:numId w:val="21"/>
        </w:numPr>
        <w:spacing w:before="0" w:after="0"/>
        <w:rPr>
          <w:rFonts w:cstheme="minorHAnsi"/>
          <w:b/>
        </w:rPr>
      </w:pPr>
      <w:r w:rsidRPr="002C3C0C">
        <w:rPr>
          <w:rFonts w:cstheme="minorHAnsi"/>
          <w:b/>
        </w:rPr>
        <w:t>Se consideran los entregables o componentes que se producen con el presupuesto del FAFEF;</w:t>
      </w:r>
    </w:p>
    <w:p w14:paraId="3BA4A5B8" w14:textId="7ECCD670" w:rsidR="002C3C0C" w:rsidRPr="002C3C0C" w:rsidRDefault="002C3C0C" w:rsidP="00F92F32">
      <w:pPr>
        <w:numPr>
          <w:ilvl w:val="0"/>
          <w:numId w:val="21"/>
        </w:numPr>
        <w:spacing w:before="0" w:after="0"/>
        <w:rPr>
          <w:rFonts w:cstheme="minorHAnsi"/>
          <w:b/>
        </w:rPr>
      </w:pPr>
      <w:r w:rsidRPr="002C3C0C">
        <w:rPr>
          <w:rFonts w:cstheme="minorHAnsi"/>
          <w:b/>
        </w:rPr>
        <w:t>Establece metas u objetivos que contribuyan al logro del propósito del FAFEF, a través de la entrega o generación de sus componentes;</w:t>
      </w:r>
    </w:p>
    <w:p w14:paraId="36765FB5" w14:textId="6C1CEDE9" w:rsidR="002C3C0C" w:rsidRPr="002C3C0C" w:rsidRDefault="002C3C0C" w:rsidP="00F92F32">
      <w:pPr>
        <w:numPr>
          <w:ilvl w:val="0"/>
          <w:numId w:val="21"/>
        </w:numPr>
        <w:spacing w:before="0" w:after="0"/>
        <w:rPr>
          <w:rFonts w:cstheme="minorHAnsi"/>
          <w:b/>
        </w:rPr>
      </w:pPr>
      <w:r w:rsidRPr="002C3C0C">
        <w:rPr>
          <w:rFonts w:cstheme="minorHAnsi"/>
          <w:b/>
        </w:rPr>
        <w:t>Se revisa y actualiza periódicamente;</w:t>
      </w:r>
    </w:p>
    <w:p w14:paraId="764270C0" w14:textId="1C9CAE27" w:rsidR="002C3C0C" w:rsidRPr="002C3C0C" w:rsidRDefault="002C3C0C" w:rsidP="00F92F32">
      <w:pPr>
        <w:numPr>
          <w:ilvl w:val="0"/>
          <w:numId w:val="21"/>
        </w:numPr>
        <w:spacing w:before="0"/>
        <w:ind w:left="641" w:hanging="357"/>
        <w:rPr>
          <w:rFonts w:cstheme="minorHAnsi"/>
          <w:b/>
        </w:rPr>
      </w:pPr>
      <w:r w:rsidRPr="002C3C0C">
        <w:rPr>
          <w:rFonts w:cstheme="minorHAnsi"/>
          <w:b/>
        </w:rPr>
        <w:t>Considera la participación de las instancias ejecutoras que ejercen recursos para su elaboración?</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F93F3D" w:rsidRPr="00700D46" w14:paraId="71440EFD" w14:textId="77777777" w:rsidTr="008F58B0">
        <w:trPr>
          <w:trHeight w:val="260"/>
          <w:jc w:val="center"/>
        </w:trPr>
        <w:tc>
          <w:tcPr>
            <w:tcW w:w="675" w:type="pct"/>
            <w:shd w:val="clear" w:color="auto" w:fill="FFFFFF"/>
            <w:vAlign w:val="center"/>
          </w:tcPr>
          <w:p w14:paraId="1582E323" w14:textId="77777777" w:rsidR="00F93F3D" w:rsidRPr="00700D46" w:rsidRDefault="00F93F3D" w:rsidP="00487B6A">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700D46">
              <w:rPr>
                <w:rFonts w:ascii="Calibri" w:eastAsia="Calibri" w:hAnsi="Calibri" w:cs="Calibri"/>
                <w:b/>
                <w:color w:val="000000"/>
                <w:sz w:val="20"/>
                <w:szCs w:val="20"/>
                <w:lang w:eastAsia="es-MX"/>
              </w:rPr>
              <w:t>Respuesta</w:t>
            </w:r>
          </w:p>
        </w:tc>
        <w:tc>
          <w:tcPr>
            <w:tcW w:w="383" w:type="pct"/>
            <w:shd w:val="clear" w:color="auto" w:fill="FFFFFF"/>
            <w:vAlign w:val="center"/>
          </w:tcPr>
          <w:p w14:paraId="595071A8" w14:textId="77777777" w:rsidR="00F93F3D" w:rsidRPr="00700D46" w:rsidRDefault="00F93F3D" w:rsidP="00487B6A">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700D46">
              <w:rPr>
                <w:rFonts w:ascii="Calibri" w:eastAsia="Calibri" w:hAnsi="Calibri" w:cs="Calibri"/>
                <w:b/>
                <w:color w:val="000000"/>
                <w:sz w:val="20"/>
                <w:szCs w:val="20"/>
                <w:lang w:eastAsia="es-MX"/>
              </w:rPr>
              <w:t>Nivel</w:t>
            </w:r>
          </w:p>
        </w:tc>
        <w:tc>
          <w:tcPr>
            <w:tcW w:w="3942" w:type="pct"/>
            <w:shd w:val="clear" w:color="auto" w:fill="FFFFFF"/>
            <w:vAlign w:val="center"/>
          </w:tcPr>
          <w:p w14:paraId="7E251FDB" w14:textId="77777777" w:rsidR="00F93F3D" w:rsidRPr="00700D46" w:rsidRDefault="00F93F3D" w:rsidP="00487B6A">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700D46">
              <w:rPr>
                <w:rFonts w:ascii="Calibri" w:eastAsia="Calibri" w:hAnsi="Calibri" w:cs="Calibri"/>
                <w:b/>
                <w:color w:val="000000"/>
                <w:sz w:val="20"/>
                <w:szCs w:val="20"/>
                <w:lang w:eastAsia="es-MX"/>
              </w:rPr>
              <w:t>Criterios</w:t>
            </w:r>
          </w:p>
        </w:tc>
      </w:tr>
      <w:tr w:rsidR="00F93F3D" w:rsidRPr="00700D46" w14:paraId="35A1F9C8" w14:textId="77777777" w:rsidTr="008F58B0">
        <w:trPr>
          <w:trHeight w:val="400"/>
          <w:jc w:val="center"/>
        </w:trPr>
        <w:tc>
          <w:tcPr>
            <w:tcW w:w="675" w:type="pct"/>
            <w:shd w:val="clear" w:color="auto" w:fill="FFFFFF"/>
            <w:vAlign w:val="center"/>
          </w:tcPr>
          <w:p w14:paraId="5AFFF89E" w14:textId="162E67EE" w:rsidR="00F93F3D" w:rsidRPr="00700D46" w:rsidRDefault="00F93F3D" w:rsidP="00487B6A">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700D46">
              <w:rPr>
                <w:rFonts w:ascii="Calibri" w:eastAsia="Calibri" w:hAnsi="Calibri" w:cs="Calibri"/>
                <w:color w:val="000000"/>
                <w:sz w:val="20"/>
                <w:szCs w:val="20"/>
                <w:lang w:eastAsia="es-MX"/>
              </w:rPr>
              <w:t>No</w:t>
            </w:r>
          </w:p>
        </w:tc>
        <w:tc>
          <w:tcPr>
            <w:tcW w:w="383" w:type="pct"/>
            <w:shd w:val="clear" w:color="auto" w:fill="FFFFFF"/>
            <w:vAlign w:val="center"/>
          </w:tcPr>
          <w:p w14:paraId="28F1B737" w14:textId="2298CE70" w:rsidR="00F93F3D" w:rsidRPr="00700D46" w:rsidRDefault="00F93F3D" w:rsidP="00487B6A">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p>
        </w:tc>
        <w:tc>
          <w:tcPr>
            <w:tcW w:w="3942" w:type="pct"/>
            <w:shd w:val="clear" w:color="auto" w:fill="FFFFFF"/>
            <w:vAlign w:val="center"/>
          </w:tcPr>
          <w:p w14:paraId="5C0E8F72" w14:textId="519D69F3" w:rsidR="00F93F3D" w:rsidRPr="00700D46" w:rsidRDefault="00F93F3D" w:rsidP="00487B6A">
            <w:pPr>
              <w:tabs>
                <w:tab w:val="left" w:pos="256"/>
              </w:tabs>
              <w:spacing w:before="0" w:after="0"/>
              <w:contextualSpacing/>
              <w:rPr>
                <w:rFonts w:ascii="Calibri" w:eastAsia="Calibri" w:hAnsi="Calibri" w:cs="Calibri"/>
                <w:color w:val="000000"/>
                <w:sz w:val="20"/>
                <w:szCs w:val="20"/>
                <w:lang w:eastAsia="es-MX"/>
              </w:rPr>
            </w:pPr>
          </w:p>
        </w:tc>
      </w:tr>
    </w:tbl>
    <w:p w14:paraId="64973F35" w14:textId="340A5D88" w:rsidR="006E3521" w:rsidRDefault="005F1C2B" w:rsidP="00AE25DD">
      <w:bookmarkStart w:id="54" w:name="_Hlk53072955"/>
      <w:r w:rsidRPr="00187BCC">
        <w:t>E</w:t>
      </w:r>
      <w:r w:rsidR="001301C3" w:rsidRPr="00187BCC">
        <w:t xml:space="preserve">l FAFEF en </w:t>
      </w:r>
      <w:r w:rsidR="003418C1">
        <w:t>Tamaulipas</w:t>
      </w:r>
      <w:r w:rsidR="001301C3" w:rsidRPr="00187BCC">
        <w:t xml:space="preserve"> no cuenta con un Plan Anual de Trabajo (PAT)</w:t>
      </w:r>
      <w:r w:rsidRPr="00187BCC">
        <w:t xml:space="preserve"> que integre al menos una de las características establecidas</w:t>
      </w:r>
      <w:r w:rsidR="001301C3" w:rsidRPr="00187BCC">
        <w:t>, por lo que</w:t>
      </w:r>
      <w:r w:rsidRPr="00187BCC">
        <w:t>,</w:t>
      </w:r>
      <w:r w:rsidR="001301C3" w:rsidRPr="00187BCC">
        <w:t xml:space="preserve"> </w:t>
      </w:r>
      <w:r w:rsidRPr="00187BCC">
        <w:rPr>
          <w:rFonts w:eastAsia="Times New Roman"/>
          <w:kern w:val="36"/>
          <w:lang w:eastAsia="es-MX"/>
        </w:rPr>
        <w:t>c</w:t>
      </w:r>
      <w:r w:rsidRPr="00187BCC">
        <w:t>omo parte fundamental del plan estratégico definido para el FAFEF en la entidad</w:t>
      </w:r>
      <w:r w:rsidR="00885578">
        <w:t xml:space="preserve"> federativa</w:t>
      </w:r>
      <w:r w:rsidRPr="00187BCC">
        <w:t xml:space="preserve">, referido en la respuesta a la pregunta anterior, </w:t>
      </w:r>
      <w:r w:rsidR="001301C3" w:rsidRPr="00187BCC">
        <w:t xml:space="preserve">se </w:t>
      </w:r>
      <w:r w:rsidR="006E3521" w:rsidRPr="00187BCC">
        <w:t xml:space="preserve">sugiere elaborar un PAT </w:t>
      </w:r>
      <w:r w:rsidRPr="00187BCC">
        <w:rPr>
          <w:rFonts w:cstheme="minorHAnsi"/>
        </w:rPr>
        <w:t>producto de ejercicios de planeación institucionalizados</w:t>
      </w:r>
      <w:r w:rsidRPr="00187BCC">
        <w:t xml:space="preserve">, </w:t>
      </w:r>
      <w:r w:rsidR="006E3521" w:rsidRPr="00187BCC">
        <w:t xml:space="preserve">que contenga las necesidades prioritarias definidas en el diagnóstico específico del FAFEF </w:t>
      </w:r>
      <w:r w:rsidR="00885578">
        <w:t>en el Estado</w:t>
      </w:r>
      <w:r w:rsidR="006E3521" w:rsidRPr="00187BCC">
        <w:t>, l</w:t>
      </w:r>
      <w:r w:rsidRPr="00187BCC">
        <w:t>os entregables o componentes producidos con el presupuesto del Fondo, l</w:t>
      </w:r>
      <w:r w:rsidR="006E3521" w:rsidRPr="00187BCC">
        <w:t>os objetivos y propósitos del trabajo anual,</w:t>
      </w:r>
      <w:r w:rsidRPr="00187BCC">
        <w:t xml:space="preserve"> actualizados y</w:t>
      </w:r>
      <w:r w:rsidR="006E3521" w:rsidRPr="00187BCC">
        <w:t xml:space="preserve"> coherentes con los recursos viables a realizarse en un año, dimensionar los objetivos que se pretenden alcanzar al cabo de un año, las estrategias para lograr los objetivos y metas, las actividades y acciones que se desarrollarán, </w:t>
      </w:r>
      <w:r w:rsidRPr="00187BCC">
        <w:t>las</w:t>
      </w:r>
      <w:r w:rsidR="006E3521" w:rsidRPr="00187BCC">
        <w:t xml:space="preserve"> instancias</w:t>
      </w:r>
      <w:r w:rsidRPr="00187BCC">
        <w:t xml:space="preserve"> que</w:t>
      </w:r>
      <w:r w:rsidR="006E3521" w:rsidRPr="00187BCC">
        <w:t xml:space="preserve"> participarán y, por último, </w:t>
      </w:r>
      <w:r w:rsidRPr="00187BCC">
        <w:t xml:space="preserve">la metodología para </w:t>
      </w:r>
      <w:r w:rsidR="006E3521" w:rsidRPr="00187BCC">
        <w:t>evaluar lo programado</w:t>
      </w:r>
      <w:r w:rsidRPr="00187BCC">
        <w:t>,</w:t>
      </w:r>
      <w:r w:rsidR="006E3521" w:rsidRPr="00187BCC">
        <w:t xml:space="preserve"> de tal manera que se garantice el </w:t>
      </w:r>
      <w:r w:rsidR="000F4367" w:rsidRPr="00187BCC">
        <w:t xml:space="preserve">adecuado </w:t>
      </w:r>
      <w:r w:rsidR="006E3521" w:rsidRPr="00187BCC">
        <w:t>ejercicio del Fondo en la entidad</w:t>
      </w:r>
      <w:r w:rsidR="001A101F">
        <w:t xml:space="preserve"> federativa</w:t>
      </w:r>
      <w:r w:rsidR="006E3521" w:rsidRPr="00187BCC">
        <w:t>.</w:t>
      </w:r>
    </w:p>
    <w:bookmarkEnd w:id="54"/>
    <w:p w14:paraId="223257F9" w14:textId="3D4E5CF2" w:rsidR="001301C3" w:rsidRPr="00753EAF" w:rsidRDefault="001301C3" w:rsidP="00AE25DD">
      <w:r w:rsidRPr="00753EAF">
        <w:t>En ese sentido, es preciso que el Grupo de Trabajo creado por la Secretaría de Finanzas, a través de la Subsecretaría de Egresos, sea el me</w:t>
      </w:r>
      <w:r w:rsidR="005F1C2B">
        <w:t>dio institucional</w:t>
      </w:r>
      <w:r w:rsidRPr="00753EAF">
        <w:t xml:space="preserve"> </w:t>
      </w:r>
      <w:r w:rsidR="00640C5F">
        <w:t>para su elaboración</w:t>
      </w:r>
      <w:r w:rsidRPr="00753EAF">
        <w:t>, como organismo administrador de los recursos del FAFEF, considerando también, para su elaboración, a las instancias ejecutoras de</w:t>
      </w:r>
      <w:r w:rsidR="00640C5F">
        <w:t xml:space="preserve"> los Pp que reciben recursos del Fondo</w:t>
      </w:r>
      <w:r w:rsidRPr="00753EAF">
        <w:t>.</w:t>
      </w:r>
      <w:r w:rsidR="00826CDE">
        <w:t xml:space="preserve"> </w:t>
      </w:r>
      <w:r w:rsidRPr="00753EAF">
        <w:t xml:space="preserve"> </w:t>
      </w:r>
    </w:p>
    <w:p w14:paraId="0065AFF2" w14:textId="160223EF" w:rsidR="001301C3" w:rsidRPr="00753EAF" w:rsidRDefault="001301C3" w:rsidP="00AE25DD">
      <w:r w:rsidRPr="00753EAF">
        <w:t>Con la diversificación en el destino de los recursos de FAFEF partir del año 201</w:t>
      </w:r>
      <w:r w:rsidR="00640C5F">
        <w:t>8</w:t>
      </w:r>
      <w:r w:rsidRPr="00753EAF">
        <w:t xml:space="preserve"> y más aún en el ejercicio </w:t>
      </w:r>
      <w:r w:rsidR="00640C5F">
        <w:t>2019 con la incorporación de la figura de los Pp en la estructura programática</w:t>
      </w:r>
      <w:r w:rsidRPr="00753EAF">
        <w:t>, se hace más visible la necesidad de la elaboración del PAT</w:t>
      </w:r>
      <w:r w:rsidR="0025239C">
        <w:t xml:space="preserve"> que sea producto de ejercicios de planeación institucionalizados con la participación las instancias ejecutoras de los recursos</w:t>
      </w:r>
      <w:r w:rsidR="00640C5F">
        <w:t xml:space="preserve"> y</w:t>
      </w:r>
      <w:r w:rsidR="0025239C">
        <w:t>,</w:t>
      </w:r>
      <w:r w:rsidR="00640C5F">
        <w:t xml:space="preserve"> que en </w:t>
      </w:r>
      <w:r w:rsidR="0025239C">
        <w:t>este</w:t>
      </w:r>
      <w:r w:rsidR="00640C5F">
        <w:t xml:space="preserve"> proceso</w:t>
      </w:r>
      <w:r w:rsidR="0025239C">
        <w:t>, se</w:t>
      </w:r>
      <w:r w:rsidR="00640C5F">
        <w:t xml:space="preserve"> contemple </w:t>
      </w:r>
      <w:r w:rsidR="0025239C">
        <w:t>la definición de entregables o componentes producidos con los recursos del Fondo, el establecimiento de objetivos y metas coherentes y que contribuyan al logro del propósito definido en la MIR Estatal</w:t>
      </w:r>
      <w:r w:rsidRPr="00753EAF">
        <w:t xml:space="preserve">, así como su constante actualización. </w:t>
      </w:r>
    </w:p>
    <w:p w14:paraId="747B225C" w14:textId="69D16C3D" w:rsidR="0057513E" w:rsidRDefault="0057513E" w:rsidP="00AE25DD">
      <w:r>
        <w:br w:type="page"/>
      </w:r>
    </w:p>
    <w:p w14:paraId="7B8442F2" w14:textId="7126E98C" w:rsidR="0057513E" w:rsidRPr="0057513E" w:rsidRDefault="0057513E" w:rsidP="006D2C22">
      <w:pPr>
        <w:spacing w:before="0"/>
        <w:rPr>
          <w:rFonts w:cstheme="minorHAnsi"/>
          <w:b/>
        </w:rPr>
      </w:pPr>
      <w:r w:rsidRPr="00E23500">
        <w:rPr>
          <w:rFonts w:cstheme="minorHAnsi"/>
          <w:b/>
        </w:rPr>
        <w:lastRenderedPageBreak/>
        <w:t>10.</w:t>
      </w:r>
      <w:r w:rsidR="006D2C22">
        <w:rPr>
          <w:rFonts w:cstheme="minorHAnsi"/>
          <w:b/>
        </w:rPr>
        <w:t xml:space="preserve"> </w:t>
      </w:r>
      <w:r w:rsidRPr="00E23500">
        <w:rPr>
          <w:rFonts w:cstheme="minorHAnsi"/>
          <w:b/>
        </w:rPr>
        <w:t>Si con los recursos del FAFEF se realizan acciones o se otorgan apoyos que benefician directamente a personas u hogares, ¿la entidad federativa cuenta con lineamientos para su ejecución y éstos contemplan que se recolecte información socioeconómica de estos beneficiarios?</w:t>
      </w:r>
    </w:p>
    <w:p w14:paraId="1DDE79C3" w14:textId="755D218E" w:rsidR="000B6755" w:rsidRPr="00D26B7A" w:rsidRDefault="00147A15" w:rsidP="00D26B7A">
      <w:pPr>
        <w:rPr>
          <w:b/>
          <w:bCs/>
        </w:rPr>
      </w:pPr>
      <w:r w:rsidRPr="00D26B7A">
        <w:rPr>
          <w:b/>
          <w:bCs/>
        </w:rPr>
        <w:t>No procede valoración cuantitativa.</w:t>
      </w:r>
    </w:p>
    <w:p w14:paraId="52D9B5F7" w14:textId="6D11C526" w:rsidR="00017634" w:rsidRDefault="00017634" w:rsidP="00AE25DD">
      <w:r>
        <w:t xml:space="preserve">En el ejercicio 2018 los recursos del FAFEF se destinaron al Saneamiento financiero, a la Inversión en infraestructura física, a la Modernización de los sistemas de recaudación, así como a educación pública, sin embargo, </w:t>
      </w:r>
      <w:r w:rsidR="00AE25DD" w:rsidRPr="00753EAF">
        <w:t>no se han emitido lineamientos específicos para la operación del FAFEF</w:t>
      </w:r>
      <w:r w:rsidR="00CD7000">
        <w:t xml:space="preserve"> de manera integral</w:t>
      </w:r>
      <w:r w:rsidR="00AE25DD" w:rsidRPr="00753EAF">
        <w:t xml:space="preserve">, </w:t>
      </w:r>
      <w:r w:rsidR="00CD7000">
        <w:t>en los que se señale</w:t>
      </w:r>
      <w:r w:rsidR="00997719">
        <w:t xml:space="preserve">, </w:t>
      </w:r>
      <w:r w:rsidR="00CD7000">
        <w:t>por rubro de gasto</w:t>
      </w:r>
      <w:r w:rsidR="00997719">
        <w:t>,</w:t>
      </w:r>
      <w:r w:rsidR="00CD7000">
        <w:t xml:space="preserve"> cómo debería ser la operación de los mismos</w:t>
      </w:r>
      <w:r>
        <w:t>.</w:t>
      </w:r>
    </w:p>
    <w:p w14:paraId="34BD242E" w14:textId="6ED76879" w:rsidR="00AE25DD" w:rsidRPr="00753EAF" w:rsidRDefault="00017634" w:rsidP="00AE25DD">
      <w:bookmarkStart w:id="55" w:name="_Hlk53075047"/>
      <w:r>
        <w:t>En</w:t>
      </w:r>
      <w:r w:rsidR="00AE25DD" w:rsidRPr="00753EAF">
        <w:t xml:space="preserve"> el Periódico Oficial</w:t>
      </w:r>
      <w:r w:rsidR="00AE6E85">
        <w:t>, con fecha 29 de octubre de 2018,</w:t>
      </w:r>
      <w:r w:rsidR="00AE25DD" w:rsidRPr="00753EAF">
        <w:t xml:space="preserve"> se publicaron los Lineamientos Generales para la elaboración de Reglas de Operación de los Programas Presupuestarios y Modificaciones a las ya existentes. En estos Lineamientos Generales,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p>
    <w:bookmarkEnd w:id="55"/>
    <w:p w14:paraId="443240F2" w14:textId="3EB521F2" w:rsidR="004323D6" w:rsidRDefault="00AE25DD" w:rsidP="00AE25DD">
      <w:r w:rsidRPr="00753EAF">
        <w:t>En ese sentido, y como se ha mencionado, durante las sesiones del Grupo de Trabajo se llevan a cabo análisis y deliberaciones para establecer las prioridades sobre las cuales se canalizarán los recursos del FAFEF, hecho lo cual se seleccionan los programas presupuestarios estatales (Pp), a través de los cuales se dará cauce a los recursos del FAFEF y se identifica que las modalidades de los Pp seleccionados, sean acordes a los destinos de elegibilidad que establece la LCF para poder utilizar los recursos del FAFEF, resaltando que para el caso de los que cuentan con Reglas o Lineamientos de Operación, está normado que deben recolectar información socioeconómica de sus beneficiarios</w:t>
      </w:r>
      <w:r w:rsidR="000E0AD9">
        <w:t>.</w:t>
      </w:r>
      <w:r w:rsidR="00F92E03">
        <w:t xml:space="preserve"> </w:t>
      </w:r>
      <w:r w:rsidR="004323D6">
        <w:t>Concretamente en la entidad</w:t>
      </w:r>
      <w:r w:rsidR="001A101F">
        <w:t xml:space="preserve"> federativa</w:t>
      </w:r>
      <w:r w:rsidR="004323D6">
        <w:t xml:space="preserve">, los Pp que han recibido recursos del FAFEF son </w:t>
      </w:r>
      <w:r w:rsidR="005C7D44">
        <w:t>los siguientes</w:t>
      </w:r>
      <w:r w:rsidR="00F92E03">
        <w:t xml:space="preserve"> (Cuadro </w:t>
      </w:r>
      <w:r w:rsidR="00481651">
        <w:t>8</w:t>
      </w:r>
      <w:r w:rsidR="00F92E03">
        <w:t>).</w:t>
      </w:r>
    </w:p>
    <w:p w14:paraId="3207C0E4" w14:textId="60963BA0" w:rsidR="00F92E03" w:rsidRDefault="00F92E03" w:rsidP="00D2428D">
      <w:pPr>
        <w:pStyle w:val="Cuadro"/>
      </w:pPr>
      <w:bookmarkStart w:id="56" w:name="_Toc55502392"/>
      <w:bookmarkStart w:id="57" w:name="_Toc55502509"/>
      <w:bookmarkStart w:id="58" w:name="_Toc56069935"/>
      <w:r>
        <w:t xml:space="preserve">Cuadro </w:t>
      </w:r>
      <w:r w:rsidR="00481651">
        <w:t>8</w:t>
      </w:r>
      <w:r>
        <w:t>. Programas presupuestarios financiados con recursos del FAFEF en 2018.</w:t>
      </w:r>
      <w:bookmarkEnd w:id="56"/>
      <w:bookmarkEnd w:id="57"/>
      <w:bookmarkEnd w:id="58"/>
    </w:p>
    <w:tbl>
      <w:tblPr>
        <w:tblW w:w="984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2104"/>
        <w:gridCol w:w="7738"/>
      </w:tblGrid>
      <w:tr w:rsidR="00802DA1" w:rsidRPr="00D2428D" w14:paraId="6B293D3A" w14:textId="77777777" w:rsidTr="00D2428D">
        <w:trPr>
          <w:trHeight w:val="50"/>
        </w:trPr>
        <w:tc>
          <w:tcPr>
            <w:tcW w:w="2104" w:type="dxa"/>
            <w:shd w:val="clear" w:color="auto" w:fill="9CC2E5"/>
            <w:noWrap/>
            <w:vAlign w:val="center"/>
            <w:hideMark/>
          </w:tcPr>
          <w:p w14:paraId="6667672B" w14:textId="77777777" w:rsidR="00802DA1" w:rsidRPr="00D2428D" w:rsidRDefault="00802DA1" w:rsidP="00D2428D">
            <w:pPr>
              <w:spacing w:before="0" w:after="0"/>
              <w:jc w:val="center"/>
              <w:rPr>
                <w:rFonts w:eastAsia="Times New Roman" w:cstheme="minorHAnsi"/>
                <w:b/>
                <w:color w:val="000000"/>
                <w:sz w:val="20"/>
                <w:szCs w:val="20"/>
                <w:lang w:eastAsia="es-MX"/>
              </w:rPr>
            </w:pPr>
            <w:r w:rsidRPr="00D2428D">
              <w:rPr>
                <w:rFonts w:eastAsia="Times New Roman" w:cstheme="minorHAnsi"/>
                <w:b/>
                <w:color w:val="000000"/>
                <w:sz w:val="20"/>
                <w:szCs w:val="20"/>
                <w:lang w:eastAsia="es-MX"/>
              </w:rPr>
              <w:t>No. de programa presupuestario</w:t>
            </w:r>
          </w:p>
        </w:tc>
        <w:tc>
          <w:tcPr>
            <w:tcW w:w="7738" w:type="dxa"/>
            <w:shd w:val="clear" w:color="auto" w:fill="9CC2E5"/>
            <w:noWrap/>
            <w:vAlign w:val="center"/>
            <w:hideMark/>
          </w:tcPr>
          <w:p w14:paraId="27EDDC4D" w14:textId="77777777" w:rsidR="00802DA1" w:rsidRPr="00D2428D" w:rsidRDefault="00802DA1" w:rsidP="00D2428D">
            <w:pPr>
              <w:spacing w:before="0" w:after="0"/>
              <w:jc w:val="center"/>
              <w:rPr>
                <w:rFonts w:eastAsia="Times New Roman" w:cstheme="minorHAnsi"/>
                <w:b/>
                <w:color w:val="000000"/>
                <w:sz w:val="20"/>
                <w:szCs w:val="20"/>
                <w:lang w:eastAsia="es-MX"/>
              </w:rPr>
            </w:pPr>
            <w:r w:rsidRPr="00D2428D">
              <w:rPr>
                <w:rFonts w:eastAsia="Times New Roman" w:cstheme="minorHAnsi"/>
                <w:b/>
                <w:color w:val="000000"/>
                <w:sz w:val="20"/>
                <w:szCs w:val="20"/>
                <w:lang w:eastAsia="es-MX"/>
              </w:rPr>
              <w:t>Programa Presupuestario</w:t>
            </w:r>
          </w:p>
        </w:tc>
      </w:tr>
      <w:tr w:rsidR="00802DA1" w:rsidRPr="00D2428D" w14:paraId="0ADE581F" w14:textId="77777777" w:rsidTr="00D2428D">
        <w:trPr>
          <w:trHeight w:val="236"/>
        </w:trPr>
        <w:tc>
          <w:tcPr>
            <w:tcW w:w="2104" w:type="dxa"/>
            <w:shd w:val="clear" w:color="auto" w:fill="auto"/>
            <w:noWrap/>
            <w:vAlign w:val="bottom"/>
          </w:tcPr>
          <w:p w14:paraId="281ED04F"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D191</w:t>
            </w:r>
          </w:p>
        </w:tc>
        <w:tc>
          <w:tcPr>
            <w:tcW w:w="7738" w:type="dxa"/>
            <w:shd w:val="clear" w:color="auto" w:fill="auto"/>
            <w:noWrap/>
            <w:vAlign w:val="bottom"/>
          </w:tcPr>
          <w:p w14:paraId="412A3274"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Costo financiero y deuda</w:t>
            </w:r>
          </w:p>
        </w:tc>
      </w:tr>
      <w:tr w:rsidR="00802DA1" w:rsidRPr="00D2428D" w14:paraId="3BEC5BFE" w14:textId="77777777" w:rsidTr="00D2428D">
        <w:trPr>
          <w:trHeight w:val="236"/>
        </w:trPr>
        <w:tc>
          <w:tcPr>
            <w:tcW w:w="2104" w:type="dxa"/>
            <w:shd w:val="clear" w:color="auto" w:fill="auto"/>
            <w:noWrap/>
            <w:vAlign w:val="bottom"/>
            <w:hideMark/>
          </w:tcPr>
          <w:p w14:paraId="0EE757C9"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K170</w:t>
            </w:r>
          </w:p>
        </w:tc>
        <w:tc>
          <w:tcPr>
            <w:tcW w:w="7738" w:type="dxa"/>
            <w:shd w:val="clear" w:color="auto" w:fill="auto"/>
            <w:noWrap/>
            <w:vAlign w:val="bottom"/>
            <w:hideMark/>
          </w:tcPr>
          <w:p w14:paraId="5C1F682D"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Infraestructura de agua potable, alcantarillado y saneamiento</w:t>
            </w:r>
          </w:p>
        </w:tc>
      </w:tr>
      <w:tr w:rsidR="00802DA1" w:rsidRPr="00D2428D" w14:paraId="7BCF1141" w14:textId="77777777" w:rsidTr="00D2428D">
        <w:trPr>
          <w:trHeight w:val="236"/>
        </w:trPr>
        <w:tc>
          <w:tcPr>
            <w:tcW w:w="2104" w:type="dxa"/>
            <w:shd w:val="clear" w:color="auto" w:fill="auto"/>
            <w:noWrap/>
            <w:vAlign w:val="bottom"/>
            <w:hideMark/>
          </w:tcPr>
          <w:p w14:paraId="7591EA59"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K172</w:t>
            </w:r>
          </w:p>
        </w:tc>
        <w:tc>
          <w:tcPr>
            <w:tcW w:w="7738" w:type="dxa"/>
            <w:shd w:val="clear" w:color="auto" w:fill="auto"/>
            <w:noWrap/>
            <w:vAlign w:val="bottom"/>
            <w:hideMark/>
          </w:tcPr>
          <w:p w14:paraId="79D858AE"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Mantenimiento de infraestructura</w:t>
            </w:r>
          </w:p>
        </w:tc>
      </w:tr>
      <w:tr w:rsidR="00802DA1" w:rsidRPr="00D2428D" w14:paraId="520AFE3F" w14:textId="77777777" w:rsidTr="00D2428D">
        <w:trPr>
          <w:trHeight w:val="236"/>
        </w:trPr>
        <w:tc>
          <w:tcPr>
            <w:tcW w:w="2104" w:type="dxa"/>
            <w:shd w:val="clear" w:color="auto" w:fill="auto"/>
            <w:noWrap/>
            <w:vAlign w:val="bottom"/>
            <w:hideMark/>
          </w:tcPr>
          <w:p w14:paraId="51D5E92B"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k173</w:t>
            </w:r>
          </w:p>
        </w:tc>
        <w:tc>
          <w:tcPr>
            <w:tcW w:w="7738" w:type="dxa"/>
            <w:shd w:val="clear" w:color="auto" w:fill="auto"/>
            <w:noWrap/>
            <w:vAlign w:val="bottom"/>
            <w:hideMark/>
          </w:tcPr>
          <w:p w14:paraId="165EE88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Otros proyectos de infraestructura gubernamental</w:t>
            </w:r>
          </w:p>
        </w:tc>
      </w:tr>
      <w:tr w:rsidR="00802DA1" w:rsidRPr="00D2428D" w14:paraId="31BCEBEC" w14:textId="77777777" w:rsidTr="00D2428D">
        <w:trPr>
          <w:trHeight w:val="236"/>
        </w:trPr>
        <w:tc>
          <w:tcPr>
            <w:tcW w:w="2104" w:type="dxa"/>
            <w:shd w:val="clear" w:color="auto" w:fill="auto"/>
            <w:noWrap/>
            <w:vAlign w:val="bottom"/>
            <w:hideMark/>
          </w:tcPr>
          <w:p w14:paraId="0AC89F1E"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K174</w:t>
            </w:r>
          </w:p>
        </w:tc>
        <w:tc>
          <w:tcPr>
            <w:tcW w:w="7738" w:type="dxa"/>
            <w:shd w:val="clear" w:color="auto" w:fill="auto"/>
            <w:noWrap/>
            <w:vAlign w:val="bottom"/>
            <w:hideMark/>
          </w:tcPr>
          <w:p w14:paraId="4D8CE869"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 xml:space="preserve">Otros proyectos de Infraestructura social </w:t>
            </w:r>
          </w:p>
        </w:tc>
      </w:tr>
      <w:tr w:rsidR="00802DA1" w:rsidRPr="00D2428D" w14:paraId="0870B73E" w14:textId="77777777" w:rsidTr="00D2428D">
        <w:trPr>
          <w:trHeight w:val="236"/>
        </w:trPr>
        <w:tc>
          <w:tcPr>
            <w:tcW w:w="2104" w:type="dxa"/>
            <w:shd w:val="clear" w:color="auto" w:fill="auto"/>
            <w:noWrap/>
            <w:vAlign w:val="bottom"/>
            <w:hideMark/>
          </w:tcPr>
          <w:p w14:paraId="37B3862A"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K177</w:t>
            </w:r>
          </w:p>
        </w:tc>
        <w:tc>
          <w:tcPr>
            <w:tcW w:w="7738" w:type="dxa"/>
            <w:shd w:val="clear" w:color="auto" w:fill="auto"/>
            <w:noWrap/>
            <w:vAlign w:val="bottom"/>
            <w:hideMark/>
          </w:tcPr>
          <w:p w14:paraId="7D2ED36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construcción de puertos</w:t>
            </w:r>
          </w:p>
        </w:tc>
      </w:tr>
      <w:tr w:rsidR="00802DA1" w:rsidRPr="00D2428D" w14:paraId="692DE65D" w14:textId="77777777" w:rsidTr="00D2428D">
        <w:trPr>
          <w:trHeight w:val="236"/>
        </w:trPr>
        <w:tc>
          <w:tcPr>
            <w:tcW w:w="2104" w:type="dxa"/>
            <w:shd w:val="clear" w:color="auto" w:fill="auto"/>
            <w:noWrap/>
            <w:vAlign w:val="bottom"/>
            <w:hideMark/>
          </w:tcPr>
          <w:p w14:paraId="67326837"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K178</w:t>
            </w:r>
          </w:p>
        </w:tc>
        <w:tc>
          <w:tcPr>
            <w:tcW w:w="7738" w:type="dxa"/>
            <w:shd w:val="clear" w:color="auto" w:fill="auto"/>
            <w:noWrap/>
            <w:vAlign w:val="bottom"/>
            <w:hideMark/>
          </w:tcPr>
          <w:p w14:paraId="13D4E3A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equipamiento urbano y construcción de vialidades</w:t>
            </w:r>
          </w:p>
        </w:tc>
      </w:tr>
      <w:tr w:rsidR="00802DA1" w:rsidRPr="00D2428D" w14:paraId="5C776EF6" w14:textId="77777777" w:rsidTr="00D2428D">
        <w:trPr>
          <w:trHeight w:val="236"/>
        </w:trPr>
        <w:tc>
          <w:tcPr>
            <w:tcW w:w="2104" w:type="dxa"/>
            <w:shd w:val="clear" w:color="auto" w:fill="auto"/>
            <w:noWrap/>
            <w:vAlign w:val="bottom"/>
            <w:hideMark/>
          </w:tcPr>
          <w:p w14:paraId="20EB6B2F"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K179</w:t>
            </w:r>
          </w:p>
        </w:tc>
        <w:tc>
          <w:tcPr>
            <w:tcW w:w="7738" w:type="dxa"/>
            <w:shd w:val="clear" w:color="auto" w:fill="auto"/>
            <w:noWrap/>
            <w:vAlign w:val="bottom"/>
            <w:hideMark/>
          </w:tcPr>
          <w:p w14:paraId="027BA50C"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de electricidad</w:t>
            </w:r>
          </w:p>
        </w:tc>
      </w:tr>
      <w:tr w:rsidR="00802DA1" w:rsidRPr="00D2428D" w14:paraId="2E0A4315" w14:textId="77777777" w:rsidTr="00D2428D">
        <w:trPr>
          <w:trHeight w:val="236"/>
        </w:trPr>
        <w:tc>
          <w:tcPr>
            <w:tcW w:w="2104" w:type="dxa"/>
            <w:shd w:val="clear" w:color="auto" w:fill="auto"/>
            <w:noWrap/>
            <w:vAlign w:val="bottom"/>
            <w:hideMark/>
          </w:tcPr>
          <w:p w14:paraId="6CE8B6A6"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K180</w:t>
            </w:r>
          </w:p>
        </w:tc>
        <w:tc>
          <w:tcPr>
            <w:tcW w:w="7738" w:type="dxa"/>
            <w:shd w:val="clear" w:color="auto" w:fill="auto"/>
            <w:noWrap/>
            <w:vAlign w:val="bottom"/>
            <w:hideMark/>
          </w:tcPr>
          <w:p w14:paraId="36B3E2A2"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de turismo</w:t>
            </w:r>
          </w:p>
        </w:tc>
      </w:tr>
      <w:tr w:rsidR="00802DA1" w:rsidRPr="00D2428D" w14:paraId="5780BFC4" w14:textId="77777777" w:rsidTr="00D2428D">
        <w:trPr>
          <w:trHeight w:val="236"/>
        </w:trPr>
        <w:tc>
          <w:tcPr>
            <w:tcW w:w="2104" w:type="dxa"/>
            <w:shd w:val="clear" w:color="auto" w:fill="auto"/>
            <w:noWrap/>
            <w:vAlign w:val="bottom"/>
            <w:hideMark/>
          </w:tcPr>
          <w:p w14:paraId="5ABC5B7D"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K182</w:t>
            </w:r>
          </w:p>
        </w:tc>
        <w:tc>
          <w:tcPr>
            <w:tcW w:w="7738" w:type="dxa"/>
            <w:shd w:val="clear" w:color="auto" w:fill="auto"/>
            <w:noWrap/>
            <w:vAlign w:val="bottom"/>
            <w:hideMark/>
          </w:tcPr>
          <w:p w14:paraId="070EA29B"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gubernamental de procuración de justicia</w:t>
            </w:r>
          </w:p>
        </w:tc>
      </w:tr>
      <w:tr w:rsidR="00802DA1" w:rsidRPr="00D2428D" w14:paraId="5D8BA4D4" w14:textId="77777777" w:rsidTr="00D2428D">
        <w:trPr>
          <w:trHeight w:val="236"/>
        </w:trPr>
        <w:tc>
          <w:tcPr>
            <w:tcW w:w="2104" w:type="dxa"/>
            <w:shd w:val="clear" w:color="auto" w:fill="auto"/>
            <w:noWrap/>
            <w:vAlign w:val="bottom"/>
            <w:hideMark/>
          </w:tcPr>
          <w:p w14:paraId="0149A989"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K183</w:t>
            </w:r>
          </w:p>
        </w:tc>
        <w:tc>
          <w:tcPr>
            <w:tcW w:w="7738" w:type="dxa"/>
            <w:shd w:val="clear" w:color="auto" w:fill="auto"/>
            <w:noWrap/>
            <w:vAlign w:val="bottom"/>
            <w:hideMark/>
          </w:tcPr>
          <w:p w14:paraId="01F98C6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gubernamental de seguridad pública</w:t>
            </w:r>
          </w:p>
        </w:tc>
      </w:tr>
      <w:tr w:rsidR="00802DA1" w:rsidRPr="00D2428D" w14:paraId="7B420033" w14:textId="77777777" w:rsidTr="00D2428D">
        <w:trPr>
          <w:trHeight w:val="236"/>
        </w:trPr>
        <w:tc>
          <w:tcPr>
            <w:tcW w:w="2104" w:type="dxa"/>
            <w:shd w:val="clear" w:color="auto" w:fill="auto"/>
            <w:noWrap/>
            <w:vAlign w:val="bottom"/>
            <w:hideMark/>
          </w:tcPr>
          <w:p w14:paraId="513F4FD0"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K185</w:t>
            </w:r>
          </w:p>
        </w:tc>
        <w:tc>
          <w:tcPr>
            <w:tcW w:w="7738" w:type="dxa"/>
            <w:shd w:val="clear" w:color="auto" w:fill="auto"/>
            <w:noWrap/>
            <w:vAlign w:val="bottom"/>
            <w:hideMark/>
          </w:tcPr>
          <w:p w14:paraId="04E5B449"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social de salud</w:t>
            </w:r>
          </w:p>
        </w:tc>
      </w:tr>
      <w:tr w:rsidR="00802DA1" w:rsidRPr="00D2428D" w14:paraId="08E8C63D" w14:textId="77777777" w:rsidTr="00D2428D">
        <w:trPr>
          <w:trHeight w:val="236"/>
        </w:trPr>
        <w:tc>
          <w:tcPr>
            <w:tcW w:w="2104" w:type="dxa"/>
            <w:shd w:val="clear" w:color="auto" w:fill="auto"/>
            <w:noWrap/>
            <w:vAlign w:val="bottom"/>
            <w:hideMark/>
          </w:tcPr>
          <w:p w14:paraId="2E0EA0C3"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K186</w:t>
            </w:r>
          </w:p>
        </w:tc>
        <w:tc>
          <w:tcPr>
            <w:tcW w:w="7738" w:type="dxa"/>
            <w:shd w:val="clear" w:color="auto" w:fill="auto"/>
            <w:noWrap/>
            <w:vAlign w:val="bottom"/>
            <w:hideMark/>
          </w:tcPr>
          <w:p w14:paraId="023A129D"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social del deporte</w:t>
            </w:r>
          </w:p>
        </w:tc>
      </w:tr>
      <w:tr w:rsidR="00802DA1" w:rsidRPr="00D2428D" w14:paraId="4785BB1B" w14:textId="77777777" w:rsidTr="00D2428D">
        <w:trPr>
          <w:trHeight w:val="236"/>
        </w:trPr>
        <w:tc>
          <w:tcPr>
            <w:tcW w:w="2104" w:type="dxa"/>
            <w:shd w:val="clear" w:color="auto" w:fill="auto"/>
            <w:noWrap/>
            <w:vAlign w:val="bottom"/>
            <w:hideMark/>
          </w:tcPr>
          <w:p w14:paraId="6509C44A"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K187</w:t>
            </w:r>
          </w:p>
        </w:tc>
        <w:tc>
          <w:tcPr>
            <w:tcW w:w="7738" w:type="dxa"/>
            <w:shd w:val="clear" w:color="auto" w:fill="auto"/>
            <w:noWrap/>
            <w:vAlign w:val="bottom"/>
            <w:hideMark/>
          </w:tcPr>
          <w:p w14:paraId="42BC293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Proyectos de infraestructura social del sector educativo/cultura</w:t>
            </w:r>
          </w:p>
        </w:tc>
      </w:tr>
      <w:tr w:rsidR="00802DA1" w:rsidRPr="00D2428D" w14:paraId="55F679E0" w14:textId="77777777" w:rsidTr="00D2428D">
        <w:trPr>
          <w:trHeight w:val="236"/>
        </w:trPr>
        <w:tc>
          <w:tcPr>
            <w:tcW w:w="2104" w:type="dxa"/>
            <w:shd w:val="clear" w:color="auto" w:fill="auto"/>
            <w:noWrap/>
            <w:vAlign w:val="bottom"/>
            <w:hideMark/>
          </w:tcPr>
          <w:p w14:paraId="7067E761"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K188</w:t>
            </w:r>
          </w:p>
        </w:tc>
        <w:tc>
          <w:tcPr>
            <w:tcW w:w="7738" w:type="dxa"/>
            <w:shd w:val="clear" w:color="auto" w:fill="auto"/>
            <w:noWrap/>
            <w:vAlign w:val="bottom"/>
            <w:hideMark/>
          </w:tcPr>
          <w:p w14:paraId="5D2455A5"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Reconstrucción y conservación de carreteras</w:t>
            </w:r>
          </w:p>
        </w:tc>
      </w:tr>
      <w:tr w:rsidR="00802DA1" w:rsidRPr="00D2428D" w14:paraId="1057115F" w14:textId="77777777" w:rsidTr="00D2428D">
        <w:trPr>
          <w:trHeight w:val="236"/>
        </w:trPr>
        <w:tc>
          <w:tcPr>
            <w:tcW w:w="2104" w:type="dxa"/>
            <w:shd w:val="clear" w:color="auto" w:fill="auto"/>
            <w:noWrap/>
            <w:vAlign w:val="bottom"/>
            <w:hideMark/>
          </w:tcPr>
          <w:p w14:paraId="6BAE6588"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M005</w:t>
            </w:r>
          </w:p>
        </w:tc>
        <w:tc>
          <w:tcPr>
            <w:tcW w:w="7738" w:type="dxa"/>
            <w:shd w:val="clear" w:color="auto" w:fill="auto"/>
            <w:noWrap/>
            <w:vAlign w:val="bottom"/>
            <w:hideMark/>
          </w:tcPr>
          <w:p w14:paraId="1C7A0679"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Actividades de apoyo administrativo</w:t>
            </w:r>
          </w:p>
        </w:tc>
      </w:tr>
      <w:tr w:rsidR="00802DA1" w:rsidRPr="00D2428D" w14:paraId="107E4A90" w14:textId="77777777" w:rsidTr="00D2428D">
        <w:trPr>
          <w:trHeight w:val="50"/>
        </w:trPr>
        <w:tc>
          <w:tcPr>
            <w:tcW w:w="2104" w:type="dxa"/>
            <w:shd w:val="clear" w:color="auto" w:fill="auto"/>
            <w:noWrap/>
            <w:vAlign w:val="bottom"/>
            <w:hideMark/>
          </w:tcPr>
          <w:p w14:paraId="774232F0" w14:textId="77777777" w:rsidR="00802DA1" w:rsidRPr="00D2428D" w:rsidRDefault="00802DA1" w:rsidP="00D2428D">
            <w:pPr>
              <w:spacing w:before="0" w:after="0"/>
              <w:jc w:val="center"/>
              <w:rPr>
                <w:rFonts w:eastAsia="Times New Roman" w:cstheme="minorHAnsi"/>
                <w:color w:val="000000"/>
                <w:sz w:val="20"/>
                <w:szCs w:val="20"/>
                <w:lang w:eastAsia="es-MX"/>
              </w:rPr>
            </w:pPr>
            <w:r w:rsidRPr="00D2428D">
              <w:rPr>
                <w:rFonts w:eastAsia="Times New Roman" w:cstheme="minorHAnsi"/>
                <w:color w:val="000000"/>
                <w:sz w:val="20"/>
                <w:szCs w:val="20"/>
                <w:lang w:eastAsia="es-MX"/>
              </w:rPr>
              <w:t>S131</w:t>
            </w:r>
          </w:p>
        </w:tc>
        <w:tc>
          <w:tcPr>
            <w:tcW w:w="7738" w:type="dxa"/>
            <w:shd w:val="clear" w:color="auto" w:fill="auto"/>
            <w:noWrap/>
            <w:vAlign w:val="bottom"/>
            <w:hideMark/>
          </w:tcPr>
          <w:p w14:paraId="41A921B1" w14:textId="77777777" w:rsidR="00802DA1" w:rsidRPr="00D2428D" w:rsidRDefault="00802DA1" w:rsidP="00D2428D">
            <w:pPr>
              <w:spacing w:before="0" w:after="0"/>
              <w:jc w:val="left"/>
              <w:rPr>
                <w:rFonts w:eastAsia="Times New Roman" w:cstheme="minorHAnsi"/>
                <w:color w:val="000000"/>
                <w:sz w:val="20"/>
                <w:szCs w:val="20"/>
                <w:lang w:eastAsia="es-MX"/>
              </w:rPr>
            </w:pPr>
            <w:r w:rsidRPr="00D2428D">
              <w:rPr>
                <w:rFonts w:eastAsia="Times New Roman" w:cstheme="minorHAnsi"/>
                <w:color w:val="000000"/>
                <w:sz w:val="20"/>
                <w:szCs w:val="20"/>
                <w:lang w:eastAsia="es-MX"/>
              </w:rPr>
              <w:t>Programa con mis útiles a la escuela</w:t>
            </w:r>
          </w:p>
        </w:tc>
      </w:tr>
    </w:tbl>
    <w:p w14:paraId="35C3758E" w14:textId="77777777" w:rsidR="00802DA1" w:rsidRPr="00451BBA" w:rsidRDefault="00802DA1" w:rsidP="00802DA1">
      <w:pPr>
        <w:spacing w:before="0"/>
        <w:rPr>
          <w:sz w:val="18"/>
          <w:szCs w:val="18"/>
        </w:rPr>
      </w:pPr>
      <w:r w:rsidRPr="00455C8A">
        <w:rPr>
          <w:rStyle w:val="FuenteCar"/>
        </w:rPr>
        <w:t>Fuente: Elaboración propia con base en información proporcionada por la Dirección de Planeación Estratégica de la Secretaría de Finanzas de Tamaulipas</w:t>
      </w:r>
      <w:r w:rsidRPr="00451BBA">
        <w:rPr>
          <w:sz w:val="18"/>
          <w:szCs w:val="18"/>
        </w:rPr>
        <w:t>.</w:t>
      </w:r>
    </w:p>
    <w:p w14:paraId="55304DE4" w14:textId="71653D97" w:rsidR="005C7D44" w:rsidRDefault="005C7D44" w:rsidP="00100BEA">
      <w:r>
        <w:t xml:space="preserve">Estos Pp deben observar </w:t>
      </w:r>
      <w:r w:rsidRPr="00753EAF">
        <w:t xml:space="preserve">la obligatoriedad de determinar </w:t>
      </w:r>
      <w:r>
        <w:t>su</w:t>
      </w:r>
      <w:r w:rsidRPr="00753EAF">
        <w:t xml:space="preserve"> población objetivo</w:t>
      </w:r>
      <w:r>
        <w:t>,</w:t>
      </w:r>
      <w:r w:rsidRPr="00753EAF">
        <w:t xml:space="preserve"> así como la definición de los Titulares de Derecho (beneficiarios) </w:t>
      </w:r>
      <w:r>
        <w:t>y,</w:t>
      </w:r>
      <w:r w:rsidRPr="00753EAF">
        <w:t xml:space="preserve"> como parte del proceso de selección, la instancia responsable de </w:t>
      </w:r>
      <w:r>
        <w:t>su</w:t>
      </w:r>
      <w:r w:rsidRPr="00753EAF">
        <w:t xml:space="preserve"> </w:t>
      </w:r>
      <w:r w:rsidRPr="00753EAF">
        <w:lastRenderedPageBreak/>
        <w:t>operación debe recabar información socioeconómica de los posibles beneficiarios</w:t>
      </w:r>
      <w:r>
        <w:t>. Al respeto, en la estructura</w:t>
      </w:r>
      <w:r w:rsidR="00100BEA">
        <w:t xml:space="preserve"> definida </w:t>
      </w:r>
      <w:r w:rsidR="00100BEA" w:rsidRPr="00100BEA">
        <w:t xml:space="preserve">para </w:t>
      </w:r>
      <w:r w:rsidR="00100BEA">
        <w:t xml:space="preserve">la </w:t>
      </w:r>
      <w:r w:rsidR="00100BEA" w:rsidRPr="00100BEA">
        <w:t xml:space="preserve">elaboración de las reglas de operación de nuevos programas y en las modificaciones a las reglas que se encuentren vigentes, </w:t>
      </w:r>
      <w:r>
        <w:t>a la que deber</w:t>
      </w:r>
      <w:r w:rsidR="00100BEA">
        <w:t>án apegarse las</w:t>
      </w:r>
      <w:r w:rsidR="00100BEA" w:rsidRPr="00100BEA">
        <w:t xml:space="preserve"> dependencias y entidades</w:t>
      </w:r>
      <w:r w:rsidRPr="00100BEA">
        <w:t xml:space="preserve">, </w:t>
      </w:r>
      <w:r w:rsidR="00100BEA" w:rsidRPr="00100BEA">
        <w:t>se aprecia que contempla los apartados</w:t>
      </w:r>
      <w:r w:rsidR="007E609A">
        <w:t xml:space="preserve"> de Cobertura,</w:t>
      </w:r>
      <w:r w:rsidR="00100BEA" w:rsidRPr="00100BEA">
        <w:t xml:space="preserve"> Población Objetivo, Titulares de Derecho, requisitos y procedimiento de selección</w:t>
      </w:r>
      <w:r w:rsidR="00100BEA">
        <w:t>.</w:t>
      </w:r>
    </w:p>
    <w:p w14:paraId="5A78DFF2" w14:textId="17FA4790" w:rsidR="00100BEA" w:rsidRDefault="00100BEA" w:rsidP="00100BEA">
      <w:r>
        <w:t xml:space="preserve">No </w:t>
      </w:r>
      <w:r w:rsidR="000620B1">
        <w:t>obstante,</w:t>
      </w:r>
      <w:r>
        <w:t xml:space="preserve"> lo anterior, no se contó con información en la que se pueda observar cómo se están desarrollando estos apartados, </w:t>
      </w:r>
      <w:r w:rsidR="007E609A">
        <w:t>para hacer una valoración del</w:t>
      </w:r>
      <w:r>
        <w:t xml:space="preserve"> </w:t>
      </w:r>
      <w:r w:rsidRPr="00100BEA">
        <w:t xml:space="preserve">procedimiento para la recolección de información de los beneficiarios o receptores de los bienes o servicios del Fondo, </w:t>
      </w:r>
      <w:r w:rsidR="007E609A">
        <w:t xml:space="preserve">de </w:t>
      </w:r>
      <w:r w:rsidRPr="00100BEA">
        <w:t xml:space="preserve">las variables que mide y la temporalidad de las mediciones, así como </w:t>
      </w:r>
      <w:r w:rsidR="007E609A">
        <w:t xml:space="preserve">de </w:t>
      </w:r>
      <w:r w:rsidRPr="00100BEA">
        <w:t>los criterios de selección</w:t>
      </w:r>
      <w:r>
        <w:t xml:space="preserve"> empleados</w:t>
      </w:r>
      <w:r w:rsidRPr="00100BEA">
        <w:t>.</w:t>
      </w:r>
      <w:r w:rsidR="008256D9">
        <w:t xml:space="preserve"> En este sentido se recomienda establecer mecanismos que permitan diferenciar, por cada Pp, la cantidad de personas que son atendidas mediante los recursos del Fondo.</w:t>
      </w:r>
    </w:p>
    <w:p w14:paraId="0A8EB739" w14:textId="11C889C4" w:rsidR="00762C65" w:rsidRDefault="00762C65" w:rsidP="00AE25DD">
      <w:r>
        <w:br w:type="page"/>
      </w:r>
    </w:p>
    <w:p w14:paraId="08752768" w14:textId="133F9CC1" w:rsidR="00212F23" w:rsidRPr="007A4923" w:rsidRDefault="00212F23" w:rsidP="00D26B7A">
      <w:pPr>
        <w:spacing w:before="0"/>
        <w:ind w:left="284" w:hanging="284"/>
        <w:rPr>
          <w:rFonts w:cstheme="minorHAnsi"/>
          <w:b/>
        </w:rPr>
      </w:pPr>
      <w:r w:rsidRPr="00E23500">
        <w:rPr>
          <w:rFonts w:cstheme="minorHAnsi"/>
          <w:b/>
        </w:rPr>
        <w:lastRenderedPageBreak/>
        <w:t>11. A partir de las definiciones de la población</w:t>
      </w:r>
      <w:r w:rsidR="00040B2C">
        <w:rPr>
          <w:rFonts w:cstheme="minorHAnsi"/>
          <w:b/>
        </w:rPr>
        <w:t xml:space="preserve"> </w:t>
      </w:r>
      <w:r w:rsidRPr="00E23500">
        <w:rPr>
          <w:rFonts w:cstheme="minorHAnsi"/>
          <w:b/>
        </w:rPr>
        <w:t>potencial, objetivo y atendida, ¿cuál ha sido la cobertura del FAFEF en la entidad federativa en los últimos cinco ejercicios fiscales?</w:t>
      </w:r>
    </w:p>
    <w:p w14:paraId="22771859" w14:textId="43E2E5C1" w:rsidR="00147A15" w:rsidRPr="00D26B7A" w:rsidRDefault="00147A15" w:rsidP="00D67EE2">
      <w:pPr>
        <w:spacing w:before="0" w:after="160" w:line="259" w:lineRule="auto"/>
        <w:rPr>
          <w:b/>
          <w:bCs/>
        </w:rPr>
      </w:pPr>
      <w:r w:rsidRPr="00D26B7A">
        <w:rPr>
          <w:b/>
          <w:bCs/>
        </w:rPr>
        <w:t>No procede valoración cuantitativa</w:t>
      </w:r>
      <w:r w:rsidR="00E56B66">
        <w:rPr>
          <w:b/>
          <w:bCs/>
        </w:rPr>
        <w:t>.</w:t>
      </w:r>
    </w:p>
    <w:p w14:paraId="7A6DD399" w14:textId="63D62468" w:rsidR="00AE25DD" w:rsidRDefault="00AE25DD" w:rsidP="00AE25DD">
      <w:r>
        <w:t xml:space="preserve">En el documento del Diagnóstico se expresa que “no </w:t>
      </w:r>
      <w:r w:rsidRPr="00611837">
        <w:t>aplica la identificación, caracterización, cuantificación y frecuencia de actualización de la población potencial u objetivo directamente</w:t>
      </w:r>
      <w:r w:rsidR="00826CDE">
        <w:t xml:space="preserve"> </w:t>
      </w:r>
      <w:r w:rsidRPr="00611837">
        <w:t xml:space="preserve">relacionada con el FAFEF, ya que al ser su objetivo fortalecer los presupuestos de las entidades federativas, a las regiones que las conforman, así como contribuir a su saneamiento financiero, la población potencial del Fondo en Tamaulipas, se determina en función de la que tengan definida, en su caso, los </w:t>
      </w:r>
      <w:r>
        <w:t>Pp</w:t>
      </w:r>
      <w:r w:rsidRPr="00611837">
        <w:t xml:space="preserve"> de la estructura programática estatal, a través de los cuales se priorice en cada ejercicio fiscal la utilización de dichos recursos”.</w:t>
      </w:r>
    </w:p>
    <w:p w14:paraId="625B9D79" w14:textId="5EA8083C" w:rsidR="00AE25DD" w:rsidRDefault="00AE25DD" w:rsidP="00AE25DD">
      <w:r w:rsidRPr="00B974A2">
        <w:t xml:space="preserve">De acuerdo con la orientación de los recursos hasta el ejercicio 2016 en donde el 100% se destinaba al saneamiento financiero, </w:t>
      </w:r>
      <w:r w:rsidR="006F2542" w:rsidRPr="00B974A2">
        <w:t xml:space="preserve">en este rubro </w:t>
      </w:r>
      <w:r w:rsidRPr="00B974A2">
        <w:t xml:space="preserve">se puede afirmar que la población potencial son todos los habitantes del Estado, ya que </w:t>
      </w:r>
      <w:r w:rsidR="006F2542" w:rsidRPr="00B974A2">
        <w:t>es posible</w:t>
      </w:r>
      <w:r w:rsidRPr="00B974A2">
        <w:t xml:space="preserve"> cuantificar de manera sistemática y generalizada a las poblaciones potencial y objetivo que atiende el programa. Mediante la gestión eficiente de la deuda pública, se aumenta la disponibilidad de los recursos necesarios para el financiamiento al desarrollo y su población.</w:t>
      </w:r>
    </w:p>
    <w:p w14:paraId="59F357A6" w14:textId="3F3C0951" w:rsidR="00676AEB" w:rsidRDefault="00AD0DC8" w:rsidP="00676AEB">
      <w:r>
        <w:t>Durante el ejercicio 2017 además de destinar</w:t>
      </w:r>
      <w:r w:rsidR="00676AEB">
        <w:t xml:space="preserve"> recursos al saneamiento financiero (53.35%), se destinó 46.65</w:t>
      </w:r>
      <w:r w:rsidR="00676AEB" w:rsidRPr="00C2624D">
        <w:t>% a proyectos de infraestructura física</w:t>
      </w:r>
      <w:r w:rsidR="00676AEB" w:rsidRPr="007C1D04">
        <w:t>. En este último rubro se financiaron proyectos de construcción de infraestructura para la asistencia social, infraestructura para el transporte y vialidad, construcción o rehabilitación de infraestructura para el deporte, construcción de instalaciones relacionadas con seguridad, y 3 proyectos relacionados con educación, cultura e instalaciones de tipo social</w:t>
      </w:r>
      <w:r w:rsidR="00676AEB">
        <w:rPr>
          <w:rStyle w:val="Refdenotaalpie"/>
        </w:rPr>
        <w:footnoteReference w:id="19"/>
      </w:r>
      <w:r w:rsidR="00676AEB" w:rsidRPr="007C1D04">
        <w:t>.</w:t>
      </w:r>
      <w:r w:rsidR="00676AEB">
        <w:t xml:space="preserve"> Sin embargo, en ninguno de los casos se cuantificó a la población atendida mediante los citados proyectos. </w:t>
      </w:r>
    </w:p>
    <w:p w14:paraId="6FB525C3" w14:textId="67E2831E" w:rsidR="00AE25DD" w:rsidRDefault="00AE25DD" w:rsidP="00AE25DD">
      <w:r>
        <w:t>Con la diversificación de los recursos del FAFEF a partir del ejercicio 201</w:t>
      </w:r>
      <w:r w:rsidR="00AD0DC8">
        <w:t>8</w:t>
      </w:r>
      <w:r>
        <w:t xml:space="preserve"> a </w:t>
      </w:r>
      <w:r w:rsidR="006F2542">
        <w:t>s</w:t>
      </w:r>
      <w:r w:rsidRPr="00B25C50">
        <w:t xml:space="preserve">aneamiento </w:t>
      </w:r>
      <w:r w:rsidR="000113D8">
        <w:t>f</w:t>
      </w:r>
      <w:r w:rsidRPr="00B25C50">
        <w:t xml:space="preserve">inanciero, </w:t>
      </w:r>
      <w:r w:rsidR="000113D8">
        <w:t>i</w:t>
      </w:r>
      <w:r w:rsidRPr="00B25C50">
        <w:t xml:space="preserve">nfraestructura </w:t>
      </w:r>
      <w:r w:rsidR="000113D8">
        <w:t>p</w:t>
      </w:r>
      <w:r w:rsidRPr="00B25C50">
        <w:t xml:space="preserve">ública, </w:t>
      </w:r>
      <w:r w:rsidR="000113D8">
        <w:t>e</w:t>
      </w:r>
      <w:r w:rsidRPr="00B25C50">
        <w:t xml:space="preserve">ducación </w:t>
      </w:r>
      <w:r w:rsidR="000113D8">
        <w:t>p</w:t>
      </w:r>
      <w:r w:rsidR="000113D8" w:rsidRPr="00B25C50">
        <w:t xml:space="preserve">ública </w:t>
      </w:r>
      <w:r w:rsidR="000113D8">
        <w:t>y</w:t>
      </w:r>
      <w:r w:rsidR="00AD0C95">
        <w:t xml:space="preserve"> a </w:t>
      </w:r>
      <w:r w:rsidR="000113D8">
        <w:t>la m</w:t>
      </w:r>
      <w:r w:rsidRPr="00B25C50">
        <w:t xml:space="preserve">odernización de sistemas de </w:t>
      </w:r>
      <w:r w:rsidR="00676AEB" w:rsidRPr="00B25C50">
        <w:t xml:space="preserve">recaudación, </w:t>
      </w:r>
      <w:r w:rsidR="00676AEB">
        <w:t>y con la implementación del SIMIR a partir de 2019, será</w:t>
      </w:r>
      <w:r w:rsidRPr="00B25C50">
        <w:t xml:space="preserve"> posible tener una mayor precisión de la cobertura del Fondo respecto de la población potencial, objetivo y atendida</w:t>
      </w:r>
      <w:r>
        <w:t>.</w:t>
      </w:r>
      <w:r w:rsidR="00676AEB">
        <w:t xml:space="preserve"> </w:t>
      </w:r>
    </w:p>
    <w:p w14:paraId="6ABA8677" w14:textId="7B0C99C7" w:rsidR="004B7DD3" w:rsidRPr="004B7DD3" w:rsidRDefault="004B7DD3" w:rsidP="00DD30D2">
      <w:pPr>
        <w:rPr>
          <w:rFonts w:ascii="Arial" w:eastAsia="Times New Roman" w:hAnsi="Arial" w:cs="Arial"/>
          <w:color w:val="000000"/>
          <w:sz w:val="16"/>
          <w:szCs w:val="16"/>
          <w:lang w:eastAsia="es-MX"/>
        </w:rPr>
      </w:pPr>
      <w:r>
        <w:t xml:space="preserve">Se revisaron los reportes trimestrales del SFU y el </w:t>
      </w:r>
      <w:r w:rsidRPr="00DD30D2">
        <w:t xml:space="preserve">SRFT, encontrándose que en el tercer y cuarto trimestre del ejercicio 2018, sólo </w:t>
      </w:r>
      <w:r w:rsidR="00DD30D2" w:rsidRPr="00DD30D2">
        <w:t xml:space="preserve">cinco </w:t>
      </w:r>
      <w:r w:rsidRPr="00DD30D2">
        <w:t>P</w:t>
      </w:r>
      <w:r w:rsidR="00DD30D2">
        <w:t>p de los 17 que recibieron recursos del FAFEF</w:t>
      </w:r>
      <w:r w:rsidRPr="00DD30D2">
        <w:t xml:space="preserve"> </w:t>
      </w:r>
      <w:r w:rsidR="00DD30D2" w:rsidRPr="00DD30D2">
        <w:t>(</w:t>
      </w:r>
      <w:r w:rsidRPr="00DD30D2">
        <w:t xml:space="preserve">Proyecto de </w:t>
      </w:r>
      <w:r w:rsidR="00E37EB7">
        <w:t>i</w:t>
      </w:r>
      <w:r w:rsidRPr="00DD30D2">
        <w:t xml:space="preserve">nversión de </w:t>
      </w:r>
      <w:r w:rsidR="00E37EB7">
        <w:t>i</w:t>
      </w:r>
      <w:r w:rsidRPr="00DD30D2">
        <w:t xml:space="preserve">nfraestructura </w:t>
      </w:r>
      <w:r w:rsidR="00E37EB7">
        <w:t>s</w:t>
      </w:r>
      <w:r w:rsidRPr="00DD30D2">
        <w:t xml:space="preserve">ocial, Programa de </w:t>
      </w:r>
      <w:r w:rsidR="00E37EB7">
        <w:t>i</w:t>
      </w:r>
      <w:r w:rsidRPr="00DD30D2">
        <w:t xml:space="preserve">nversión de </w:t>
      </w:r>
      <w:r w:rsidR="00E37EB7">
        <w:t>m</w:t>
      </w:r>
      <w:r w:rsidRPr="00DD30D2">
        <w:t xml:space="preserve">antenimiento, </w:t>
      </w:r>
      <w:r w:rsidR="00E37EB7">
        <w:t>p</w:t>
      </w:r>
      <w:r w:rsidRPr="00DD30D2">
        <w:t xml:space="preserve">royecto de </w:t>
      </w:r>
      <w:r w:rsidR="00E37EB7">
        <w:t>i</w:t>
      </w:r>
      <w:r w:rsidRPr="00DD30D2">
        <w:t xml:space="preserve">nversión de </w:t>
      </w:r>
      <w:r w:rsidR="00E37EB7">
        <w:t>i</w:t>
      </w:r>
      <w:r w:rsidRPr="00DD30D2">
        <w:t xml:space="preserve">nfraestructura </w:t>
      </w:r>
      <w:r w:rsidR="00E37EB7">
        <w:t>e</w:t>
      </w:r>
      <w:r w:rsidRPr="00DD30D2">
        <w:t>conómica</w:t>
      </w:r>
      <w:r w:rsidR="00DD30D2" w:rsidRPr="00DD30D2">
        <w:t xml:space="preserve">, </w:t>
      </w:r>
      <w:r w:rsidR="00E37EB7">
        <w:t>p</w:t>
      </w:r>
      <w:r w:rsidRPr="00DD30D2">
        <w:t xml:space="preserve">royecto de </w:t>
      </w:r>
      <w:r w:rsidR="00E37EB7">
        <w:t>i</w:t>
      </w:r>
      <w:r w:rsidRPr="00DD30D2">
        <w:t xml:space="preserve">nversión de </w:t>
      </w:r>
      <w:r w:rsidR="00E37EB7">
        <w:t>i</w:t>
      </w:r>
      <w:r w:rsidRPr="00DD30D2">
        <w:t xml:space="preserve">nfraestructura </w:t>
      </w:r>
      <w:r w:rsidR="00E37EB7">
        <w:t>g</w:t>
      </w:r>
      <w:r w:rsidRPr="00DD30D2">
        <w:t>ubernamental</w:t>
      </w:r>
      <w:r w:rsidR="00DD30D2">
        <w:t xml:space="preserve">, </w:t>
      </w:r>
      <w:r w:rsidR="00DD30D2" w:rsidRPr="00DD30D2">
        <w:t xml:space="preserve">y </w:t>
      </w:r>
      <w:r w:rsidR="00E37EB7">
        <w:t>o</w:t>
      </w:r>
      <w:r w:rsidR="00DD30D2" w:rsidRPr="00DD30D2">
        <w:t>tros proyectos de Inversión</w:t>
      </w:r>
      <w:r w:rsidR="00DD30D2">
        <w:t xml:space="preserve">) registraron una población beneficiaria. Tal información se puede constatar en el siguiente link: </w:t>
      </w:r>
      <w:hyperlink r:id="rId15" w:history="1">
        <w:r w:rsidR="00DD30D2">
          <w:rPr>
            <w:rStyle w:val="Hipervnculo"/>
          </w:rPr>
          <w:t>http://transparencia.tamaulipas.gob.mx/informacion-publica/tema/recursos-federales/ejercicio-y-destino-de-los-recursos-federales-sfu-historico/</w:t>
        </w:r>
      </w:hyperlink>
    </w:p>
    <w:p w14:paraId="48B9ED16" w14:textId="1B8A42DF" w:rsidR="00AE25DD" w:rsidRDefault="00DD30D2" w:rsidP="00AE25DD">
      <w:r w:rsidRPr="00951FA9">
        <w:t xml:space="preserve">Sin embargo, no se tiene certeza </w:t>
      </w:r>
      <w:r w:rsidR="00951FA9" w:rsidRPr="00951FA9">
        <w:t xml:space="preserve">de </w:t>
      </w:r>
      <w:r w:rsidRPr="00951FA9">
        <w:t>si esa población</w:t>
      </w:r>
      <w:r w:rsidR="00951FA9" w:rsidRPr="00951FA9">
        <w:t xml:space="preserve"> es beneficiaria directa de la aplicación de los recursos del FAFEF, dado que los Pp reciben recursos de otras fuentes, además del FAFEF.</w:t>
      </w:r>
      <w:r w:rsidRPr="00951FA9">
        <w:t xml:space="preserve"> </w:t>
      </w:r>
      <w:r w:rsidR="00AE25DD">
        <w:t xml:space="preserve">Por lo anterior, con la </w:t>
      </w:r>
      <w:r w:rsidR="00AE25DD" w:rsidRPr="00B25C50">
        <w:t xml:space="preserve">publicación en el Periódico Oficial </w:t>
      </w:r>
      <w:r w:rsidR="00AE25DD">
        <w:t xml:space="preserve">de </w:t>
      </w:r>
      <w:r w:rsidR="00AE25DD" w:rsidRPr="00B25C50">
        <w:t>los Lineamientos Generales para la elaboración de Reglas de Operación de los Programas Presupuestarios y Modificaciones a las ya existentes, se recomienda se atienda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r w:rsidR="00676AEB">
        <w:t xml:space="preserve"> Adicionalmente será necesario diferenciar el nivel de contribución del FAFEF en la atención de las poblaciones a la cual benefician las obras y acciones de los Pp, esto puede lograrse a través del porcentaje de recursos del FAFEF que opera cada Pp. </w:t>
      </w:r>
      <w:r w:rsidR="00AE25DD">
        <w:t>Con lo anterior, será posible determinar la cobertura del FAFEF en la entidad</w:t>
      </w:r>
      <w:r w:rsidR="001A101F">
        <w:t xml:space="preserve"> federativa</w:t>
      </w:r>
      <w:r w:rsidR="00AE25DD">
        <w:t>, a partir de la identificación de la población potencial, objetivo y atendida.</w:t>
      </w:r>
      <w:r w:rsidR="00AE25DD">
        <w:br w:type="page"/>
      </w:r>
    </w:p>
    <w:p w14:paraId="148D52CE" w14:textId="77777777" w:rsidR="00861E5E" w:rsidRPr="00861E5E" w:rsidRDefault="00861E5E" w:rsidP="00D26B7A">
      <w:pPr>
        <w:spacing w:before="0" w:after="0"/>
        <w:contextualSpacing/>
        <w:rPr>
          <w:rFonts w:cstheme="minorHAnsi"/>
          <w:b/>
        </w:rPr>
      </w:pPr>
      <w:r w:rsidRPr="00861E5E">
        <w:rPr>
          <w:rFonts w:cstheme="minorHAnsi"/>
          <w:b/>
        </w:rPr>
        <w:lastRenderedPageBreak/>
        <w:t>12. ¿Existen directrices del FAFEF a nivel federal que se contraponen con las necesidades de la entidad federativa sobre la temática o que obstaculizan la atención de las mismas?</w:t>
      </w:r>
    </w:p>
    <w:p w14:paraId="2199F73E" w14:textId="7A08EFC2" w:rsidR="00762C65" w:rsidRPr="00D26B7A" w:rsidRDefault="00147A15" w:rsidP="00C84ADB">
      <w:pPr>
        <w:rPr>
          <w:b/>
          <w:bCs/>
        </w:rPr>
      </w:pPr>
      <w:r w:rsidRPr="00D26B7A">
        <w:rPr>
          <w:b/>
          <w:bCs/>
        </w:rPr>
        <w:t>No procede valoración cuantitativa</w:t>
      </w:r>
      <w:r w:rsidR="00E56B66">
        <w:rPr>
          <w:b/>
          <w:bCs/>
        </w:rPr>
        <w:t>.</w:t>
      </w:r>
    </w:p>
    <w:p w14:paraId="30D49FF9" w14:textId="77777777" w:rsidR="00C84ADB" w:rsidRDefault="00C84ADB" w:rsidP="00F76ACD">
      <w:r w:rsidRPr="00CA6962">
        <w:t xml:space="preserve">No </w:t>
      </w:r>
      <w:r>
        <w:t>existen directrices del FAFEF a nivel federal que se contrapongan con las necesidades del Estado</w:t>
      </w:r>
      <w:r w:rsidRPr="00CA6962">
        <w:t>.</w:t>
      </w:r>
    </w:p>
    <w:p w14:paraId="574AB36B" w14:textId="63CD4C8C" w:rsidR="003131CE" w:rsidRDefault="00C84ADB" w:rsidP="00F76ACD">
      <w:r>
        <w:t>Sin embargo, en el Diagnóstico</w:t>
      </w:r>
      <w:r w:rsidRPr="00F00614">
        <w:t xml:space="preserve"> del FAFEF en la entidad</w:t>
      </w:r>
      <w:r w:rsidR="008415B5">
        <w:t xml:space="preserve"> federativa</w:t>
      </w:r>
      <w:r w:rsidRPr="00F00614">
        <w:t xml:space="preserve">, se menciona que </w:t>
      </w:r>
      <w:r w:rsidRPr="0009627A">
        <w:t>un ejercicio de planeación a partir de un Diagnóstico basado en la metodología del marco Lógico, no es factible realizarlo de manera directa para este Fondo, ya que tiene destinos de gasto múltiples; es decir</w:t>
      </w:r>
      <w:r>
        <w:t>,</w:t>
      </w:r>
      <w:r w:rsidRPr="0009627A">
        <w:t xml:space="preserve"> su diseño no contempla una focalización como la que atañe a un </w:t>
      </w:r>
      <w:r w:rsidR="0029045E">
        <w:t>Pp</w:t>
      </w:r>
      <w:r w:rsidRPr="0009627A">
        <w:t>. Por ello, la mecánica para analizar la forma en que prioriza y mide sus resultados, debe ser bajo otra óptica.</w:t>
      </w:r>
    </w:p>
    <w:p w14:paraId="73E6D03F" w14:textId="09F056A8" w:rsidR="006007DC" w:rsidRDefault="00C84ADB" w:rsidP="006007DC">
      <w:r w:rsidRPr="0009627A">
        <w:t>Por tal motivo, el Gobierno del Estado de Tamaulipas, a través de la Secretaría de Finanzas y de manera particular, con la intervención de la Subsecretaría de Egresos, a inicios del año 2018</w:t>
      </w:r>
      <w:r w:rsidR="00826CDE">
        <w:t xml:space="preserve"> </w:t>
      </w:r>
      <w:r w:rsidRPr="0009627A">
        <w:t>establec</w:t>
      </w:r>
      <w:r>
        <w:t>ió</w:t>
      </w:r>
      <w:r w:rsidRPr="0009627A">
        <w:t xml:space="preserve"> un Grupo de Trabajo cuya finalidad es determinar las prioridades</w:t>
      </w:r>
      <w:r>
        <w:t xml:space="preserve"> a atender por el</w:t>
      </w:r>
      <w:r w:rsidRPr="0009627A">
        <w:t xml:space="preserve"> FAFEF en cada ejercicio fiscal (siempre en apego a lo establecido en el </w:t>
      </w:r>
      <w:r w:rsidR="00FC3C7F">
        <w:t>A</w:t>
      </w:r>
      <w:r w:rsidRPr="0009627A">
        <w:t xml:space="preserve">rtículo 47 de la LCF), cuyos resultados se podrán monitorear gradualmente a través de las MIR o Fichas de Indicadores de Desempeño (FID) de los </w:t>
      </w:r>
      <w:r w:rsidR="00CF76F8">
        <w:t>Pp est</w:t>
      </w:r>
      <w:r w:rsidRPr="0009627A">
        <w:t xml:space="preserve">atales que sean receptores de los recursos del FAFEF. </w:t>
      </w:r>
    </w:p>
    <w:p w14:paraId="6AC6B548" w14:textId="30B03B7C" w:rsidR="006007DC" w:rsidRPr="000620B1" w:rsidRDefault="006007DC" w:rsidP="006007DC">
      <w:pPr>
        <w:rPr>
          <w:color w:val="000000" w:themeColor="text1"/>
        </w:rPr>
      </w:pPr>
      <w:r w:rsidRPr="00187BCC">
        <w:rPr>
          <w:color w:val="000000" w:themeColor="text1"/>
        </w:rPr>
        <w:t>No obstante, lo anterior, se recomienda evaluar la posibilidad de establecer una MIR estatal para el FAFEF, bajo la metodología de definición de una MIR en cascada, la cual son varias matrices que desagregan objetivos complejos en objetivos más simples y éstos en otros aún más simples; lo que permite crear un juego de matrices cada una con su objetivo, sin perder de vista el objetivo general</w:t>
      </w:r>
      <w:r w:rsidRPr="00187BCC">
        <w:rPr>
          <w:rStyle w:val="Refdenotaalpie"/>
          <w:color w:val="000000" w:themeColor="text1"/>
        </w:rPr>
        <w:footnoteReference w:id="20"/>
      </w:r>
      <w:r w:rsidRPr="00187BCC">
        <w:rPr>
          <w:color w:val="000000" w:themeColor="text1"/>
        </w:rPr>
        <w:t>. En este sentido es posible retomar las MIR de los Pp para definir objetivos para cada rubro de gasto establecido en la LCF a los cuales la entidad federativa destine recursos del Fondo.</w:t>
      </w:r>
    </w:p>
    <w:p w14:paraId="6076C78E" w14:textId="64256C43" w:rsidR="00C84ADB" w:rsidRDefault="00C84ADB" w:rsidP="00F76ACD"/>
    <w:p w14:paraId="7270A288" w14:textId="77777777" w:rsidR="00C84ADB" w:rsidRDefault="00C84ADB">
      <w:pPr>
        <w:spacing w:before="0" w:after="160" w:line="259" w:lineRule="auto"/>
        <w:jc w:val="left"/>
        <w:rPr>
          <w:rFonts w:ascii="Soberana Sans Light" w:hAnsi="Soberana Sans Light" w:cstheme="minorHAnsi"/>
          <w:sz w:val="24"/>
          <w:szCs w:val="24"/>
        </w:rPr>
      </w:pPr>
      <w:r>
        <w:rPr>
          <w:rFonts w:ascii="Soberana Sans Light" w:hAnsi="Soberana Sans Light" w:cstheme="minorHAnsi"/>
          <w:sz w:val="24"/>
          <w:szCs w:val="24"/>
        </w:rPr>
        <w:br w:type="page"/>
      </w:r>
    </w:p>
    <w:p w14:paraId="4F60A87F" w14:textId="32902A74" w:rsidR="00147A15" w:rsidRPr="00147A15" w:rsidRDefault="003B5E62" w:rsidP="003B5E62">
      <w:pPr>
        <w:pStyle w:val="Ttulo1"/>
      </w:pPr>
      <w:bookmarkStart w:id="59" w:name="_Toc61633644"/>
      <w:r>
        <w:lastRenderedPageBreak/>
        <w:t xml:space="preserve">VI. </w:t>
      </w:r>
      <w:r w:rsidR="00147A15" w:rsidRPr="00147A15">
        <w:t>Módulo 4. Alineación del Fondo a la Planeación Nacional y a los Objetivos de Desarrollo Sostenible</w:t>
      </w:r>
      <w:bookmarkEnd w:id="59"/>
    </w:p>
    <w:p w14:paraId="6408F573" w14:textId="2B5DBA24" w:rsidR="00567363" w:rsidRPr="00567363" w:rsidRDefault="00567363" w:rsidP="00D26B7A">
      <w:pPr>
        <w:spacing w:before="0"/>
        <w:rPr>
          <w:rFonts w:cstheme="minorHAnsi"/>
          <w:b/>
        </w:rPr>
      </w:pPr>
      <w:r w:rsidRPr="00E23500">
        <w:rPr>
          <w:rFonts w:cstheme="minorHAnsi"/>
          <w:b/>
        </w:rPr>
        <w:t xml:space="preserve">13. A partir de los objetivos del Fondo identificados, ¿éste </w:t>
      </w:r>
      <w:r w:rsidR="0017554E" w:rsidRPr="00E23500">
        <w:rPr>
          <w:rFonts w:cstheme="minorHAnsi"/>
          <w:b/>
        </w:rPr>
        <w:t>contribuye</w:t>
      </w:r>
      <w:r w:rsidRPr="00E23500">
        <w:rPr>
          <w:rFonts w:cstheme="minorHAnsi"/>
          <w:b/>
        </w:rPr>
        <w:t xml:space="preserve"> al logro de objetivos de programas derivados del PND o de los Planes Estatales de Desarrollo?</w:t>
      </w:r>
    </w:p>
    <w:p w14:paraId="26FBF638" w14:textId="201AD12A" w:rsidR="00973AC0" w:rsidRDefault="00973AC0" w:rsidP="00973AC0">
      <w:pPr>
        <w:spacing w:before="0" w:after="160" w:line="259" w:lineRule="auto"/>
        <w:rPr>
          <w:b/>
          <w:bCs/>
        </w:rPr>
      </w:pPr>
      <w:r w:rsidRPr="00D26B7A">
        <w:rPr>
          <w:b/>
          <w:bCs/>
        </w:rPr>
        <w:t>No procede valoración cuantitativa.</w:t>
      </w:r>
    </w:p>
    <w:p w14:paraId="2B218422" w14:textId="77777777" w:rsidR="00973AC0" w:rsidRDefault="00973AC0" w:rsidP="00973AC0">
      <w:pPr>
        <w:rPr>
          <w:lang w:val="es-ES"/>
        </w:rPr>
      </w:pPr>
      <w:r w:rsidRPr="007A1796">
        <w:rPr>
          <w:lang w:val="es-ES"/>
        </w:rPr>
        <w:t>El diagnóstico sectorial se realizó con base en la visión programática en congruencia con el Plan Nacional de Desarrollo, los</w:t>
      </w:r>
      <w:r>
        <w:rPr>
          <w:lang w:val="es-ES"/>
        </w:rPr>
        <w:t xml:space="preserve"> </w:t>
      </w:r>
      <w:r w:rsidRPr="007A1796">
        <w:rPr>
          <w:lang w:val="es-ES"/>
        </w:rPr>
        <w:t>Objetivos del Desarrollo Sostenible y la Agenda para el Desarrollo Estatal.</w:t>
      </w:r>
    </w:p>
    <w:p w14:paraId="52E2E492" w14:textId="77777777" w:rsidR="00FF00E8" w:rsidRDefault="00FF00E8" w:rsidP="00FF00E8">
      <w:pPr>
        <w:rPr>
          <w:rFonts w:ascii="LiberationSans" w:hAnsi="LiberationSans" w:cs="LiberationSans"/>
          <w:color w:val="333E48"/>
          <w:sz w:val="19"/>
          <w:szCs w:val="19"/>
        </w:rPr>
      </w:pPr>
      <w:r w:rsidRPr="00FF00E8">
        <w:rPr>
          <w:lang w:val="es-ES"/>
        </w:rPr>
        <w:t>En la estructura programática estatal, es posible identificar a través de reportes específicos del Sistema de Plataforma</w:t>
      </w:r>
      <w:r>
        <w:rPr>
          <w:lang w:val="es-ES"/>
        </w:rPr>
        <w:t xml:space="preserve"> </w:t>
      </w:r>
      <w:r w:rsidRPr="00FF00E8">
        <w:rPr>
          <w:lang w:val="es-ES"/>
        </w:rPr>
        <w:t xml:space="preserve">Única (el cual controla el presupuesto), los </w:t>
      </w:r>
      <w:proofErr w:type="spellStart"/>
      <w:r w:rsidRPr="00FF00E8">
        <w:rPr>
          <w:lang w:val="es-ES"/>
        </w:rPr>
        <w:t>Pp</w:t>
      </w:r>
      <w:proofErr w:type="spellEnd"/>
      <w:r w:rsidRPr="00FF00E8">
        <w:rPr>
          <w:lang w:val="es-ES"/>
        </w:rPr>
        <w:t xml:space="preserve"> que fueron seleccionados para recibir recursos del FAFEF durante el</w:t>
      </w:r>
      <w:r>
        <w:rPr>
          <w:lang w:val="es-ES"/>
        </w:rPr>
        <w:t xml:space="preserve"> </w:t>
      </w:r>
      <w:r w:rsidRPr="00FF00E8">
        <w:rPr>
          <w:lang w:val="es-ES"/>
        </w:rPr>
        <w:t>ejercicio fiscal que corresponda y su alineación al PED</w:t>
      </w:r>
      <w:r>
        <w:rPr>
          <w:lang w:val="es-ES"/>
        </w:rPr>
        <w:t xml:space="preserve"> </w:t>
      </w:r>
      <w:r w:rsidRPr="001361CF">
        <w:rPr>
          <w:lang w:val="es-ES"/>
        </w:rPr>
        <w:t>2016-2022.</w:t>
      </w:r>
    </w:p>
    <w:p w14:paraId="6DA01310" w14:textId="5AC7AD7D" w:rsidR="00F56587" w:rsidRDefault="00973AC0" w:rsidP="00FF00E8">
      <w:r>
        <w:t xml:space="preserve">Para el ejercicio 2018, el presupuesto del </w:t>
      </w:r>
      <w:r w:rsidR="00CD7C42">
        <w:t>Fondo</w:t>
      </w:r>
      <w:r>
        <w:t xml:space="preserve"> se destinó a Inversión en infraestructura física (78.</w:t>
      </w:r>
      <w:r w:rsidR="004F1943">
        <w:t>1</w:t>
      </w:r>
      <w:r>
        <w:t xml:space="preserve">%), </w:t>
      </w:r>
      <w:r w:rsidR="001D0969">
        <w:t>al saneamiento financiero 13.8%, m</w:t>
      </w:r>
      <w:r>
        <w:t>odernizar los sistemas de recaudación (</w:t>
      </w:r>
      <w:r w:rsidR="00301336">
        <w:t>4</w:t>
      </w:r>
      <w:r>
        <w:t>.3%), y a Educación pública (3.</w:t>
      </w:r>
      <w:r w:rsidR="00301336">
        <w:t>8</w:t>
      </w:r>
      <w:r>
        <w:t>%).</w:t>
      </w:r>
      <w:r w:rsidR="00F56587">
        <w:t xml:space="preserve"> </w:t>
      </w:r>
    </w:p>
    <w:p w14:paraId="33A402B5" w14:textId="21F67CCD" w:rsidR="004F1943" w:rsidRDefault="00973AC0" w:rsidP="00FF00E8">
      <w:r>
        <w:t xml:space="preserve">Dada esta diversidad de destinos de gasto a los cuales se destina el FAFEF en </w:t>
      </w:r>
      <w:r w:rsidR="00080FE4">
        <w:t>Tamaulipas</w:t>
      </w:r>
      <w:r>
        <w:t xml:space="preserve">, siempre en congruencia con lo determinado en el </w:t>
      </w:r>
      <w:r w:rsidR="00B66C18">
        <w:t>A</w:t>
      </w:r>
      <w:r>
        <w:t xml:space="preserve">rtículo 47 de la LCF, </w:t>
      </w:r>
      <w:bookmarkStart w:id="60" w:name="_Hlk44248471"/>
      <w:r w:rsidR="004F1943">
        <w:t>la contribución del Fondo a los objetivos establecidos en el PED 2016-2022, se determinan en función de la alineación y focalización de prioridades que tengan los programas presupuestarios de la estructura programática estatal, a través de los cuales se priorice en cada ejercicio fiscal la utilización de dichos recursos</w:t>
      </w:r>
      <w:r w:rsidR="00564ABD">
        <w:t xml:space="preserve">. </w:t>
      </w:r>
      <w:r w:rsidR="00CB231E">
        <w:t>De manera práctica y c</w:t>
      </w:r>
      <w:r w:rsidR="00564ABD">
        <w:t>onsiderando los principales rubros de gasto ejercidos en 2018, la alineación del PED 2016-2022 con el PND 2013-2018, se presenta a continuación</w:t>
      </w:r>
      <w:r w:rsidR="004F1943">
        <w:t xml:space="preserve">. </w:t>
      </w:r>
    </w:p>
    <w:p w14:paraId="4C7138D9" w14:textId="4162A4D4" w:rsidR="00797697" w:rsidRDefault="00797697" w:rsidP="00A324A5">
      <w:pPr>
        <w:pStyle w:val="Cuadro"/>
      </w:pPr>
      <w:bookmarkStart w:id="61" w:name="_Toc55502393"/>
      <w:bookmarkStart w:id="62" w:name="_Toc55502510"/>
      <w:bookmarkStart w:id="63" w:name="_Toc56069936"/>
      <w:r>
        <w:t xml:space="preserve">Cuadro </w:t>
      </w:r>
      <w:r w:rsidR="006E25B0">
        <w:t>9</w:t>
      </w:r>
      <w:r>
        <w:t xml:space="preserve">. Alineación de los </w:t>
      </w:r>
      <w:r w:rsidR="00A324A5">
        <w:t>objetivos del PED 2016-2022 inherentes a los Pp que recibieron recursos del FAFEF en 2018 con el PND 2013-2018</w:t>
      </w:r>
      <w:bookmarkEnd w:id="61"/>
      <w:bookmarkEnd w:id="62"/>
      <w:bookmarkEnd w:id="63"/>
    </w:p>
    <w:tbl>
      <w:tblPr>
        <w:tblStyle w:val="Tablaconcuadrcula"/>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403"/>
        <w:gridCol w:w="7549"/>
      </w:tblGrid>
      <w:tr w:rsidR="002072AA" w:rsidRPr="00F92E03" w14:paraId="05D0B5A1" w14:textId="77777777" w:rsidTr="0046655F">
        <w:tc>
          <w:tcPr>
            <w:tcW w:w="9962" w:type="dxa"/>
            <w:gridSpan w:val="2"/>
            <w:shd w:val="clear" w:color="auto" w:fill="9CC2E5"/>
          </w:tcPr>
          <w:p w14:paraId="06ABBF25" w14:textId="77777777" w:rsidR="002072AA" w:rsidRPr="00F92E03" w:rsidRDefault="002072AA" w:rsidP="00751B3F">
            <w:pPr>
              <w:spacing w:before="0" w:after="0"/>
              <w:jc w:val="center"/>
              <w:rPr>
                <w:rFonts w:cstheme="minorHAnsi"/>
                <w:b/>
                <w:bCs/>
                <w:sz w:val="20"/>
                <w:szCs w:val="20"/>
              </w:rPr>
            </w:pPr>
            <w:r w:rsidRPr="00F92E03">
              <w:rPr>
                <w:rFonts w:cstheme="minorHAnsi"/>
                <w:b/>
                <w:bCs/>
                <w:sz w:val="20"/>
                <w:szCs w:val="20"/>
              </w:rPr>
              <w:t>Plan Nacional de Desarrollo 2013-2018</w:t>
            </w:r>
          </w:p>
        </w:tc>
      </w:tr>
      <w:tr w:rsidR="003A02DE" w:rsidRPr="00F92E03" w14:paraId="4F690646" w14:textId="77777777" w:rsidTr="0046655F">
        <w:tc>
          <w:tcPr>
            <w:tcW w:w="9962" w:type="dxa"/>
            <w:gridSpan w:val="2"/>
          </w:tcPr>
          <w:p w14:paraId="19D9B107" w14:textId="4D4D8C9A" w:rsidR="003A02DE" w:rsidRPr="00F92E03" w:rsidRDefault="003A02DE" w:rsidP="003A02DE">
            <w:pPr>
              <w:spacing w:before="0" w:after="0"/>
              <w:rPr>
                <w:rFonts w:cstheme="minorHAnsi"/>
                <w:sz w:val="20"/>
                <w:szCs w:val="20"/>
              </w:rPr>
            </w:pPr>
            <w:r w:rsidRPr="00F92E03">
              <w:rPr>
                <w:rFonts w:cstheme="minorHAnsi"/>
                <w:sz w:val="20"/>
                <w:szCs w:val="20"/>
              </w:rPr>
              <w:t>Meta Nacional 4. México Próspero</w:t>
            </w:r>
          </w:p>
        </w:tc>
      </w:tr>
      <w:tr w:rsidR="002072AA" w:rsidRPr="00F92E03" w14:paraId="162A30D2" w14:textId="77777777" w:rsidTr="0046655F">
        <w:tc>
          <w:tcPr>
            <w:tcW w:w="2405" w:type="dxa"/>
          </w:tcPr>
          <w:p w14:paraId="5AEB4E99" w14:textId="39413C54" w:rsidR="002072AA" w:rsidRPr="00F92E03" w:rsidRDefault="002072AA" w:rsidP="00751B3F">
            <w:pPr>
              <w:spacing w:before="0" w:after="0"/>
              <w:rPr>
                <w:rFonts w:cstheme="minorHAnsi"/>
                <w:sz w:val="20"/>
                <w:szCs w:val="20"/>
              </w:rPr>
            </w:pPr>
            <w:bookmarkStart w:id="64" w:name="_Hlk45502937"/>
            <w:r w:rsidRPr="00F92E03">
              <w:rPr>
                <w:rFonts w:cstheme="minorHAnsi"/>
                <w:sz w:val="20"/>
                <w:szCs w:val="20"/>
              </w:rPr>
              <w:t>Objetivo 4.</w:t>
            </w:r>
            <w:r w:rsidR="003A02DE" w:rsidRPr="00F92E03">
              <w:rPr>
                <w:rFonts w:cstheme="minorHAnsi"/>
                <w:sz w:val="20"/>
                <w:szCs w:val="20"/>
              </w:rPr>
              <w:t>2</w:t>
            </w:r>
          </w:p>
        </w:tc>
        <w:tc>
          <w:tcPr>
            <w:tcW w:w="7557" w:type="dxa"/>
          </w:tcPr>
          <w:p w14:paraId="10332BF6" w14:textId="66100B08" w:rsidR="002072AA" w:rsidRPr="00F92E03" w:rsidRDefault="003A02DE" w:rsidP="003A02DE">
            <w:pPr>
              <w:spacing w:before="0" w:after="0"/>
              <w:rPr>
                <w:rFonts w:cstheme="minorHAnsi"/>
                <w:sz w:val="20"/>
                <w:szCs w:val="20"/>
              </w:rPr>
            </w:pPr>
            <w:r w:rsidRPr="00F92E03">
              <w:rPr>
                <w:rFonts w:cstheme="minorHAnsi"/>
                <w:sz w:val="20"/>
                <w:szCs w:val="20"/>
              </w:rPr>
              <w:t>Democratizar el acceso al financiamiento de proyectos con potencial de crecimiento.</w:t>
            </w:r>
          </w:p>
        </w:tc>
      </w:tr>
      <w:tr w:rsidR="001D0969" w:rsidRPr="00F92E03" w14:paraId="60EC5866" w14:textId="77777777" w:rsidTr="0046655F">
        <w:tc>
          <w:tcPr>
            <w:tcW w:w="2405" w:type="dxa"/>
          </w:tcPr>
          <w:p w14:paraId="7B889CBF" w14:textId="382229B1" w:rsidR="001D0969" w:rsidRPr="00F92E03" w:rsidRDefault="001D0969" w:rsidP="00751B3F">
            <w:pPr>
              <w:spacing w:before="0" w:after="0"/>
              <w:rPr>
                <w:rFonts w:cstheme="minorHAnsi"/>
                <w:sz w:val="20"/>
                <w:szCs w:val="20"/>
              </w:rPr>
            </w:pPr>
            <w:r w:rsidRPr="00F92E03">
              <w:rPr>
                <w:rFonts w:cstheme="minorHAnsi"/>
                <w:sz w:val="20"/>
                <w:szCs w:val="20"/>
              </w:rPr>
              <w:t>Estrategia 4.2.5</w:t>
            </w:r>
          </w:p>
        </w:tc>
        <w:tc>
          <w:tcPr>
            <w:tcW w:w="7557" w:type="dxa"/>
          </w:tcPr>
          <w:p w14:paraId="42F2351C" w14:textId="3F76C852" w:rsidR="001D0969" w:rsidRPr="00F92E03" w:rsidRDefault="003A02DE" w:rsidP="003A02DE">
            <w:pPr>
              <w:spacing w:before="0" w:after="0"/>
              <w:rPr>
                <w:rFonts w:cstheme="minorHAnsi"/>
                <w:sz w:val="20"/>
                <w:szCs w:val="20"/>
              </w:rPr>
            </w:pPr>
            <w:r w:rsidRPr="00F92E03">
              <w:rPr>
                <w:rFonts w:cstheme="minorHAnsi"/>
                <w:sz w:val="20"/>
                <w:szCs w:val="20"/>
              </w:rPr>
              <w:t>Promover la participación del sector privado en el desarrollo de infraestructura, articulando la participación de los gobiernos estatales y municipales para impulsar proyectos de alto beneficio social, que contribuyan a incrementar la cobertura y calidad de la infraestructura necesaria para elevar la productividad de la economía.</w:t>
            </w:r>
          </w:p>
        </w:tc>
      </w:tr>
      <w:tr w:rsidR="003A02DE" w:rsidRPr="00F92E03" w14:paraId="3AE1FC32" w14:textId="77777777" w:rsidTr="0046655F">
        <w:tc>
          <w:tcPr>
            <w:tcW w:w="2405" w:type="dxa"/>
          </w:tcPr>
          <w:p w14:paraId="063F81EF" w14:textId="38E93ABF" w:rsidR="003A02DE" w:rsidRPr="00F92E03" w:rsidRDefault="003A02DE" w:rsidP="00751B3F">
            <w:pPr>
              <w:spacing w:before="0" w:after="0"/>
              <w:rPr>
                <w:rFonts w:cstheme="minorHAnsi"/>
                <w:sz w:val="20"/>
                <w:szCs w:val="20"/>
              </w:rPr>
            </w:pPr>
            <w:r w:rsidRPr="00F92E03">
              <w:rPr>
                <w:rFonts w:cstheme="minorHAnsi"/>
                <w:sz w:val="20"/>
                <w:szCs w:val="20"/>
              </w:rPr>
              <w:t>Líneas de acción</w:t>
            </w:r>
          </w:p>
        </w:tc>
        <w:tc>
          <w:tcPr>
            <w:tcW w:w="7557" w:type="dxa"/>
          </w:tcPr>
          <w:p w14:paraId="551B7338" w14:textId="323752FA" w:rsidR="003A02DE" w:rsidRPr="00F92E03" w:rsidRDefault="003A02DE" w:rsidP="003A02DE">
            <w:pPr>
              <w:pStyle w:val="Prrafodelista"/>
              <w:numPr>
                <w:ilvl w:val="0"/>
                <w:numId w:val="11"/>
              </w:numPr>
              <w:spacing w:before="0" w:after="0"/>
              <w:ind w:left="177" w:hanging="177"/>
              <w:rPr>
                <w:rFonts w:cstheme="minorHAnsi"/>
                <w:sz w:val="20"/>
                <w:szCs w:val="20"/>
              </w:rPr>
            </w:pPr>
            <w:r w:rsidRPr="00F92E03">
              <w:rPr>
                <w:rFonts w:cstheme="minorHAnsi"/>
                <w:sz w:val="20"/>
                <w:szCs w:val="20"/>
              </w:rPr>
              <w:t>Apoyar el desarrollo de infraestructura con una visión de largo plazo basada en tres ejes rectores: desarrollo regional equilibrado, ii) desarrollo urbano y iii) conectividad logística.</w:t>
            </w:r>
          </w:p>
          <w:p w14:paraId="6F289DD0" w14:textId="0983CF18" w:rsidR="003A02DE" w:rsidRPr="00F92E03" w:rsidRDefault="003A02DE" w:rsidP="003A02DE">
            <w:pPr>
              <w:pStyle w:val="Prrafodelista"/>
              <w:numPr>
                <w:ilvl w:val="0"/>
                <w:numId w:val="11"/>
              </w:numPr>
              <w:spacing w:before="0" w:after="0"/>
              <w:ind w:left="177" w:hanging="177"/>
              <w:rPr>
                <w:rFonts w:cstheme="minorHAnsi"/>
                <w:sz w:val="20"/>
                <w:szCs w:val="20"/>
              </w:rPr>
            </w:pPr>
            <w:r w:rsidRPr="00F92E03">
              <w:rPr>
                <w:rFonts w:cstheme="minorHAnsi"/>
                <w:sz w:val="20"/>
                <w:szCs w:val="20"/>
              </w:rPr>
              <w:t>Priorizar los proyectos con base en su rentabilidad social y alineación al Sistema Nacional de Planeación Democrática.</w:t>
            </w:r>
          </w:p>
          <w:p w14:paraId="4D6871C9" w14:textId="753484AC" w:rsidR="003A02DE" w:rsidRPr="00F92E03" w:rsidRDefault="003A02DE" w:rsidP="003A02DE">
            <w:pPr>
              <w:pStyle w:val="Prrafodelista"/>
              <w:numPr>
                <w:ilvl w:val="0"/>
                <w:numId w:val="11"/>
              </w:numPr>
              <w:spacing w:before="0" w:after="0"/>
              <w:ind w:left="177" w:hanging="177"/>
              <w:rPr>
                <w:rFonts w:cstheme="minorHAnsi"/>
                <w:sz w:val="20"/>
                <w:szCs w:val="20"/>
              </w:rPr>
            </w:pPr>
            <w:r w:rsidRPr="00F92E03">
              <w:rPr>
                <w:rFonts w:cstheme="minorHAnsi"/>
                <w:sz w:val="20"/>
                <w:szCs w:val="20"/>
              </w:rPr>
              <w:t>Complementar el financiamiento de proyectos con alta rentabilidad social en los que el mercado no participa en términos de riesgo y plazo.</w:t>
            </w:r>
          </w:p>
        </w:tc>
      </w:tr>
      <w:bookmarkEnd w:id="64"/>
      <w:tr w:rsidR="002072AA" w:rsidRPr="00F92E03" w14:paraId="6AFC825F" w14:textId="77777777" w:rsidTr="0046655F">
        <w:tc>
          <w:tcPr>
            <w:tcW w:w="9962" w:type="dxa"/>
            <w:gridSpan w:val="2"/>
            <w:shd w:val="clear" w:color="auto" w:fill="9CC2E5"/>
          </w:tcPr>
          <w:p w14:paraId="1525ECDC" w14:textId="4E6CFB42" w:rsidR="002072AA" w:rsidRPr="00F92E03" w:rsidRDefault="002072AA" w:rsidP="00751B3F">
            <w:pPr>
              <w:spacing w:before="0" w:after="0"/>
              <w:jc w:val="center"/>
              <w:rPr>
                <w:rFonts w:cstheme="minorHAnsi"/>
                <w:sz w:val="20"/>
                <w:szCs w:val="20"/>
              </w:rPr>
            </w:pPr>
            <w:r w:rsidRPr="00F92E03">
              <w:rPr>
                <w:rFonts w:cstheme="minorHAnsi"/>
                <w:b/>
                <w:bCs/>
                <w:sz w:val="20"/>
                <w:szCs w:val="20"/>
              </w:rPr>
              <w:t xml:space="preserve">Plan </w:t>
            </w:r>
            <w:r w:rsidR="003419C6" w:rsidRPr="00F92E03">
              <w:rPr>
                <w:rFonts w:cstheme="minorHAnsi"/>
                <w:b/>
                <w:bCs/>
                <w:sz w:val="20"/>
                <w:szCs w:val="20"/>
              </w:rPr>
              <w:t>Estatal de Desarrollo</w:t>
            </w:r>
          </w:p>
        </w:tc>
      </w:tr>
      <w:tr w:rsidR="005679D1" w:rsidRPr="00F92E03" w14:paraId="424B7968" w14:textId="77777777" w:rsidTr="0046655F">
        <w:tc>
          <w:tcPr>
            <w:tcW w:w="9962" w:type="dxa"/>
            <w:gridSpan w:val="2"/>
          </w:tcPr>
          <w:p w14:paraId="6476F2BF" w14:textId="47946963" w:rsidR="005679D1" w:rsidRPr="00F92E03" w:rsidRDefault="005679D1" w:rsidP="00751B3F">
            <w:pPr>
              <w:spacing w:before="0" w:after="0"/>
              <w:rPr>
                <w:rFonts w:cstheme="minorHAnsi"/>
                <w:sz w:val="20"/>
                <w:szCs w:val="20"/>
              </w:rPr>
            </w:pPr>
            <w:r w:rsidRPr="00F92E03">
              <w:rPr>
                <w:rFonts w:cstheme="minorHAnsi"/>
                <w:sz w:val="20"/>
                <w:szCs w:val="20"/>
              </w:rPr>
              <w:t>Eje Desarrollo Económico Sostenible</w:t>
            </w:r>
          </w:p>
        </w:tc>
      </w:tr>
      <w:tr w:rsidR="002072AA" w:rsidRPr="00F92E03" w14:paraId="583637C0" w14:textId="77777777" w:rsidTr="0046655F">
        <w:tc>
          <w:tcPr>
            <w:tcW w:w="2405" w:type="dxa"/>
          </w:tcPr>
          <w:p w14:paraId="647D5376" w14:textId="0C71EF74" w:rsidR="002072AA" w:rsidRPr="00F92E03" w:rsidRDefault="002072AA" w:rsidP="00751B3F">
            <w:pPr>
              <w:spacing w:before="0" w:after="0"/>
              <w:rPr>
                <w:rFonts w:cstheme="minorHAnsi"/>
                <w:sz w:val="20"/>
                <w:szCs w:val="20"/>
              </w:rPr>
            </w:pPr>
            <w:r w:rsidRPr="00F92E03">
              <w:rPr>
                <w:rFonts w:cstheme="minorHAnsi"/>
                <w:sz w:val="20"/>
                <w:szCs w:val="20"/>
              </w:rPr>
              <w:t>Objetivo</w:t>
            </w:r>
            <w:r w:rsidR="003A02DE" w:rsidRPr="00F92E03">
              <w:rPr>
                <w:rFonts w:cstheme="minorHAnsi"/>
                <w:sz w:val="20"/>
                <w:szCs w:val="20"/>
              </w:rPr>
              <w:t xml:space="preserve"> 3.2.4</w:t>
            </w:r>
          </w:p>
        </w:tc>
        <w:tc>
          <w:tcPr>
            <w:tcW w:w="7557" w:type="dxa"/>
          </w:tcPr>
          <w:p w14:paraId="36F7B70D" w14:textId="7FC445AE" w:rsidR="002072AA" w:rsidRPr="00F92E03" w:rsidRDefault="003A02DE" w:rsidP="005679D1">
            <w:pPr>
              <w:spacing w:before="0" w:after="0"/>
              <w:rPr>
                <w:rFonts w:cstheme="minorHAnsi"/>
                <w:sz w:val="20"/>
                <w:szCs w:val="20"/>
              </w:rPr>
            </w:pPr>
            <w:r w:rsidRPr="00F92E03">
              <w:rPr>
                <w:rFonts w:cstheme="minorHAnsi"/>
                <w:sz w:val="20"/>
                <w:szCs w:val="20"/>
              </w:rPr>
              <w:t>Desarrollar la infraestructura, el equipamiento y las condiciones que contribuyan</w:t>
            </w:r>
            <w:r w:rsidR="005679D1" w:rsidRPr="00F92E03">
              <w:rPr>
                <w:rFonts w:cstheme="minorHAnsi"/>
                <w:sz w:val="20"/>
                <w:szCs w:val="20"/>
              </w:rPr>
              <w:t xml:space="preserve"> </w:t>
            </w:r>
            <w:r w:rsidRPr="00F92E03">
              <w:rPr>
                <w:rFonts w:cstheme="minorHAnsi"/>
                <w:sz w:val="20"/>
                <w:szCs w:val="20"/>
              </w:rPr>
              <w:t xml:space="preserve">a la mejora de la competitividad del </w:t>
            </w:r>
            <w:r w:rsidR="00C00BEB">
              <w:rPr>
                <w:rFonts w:cstheme="minorHAnsi"/>
                <w:sz w:val="20"/>
                <w:szCs w:val="20"/>
              </w:rPr>
              <w:t>E</w:t>
            </w:r>
            <w:r w:rsidRPr="00F92E03">
              <w:rPr>
                <w:rFonts w:cstheme="minorHAnsi"/>
                <w:sz w:val="20"/>
                <w:szCs w:val="20"/>
              </w:rPr>
              <w:t>stado y la calidad de vida de sus habitantes.</w:t>
            </w:r>
          </w:p>
        </w:tc>
      </w:tr>
      <w:tr w:rsidR="002072AA" w:rsidRPr="00F92E03" w14:paraId="4D43EE7A" w14:textId="77777777" w:rsidTr="0046655F">
        <w:tc>
          <w:tcPr>
            <w:tcW w:w="2405" w:type="dxa"/>
          </w:tcPr>
          <w:p w14:paraId="3305AC46" w14:textId="5524F076" w:rsidR="002072AA" w:rsidRPr="00F92E03" w:rsidRDefault="002072AA" w:rsidP="00751B3F">
            <w:pPr>
              <w:spacing w:before="0" w:after="0"/>
              <w:rPr>
                <w:rFonts w:cstheme="minorHAnsi"/>
                <w:sz w:val="20"/>
                <w:szCs w:val="20"/>
              </w:rPr>
            </w:pPr>
            <w:r w:rsidRPr="00F92E03">
              <w:rPr>
                <w:rFonts w:cstheme="minorHAnsi"/>
                <w:sz w:val="20"/>
                <w:szCs w:val="20"/>
              </w:rPr>
              <w:t>Estrategia</w:t>
            </w:r>
          </w:p>
        </w:tc>
        <w:tc>
          <w:tcPr>
            <w:tcW w:w="7557" w:type="dxa"/>
          </w:tcPr>
          <w:p w14:paraId="6BC3B000" w14:textId="5384375C" w:rsidR="002072AA" w:rsidRPr="00F92E03" w:rsidRDefault="005679D1" w:rsidP="005679D1">
            <w:pPr>
              <w:spacing w:before="0" w:after="0"/>
              <w:rPr>
                <w:rFonts w:cstheme="minorHAnsi"/>
                <w:sz w:val="20"/>
                <w:szCs w:val="20"/>
              </w:rPr>
            </w:pPr>
            <w:r w:rsidRPr="00F92E03">
              <w:rPr>
                <w:rFonts w:cstheme="minorHAnsi"/>
                <w:sz w:val="20"/>
                <w:szCs w:val="20"/>
              </w:rPr>
              <w:t>Impulsar la mejora y mantenimiento de la infraestructura y equipamiento existentes, así como la creación de nuevas y modernas obras públicas, buscando un crecimiento urbano sostenible, equitativo y ordenado.</w:t>
            </w:r>
          </w:p>
        </w:tc>
      </w:tr>
      <w:tr w:rsidR="005679D1" w:rsidRPr="00F92E03" w14:paraId="43DA5D8F" w14:textId="77777777" w:rsidTr="0046655F">
        <w:tc>
          <w:tcPr>
            <w:tcW w:w="9962" w:type="dxa"/>
            <w:gridSpan w:val="2"/>
            <w:shd w:val="clear" w:color="auto" w:fill="9CC2E5"/>
          </w:tcPr>
          <w:p w14:paraId="613831C6" w14:textId="77777777" w:rsidR="005679D1" w:rsidRPr="00F92E03" w:rsidRDefault="005679D1" w:rsidP="00335F5A">
            <w:pPr>
              <w:spacing w:before="0" w:after="0"/>
              <w:jc w:val="center"/>
              <w:rPr>
                <w:rFonts w:cstheme="minorHAnsi"/>
                <w:b/>
                <w:bCs/>
                <w:sz w:val="20"/>
                <w:szCs w:val="20"/>
              </w:rPr>
            </w:pPr>
            <w:r w:rsidRPr="00F92E03">
              <w:rPr>
                <w:rFonts w:cstheme="minorHAnsi"/>
                <w:b/>
                <w:bCs/>
                <w:sz w:val="20"/>
                <w:szCs w:val="20"/>
              </w:rPr>
              <w:t>Plan Nacional de Desarrollo 2013-2018</w:t>
            </w:r>
          </w:p>
        </w:tc>
      </w:tr>
      <w:tr w:rsidR="005679D1" w:rsidRPr="00F92E03" w14:paraId="03AEE3EA" w14:textId="77777777" w:rsidTr="0046655F">
        <w:tc>
          <w:tcPr>
            <w:tcW w:w="2405" w:type="dxa"/>
          </w:tcPr>
          <w:p w14:paraId="0966DEA6" w14:textId="1D657678" w:rsidR="005679D1" w:rsidRPr="00F92E03" w:rsidRDefault="005679D1" w:rsidP="00335F5A">
            <w:pPr>
              <w:spacing w:before="0" w:after="0"/>
              <w:rPr>
                <w:rFonts w:cstheme="minorHAnsi"/>
                <w:sz w:val="20"/>
                <w:szCs w:val="20"/>
              </w:rPr>
            </w:pPr>
            <w:r w:rsidRPr="00F92E03">
              <w:rPr>
                <w:rFonts w:cstheme="minorHAnsi"/>
                <w:sz w:val="20"/>
                <w:szCs w:val="20"/>
              </w:rPr>
              <w:t xml:space="preserve">Objetivo </w:t>
            </w:r>
            <w:r w:rsidR="00564ABD" w:rsidRPr="00F92E03">
              <w:rPr>
                <w:rFonts w:cstheme="minorHAnsi"/>
                <w:sz w:val="20"/>
                <w:szCs w:val="20"/>
              </w:rPr>
              <w:t>4</w:t>
            </w:r>
            <w:r w:rsidR="00613E99" w:rsidRPr="00F92E03">
              <w:rPr>
                <w:rFonts w:cstheme="minorHAnsi"/>
                <w:sz w:val="20"/>
                <w:szCs w:val="20"/>
              </w:rPr>
              <w:t>.</w:t>
            </w:r>
            <w:r w:rsidR="00564ABD" w:rsidRPr="00F92E03">
              <w:rPr>
                <w:rFonts w:cstheme="minorHAnsi"/>
                <w:sz w:val="20"/>
                <w:szCs w:val="20"/>
              </w:rPr>
              <w:t>1</w:t>
            </w:r>
          </w:p>
        </w:tc>
        <w:tc>
          <w:tcPr>
            <w:tcW w:w="7557" w:type="dxa"/>
          </w:tcPr>
          <w:p w14:paraId="4A7849AA" w14:textId="4F121BFC" w:rsidR="005679D1" w:rsidRPr="00F92E03" w:rsidRDefault="00564ABD" w:rsidP="00613E99">
            <w:pPr>
              <w:spacing w:before="0" w:after="0"/>
              <w:rPr>
                <w:rFonts w:cstheme="minorHAnsi"/>
                <w:sz w:val="20"/>
                <w:szCs w:val="20"/>
              </w:rPr>
            </w:pPr>
            <w:r w:rsidRPr="00F92E03">
              <w:rPr>
                <w:rFonts w:cstheme="minorHAnsi"/>
                <w:sz w:val="20"/>
                <w:szCs w:val="20"/>
              </w:rPr>
              <w:t>Mantener la estabilidad macroeconómica del país.</w:t>
            </w:r>
          </w:p>
        </w:tc>
      </w:tr>
      <w:tr w:rsidR="005679D1" w:rsidRPr="00F92E03" w14:paraId="25ED4D35" w14:textId="77777777" w:rsidTr="0046655F">
        <w:tc>
          <w:tcPr>
            <w:tcW w:w="2405" w:type="dxa"/>
          </w:tcPr>
          <w:p w14:paraId="676A43B9" w14:textId="20755A43" w:rsidR="005679D1" w:rsidRPr="00F92E03" w:rsidRDefault="005679D1" w:rsidP="00335F5A">
            <w:pPr>
              <w:spacing w:before="0" w:after="0"/>
              <w:rPr>
                <w:rFonts w:cstheme="minorHAnsi"/>
                <w:sz w:val="20"/>
                <w:szCs w:val="20"/>
              </w:rPr>
            </w:pPr>
            <w:r w:rsidRPr="00F92E03">
              <w:rPr>
                <w:rFonts w:cstheme="minorHAnsi"/>
                <w:sz w:val="20"/>
                <w:szCs w:val="20"/>
              </w:rPr>
              <w:t xml:space="preserve">Estrategia </w:t>
            </w:r>
            <w:r w:rsidR="00613E99" w:rsidRPr="00F92E03">
              <w:rPr>
                <w:rFonts w:cstheme="minorHAnsi"/>
                <w:sz w:val="20"/>
                <w:szCs w:val="20"/>
              </w:rPr>
              <w:t>3.2.</w:t>
            </w:r>
            <w:r w:rsidR="00F91D18" w:rsidRPr="00F92E03">
              <w:rPr>
                <w:rFonts w:cstheme="minorHAnsi"/>
                <w:sz w:val="20"/>
                <w:szCs w:val="20"/>
              </w:rPr>
              <w:t>1</w:t>
            </w:r>
          </w:p>
        </w:tc>
        <w:tc>
          <w:tcPr>
            <w:tcW w:w="7557" w:type="dxa"/>
          </w:tcPr>
          <w:p w14:paraId="72B5077D" w14:textId="769E4EE0" w:rsidR="005679D1" w:rsidRPr="00F92E03" w:rsidRDefault="00564ABD" w:rsidP="00F91D18">
            <w:pPr>
              <w:spacing w:before="0" w:after="0"/>
              <w:rPr>
                <w:rFonts w:cstheme="minorHAnsi"/>
                <w:sz w:val="20"/>
                <w:szCs w:val="20"/>
              </w:rPr>
            </w:pPr>
            <w:r w:rsidRPr="00F92E03">
              <w:rPr>
                <w:rFonts w:cstheme="minorHAnsi"/>
                <w:sz w:val="20"/>
                <w:szCs w:val="20"/>
              </w:rPr>
              <w:t>Proteger las finanzas públicas ante riesgos del entorno macroeconómico.</w:t>
            </w:r>
          </w:p>
        </w:tc>
      </w:tr>
      <w:tr w:rsidR="005679D1" w:rsidRPr="00F92E03" w14:paraId="7F62575B" w14:textId="77777777" w:rsidTr="0046655F">
        <w:tc>
          <w:tcPr>
            <w:tcW w:w="2405" w:type="dxa"/>
          </w:tcPr>
          <w:p w14:paraId="1BB7BB67" w14:textId="77777777" w:rsidR="005679D1" w:rsidRPr="00F92E03" w:rsidRDefault="005679D1" w:rsidP="00335F5A">
            <w:pPr>
              <w:spacing w:before="0" w:after="0"/>
              <w:rPr>
                <w:rFonts w:cstheme="minorHAnsi"/>
                <w:sz w:val="20"/>
                <w:szCs w:val="20"/>
              </w:rPr>
            </w:pPr>
            <w:r w:rsidRPr="00F92E03">
              <w:rPr>
                <w:rFonts w:cstheme="minorHAnsi"/>
                <w:sz w:val="20"/>
                <w:szCs w:val="20"/>
              </w:rPr>
              <w:lastRenderedPageBreak/>
              <w:t>Líneas de acción</w:t>
            </w:r>
          </w:p>
        </w:tc>
        <w:tc>
          <w:tcPr>
            <w:tcW w:w="7557" w:type="dxa"/>
          </w:tcPr>
          <w:p w14:paraId="00181EDD" w14:textId="788750E2" w:rsidR="00D31DF7" w:rsidRPr="00F92E03" w:rsidRDefault="00D31DF7" w:rsidP="00D31DF7">
            <w:pPr>
              <w:pStyle w:val="Prrafodelista"/>
              <w:numPr>
                <w:ilvl w:val="0"/>
                <w:numId w:val="11"/>
              </w:numPr>
              <w:spacing w:before="0" w:after="0"/>
              <w:ind w:left="177" w:hanging="177"/>
              <w:rPr>
                <w:rFonts w:cstheme="minorHAnsi"/>
                <w:sz w:val="20"/>
                <w:szCs w:val="20"/>
              </w:rPr>
            </w:pPr>
            <w:r w:rsidRPr="00F92E03">
              <w:rPr>
                <w:rFonts w:cstheme="minorHAnsi"/>
                <w:sz w:val="20"/>
                <w:szCs w:val="20"/>
              </w:rPr>
              <w:t>Administrar la deuda pública para propiciar de forma permanente el acceso a diversas fuentes de financiamiento a largo plazo y bajo costo.</w:t>
            </w:r>
          </w:p>
          <w:p w14:paraId="351B3914" w14:textId="349FEA01" w:rsidR="00D31DF7" w:rsidRPr="00F92E03" w:rsidRDefault="00D31DF7" w:rsidP="00335F5A">
            <w:pPr>
              <w:pStyle w:val="Prrafodelista"/>
              <w:numPr>
                <w:ilvl w:val="0"/>
                <w:numId w:val="11"/>
              </w:numPr>
              <w:spacing w:before="0" w:after="0"/>
              <w:ind w:left="177" w:hanging="177"/>
              <w:rPr>
                <w:rFonts w:cstheme="minorHAnsi"/>
                <w:sz w:val="20"/>
                <w:szCs w:val="20"/>
              </w:rPr>
            </w:pPr>
            <w:r w:rsidRPr="00F92E03">
              <w:rPr>
                <w:rFonts w:cstheme="minorHAnsi"/>
                <w:sz w:val="20"/>
                <w:szCs w:val="20"/>
              </w:rPr>
              <w:t>Fomentar la adecuación del marco normativo en las materias de responsabilidad hacendaria y deuda pública de las entidades federativas y los municipios, para que fortalezcan sus haciendas públicas.</w:t>
            </w:r>
          </w:p>
          <w:p w14:paraId="332A78A0" w14:textId="538BBD28" w:rsidR="005679D1" w:rsidRPr="00F92E03" w:rsidRDefault="00D31DF7" w:rsidP="00D31DF7">
            <w:pPr>
              <w:pStyle w:val="Prrafodelista"/>
              <w:numPr>
                <w:ilvl w:val="0"/>
                <w:numId w:val="11"/>
              </w:numPr>
              <w:spacing w:before="0" w:after="0"/>
              <w:ind w:left="177" w:hanging="177"/>
              <w:rPr>
                <w:rFonts w:cstheme="minorHAnsi"/>
                <w:sz w:val="20"/>
                <w:szCs w:val="20"/>
              </w:rPr>
            </w:pPr>
            <w:r w:rsidRPr="00F92E03">
              <w:rPr>
                <w:rFonts w:cstheme="minorHAnsi"/>
                <w:sz w:val="20"/>
                <w:szCs w:val="20"/>
              </w:rPr>
              <w:t>Promover un saneamiento de las finanzas de las entidades paraestatales.</w:t>
            </w:r>
          </w:p>
        </w:tc>
      </w:tr>
      <w:tr w:rsidR="005679D1" w:rsidRPr="00F92E03" w14:paraId="6E75ECF3" w14:textId="77777777" w:rsidTr="0046655F">
        <w:tc>
          <w:tcPr>
            <w:tcW w:w="9962" w:type="dxa"/>
            <w:gridSpan w:val="2"/>
            <w:shd w:val="clear" w:color="auto" w:fill="9CC2E5"/>
          </w:tcPr>
          <w:p w14:paraId="7ABE37F7" w14:textId="77777777" w:rsidR="005679D1" w:rsidRPr="00F92E03" w:rsidRDefault="005679D1" w:rsidP="00335F5A">
            <w:pPr>
              <w:spacing w:before="0" w:after="0"/>
              <w:jc w:val="center"/>
              <w:rPr>
                <w:rFonts w:cstheme="minorHAnsi"/>
                <w:sz w:val="20"/>
                <w:szCs w:val="20"/>
              </w:rPr>
            </w:pPr>
            <w:r w:rsidRPr="00F92E03">
              <w:rPr>
                <w:rFonts w:cstheme="minorHAnsi"/>
                <w:b/>
                <w:bCs/>
                <w:sz w:val="20"/>
                <w:szCs w:val="20"/>
              </w:rPr>
              <w:t>Plan Estatal de Desarrollo</w:t>
            </w:r>
          </w:p>
        </w:tc>
      </w:tr>
      <w:tr w:rsidR="005679D1" w:rsidRPr="00F92E03" w14:paraId="2B00C3B7" w14:textId="77777777" w:rsidTr="0046655F">
        <w:tc>
          <w:tcPr>
            <w:tcW w:w="9962" w:type="dxa"/>
            <w:gridSpan w:val="2"/>
          </w:tcPr>
          <w:p w14:paraId="3D10079C" w14:textId="4D0D16CF" w:rsidR="005679D1" w:rsidRPr="00F92E03" w:rsidRDefault="005679D1" w:rsidP="00335F5A">
            <w:pPr>
              <w:spacing w:before="0" w:after="0"/>
              <w:rPr>
                <w:rFonts w:cstheme="minorHAnsi"/>
                <w:sz w:val="20"/>
                <w:szCs w:val="20"/>
              </w:rPr>
            </w:pPr>
            <w:r w:rsidRPr="00F92E03">
              <w:rPr>
                <w:rFonts w:cstheme="minorHAnsi"/>
                <w:sz w:val="20"/>
                <w:szCs w:val="20"/>
              </w:rPr>
              <w:t xml:space="preserve">Eje </w:t>
            </w:r>
            <w:r w:rsidR="00564ABD" w:rsidRPr="00F92E03">
              <w:rPr>
                <w:rFonts w:cstheme="minorHAnsi"/>
                <w:sz w:val="20"/>
                <w:szCs w:val="20"/>
              </w:rPr>
              <w:t>Seguridad Ciudadana</w:t>
            </w:r>
          </w:p>
        </w:tc>
      </w:tr>
      <w:tr w:rsidR="005679D1" w:rsidRPr="00F92E03" w14:paraId="6750EA4A" w14:textId="77777777" w:rsidTr="0046655F">
        <w:tc>
          <w:tcPr>
            <w:tcW w:w="2405" w:type="dxa"/>
          </w:tcPr>
          <w:p w14:paraId="5761075D" w14:textId="396E09A9" w:rsidR="005679D1" w:rsidRPr="00F92E03" w:rsidRDefault="005679D1" w:rsidP="00335F5A">
            <w:pPr>
              <w:spacing w:before="0" w:after="0"/>
              <w:rPr>
                <w:rFonts w:cstheme="minorHAnsi"/>
                <w:sz w:val="20"/>
                <w:szCs w:val="20"/>
              </w:rPr>
            </w:pPr>
            <w:r w:rsidRPr="00F92E03">
              <w:rPr>
                <w:rFonts w:cstheme="minorHAnsi"/>
                <w:sz w:val="20"/>
                <w:szCs w:val="20"/>
              </w:rPr>
              <w:t xml:space="preserve">Objetivo </w:t>
            </w:r>
            <w:r w:rsidR="00564ABD" w:rsidRPr="00F92E03">
              <w:rPr>
                <w:rFonts w:cstheme="minorHAnsi"/>
                <w:sz w:val="20"/>
                <w:szCs w:val="20"/>
              </w:rPr>
              <w:t>1.10.1</w:t>
            </w:r>
          </w:p>
        </w:tc>
        <w:tc>
          <w:tcPr>
            <w:tcW w:w="7557" w:type="dxa"/>
          </w:tcPr>
          <w:p w14:paraId="40646A5B" w14:textId="47A84B4D" w:rsidR="00CC75FE" w:rsidRPr="00F92E03" w:rsidRDefault="00564ABD" w:rsidP="00064736">
            <w:pPr>
              <w:spacing w:before="0" w:after="0"/>
              <w:rPr>
                <w:rFonts w:cstheme="minorHAnsi"/>
                <w:sz w:val="20"/>
                <w:szCs w:val="20"/>
              </w:rPr>
            </w:pPr>
            <w:r w:rsidRPr="00F92E03">
              <w:rPr>
                <w:rFonts w:cstheme="minorHAnsi"/>
                <w:sz w:val="20"/>
                <w:szCs w:val="20"/>
              </w:rPr>
              <w:t>Manejar de forma responsable las finanzas públicas, garantizando su sostenibilidad.</w:t>
            </w:r>
          </w:p>
        </w:tc>
      </w:tr>
      <w:tr w:rsidR="005679D1" w:rsidRPr="00F92E03" w14:paraId="767DBE54" w14:textId="77777777" w:rsidTr="0046655F">
        <w:tc>
          <w:tcPr>
            <w:tcW w:w="2405" w:type="dxa"/>
          </w:tcPr>
          <w:p w14:paraId="263912CB" w14:textId="1DA16ED0" w:rsidR="005679D1" w:rsidRPr="00F92E03" w:rsidRDefault="005679D1" w:rsidP="00335F5A">
            <w:pPr>
              <w:spacing w:before="0" w:after="0"/>
              <w:rPr>
                <w:rFonts w:cstheme="minorHAnsi"/>
                <w:sz w:val="20"/>
                <w:szCs w:val="20"/>
              </w:rPr>
            </w:pPr>
            <w:r w:rsidRPr="00F92E03">
              <w:rPr>
                <w:rFonts w:cstheme="minorHAnsi"/>
                <w:sz w:val="20"/>
                <w:szCs w:val="20"/>
              </w:rPr>
              <w:t>Estrategia</w:t>
            </w:r>
          </w:p>
        </w:tc>
        <w:tc>
          <w:tcPr>
            <w:tcW w:w="7557" w:type="dxa"/>
          </w:tcPr>
          <w:p w14:paraId="4B15EB70" w14:textId="77777777" w:rsidR="00564ABD" w:rsidRPr="00F92E03" w:rsidRDefault="00564ABD" w:rsidP="00564ABD">
            <w:pPr>
              <w:spacing w:before="0" w:after="0"/>
              <w:rPr>
                <w:rFonts w:cstheme="minorHAnsi"/>
                <w:sz w:val="20"/>
                <w:szCs w:val="20"/>
              </w:rPr>
            </w:pPr>
            <w:r w:rsidRPr="00F92E03">
              <w:rPr>
                <w:rFonts w:cstheme="minorHAnsi"/>
                <w:sz w:val="20"/>
                <w:szCs w:val="20"/>
              </w:rPr>
              <w:t>Impulsar los mecanismos para la racionalización de las finanzas públicas, mediante</w:t>
            </w:r>
          </w:p>
          <w:p w14:paraId="743DFF12" w14:textId="77777777" w:rsidR="005679D1" w:rsidRPr="00F92E03" w:rsidRDefault="00564ABD" w:rsidP="00564ABD">
            <w:pPr>
              <w:spacing w:before="0" w:after="0"/>
              <w:rPr>
                <w:rFonts w:cstheme="minorHAnsi"/>
                <w:sz w:val="20"/>
                <w:szCs w:val="20"/>
              </w:rPr>
            </w:pPr>
            <w:r w:rsidRPr="00F92E03">
              <w:rPr>
                <w:rFonts w:cstheme="minorHAnsi"/>
                <w:sz w:val="20"/>
                <w:szCs w:val="20"/>
              </w:rPr>
              <w:t>un gasto eficiente y responsable.</w:t>
            </w:r>
          </w:p>
          <w:p w14:paraId="7692BD86" w14:textId="7816CC82" w:rsidR="00564ABD" w:rsidRPr="00F92E03" w:rsidRDefault="00564ABD" w:rsidP="00564ABD">
            <w:pPr>
              <w:spacing w:before="0" w:after="0"/>
              <w:rPr>
                <w:rFonts w:cstheme="minorHAnsi"/>
                <w:sz w:val="20"/>
                <w:szCs w:val="20"/>
              </w:rPr>
            </w:pPr>
            <w:r w:rsidRPr="00F92E03">
              <w:rPr>
                <w:rFonts w:cstheme="minorHAnsi"/>
                <w:sz w:val="20"/>
                <w:szCs w:val="20"/>
              </w:rPr>
              <w:t>Mantener un equilibrio financiero que impulse y consolide el desarrollo social y económico estatal.</w:t>
            </w:r>
          </w:p>
        </w:tc>
      </w:tr>
      <w:tr w:rsidR="00564ABD" w:rsidRPr="00F92E03" w14:paraId="319DA00A" w14:textId="77777777" w:rsidTr="0046655F">
        <w:tc>
          <w:tcPr>
            <w:tcW w:w="9962" w:type="dxa"/>
            <w:gridSpan w:val="2"/>
            <w:shd w:val="clear" w:color="auto" w:fill="9CC2E5"/>
          </w:tcPr>
          <w:p w14:paraId="72BC01CA" w14:textId="77777777" w:rsidR="00564ABD" w:rsidRPr="00F92E03" w:rsidRDefault="00564ABD" w:rsidP="00335F5A">
            <w:pPr>
              <w:spacing w:before="0" w:after="0"/>
              <w:jc w:val="center"/>
              <w:rPr>
                <w:rFonts w:cstheme="minorHAnsi"/>
                <w:b/>
                <w:bCs/>
                <w:sz w:val="20"/>
                <w:szCs w:val="20"/>
              </w:rPr>
            </w:pPr>
            <w:r w:rsidRPr="00F92E03">
              <w:rPr>
                <w:rFonts w:cstheme="minorHAnsi"/>
                <w:b/>
                <w:bCs/>
                <w:sz w:val="20"/>
                <w:szCs w:val="20"/>
              </w:rPr>
              <w:t>Plan Nacional de Desarrollo 2013-2018</w:t>
            </w:r>
          </w:p>
        </w:tc>
      </w:tr>
      <w:tr w:rsidR="00564ABD" w:rsidRPr="00F92E03" w14:paraId="4234C23C" w14:textId="77777777" w:rsidTr="0046655F">
        <w:tc>
          <w:tcPr>
            <w:tcW w:w="9962" w:type="dxa"/>
            <w:gridSpan w:val="2"/>
          </w:tcPr>
          <w:p w14:paraId="07116AA4" w14:textId="77777777" w:rsidR="00564ABD" w:rsidRPr="00F92E03" w:rsidRDefault="00564ABD" w:rsidP="00335F5A">
            <w:pPr>
              <w:spacing w:before="0" w:after="0"/>
              <w:rPr>
                <w:rFonts w:cstheme="minorHAnsi"/>
                <w:sz w:val="20"/>
                <w:szCs w:val="20"/>
              </w:rPr>
            </w:pPr>
            <w:r w:rsidRPr="00F92E03">
              <w:rPr>
                <w:rFonts w:cstheme="minorHAnsi"/>
                <w:sz w:val="20"/>
                <w:szCs w:val="20"/>
              </w:rPr>
              <w:t>Meta Nacional 3. México con Educación de Calidad</w:t>
            </w:r>
          </w:p>
        </w:tc>
      </w:tr>
      <w:tr w:rsidR="00564ABD" w:rsidRPr="00F92E03" w14:paraId="10B19693" w14:textId="77777777" w:rsidTr="0046655F">
        <w:tc>
          <w:tcPr>
            <w:tcW w:w="2405" w:type="dxa"/>
          </w:tcPr>
          <w:p w14:paraId="7D0C5B86" w14:textId="77777777" w:rsidR="00564ABD" w:rsidRPr="00F92E03" w:rsidRDefault="00564ABD" w:rsidP="00335F5A">
            <w:pPr>
              <w:spacing w:before="0" w:after="0"/>
              <w:rPr>
                <w:rFonts w:cstheme="minorHAnsi"/>
                <w:sz w:val="20"/>
                <w:szCs w:val="20"/>
              </w:rPr>
            </w:pPr>
            <w:r w:rsidRPr="00F92E03">
              <w:rPr>
                <w:rFonts w:cstheme="minorHAnsi"/>
                <w:sz w:val="20"/>
                <w:szCs w:val="20"/>
              </w:rPr>
              <w:t>Objetivo 3.2</w:t>
            </w:r>
          </w:p>
        </w:tc>
        <w:tc>
          <w:tcPr>
            <w:tcW w:w="7557" w:type="dxa"/>
          </w:tcPr>
          <w:p w14:paraId="5E201AD0" w14:textId="77777777" w:rsidR="00564ABD" w:rsidRPr="00F92E03" w:rsidRDefault="00564ABD" w:rsidP="00335F5A">
            <w:pPr>
              <w:spacing w:before="0" w:after="0"/>
              <w:rPr>
                <w:rFonts w:cstheme="minorHAnsi"/>
                <w:sz w:val="20"/>
                <w:szCs w:val="20"/>
              </w:rPr>
            </w:pPr>
            <w:r w:rsidRPr="00F92E03">
              <w:rPr>
                <w:rFonts w:cstheme="minorHAnsi"/>
                <w:sz w:val="20"/>
                <w:szCs w:val="20"/>
              </w:rPr>
              <w:t>Garantizar la inclusión y la equidad en el Sistema Educativo.</w:t>
            </w:r>
          </w:p>
        </w:tc>
      </w:tr>
      <w:tr w:rsidR="00564ABD" w:rsidRPr="00F92E03" w14:paraId="68D45CF6" w14:textId="77777777" w:rsidTr="0046655F">
        <w:tc>
          <w:tcPr>
            <w:tcW w:w="2405" w:type="dxa"/>
          </w:tcPr>
          <w:p w14:paraId="07EA464B" w14:textId="77777777" w:rsidR="00564ABD" w:rsidRPr="00F92E03" w:rsidRDefault="00564ABD" w:rsidP="00335F5A">
            <w:pPr>
              <w:spacing w:before="0" w:after="0"/>
              <w:rPr>
                <w:rFonts w:cstheme="minorHAnsi"/>
                <w:sz w:val="20"/>
                <w:szCs w:val="20"/>
              </w:rPr>
            </w:pPr>
            <w:r w:rsidRPr="00F92E03">
              <w:rPr>
                <w:rFonts w:cstheme="minorHAnsi"/>
                <w:sz w:val="20"/>
                <w:szCs w:val="20"/>
              </w:rPr>
              <w:t>Estrategia 3.2.1</w:t>
            </w:r>
          </w:p>
        </w:tc>
        <w:tc>
          <w:tcPr>
            <w:tcW w:w="7557" w:type="dxa"/>
          </w:tcPr>
          <w:p w14:paraId="41976A43" w14:textId="77777777" w:rsidR="00564ABD" w:rsidRPr="00F92E03" w:rsidRDefault="00564ABD" w:rsidP="00335F5A">
            <w:pPr>
              <w:spacing w:before="0" w:after="0"/>
              <w:rPr>
                <w:rFonts w:cstheme="minorHAnsi"/>
                <w:sz w:val="20"/>
                <w:szCs w:val="20"/>
              </w:rPr>
            </w:pPr>
            <w:r w:rsidRPr="00F92E03">
              <w:rPr>
                <w:rFonts w:cstheme="minorHAnsi"/>
                <w:sz w:val="20"/>
                <w:szCs w:val="20"/>
              </w:rPr>
              <w:t>Ampliar los apoyos a niños y jóvenes en situación de desventaja o vulnerabilidad.</w:t>
            </w:r>
          </w:p>
        </w:tc>
      </w:tr>
      <w:tr w:rsidR="00564ABD" w:rsidRPr="00F92E03" w14:paraId="2850C1DE" w14:textId="77777777" w:rsidTr="0046655F">
        <w:tc>
          <w:tcPr>
            <w:tcW w:w="2405" w:type="dxa"/>
          </w:tcPr>
          <w:p w14:paraId="35FF344A" w14:textId="77777777" w:rsidR="00564ABD" w:rsidRPr="00F92E03" w:rsidRDefault="00564ABD" w:rsidP="00335F5A">
            <w:pPr>
              <w:spacing w:before="0" w:after="0"/>
              <w:rPr>
                <w:rFonts w:cstheme="minorHAnsi"/>
                <w:sz w:val="20"/>
                <w:szCs w:val="20"/>
              </w:rPr>
            </w:pPr>
            <w:r w:rsidRPr="00F92E03">
              <w:rPr>
                <w:rFonts w:cstheme="minorHAnsi"/>
                <w:sz w:val="20"/>
                <w:szCs w:val="20"/>
              </w:rPr>
              <w:t>Líneas de acción</w:t>
            </w:r>
          </w:p>
        </w:tc>
        <w:tc>
          <w:tcPr>
            <w:tcW w:w="7557" w:type="dxa"/>
          </w:tcPr>
          <w:p w14:paraId="1A85DC71" w14:textId="77777777" w:rsidR="00564ABD" w:rsidRPr="00F92E03" w:rsidRDefault="00564ABD" w:rsidP="00335F5A">
            <w:pPr>
              <w:pStyle w:val="Prrafodelista"/>
              <w:numPr>
                <w:ilvl w:val="0"/>
                <w:numId w:val="11"/>
              </w:numPr>
              <w:spacing w:before="0" w:after="0"/>
              <w:ind w:left="177" w:hanging="177"/>
              <w:rPr>
                <w:rFonts w:cstheme="minorHAnsi"/>
                <w:sz w:val="20"/>
                <w:szCs w:val="20"/>
              </w:rPr>
            </w:pPr>
            <w:r w:rsidRPr="00F92E03">
              <w:rPr>
                <w:rFonts w:cstheme="minorHAnsi"/>
                <w:sz w:val="20"/>
                <w:szCs w:val="20"/>
              </w:rPr>
              <w:t>Propiciar la creación de un sistema nacional de becas para ordenar y hacer viables los esfuerzos dirigidos a universalizar los apoyos entre los jóvenes provenientes de familias de bajos recursos.</w:t>
            </w:r>
          </w:p>
          <w:p w14:paraId="1C66A190" w14:textId="77777777" w:rsidR="00564ABD" w:rsidRPr="00F92E03" w:rsidRDefault="00564ABD" w:rsidP="00335F5A">
            <w:pPr>
              <w:pStyle w:val="Prrafodelista"/>
              <w:numPr>
                <w:ilvl w:val="0"/>
                <w:numId w:val="11"/>
              </w:numPr>
              <w:spacing w:before="0" w:after="0"/>
              <w:ind w:left="177" w:hanging="177"/>
              <w:rPr>
                <w:rFonts w:cstheme="minorHAnsi"/>
                <w:sz w:val="20"/>
                <w:szCs w:val="20"/>
              </w:rPr>
            </w:pPr>
            <w:r w:rsidRPr="00F92E03">
              <w:rPr>
                <w:rFonts w:cstheme="minorHAnsi"/>
                <w:sz w:val="20"/>
                <w:szCs w:val="20"/>
              </w:rPr>
              <w:t xml:space="preserve">Diversificar las modalidades de becas para apoyar a los estudiantes con necesidades especiales y en situación de vulnerabilidad. </w:t>
            </w:r>
          </w:p>
        </w:tc>
      </w:tr>
      <w:tr w:rsidR="00564ABD" w:rsidRPr="00F92E03" w14:paraId="16840FBE" w14:textId="77777777" w:rsidTr="0046655F">
        <w:tc>
          <w:tcPr>
            <w:tcW w:w="9962" w:type="dxa"/>
            <w:gridSpan w:val="2"/>
            <w:shd w:val="clear" w:color="auto" w:fill="9CC2E5"/>
          </w:tcPr>
          <w:p w14:paraId="3D2A3019" w14:textId="77777777" w:rsidR="00564ABD" w:rsidRPr="00F92E03" w:rsidRDefault="00564ABD" w:rsidP="00335F5A">
            <w:pPr>
              <w:spacing w:before="0" w:after="0"/>
              <w:jc w:val="center"/>
              <w:rPr>
                <w:rFonts w:cstheme="minorHAnsi"/>
                <w:sz w:val="20"/>
                <w:szCs w:val="20"/>
              </w:rPr>
            </w:pPr>
            <w:r w:rsidRPr="00F92E03">
              <w:rPr>
                <w:rFonts w:cstheme="minorHAnsi"/>
                <w:b/>
                <w:bCs/>
                <w:sz w:val="20"/>
                <w:szCs w:val="20"/>
              </w:rPr>
              <w:t>Plan Estatal de Desarrollo</w:t>
            </w:r>
          </w:p>
        </w:tc>
      </w:tr>
      <w:tr w:rsidR="00564ABD" w:rsidRPr="00F92E03" w14:paraId="75316E38" w14:textId="77777777" w:rsidTr="0046655F">
        <w:tc>
          <w:tcPr>
            <w:tcW w:w="9962" w:type="dxa"/>
            <w:gridSpan w:val="2"/>
          </w:tcPr>
          <w:p w14:paraId="635CABA3" w14:textId="77777777" w:rsidR="00564ABD" w:rsidRPr="00F92E03" w:rsidRDefault="00564ABD" w:rsidP="00335F5A">
            <w:pPr>
              <w:spacing w:before="0" w:after="0"/>
              <w:rPr>
                <w:rFonts w:cstheme="minorHAnsi"/>
                <w:sz w:val="20"/>
                <w:szCs w:val="20"/>
              </w:rPr>
            </w:pPr>
            <w:r w:rsidRPr="00F92E03">
              <w:rPr>
                <w:rFonts w:cstheme="minorHAnsi"/>
                <w:sz w:val="20"/>
                <w:szCs w:val="20"/>
              </w:rPr>
              <w:t>Eje Bienestar Social</w:t>
            </w:r>
          </w:p>
        </w:tc>
      </w:tr>
      <w:tr w:rsidR="00564ABD" w:rsidRPr="00F92E03" w14:paraId="64EA2FD8" w14:textId="77777777" w:rsidTr="0046655F">
        <w:tc>
          <w:tcPr>
            <w:tcW w:w="2405" w:type="dxa"/>
          </w:tcPr>
          <w:p w14:paraId="045E4AAA" w14:textId="77777777" w:rsidR="00564ABD" w:rsidRPr="00F92E03" w:rsidRDefault="00564ABD" w:rsidP="00335F5A">
            <w:pPr>
              <w:spacing w:before="0" w:after="0"/>
              <w:rPr>
                <w:rFonts w:cstheme="minorHAnsi"/>
                <w:sz w:val="20"/>
                <w:szCs w:val="20"/>
              </w:rPr>
            </w:pPr>
            <w:r w:rsidRPr="00F92E03">
              <w:rPr>
                <w:rFonts w:cstheme="minorHAnsi"/>
                <w:sz w:val="20"/>
                <w:szCs w:val="20"/>
              </w:rPr>
              <w:t>Objetivo 2.5.1</w:t>
            </w:r>
          </w:p>
        </w:tc>
        <w:tc>
          <w:tcPr>
            <w:tcW w:w="7557" w:type="dxa"/>
          </w:tcPr>
          <w:p w14:paraId="30631A06" w14:textId="77777777" w:rsidR="00564ABD" w:rsidRPr="00F92E03" w:rsidRDefault="00564ABD" w:rsidP="00335F5A">
            <w:pPr>
              <w:spacing w:before="0" w:after="0"/>
              <w:rPr>
                <w:rFonts w:cstheme="minorHAnsi"/>
                <w:sz w:val="20"/>
                <w:szCs w:val="20"/>
              </w:rPr>
            </w:pPr>
            <w:r w:rsidRPr="00F92E03">
              <w:rPr>
                <w:rFonts w:cstheme="minorHAnsi"/>
                <w:sz w:val="20"/>
                <w:szCs w:val="20"/>
              </w:rPr>
              <w:t>Garantizar el derecho al conocimiento, a la formación académica y a una educación pública, gratuita, laica y universal, en la que participen democráticamente todos los miembros de la comunidad educativa y que contribuya a reducir las desigualdades sociales, prestando especial atención a la diversidad individual y cultural de las y los estudiantes y fomentando las prácticas de cooperación y ayuda mutua.</w:t>
            </w:r>
          </w:p>
        </w:tc>
      </w:tr>
      <w:tr w:rsidR="00564ABD" w:rsidRPr="00F92E03" w14:paraId="5C4E07D1" w14:textId="77777777" w:rsidTr="0046655F">
        <w:tc>
          <w:tcPr>
            <w:tcW w:w="2405" w:type="dxa"/>
          </w:tcPr>
          <w:p w14:paraId="073A5F3E" w14:textId="77777777" w:rsidR="00564ABD" w:rsidRPr="00F92E03" w:rsidRDefault="00564ABD" w:rsidP="00335F5A">
            <w:pPr>
              <w:spacing w:before="0" w:after="0"/>
              <w:rPr>
                <w:rFonts w:cstheme="minorHAnsi"/>
                <w:sz w:val="20"/>
                <w:szCs w:val="20"/>
              </w:rPr>
            </w:pPr>
            <w:r w:rsidRPr="00F92E03">
              <w:rPr>
                <w:rFonts w:cstheme="minorHAnsi"/>
                <w:sz w:val="20"/>
                <w:szCs w:val="20"/>
              </w:rPr>
              <w:t>Estrategia</w:t>
            </w:r>
          </w:p>
        </w:tc>
        <w:tc>
          <w:tcPr>
            <w:tcW w:w="7557" w:type="dxa"/>
          </w:tcPr>
          <w:p w14:paraId="656484F8" w14:textId="77777777" w:rsidR="00564ABD" w:rsidRPr="00F92E03" w:rsidRDefault="00564ABD" w:rsidP="00335F5A">
            <w:pPr>
              <w:spacing w:before="0" w:after="0"/>
              <w:rPr>
                <w:rFonts w:cstheme="minorHAnsi"/>
                <w:sz w:val="20"/>
                <w:szCs w:val="20"/>
              </w:rPr>
            </w:pPr>
            <w:r w:rsidRPr="00F92E03">
              <w:rPr>
                <w:rFonts w:cstheme="minorHAnsi"/>
                <w:sz w:val="20"/>
                <w:szCs w:val="20"/>
              </w:rPr>
              <w:t>Erradicar el analfabetismo en Tamaulipas y ofrecer incentivos para los niños y jóvenes en los distintos niveles educativos, a fin de evitar la deserción escolar y contrarrestar el efecto del rezago educativo, mediante el incremento del gasto en educación y la participación de empresarios, organizaciones de la sociedad civil, académicos y demás actores interesados en el tema.</w:t>
            </w:r>
          </w:p>
        </w:tc>
      </w:tr>
    </w:tbl>
    <w:p w14:paraId="4492CAF2" w14:textId="3E569E12" w:rsidR="004629A2" w:rsidRDefault="004629A2" w:rsidP="004629A2">
      <w:pPr>
        <w:pStyle w:val="Fuente"/>
      </w:pPr>
      <w:r>
        <w:t>Fuente: Elaboración propia con Información de SF, PND 2013-2018, PED 2016-2022.</w:t>
      </w:r>
    </w:p>
    <w:p w14:paraId="3BE66F6E" w14:textId="5C7D0E19" w:rsidR="00973AC0" w:rsidRPr="00001B60" w:rsidRDefault="00A324A5" w:rsidP="00FF00E8">
      <w:r>
        <w:t>Según lo establecido en el PED 2016-20222 en relación con su alineación al PND 2013-2018, se explica que: Respecto a</w:t>
      </w:r>
      <w:r w:rsidR="00973AC0" w:rsidRPr="00001B60">
        <w:t xml:space="preserve"> la meta México Prospero del PND, el PED define el camino para</w:t>
      </w:r>
      <w:r w:rsidR="00973AC0">
        <w:t xml:space="preserve"> </w:t>
      </w:r>
      <w:r w:rsidR="00973AC0" w:rsidRPr="00001B60">
        <w:t xml:space="preserve">impulsar a las pequeñas y medianas empresas, así como para promover la </w:t>
      </w:r>
      <w:r w:rsidR="00973AC0">
        <w:t xml:space="preserve">generación </w:t>
      </w:r>
      <w:r w:rsidR="00973AC0" w:rsidRPr="00001B60">
        <w:t>de empleos. También se señala la importancia del desarrollo de la infraestructura</w:t>
      </w:r>
      <w:r w:rsidR="00973AC0">
        <w:t xml:space="preserve"> </w:t>
      </w:r>
      <w:r w:rsidR="00973AC0" w:rsidRPr="00001B60">
        <w:t xml:space="preserve">como pieza clave para incrementar la competitividad del </w:t>
      </w:r>
      <w:r w:rsidR="006C676D">
        <w:t>E</w:t>
      </w:r>
      <w:r w:rsidR="00973AC0" w:rsidRPr="00001B60">
        <w:t>stado.</w:t>
      </w:r>
    </w:p>
    <w:p w14:paraId="5233819C" w14:textId="77777777" w:rsidR="00D97671" w:rsidRDefault="00973AC0" w:rsidP="00D97671">
      <w:r w:rsidRPr="00F5268D">
        <w:t>El eje Bienestar social del PED, al igual que el PND, prioriza el bienestar de</w:t>
      </w:r>
      <w:r>
        <w:t xml:space="preserve"> </w:t>
      </w:r>
      <w:r w:rsidRPr="00F5268D">
        <w:t>las personas con discapacidad, de las niñas y niños, de los adolescentes y jóvenes,</w:t>
      </w:r>
      <w:r>
        <w:t xml:space="preserve"> </w:t>
      </w:r>
      <w:r w:rsidRPr="00F5268D">
        <w:t xml:space="preserve">de las mujeres, de los adultos mayores y de la población migrante. </w:t>
      </w:r>
    </w:p>
    <w:p w14:paraId="48E42B8C" w14:textId="07AA0CB8" w:rsidR="00973AC0" w:rsidRDefault="00973AC0" w:rsidP="00973AC0">
      <w:r w:rsidRPr="00F5268D">
        <w:t>En esta</w:t>
      </w:r>
      <w:r>
        <w:t xml:space="preserve"> </w:t>
      </w:r>
      <w:r w:rsidRPr="00F5268D">
        <w:t>perspectiva, el PED contempla ampliar las oportunidades de los tamaulipecos</w:t>
      </w:r>
      <w:r>
        <w:t xml:space="preserve"> </w:t>
      </w:r>
      <w:r w:rsidRPr="00F5268D">
        <w:t>para elevar la calidad de vida de todos en general y de los grupos vulnerables en</w:t>
      </w:r>
      <w:r>
        <w:t xml:space="preserve"> </w:t>
      </w:r>
      <w:r w:rsidRPr="00F5268D">
        <w:t>particular, mediante políticas incluyentes para disminuir la pobreza y los índices</w:t>
      </w:r>
      <w:r>
        <w:t xml:space="preserve"> </w:t>
      </w:r>
      <w:r w:rsidRPr="00F5268D">
        <w:t>de desnutrición; promover el desarrollo integral de la familia y de la juventud;</w:t>
      </w:r>
      <w:r>
        <w:t xml:space="preserve"> </w:t>
      </w:r>
      <w:r w:rsidRPr="00F5268D">
        <w:t>impulsar la cultura, las artes y el acceso universal a la práctica deportiva.</w:t>
      </w:r>
      <w:r>
        <w:t xml:space="preserve"> </w:t>
      </w:r>
      <w:r w:rsidRPr="00F5268D">
        <w:t>El derecho a la salud y a una educación de calidad para la población</w:t>
      </w:r>
      <w:r w:rsidR="00CB231E">
        <w:t xml:space="preserve"> e</w:t>
      </w:r>
      <w:r w:rsidRPr="00F5268D">
        <w:t>s también</w:t>
      </w:r>
      <w:r w:rsidR="00CB231E">
        <w:t>,</w:t>
      </w:r>
      <w:r>
        <w:t xml:space="preserve"> </w:t>
      </w:r>
      <w:r w:rsidRPr="00F5268D">
        <w:t>de especial atención para este eje</w:t>
      </w:r>
      <w:r w:rsidR="00CB231E">
        <w:t>,</w:t>
      </w:r>
      <w:r w:rsidRPr="00F5268D">
        <w:t xml:space="preserve"> a través de políticas públicas de los tres</w:t>
      </w:r>
      <w:r>
        <w:t xml:space="preserve"> </w:t>
      </w:r>
      <w:r w:rsidRPr="00F5268D">
        <w:t>órdenes de gobierno. Los sectores salud y educativo requieren del apoyo y la participación</w:t>
      </w:r>
      <w:r>
        <w:t xml:space="preserve"> </w:t>
      </w:r>
      <w:r w:rsidRPr="00F5268D">
        <w:t xml:space="preserve">activa de la sociedad, y buscan </w:t>
      </w:r>
      <w:r w:rsidRPr="00F5268D">
        <w:lastRenderedPageBreak/>
        <w:t>garantizar el acceso universal a servicios</w:t>
      </w:r>
      <w:r>
        <w:t xml:space="preserve"> </w:t>
      </w:r>
      <w:r w:rsidRPr="00F5268D">
        <w:t>de calidad propiciando el desarrollo de ciudades y comunidades sostenibles.</w:t>
      </w:r>
    </w:p>
    <w:bookmarkEnd w:id="60"/>
    <w:p w14:paraId="6D3E1B9D" w14:textId="77777777" w:rsidR="00CD7C42" w:rsidRDefault="00CD7C42">
      <w:pPr>
        <w:spacing w:before="0" w:after="160" w:line="259" w:lineRule="auto"/>
        <w:jc w:val="left"/>
        <w:rPr>
          <w:rFonts w:cstheme="minorHAnsi"/>
          <w:b/>
        </w:rPr>
      </w:pPr>
      <w:r>
        <w:rPr>
          <w:rFonts w:cstheme="minorHAnsi"/>
          <w:b/>
        </w:rPr>
        <w:br w:type="page"/>
      </w:r>
    </w:p>
    <w:p w14:paraId="722526E4" w14:textId="395782B5" w:rsidR="00567363" w:rsidRPr="00567363" w:rsidRDefault="00567363" w:rsidP="00D26B7A">
      <w:pPr>
        <w:spacing w:before="0" w:after="0"/>
        <w:contextualSpacing/>
        <w:rPr>
          <w:rFonts w:cstheme="minorHAnsi"/>
          <w:b/>
        </w:rPr>
      </w:pPr>
      <w:r>
        <w:rPr>
          <w:rFonts w:cstheme="minorHAnsi"/>
          <w:b/>
        </w:rPr>
        <w:lastRenderedPageBreak/>
        <w:t xml:space="preserve">14. </w:t>
      </w:r>
      <w:r w:rsidRPr="00567363">
        <w:rPr>
          <w:rFonts w:cstheme="minorHAnsi"/>
          <w:b/>
        </w:rPr>
        <w:t>¿El propósito del Fondo se vincula con los Objetivos de Desarrollo Sostenible (ODS) de la Agenda 2030?</w:t>
      </w:r>
    </w:p>
    <w:p w14:paraId="5E89DF28" w14:textId="493E40B7" w:rsidR="00567363" w:rsidRPr="00D26B7A" w:rsidRDefault="00567363" w:rsidP="00F84324">
      <w:pPr>
        <w:rPr>
          <w:b/>
          <w:bCs/>
        </w:rPr>
      </w:pPr>
      <w:r w:rsidRPr="00D26B7A">
        <w:rPr>
          <w:b/>
          <w:bCs/>
        </w:rPr>
        <w:t>No procede valoración cuantitativa.</w:t>
      </w:r>
    </w:p>
    <w:p w14:paraId="1CE7A075" w14:textId="65C5E184" w:rsidR="00973AC0" w:rsidRDefault="00F84324" w:rsidP="00F84324">
      <w:r w:rsidRPr="00F84324">
        <w:t xml:space="preserve">La mayoría de los Pp que reciben recursos del FAFEF son modalidad “K”, por lo </w:t>
      </w:r>
      <w:r w:rsidR="0047646E" w:rsidRPr="00F84324">
        <w:t>que,</w:t>
      </w:r>
      <w:r w:rsidRPr="00F84324">
        <w:t xml:space="preserve"> en términos de la MML, la obra pública (proyectos de inversión) son un medio; es decir, son un bien que el Pp debe producir para poder prestar un servicio o proporcionar apoyos a la población. Los Pp de modalidad “K” no cuentan con un Diagnóstico de Programa ni árboles de problemas y de objetivos propios, sino que los Pp “K” se derivan de los árboles de problemas y de objetivos de Pp de otras modalidades (“E”, “U” etc.), en donde se identifican como parte de las causas del problema, la carencia o mal </w:t>
      </w:r>
      <w:r w:rsidR="002D27AC">
        <w:t>E</w:t>
      </w:r>
      <w:r w:rsidRPr="00F84324">
        <w:t xml:space="preserve">stado de infraestructura, para prestación de servicios o canalización de apoyos. Por lo tanto, a continuación, se muestra una relación de los Proyectos que recibieron recursos del FAFEF durante el ejercicio 2018 y su vinculación con los ODS. </w:t>
      </w:r>
    </w:p>
    <w:p w14:paraId="3D007487" w14:textId="294E1661" w:rsidR="004F43B0" w:rsidRPr="00F84324" w:rsidRDefault="004F43B0" w:rsidP="004F43B0">
      <w:pPr>
        <w:pStyle w:val="Cuadro"/>
      </w:pPr>
      <w:bookmarkStart w:id="65" w:name="_Toc55502394"/>
      <w:bookmarkStart w:id="66" w:name="_Toc55502511"/>
      <w:bookmarkStart w:id="67" w:name="_Toc56069937"/>
      <w:r>
        <w:t xml:space="preserve">Cuadro </w:t>
      </w:r>
      <w:r w:rsidR="008159E4">
        <w:t>10</w:t>
      </w:r>
      <w:r>
        <w:t>. Contribución de la ejecución del FAFEF a los ODS</w:t>
      </w:r>
      <w:bookmarkEnd w:id="65"/>
      <w:bookmarkEnd w:id="66"/>
      <w:bookmarkEnd w:id="67"/>
    </w:p>
    <w:tbl>
      <w:tblPr>
        <w:tblW w:w="5066"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70" w:type="dxa"/>
          <w:right w:w="70" w:type="dxa"/>
        </w:tblCellMar>
        <w:tblLook w:val="04A0" w:firstRow="1" w:lastRow="0" w:firstColumn="1" w:lastColumn="0" w:noHBand="0" w:noVBand="1"/>
      </w:tblPr>
      <w:tblGrid>
        <w:gridCol w:w="3358"/>
        <w:gridCol w:w="3579"/>
        <w:gridCol w:w="3146"/>
      </w:tblGrid>
      <w:tr w:rsidR="00973AC0" w:rsidRPr="00E10F25" w14:paraId="1FBD50B9" w14:textId="77777777" w:rsidTr="0046655F">
        <w:trPr>
          <w:trHeight w:val="283"/>
          <w:tblHeader/>
        </w:trPr>
        <w:tc>
          <w:tcPr>
            <w:tcW w:w="1665" w:type="pct"/>
            <w:shd w:val="clear" w:color="auto" w:fill="9CC2E5"/>
            <w:noWrap/>
            <w:vAlign w:val="center"/>
            <w:hideMark/>
          </w:tcPr>
          <w:p w14:paraId="7D036E42" w14:textId="77777777" w:rsidR="00973AC0" w:rsidRPr="00E10F25" w:rsidRDefault="00973AC0" w:rsidP="00E24347">
            <w:pPr>
              <w:spacing w:before="0" w:after="0"/>
              <w:jc w:val="center"/>
              <w:rPr>
                <w:rFonts w:eastAsia="Times New Roman" w:cstheme="minorHAnsi"/>
                <w:b/>
                <w:bCs/>
                <w:color w:val="000000"/>
                <w:sz w:val="20"/>
                <w:szCs w:val="20"/>
                <w:lang w:eastAsia="es-MX"/>
              </w:rPr>
            </w:pPr>
            <w:r w:rsidRPr="00E10F25">
              <w:rPr>
                <w:rFonts w:eastAsia="Times New Roman" w:cstheme="minorHAnsi"/>
                <w:b/>
                <w:bCs/>
                <w:color w:val="000000"/>
                <w:sz w:val="20"/>
                <w:szCs w:val="20"/>
                <w:lang w:eastAsia="es-MX"/>
              </w:rPr>
              <w:t>ODS</w:t>
            </w:r>
          </w:p>
        </w:tc>
        <w:tc>
          <w:tcPr>
            <w:tcW w:w="1775" w:type="pct"/>
            <w:shd w:val="clear" w:color="auto" w:fill="9CC2E5"/>
            <w:vAlign w:val="center"/>
            <w:hideMark/>
          </w:tcPr>
          <w:p w14:paraId="07A9DE4E" w14:textId="77777777" w:rsidR="00973AC0" w:rsidRPr="00E10F25" w:rsidRDefault="00973AC0" w:rsidP="00E24347">
            <w:pPr>
              <w:spacing w:before="0" w:after="0"/>
              <w:jc w:val="center"/>
              <w:rPr>
                <w:rFonts w:eastAsia="Times New Roman" w:cstheme="minorHAnsi"/>
                <w:b/>
                <w:bCs/>
                <w:color w:val="000000"/>
                <w:sz w:val="20"/>
                <w:szCs w:val="20"/>
                <w:lang w:eastAsia="es-MX"/>
              </w:rPr>
            </w:pPr>
            <w:r w:rsidRPr="00E10F25">
              <w:rPr>
                <w:rFonts w:eastAsia="Times New Roman" w:cstheme="minorHAnsi"/>
                <w:b/>
                <w:bCs/>
                <w:color w:val="000000"/>
                <w:sz w:val="20"/>
                <w:szCs w:val="20"/>
                <w:lang w:eastAsia="es-MX"/>
              </w:rPr>
              <w:t>Meta del ODS</w:t>
            </w:r>
          </w:p>
        </w:tc>
        <w:tc>
          <w:tcPr>
            <w:tcW w:w="1560" w:type="pct"/>
            <w:shd w:val="clear" w:color="auto" w:fill="9CC2E5"/>
            <w:noWrap/>
            <w:vAlign w:val="center"/>
            <w:hideMark/>
          </w:tcPr>
          <w:p w14:paraId="1AC2016C" w14:textId="6008322F" w:rsidR="00973AC0" w:rsidRPr="00E10F25" w:rsidRDefault="005F6434" w:rsidP="00E24347">
            <w:pPr>
              <w:spacing w:before="0" w:after="0"/>
              <w:jc w:val="left"/>
              <w:rPr>
                <w:rFonts w:eastAsia="Times New Roman" w:cstheme="minorHAnsi"/>
                <w:b/>
                <w:bCs/>
                <w:color w:val="000000"/>
                <w:sz w:val="20"/>
                <w:szCs w:val="20"/>
                <w:lang w:eastAsia="es-MX"/>
              </w:rPr>
            </w:pPr>
            <w:r w:rsidRPr="00E10F25">
              <w:rPr>
                <w:rFonts w:eastAsia="Times New Roman" w:cstheme="minorHAnsi"/>
                <w:b/>
                <w:bCs/>
                <w:color w:val="000000"/>
                <w:sz w:val="20"/>
                <w:szCs w:val="20"/>
                <w:lang w:eastAsia="es-MX"/>
              </w:rPr>
              <w:t>Alineación de Pp</w:t>
            </w:r>
            <w:r w:rsidR="00324F5B" w:rsidRPr="00E10F25">
              <w:rPr>
                <w:rFonts w:eastAsia="Times New Roman" w:cstheme="minorHAnsi"/>
                <w:b/>
                <w:bCs/>
                <w:color w:val="000000"/>
                <w:sz w:val="20"/>
                <w:szCs w:val="20"/>
                <w:lang w:eastAsia="es-MX"/>
              </w:rPr>
              <w:t xml:space="preserve"> con </w:t>
            </w:r>
            <w:r w:rsidR="00250941" w:rsidRPr="00E10F25">
              <w:rPr>
                <w:rFonts w:eastAsia="Times New Roman" w:cstheme="minorHAnsi"/>
                <w:b/>
                <w:bCs/>
                <w:color w:val="000000"/>
                <w:sz w:val="20"/>
                <w:szCs w:val="20"/>
                <w:lang w:eastAsia="es-MX"/>
              </w:rPr>
              <w:t>los</w:t>
            </w:r>
            <w:r w:rsidR="00324F5B" w:rsidRPr="00E10F25">
              <w:rPr>
                <w:rFonts w:eastAsia="Times New Roman" w:cstheme="minorHAnsi"/>
                <w:b/>
                <w:bCs/>
                <w:color w:val="000000"/>
                <w:sz w:val="20"/>
                <w:szCs w:val="20"/>
                <w:lang w:eastAsia="es-MX"/>
              </w:rPr>
              <w:t xml:space="preserve"> ODS</w:t>
            </w:r>
          </w:p>
        </w:tc>
      </w:tr>
      <w:tr w:rsidR="00973AC0" w:rsidRPr="00E10F25" w14:paraId="70D6850B" w14:textId="77777777" w:rsidTr="0046655F">
        <w:trPr>
          <w:trHeight w:val="634"/>
        </w:trPr>
        <w:tc>
          <w:tcPr>
            <w:tcW w:w="1665" w:type="pct"/>
            <w:vMerge w:val="restart"/>
            <w:shd w:val="clear" w:color="auto" w:fill="auto"/>
            <w:noWrap/>
            <w:vAlign w:val="center"/>
            <w:hideMark/>
          </w:tcPr>
          <w:p w14:paraId="3CCE7D6F" w14:textId="7FD84170" w:rsidR="00973AC0" w:rsidRPr="00E10F25" w:rsidRDefault="00973AC0" w:rsidP="00F84324">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3</w:t>
            </w:r>
            <w:r w:rsidR="00F84324" w:rsidRPr="00E10F25">
              <w:rPr>
                <w:rFonts w:eastAsia="Times New Roman" w:cstheme="minorHAnsi"/>
                <w:color w:val="000000"/>
                <w:sz w:val="20"/>
                <w:szCs w:val="20"/>
                <w:lang w:eastAsia="es-MX"/>
              </w:rPr>
              <w:t>.</w:t>
            </w:r>
            <w:r w:rsidR="00826CDE">
              <w:rPr>
                <w:rFonts w:eastAsia="Times New Roman" w:cstheme="minorHAnsi"/>
                <w:color w:val="000000"/>
                <w:sz w:val="20"/>
                <w:szCs w:val="20"/>
                <w:lang w:eastAsia="es-MX"/>
              </w:rPr>
              <w:t xml:space="preserve"> </w:t>
            </w:r>
            <w:bookmarkStart w:id="68" w:name="_Hlk44249049"/>
            <w:r w:rsidRPr="00E10F25">
              <w:rPr>
                <w:rFonts w:eastAsia="Times New Roman" w:cstheme="minorHAnsi"/>
                <w:color w:val="000000"/>
                <w:sz w:val="20"/>
                <w:szCs w:val="20"/>
                <w:lang w:eastAsia="es-MX"/>
              </w:rPr>
              <w:t>Garantizar una vida sana y promover el bienestar para todos en todas las edades</w:t>
            </w:r>
            <w:bookmarkEnd w:id="68"/>
          </w:p>
        </w:tc>
        <w:tc>
          <w:tcPr>
            <w:tcW w:w="1775" w:type="pct"/>
            <w:vMerge w:val="restart"/>
            <w:shd w:val="clear" w:color="auto" w:fill="auto"/>
            <w:vAlign w:val="center"/>
            <w:hideMark/>
          </w:tcPr>
          <w:p w14:paraId="58AED5F4" w14:textId="38E13D6B" w:rsidR="00973AC0" w:rsidRPr="00E10F25" w:rsidRDefault="0062215A" w:rsidP="0062215A">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 xml:space="preserve">3.8. </w:t>
            </w:r>
            <w:r w:rsidR="00250941" w:rsidRPr="00E10F25">
              <w:rPr>
                <w:rFonts w:eastAsia="Times New Roman" w:cstheme="minorHAnsi"/>
                <w:color w:val="000000"/>
                <w:sz w:val="20"/>
                <w:szCs w:val="20"/>
                <w:lang w:eastAsia="es-MX"/>
              </w:rPr>
              <w:t>Lograr la cobertura sanitaria universal, en particular la protección contra los riesgos financieros, el acceso a servicios de salud esenciales de calidad y el acceso a medicamentos y vacunas seguros, eficaces, asequibles y de calidad para todos</w:t>
            </w:r>
            <w:r w:rsidRPr="00E10F25">
              <w:rPr>
                <w:rFonts w:eastAsia="Times New Roman" w:cstheme="minorHAnsi"/>
                <w:color w:val="000000"/>
                <w:sz w:val="20"/>
                <w:szCs w:val="20"/>
                <w:lang w:eastAsia="es-MX"/>
              </w:rPr>
              <w:t>.</w:t>
            </w:r>
          </w:p>
        </w:tc>
        <w:tc>
          <w:tcPr>
            <w:tcW w:w="1560" w:type="pct"/>
            <w:shd w:val="clear" w:color="auto" w:fill="auto"/>
            <w:noWrap/>
            <w:vAlign w:val="center"/>
            <w:hideMark/>
          </w:tcPr>
          <w:p w14:paraId="4652C82F"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social de salud</w:t>
            </w:r>
          </w:p>
        </w:tc>
      </w:tr>
      <w:tr w:rsidR="00973AC0" w:rsidRPr="00E10F25" w14:paraId="4AC073C1" w14:textId="77777777" w:rsidTr="0046655F">
        <w:trPr>
          <w:trHeight w:val="324"/>
        </w:trPr>
        <w:tc>
          <w:tcPr>
            <w:tcW w:w="1665" w:type="pct"/>
            <w:vMerge/>
            <w:vAlign w:val="center"/>
            <w:hideMark/>
          </w:tcPr>
          <w:p w14:paraId="70BAEC42"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4E068428"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6B08C6D3"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social del deporte</w:t>
            </w:r>
          </w:p>
        </w:tc>
      </w:tr>
      <w:tr w:rsidR="00973AC0" w:rsidRPr="00E10F25" w14:paraId="049995E2" w14:textId="77777777" w:rsidTr="0046655F">
        <w:trPr>
          <w:trHeight w:val="634"/>
        </w:trPr>
        <w:tc>
          <w:tcPr>
            <w:tcW w:w="1665" w:type="pct"/>
            <w:vMerge w:val="restart"/>
            <w:shd w:val="clear" w:color="auto" w:fill="auto"/>
            <w:noWrap/>
            <w:vAlign w:val="center"/>
            <w:hideMark/>
          </w:tcPr>
          <w:p w14:paraId="54258A8E" w14:textId="58FD2F42" w:rsidR="00973AC0" w:rsidRPr="00E10F25" w:rsidRDefault="00973AC0" w:rsidP="00F84324">
            <w:pPr>
              <w:spacing w:before="0" w:after="0"/>
              <w:rPr>
                <w:rFonts w:eastAsia="Times New Roman" w:cstheme="minorHAnsi"/>
                <w:color w:val="000000"/>
                <w:sz w:val="20"/>
                <w:szCs w:val="20"/>
                <w:lang w:eastAsia="es-MX"/>
              </w:rPr>
            </w:pPr>
            <w:bookmarkStart w:id="69" w:name="_Hlk44249063"/>
            <w:r w:rsidRPr="00E10F25">
              <w:rPr>
                <w:rFonts w:eastAsia="Times New Roman" w:cstheme="minorHAnsi"/>
                <w:color w:val="000000"/>
                <w:sz w:val="20"/>
                <w:szCs w:val="20"/>
                <w:lang w:eastAsia="es-MX"/>
              </w:rPr>
              <w:t xml:space="preserve"> 4</w:t>
            </w:r>
            <w:r w:rsidR="00F84324" w:rsidRPr="00E10F25">
              <w:rPr>
                <w:rFonts w:eastAsia="Times New Roman" w:cstheme="minorHAnsi"/>
                <w:color w:val="000000"/>
                <w:sz w:val="20"/>
                <w:szCs w:val="20"/>
                <w:lang w:eastAsia="es-MX"/>
              </w:rPr>
              <w:t>.</w:t>
            </w:r>
            <w:r w:rsidR="00826CDE">
              <w:rPr>
                <w:rFonts w:eastAsia="Times New Roman" w:cstheme="minorHAnsi"/>
                <w:color w:val="000000"/>
                <w:sz w:val="20"/>
                <w:szCs w:val="20"/>
                <w:lang w:eastAsia="es-MX"/>
              </w:rPr>
              <w:t xml:space="preserve"> </w:t>
            </w:r>
            <w:r w:rsidRPr="00E10F25">
              <w:rPr>
                <w:rFonts w:eastAsia="Times New Roman" w:cstheme="minorHAnsi"/>
                <w:color w:val="000000"/>
                <w:sz w:val="20"/>
                <w:szCs w:val="20"/>
                <w:lang w:eastAsia="es-MX"/>
              </w:rPr>
              <w:t>Garantizar una educación inclusiva, equitativa y de calidad y promover oportunidades de aprendizaje durante toda la vida para todos</w:t>
            </w:r>
            <w:bookmarkEnd w:id="69"/>
          </w:p>
        </w:tc>
        <w:tc>
          <w:tcPr>
            <w:tcW w:w="1775" w:type="pct"/>
            <w:vMerge w:val="restart"/>
            <w:shd w:val="clear" w:color="auto" w:fill="auto"/>
            <w:vAlign w:val="center"/>
            <w:hideMark/>
          </w:tcPr>
          <w:p w14:paraId="3F414274" w14:textId="3F1B7374" w:rsidR="00973AC0" w:rsidRPr="00E10F25" w:rsidRDefault="0062215A" w:rsidP="0062215A">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4.1 De aquí a 2030, asegurar que todas las niñas y todos los niños terminen la enseñanza primaria y secundaria, que ha de ser gratuita, equitativa y de calidad y producir resultados de aprendizaje pertinentes y efectivos</w:t>
            </w:r>
            <w:r w:rsidR="00E10F25" w:rsidRPr="00E10F25">
              <w:rPr>
                <w:rFonts w:eastAsia="Times New Roman" w:cstheme="minorHAnsi"/>
                <w:color w:val="000000"/>
                <w:sz w:val="20"/>
                <w:szCs w:val="20"/>
                <w:lang w:eastAsia="es-MX"/>
              </w:rPr>
              <w:t>.</w:t>
            </w:r>
          </w:p>
        </w:tc>
        <w:tc>
          <w:tcPr>
            <w:tcW w:w="1560" w:type="pct"/>
            <w:shd w:val="clear" w:color="auto" w:fill="auto"/>
            <w:noWrap/>
            <w:vAlign w:val="center"/>
            <w:hideMark/>
          </w:tcPr>
          <w:p w14:paraId="459F1FF3"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social del sector educativo/cultura</w:t>
            </w:r>
          </w:p>
        </w:tc>
      </w:tr>
      <w:tr w:rsidR="00973AC0" w:rsidRPr="00E10F25" w14:paraId="038E6BE3" w14:textId="77777777" w:rsidTr="0046655F">
        <w:trPr>
          <w:trHeight w:val="324"/>
        </w:trPr>
        <w:tc>
          <w:tcPr>
            <w:tcW w:w="1665" w:type="pct"/>
            <w:vMerge/>
            <w:vAlign w:val="center"/>
            <w:hideMark/>
          </w:tcPr>
          <w:p w14:paraId="1317A219"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0CB245E5"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2E300722"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Programa con mis útiles a la escuela</w:t>
            </w:r>
          </w:p>
        </w:tc>
      </w:tr>
      <w:tr w:rsidR="00973AC0" w:rsidRPr="00E10F25" w14:paraId="3784E477" w14:textId="77777777" w:rsidTr="0046655F">
        <w:trPr>
          <w:trHeight w:val="634"/>
        </w:trPr>
        <w:tc>
          <w:tcPr>
            <w:tcW w:w="1665" w:type="pct"/>
            <w:shd w:val="clear" w:color="auto" w:fill="auto"/>
            <w:noWrap/>
            <w:vAlign w:val="center"/>
            <w:hideMark/>
          </w:tcPr>
          <w:p w14:paraId="09CD905A" w14:textId="539C5532" w:rsidR="00973AC0" w:rsidRPr="00E10F25" w:rsidRDefault="00973AC0" w:rsidP="00F84324">
            <w:pPr>
              <w:spacing w:before="0" w:after="0"/>
              <w:rPr>
                <w:rFonts w:eastAsia="Times New Roman" w:cstheme="minorHAnsi"/>
                <w:color w:val="000000"/>
                <w:sz w:val="20"/>
                <w:szCs w:val="20"/>
                <w:lang w:eastAsia="es-MX"/>
              </w:rPr>
            </w:pPr>
            <w:bookmarkStart w:id="70" w:name="_Hlk44249070"/>
            <w:r w:rsidRPr="00E10F25">
              <w:rPr>
                <w:rFonts w:eastAsia="Times New Roman" w:cstheme="minorHAnsi"/>
                <w:color w:val="000000"/>
                <w:sz w:val="20"/>
                <w:szCs w:val="20"/>
                <w:lang w:eastAsia="es-MX"/>
              </w:rPr>
              <w:t>6</w:t>
            </w:r>
            <w:r w:rsidR="00F84324" w:rsidRPr="00E10F25">
              <w:rPr>
                <w:rFonts w:eastAsia="Times New Roman" w:cstheme="minorHAnsi"/>
                <w:color w:val="000000"/>
                <w:sz w:val="20"/>
                <w:szCs w:val="20"/>
                <w:lang w:eastAsia="es-MX"/>
              </w:rPr>
              <w:t xml:space="preserve">. </w:t>
            </w:r>
            <w:r w:rsidRPr="00E10F25">
              <w:rPr>
                <w:rFonts w:eastAsia="Times New Roman" w:cstheme="minorHAnsi"/>
                <w:color w:val="000000"/>
                <w:sz w:val="20"/>
                <w:szCs w:val="20"/>
                <w:lang w:eastAsia="es-MX"/>
              </w:rPr>
              <w:t>Garantizar la disponibilidad de agua y su gestión sostenible y el saneamiento para todos</w:t>
            </w:r>
          </w:p>
        </w:tc>
        <w:tc>
          <w:tcPr>
            <w:tcW w:w="1775" w:type="pct"/>
            <w:shd w:val="clear" w:color="auto" w:fill="auto"/>
            <w:vAlign w:val="center"/>
            <w:hideMark/>
          </w:tcPr>
          <w:p w14:paraId="2E27789B" w14:textId="48BE143E" w:rsidR="00973AC0" w:rsidRPr="00E10F25" w:rsidRDefault="008F3916" w:rsidP="008F3916">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6.1 De aquí a 2030, lograr el acceso universal y equitativo al agua potable a un precio asequible para todos</w:t>
            </w:r>
            <w:r w:rsidR="00E10F25" w:rsidRPr="00E10F25">
              <w:rPr>
                <w:rFonts w:eastAsia="Times New Roman" w:cstheme="minorHAnsi"/>
                <w:color w:val="000000"/>
                <w:sz w:val="20"/>
                <w:szCs w:val="20"/>
                <w:lang w:eastAsia="es-MX"/>
              </w:rPr>
              <w:t>.</w:t>
            </w:r>
          </w:p>
        </w:tc>
        <w:tc>
          <w:tcPr>
            <w:tcW w:w="1560" w:type="pct"/>
            <w:shd w:val="clear" w:color="auto" w:fill="auto"/>
            <w:noWrap/>
            <w:vAlign w:val="center"/>
            <w:hideMark/>
          </w:tcPr>
          <w:p w14:paraId="3B4A96B8"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Infraestructura de agua potable, alcantarillado y saneamiento</w:t>
            </w:r>
          </w:p>
        </w:tc>
      </w:tr>
      <w:tr w:rsidR="00973AC0" w:rsidRPr="00E10F25" w14:paraId="5D7E8B54" w14:textId="77777777" w:rsidTr="0046655F">
        <w:trPr>
          <w:trHeight w:val="634"/>
        </w:trPr>
        <w:tc>
          <w:tcPr>
            <w:tcW w:w="1665" w:type="pct"/>
            <w:vMerge w:val="restart"/>
            <w:shd w:val="clear" w:color="auto" w:fill="auto"/>
            <w:noWrap/>
            <w:vAlign w:val="center"/>
            <w:hideMark/>
          </w:tcPr>
          <w:p w14:paraId="003D77FC" w14:textId="09A7D196" w:rsidR="00973AC0" w:rsidRPr="00E10F25" w:rsidRDefault="00F84324" w:rsidP="00F84324">
            <w:pPr>
              <w:spacing w:before="0" w:after="0"/>
              <w:rPr>
                <w:rFonts w:eastAsia="Times New Roman" w:cstheme="minorHAnsi"/>
                <w:color w:val="000000"/>
                <w:sz w:val="20"/>
                <w:szCs w:val="20"/>
                <w:lang w:eastAsia="es-MX"/>
              </w:rPr>
            </w:pPr>
            <w:bookmarkStart w:id="71" w:name="_Hlk44249089"/>
            <w:bookmarkEnd w:id="70"/>
            <w:r w:rsidRPr="00E10F25">
              <w:rPr>
                <w:rFonts w:eastAsia="Times New Roman" w:cstheme="minorHAnsi"/>
                <w:color w:val="000000"/>
                <w:sz w:val="20"/>
                <w:szCs w:val="20"/>
                <w:lang w:eastAsia="es-MX"/>
              </w:rPr>
              <w:t xml:space="preserve">9. </w:t>
            </w:r>
            <w:r w:rsidR="00973AC0" w:rsidRPr="00E10F25">
              <w:rPr>
                <w:rFonts w:eastAsia="Times New Roman" w:cstheme="minorHAnsi"/>
                <w:color w:val="000000"/>
                <w:sz w:val="20"/>
                <w:szCs w:val="20"/>
                <w:lang w:eastAsia="es-MX"/>
              </w:rPr>
              <w:t>Construir infraestructuras resilientes, promover la industrialización inclusiva y sostenible y fomentar la innovación</w:t>
            </w:r>
            <w:bookmarkEnd w:id="71"/>
          </w:p>
        </w:tc>
        <w:tc>
          <w:tcPr>
            <w:tcW w:w="1775" w:type="pct"/>
            <w:vMerge w:val="restart"/>
            <w:shd w:val="clear" w:color="auto" w:fill="auto"/>
            <w:vAlign w:val="center"/>
            <w:hideMark/>
          </w:tcPr>
          <w:p w14:paraId="5130AE5A" w14:textId="7A55CD9E" w:rsidR="00973AC0" w:rsidRPr="00E10F25" w:rsidRDefault="00E10F25" w:rsidP="00E10F25">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9.1 Desarrollar infraestructuras fiables, sostenibles, resilientes y de calidad, incluidas infraestructuras regionales y transfronterizas, para apoyar el desarrollo económico y el bienestar humano, haciendo especial hincapié en el acceso asequible y equitativo para todos.</w:t>
            </w:r>
          </w:p>
        </w:tc>
        <w:tc>
          <w:tcPr>
            <w:tcW w:w="1560" w:type="pct"/>
            <w:shd w:val="clear" w:color="auto" w:fill="auto"/>
            <w:noWrap/>
            <w:vAlign w:val="center"/>
            <w:hideMark/>
          </w:tcPr>
          <w:p w14:paraId="539D8830"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Reconstrucción y conservación de carreteras</w:t>
            </w:r>
          </w:p>
        </w:tc>
      </w:tr>
      <w:tr w:rsidR="00973AC0" w:rsidRPr="00E10F25" w14:paraId="59000A1C" w14:textId="77777777" w:rsidTr="0046655F">
        <w:trPr>
          <w:trHeight w:val="324"/>
        </w:trPr>
        <w:tc>
          <w:tcPr>
            <w:tcW w:w="1665" w:type="pct"/>
            <w:vMerge/>
            <w:vAlign w:val="center"/>
            <w:hideMark/>
          </w:tcPr>
          <w:p w14:paraId="5AB3F2F3"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447C4186"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6DEA8513"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Otros proyectos de infraestructura gubernamental</w:t>
            </w:r>
          </w:p>
        </w:tc>
      </w:tr>
      <w:tr w:rsidR="00973AC0" w:rsidRPr="00E10F25" w14:paraId="250610EC" w14:textId="77777777" w:rsidTr="0046655F">
        <w:trPr>
          <w:trHeight w:val="324"/>
        </w:trPr>
        <w:tc>
          <w:tcPr>
            <w:tcW w:w="1665" w:type="pct"/>
            <w:vMerge/>
            <w:vAlign w:val="center"/>
            <w:hideMark/>
          </w:tcPr>
          <w:p w14:paraId="7190B6B3"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57BDEBC2"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2C0A5FB3"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construcción de puertos</w:t>
            </w:r>
          </w:p>
        </w:tc>
      </w:tr>
      <w:tr w:rsidR="00973AC0" w:rsidRPr="00E10F25" w14:paraId="60E8418B" w14:textId="77777777" w:rsidTr="0046655F">
        <w:trPr>
          <w:trHeight w:val="634"/>
        </w:trPr>
        <w:tc>
          <w:tcPr>
            <w:tcW w:w="1665" w:type="pct"/>
            <w:vMerge w:val="restart"/>
            <w:shd w:val="clear" w:color="auto" w:fill="auto"/>
            <w:noWrap/>
            <w:vAlign w:val="center"/>
            <w:hideMark/>
          </w:tcPr>
          <w:p w14:paraId="74C3FEBB" w14:textId="780D7ED0" w:rsidR="00973AC0" w:rsidRPr="00E10F25" w:rsidRDefault="00973AC0" w:rsidP="00F84324">
            <w:pPr>
              <w:spacing w:before="0" w:after="0"/>
              <w:rPr>
                <w:rFonts w:eastAsia="Times New Roman" w:cstheme="minorHAnsi"/>
                <w:color w:val="000000"/>
                <w:sz w:val="20"/>
                <w:szCs w:val="20"/>
                <w:lang w:eastAsia="es-MX"/>
              </w:rPr>
            </w:pPr>
            <w:bookmarkStart w:id="72" w:name="_Hlk44249102"/>
            <w:r w:rsidRPr="00E10F25">
              <w:rPr>
                <w:rFonts w:eastAsia="Times New Roman" w:cstheme="minorHAnsi"/>
                <w:color w:val="000000"/>
                <w:sz w:val="20"/>
                <w:szCs w:val="20"/>
                <w:lang w:eastAsia="es-MX"/>
              </w:rPr>
              <w:t>11</w:t>
            </w:r>
            <w:r w:rsidR="00F84324" w:rsidRPr="00E10F25">
              <w:rPr>
                <w:rFonts w:eastAsia="Times New Roman" w:cstheme="minorHAnsi"/>
                <w:color w:val="000000"/>
                <w:sz w:val="20"/>
                <w:szCs w:val="20"/>
                <w:lang w:eastAsia="es-MX"/>
              </w:rPr>
              <w:t>.</w:t>
            </w:r>
            <w:r w:rsidR="00826CDE">
              <w:rPr>
                <w:rFonts w:eastAsia="Times New Roman" w:cstheme="minorHAnsi"/>
                <w:color w:val="000000"/>
                <w:sz w:val="20"/>
                <w:szCs w:val="20"/>
                <w:lang w:eastAsia="es-MX"/>
              </w:rPr>
              <w:t xml:space="preserve"> </w:t>
            </w:r>
            <w:r w:rsidRPr="00E10F25">
              <w:rPr>
                <w:rFonts w:eastAsia="Times New Roman" w:cstheme="minorHAnsi"/>
                <w:color w:val="000000"/>
                <w:sz w:val="20"/>
                <w:szCs w:val="20"/>
                <w:lang w:eastAsia="es-MX"/>
              </w:rPr>
              <w:t>Lograr que las ciudades y los asentamientos humanos sean inclusivos, seguros, resilientes y sostenibles</w:t>
            </w:r>
            <w:bookmarkEnd w:id="72"/>
          </w:p>
        </w:tc>
        <w:tc>
          <w:tcPr>
            <w:tcW w:w="1775" w:type="pct"/>
            <w:vMerge w:val="restart"/>
            <w:shd w:val="clear" w:color="auto" w:fill="auto"/>
            <w:vAlign w:val="center"/>
            <w:hideMark/>
          </w:tcPr>
          <w:p w14:paraId="0C5A6277" w14:textId="77777777" w:rsidR="00973AC0" w:rsidRPr="00E10F25" w:rsidRDefault="00E10F25" w:rsidP="00E10F25">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11.1 De aquí a 2030, asegurar el acceso de todas las personas a viviendas y servicios básicos adecuados, seguros y asequibles y mejorar los barrios marginales.</w:t>
            </w:r>
          </w:p>
          <w:p w14:paraId="1E103356" w14:textId="19BFBBCE" w:rsidR="00E10F25" w:rsidRPr="00E10F25" w:rsidRDefault="00E10F25" w:rsidP="00E10F25">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11.3 De aquí a 2030, aumentar la urbanización inclusiva y sostenible y la capacidad para la planificación y la gestión participativas, integradas y sostenibles de los asentamientos humanos en todos los países</w:t>
            </w:r>
          </w:p>
        </w:tc>
        <w:tc>
          <w:tcPr>
            <w:tcW w:w="1560" w:type="pct"/>
            <w:shd w:val="clear" w:color="auto" w:fill="auto"/>
            <w:noWrap/>
            <w:vAlign w:val="center"/>
            <w:hideMark/>
          </w:tcPr>
          <w:p w14:paraId="6E8E3731"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Mantenimiento de infraestructura</w:t>
            </w:r>
          </w:p>
        </w:tc>
      </w:tr>
      <w:tr w:rsidR="00973AC0" w:rsidRPr="00E10F25" w14:paraId="2E3A14F2" w14:textId="77777777" w:rsidTr="0046655F">
        <w:trPr>
          <w:trHeight w:val="324"/>
        </w:trPr>
        <w:tc>
          <w:tcPr>
            <w:tcW w:w="1665" w:type="pct"/>
            <w:vMerge/>
            <w:vAlign w:val="center"/>
            <w:hideMark/>
          </w:tcPr>
          <w:p w14:paraId="49275D51"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0633D4E1"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0D7A7729"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de electricidad</w:t>
            </w:r>
          </w:p>
        </w:tc>
      </w:tr>
      <w:tr w:rsidR="00973AC0" w:rsidRPr="00E10F25" w14:paraId="4A1B0301" w14:textId="77777777" w:rsidTr="0046655F">
        <w:trPr>
          <w:trHeight w:val="324"/>
        </w:trPr>
        <w:tc>
          <w:tcPr>
            <w:tcW w:w="1665" w:type="pct"/>
            <w:vMerge/>
            <w:vAlign w:val="center"/>
            <w:hideMark/>
          </w:tcPr>
          <w:p w14:paraId="05425279"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5C62952B"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4D0168B7"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 de equipamiento urbano y construcción de vialidades</w:t>
            </w:r>
          </w:p>
        </w:tc>
      </w:tr>
      <w:tr w:rsidR="00973AC0" w:rsidRPr="00E10F25" w14:paraId="3D8EF4ED" w14:textId="77777777" w:rsidTr="0046655F">
        <w:trPr>
          <w:trHeight w:val="324"/>
        </w:trPr>
        <w:tc>
          <w:tcPr>
            <w:tcW w:w="1665" w:type="pct"/>
            <w:vMerge/>
            <w:vAlign w:val="center"/>
            <w:hideMark/>
          </w:tcPr>
          <w:p w14:paraId="094F24FE"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3C4ADFC4"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1F774496"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de turismo</w:t>
            </w:r>
          </w:p>
        </w:tc>
      </w:tr>
      <w:tr w:rsidR="00973AC0" w:rsidRPr="00E10F25" w14:paraId="66DA6A85" w14:textId="77777777" w:rsidTr="0046655F">
        <w:trPr>
          <w:trHeight w:val="324"/>
        </w:trPr>
        <w:tc>
          <w:tcPr>
            <w:tcW w:w="1665" w:type="pct"/>
            <w:vMerge/>
            <w:vAlign w:val="center"/>
            <w:hideMark/>
          </w:tcPr>
          <w:p w14:paraId="3056F80C"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1376B6EF"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4C54A8BE"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Otros proyectos de infraestructura social</w:t>
            </w:r>
          </w:p>
        </w:tc>
      </w:tr>
      <w:tr w:rsidR="00973AC0" w:rsidRPr="00E10F25" w14:paraId="5E973C51" w14:textId="77777777" w:rsidTr="0046655F">
        <w:trPr>
          <w:trHeight w:val="634"/>
        </w:trPr>
        <w:tc>
          <w:tcPr>
            <w:tcW w:w="1665" w:type="pct"/>
            <w:vMerge w:val="restart"/>
            <w:shd w:val="clear" w:color="auto" w:fill="auto"/>
            <w:noWrap/>
            <w:vAlign w:val="center"/>
            <w:hideMark/>
          </w:tcPr>
          <w:p w14:paraId="643566ED" w14:textId="1E578AD4" w:rsidR="00973AC0" w:rsidRPr="00E10F25" w:rsidRDefault="00973AC0" w:rsidP="00F84324">
            <w:pPr>
              <w:spacing w:before="0" w:after="0"/>
              <w:rPr>
                <w:rFonts w:eastAsia="Times New Roman" w:cstheme="minorHAnsi"/>
                <w:color w:val="000000"/>
                <w:sz w:val="20"/>
                <w:szCs w:val="20"/>
                <w:lang w:eastAsia="es-MX"/>
              </w:rPr>
            </w:pPr>
            <w:bookmarkStart w:id="73" w:name="_Hlk44249117"/>
            <w:r w:rsidRPr="00E10F25">
              <w:rPr>
                <w:rFonts w:eastAsia="Times New Roman" w:cstheme="minorHAnsi"/>
                <w:color w:val="000000"/>
                <w:sz w:val="20"/>
                <w:szCs w:val="20"/>
                <w:lang w:eastAsia="es-MX"/>
              </w:rPr>
              <w:t>16</w:t>
            </w:r>
            <w:r w:rsidR="00F84324" w:rsidRPr="00E10F25">
              <w:rPr>
                <w:rFonts w:eastAsia="Times New Roman" w:cstheme="minorHAnsi"/>
                <w:color w:val="000000"/>
                <w:sz w:val="20"/>
                <w:szCs w:val="20"/>
                <w:lang w:eastAsia="es-MX"/>
              </w:rPr>
              <w:t>.</w:t>
            </w:r>
            <w:r w:rsidR="00826CDE">
              <w:rPr>
                <w:rFonts w:eastAsia="Times New Roman" w:cstheme="minorHAnsi"/>
                <w:color w:val="000000"/>
                <w:sz w:val="20"/>
                <w:szCs w:val="20"/>
                <w:lang w:eastAsia="es-MX"/>
              </w:rPr>
              <w:t xml:space="preserve"> </w:t>
            </w:r>
            <w:r w:rsidRPr="00E10F25">
              <w:rPr>
                <w:rFonts w:eastAsia="Times New Roman" w:cstheme="minorHAnsi"/>
                <w:color w:val="000000"/>
                <w:sz w:val="20"/>
                <w:szCs w:val="20"/>
                <w:lang w:eastAsia="es-MX"/>
              </w:rPr>
              <w:t>Promover sociedades, justas, pacíficas e inclusivas</w:t>
            </w:r>
            <w:bookmarkEnd w:id="73"/>
          </w:p>
        </w:tc>
        <w:tc>
          <w:tcPr>
            <w:tcW w:w="1775" w:type="pct"/>
            <w:vMerge w:val="restart"/>
            <w:shd w:val="clear" w:color="auto" w:fill="auto"/>
            <w:vAlign w:val="center"/>
            <w:hideMark/>
          </w:tcPr>
          <w:p w14:paraId="6FBA808A" w14:textId="7C092004" w:rsidR="00973AC0" w:rsidRPr="00E10F25" w:rsidRDefault="000C75B3" w:rsidP="000C75B3">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16.3. </w:t>
            </w:r>
            <w:r w:rsidRPr="000C75B3">
              <w:rPr>
                <w:rFonts w:eastAsia="Times New Roman" w:cstheme="minorHAnsi"/>
                <w:color w:val="000000"/>
                <w:sz w:val="20"/>
                <w:szCs w:val="20"/>
                <w:lang w:eastAsia="es-MX"/>
              </w:rPr>
              <w:t xml:space="preserve">Promover el </w:t>
            </w:r>
            <w:r w:rsidR="00363F8E">
              <w:rPr>
                <w:rFonts w:eastAsia="Times New Roman" w:cstheme="minorHAnsi"/>
                <w:color w:val="000000"/>
                <w:sz w:val="20"/>
                <w:szCs w:val="20"/>
                <w:lang w:eastAsia="es-MX"/>
              </w:rPr>
              <w:t>e</w:t>
            </w:r>
            <w:r w:rsidRPr="000C75B3">
              <w:rPr>
                <w:rFonts w:eastAsia="Times New Roman" w:cstheme="minorHAnsi"/>
                <w:color w:val="000000"/>
                <w:sz w:val="20"/>
                <w:szCs w:val="20"/>
                <w:lang w:eastAsia="es-MX"/>
              </w:rPr>
              <w:t xml:space="preserve">stado de derecho en los planos nacional e internacional y </w:t>
            </w:r>
            <w:r w:rsidRPr="000C75B3">
              <w:rPr>
                <w:rFonts w:eastAsia="Times New Roman" w:cstheme="minorHAnsi"/>
                <w:color w:val="000000"/>
                <w:sz w:val="20"/>
                <w:szCs w:val="20"/>
                <w:lang w:eastAsia="es-MX"/>
              </w:rPr>
              <w:lastRenderedPageBreak/>
              <w:t>garantizar la igualdad de acceso a la justicia para todos</w:t>
            </w:r>
          </w:p>
        </w:tc>
        <w:tc>
          <w:tcPr>
            <w:tcW w:w="1560" w:type="pct"/>
            <w:shd w:val="clear" w:color="auto" w:fill="auto"/>
            <w:noWrap/>
            <w:vAlign w:val="center"/>
            <w:hideMark/>
          </w:tcPr>
          <w:p w14:paraId="60E2244B"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lastRenderedPageBreak/>
              <w:t>Proyectos de infraestructura gubernamental de procuración de justicia</w:t>
            </w:r>
          </w:p>
        </w:tc>
      </w:tr>
      <w:tr w:rsidR="00973AC0" w:rsidRPr="00E10F25" w14:paraId="1E58B467" w14:textId="77777777" w:rsidTr="0046655F">
        <w:trPr>
          <w:trHeight w:val="324"/>
        </w:trPr>
        <w:tc>
          <w:tcPr>
            <w:tcW w:w="1665" w:type="pct"/>
            <w:vMerge/>
            <w:vAlign w:val="center"/>
            <w:hideMark/>
          </w:tcPr>
          <w:p w14:paraId="6AF1DEEB" w14:textId="77777777" w:rsidR="00973AC0" w:rsidRPr="00E10F25" w:rsidRDefault="00973AC0" w:rsidP="00F84324">
            <w:pPr>
              <w:spacing w:before="0" w:after="0"/>
              <w:rPr>
                <w:rFonts w:eastAsia="Times New Roman" w:cstheme="minorHAnsi"/>
                <w:color w:val="000000"/>
                <w:sz w:val="20"/>
                <w:szCs w:val="20"/>
                <w:lang w:eastAsia="es-MX"/>
              </w:rPr>
            </w:pPr>
          </w:p>
        </w:tc>
        <w:tc>
          <w:tcPr>
            <w:tcW w:w="1775" w:type="pct"/>
            <w:vMerge/>
            <w:vAlign w:val="center"/>
            <w:hideMark/>
          </w:tcPr>
          <w:p w14:paraId="5C01C200" w14:textId="77777777" w:rsidR="00973AC0" w:rsidRPr="00E10F25" w:rsidRDefault="00973AC0" w:rsidP="00E24347">
            <w:pPr>
              <w:spacing w:before="0" w:after="0"/>
              <w:jc w:val="center"/>
              <w:rPr>
                <w:rFonts w:eastAsia="Times New Roman" w:cstheme="minorHAnsi"/>
                <w:color w:val="000000"/>
                <w:sz w:val="20"/>
                <w:szCs w:val="20"/>
                <w:lang w:eastAsia="es-MX"/>
              </w:rPr>
            </w:pPr>
          </w:p>
        </w:tc>
        <w:tc>
          <w:tcPr>
            <w:tcW w:w="1560" w:type="pct"/>
            <w:shd w:val="clear" w:color="auto" w:fill="auto"/>
            <w:noWrap/>
            <w:vAlign w:val="center"/>
            <w:hideMark/>
          </w:tcPr>
          <w:p w14:paraId="4A7C51BE" w14:textId="77777777" w:rsidR="00973AC0" w:rsidRPr="00E10F25" w:rsidRDefault="00973AC0"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Proyectos de infraestructura gubernamental de seguridad pública</w:t>
            </w:r>
          </w:p>
        </w:tc>
      </w:tr>
      <w:tr w:rsidR="00E10F25" w:rsidRPr="00E10F25" w14:paraId="47FA25AB" w14:textId="77777777" w:rsidTr="0046655F">
        <w:trPr>
          <w:trHeight w:val="814"/>
        </w:trPr>
        <w:tc>
          <w:tcPr>
            <w:tcW w:w="1665" w:type="pct"/>
            <w:vMerge w:val="restart"/>
            <w:shd w:val="clear" w:color="auto" w:fill="auto"/>
            <w:noWrap/>
            <w:vAlign w:val="center"/>
            <w:hideMark/>
          </w:tcPr>
          <w:p w14:paraId="4C0D86BE" w14:textId="77777777" w:rsidR="00E10F25" w:rsidRPr="00E10F25" w:rsidRDefault="00E10F25" w:rsidP="00F84324">
            <w:pPr>
              <w:spacing w:before="0" w:after="0"/>
              <w:rPr>
                <w:rFonts w:eastAsia="Times New Roman" w:cstheme="minorHAnsi"/>
                <w:color w:val="000000"/>
                <w:sz w:val="20"/>
                <w:szCs w:val="20"/>
                <w:lang w:eastAsia="es-MX"/>
              </w:rPr>
            </w:pPr>
            <w:r w:rsidRPr="00E10F25">
              <w:rPr>
                <w:rFonts w:eastAsia="Times New Roman" w:cstheme="minorHAnsi"/>
                <w:color w:val="000000"/>
                <w:sz w:val="20"/>
                <w:szCs w:val="20"/>
                <w:lang w:eastAsia="es-MX"/>
              </w:rPr>
              <w:t xml:space="preserve"> </w:t>
            </w:r>
            <w:bookmarkStart w:id="74" w:name="_Hlk44249135"/>
            <w:r w:rsidRPr="00E10F25">
              <w:rPr>
                <w:rFonts w:eastAsia="Times New Roman" w:cstheme="minorHAnsi"/>
                <w:color w:val="000000"/>
                <w:sz w:val="20"/>
                <w:szCs w:val="20"/>
                <w:lang w:eastAsia="es-MX"/>
              </w:rPr>
              <w:t>17. Fortalecer los medios de implementación y revitalizar la Alianza Mundial para el Desarrollo Sostenible</w:t>
            </w:r>
            <w:bookmarkEnd w:id="74"/>
          </w:p>
        </w:tc>
        <w:tc>
          <w:tcPr>
            <w:tcW w:w="1775" w:type="pct"/>
            <w:vMerge w:val="restart"/>
            <w:shd w:val="clear" w:color="auto" w:fill="auto"/>
            <w:vAlign w:val="center"/>
            <w:hideMark/>
          </w:tcPr>
          <w:p w14:paraId="3DF7111F" w14:textId="62165C46" w:rsidR="00E10F25" w:rsidRPr="00E10F25" w:rsidRDefault="000C75B3" w:rsidP="00E10F25">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17.</w:t>
            </w:r>
            <w:r w:rsidR="00E10F25" w:rsidRPr="00E10F25">
              <w:rPr>
                <w:rFonts w:eastAsia="Times New Roman" w:cstheme="minorHAnsi"/>
                <w:color w:val="000000"/>
                <w:sz w:val="20"/>
                <w:szCs w:val="20"/>
                <w:lang w:eastAsia="es-MX"/>
              </w:rPr>
              <w:t>4. Ayudar a los países en desarrollo a lograr la sostenibilidad de la deuda a largo plazo con políticas coordinadas orientadas a fomentar la financiación, el alivio y la reestructuración de la deuda, según proceda, y hacer frente a la deuda externa de los países pobres muy endeudados a fin de reducir el endeudamiento excesivo.</w:t>
            </w:r>
          </w:p>
        </w:tc>
        <w:tc>
          <w:tcPr>
            <w:tcW w:w="1560" w:type="pct"/>
            <w:shd w:val="clear" w:color="auto" w:fill="auto"/>
            <w:noWrap/>
            <w:vAlign w:val="center"/>
            <w:hideMark/>
          </w:tcPr>
          <w:p w14:paraId="76FA799C" w14:textId="02183A14" w:rsidR="005A5F04" w:rsidRDefault="005A5F04" w:rsidP="00E24347">
            <w:pPr>
              <w:spacing w:before="0" w:after="0"/>
              <w:jc w:val="left"/>
              <w:rPr>
                <w:rFonts w:eastAsia="Times New Roman" w:cstheme="minorHAnsi"/>
                <w:color w:val="000000"/>
                <w:sz w:val="20"/>
                <w:szCs w:val="20"/>
                <w:lang w:eastAsia="es-MX"/>
              </w:rPr>
            </w:pPr>
            <w:r w:rsidRPr="005A5F04">
              <w:rPr>
                <w:rFonts w:eastAsia="Times New Roman" w:cstheme="minorHAnsi"/>
                <w:color w:val="000000"/>
                <w:sz w:val="20"/>
                <w:szCs w:val="20"/>
                <w:lang w:eastAsia="es-MX"/>
              </w:rPr>
              <w:t>Costo financiero y deuda</w:t>
            </w:r>
          </w:p>
          <w:p w14:paraId="4A58B3E5" w14:textId="466BBDC0" w:rsidR="00E10F25" w:rsidRPr="00E10F25" w:rsidRDefault="00E10F25" w:rsidP="00E24347">
            <w:pPr>
              <w:spacing w:before="0" w:after="0"/>
              <w:jc w:val="left"/>
              <w:rPr>
                <w:rFonts w:eastAsia="Times New Roman" w:cstheme="minorHAnsi"/>
                <w:color w:val="000000"/>
                <w:sz w:val="20"/>
                <w:szCs w:val="20"/>
                <w:lang w:eastAsia="es-MX"/>
              </w:rPr>
            </w:pPr>
          </w:p>
        </w:tc>
      </w:tr>
      <w:tr w:rsidR="00E10F25" w:rsidRPr="00E10F25" w14:paraId="1DD772B9" w14:textId="77777777" w:rsidTr="0046655F">
        <w:trPr>
          <w:trHeight w:val="814"/>
        </w:trPr>
        <w:tc>
          <w:tcPr>
            <w:tcW w:w="1665" w:type="pct"/>
            <w:vMerge/>
            <w:shd w:val="clear" w:color="auto" w:fill="auto"/>
            <w:noWrap/>
            <w:vAlign w:val="center"/>
          </w:tcPr>
          <w:p w14:paraId="5F9298AD" w14:textId="77777777" w:rsidR="00E10F25" w:rsidRPr="00E10F25" w:rsidRDefault="00E10F25" w:rsidP="00F84324">
            <w:pPr>
              <w:spacing w:before="0" w:after="0"/>
              <w:rPr>
                <w:rFonts w:eastAsia="Times New Roman" w:cstheme="minorHAnsi"/>
                <w:color w:val="000000"/>
                <w:sz w:val="20"/>
                <w:szCs w:val="20"/>
                <w:lang w:eastAsia="es-MX"/>
              </w:rPr>
            </w:pPr>
          </w:p>
        </w:tc>
        <w:tc>
          <w:tcPr>
            <w:tcW w:w="1775" w:type="pct"/>
            <w:vMerge/>
            <w:shd w:val="clear" w:color="auto" w:fill="auto"/>
            <w:vAlign w:val="center"/>
          </w:tcPr>
          <w:p w14:paraId="15F80309" w14:textId="77777777" w:rsidR="00E10F25" w:rsidRPr="00E10F25" w:rsidRDefault="00E10F25" w:rsidP="00E10F25">
            <w:pPr>
              <w:spacing w:before="0" w:after="0"/>
              <w:rPr>
                <w:rFonts w:eastAsia="Times New Roman" w:cstheme="minorHAnsi"/>
                <w:color w:val="000000"/>
                <w:sz w:val="20"/>
                <w:szCs w:val="20"/>
                <w:lang w:eastAsia="es-MX"/>
              </w:rPr>
            </w:pPr>
          </w:p>
        </w:tc>
        <w:tc>
          <w:tcPr>
            <w:tcW w:w="1560" w:type="pct"/>
            <w:shd w:val="clear" w:color="auto" w:fill="auto"/>
            <w:noWrap/>
            <w:vAlign w:val="center"/>
          </w:tcPr>
          <w:p w14:paraId="6699301B" w14:textId="2E5B4C0A" w:rsidR="00E10F25" w:rsidRPr="00E10F25" w:rsidRDefault="005A5F04" w:rsidP="00E24347">
            <w:pPr>
              <w:spacing w:before="0" w:after="0"/>
              <w:jc w:val="left"/>
              <w:rPr>
                <w:rFonts w:eastAsia="Times New Roman" w:cstheme="minorHAnsi"/>
                <w:color w:val="000000"/>
                <w:sz w:val="20"/>
                <w:szCs w:val="20"/>
                <w:lang w:eastAsia="es-MX"/>
              </w:rPr>
            </w:pPr>
            <w:r w:rsidRPr="00E10F25">
              <w:rPr>
                <w:rFonts w:eastAsia="Times New Roman" w:cstheme="minorHAnsi"/>
                <w:color w:val="000000"/>
                <w:sz w:val="20"/>
                <w:szCs w:val="20"/>
                <w:lang w:eastAsia="es-MX"/>
              </w:rPr>
              <w:t>Actividades de apoyo administrativo</w:t>
            </w:r>
          </w:p>
        </w:tc>
      </w:tr>
    </w:tbl>
    <w:p w14:paraId="5DA5E8D7" w14:textId="2B8C990D" w:rsidR="004629A2" w:rsidRDefault="004629A2" w:rsidP="004629A2">
      <w:pPr>
        <w:pStyle w:val="Fuente"/>
      </w:pPr>
      <w:r>
        <w:t xml:space="preserve">Fuente: Elaboración propia con Información de SF, ODS </w:t>
      </w:r>
      <w:r w:rsidRPr="00846AA6">
        <w:t>Naciones Unidas</w:t>
      </w:r>
      <w:r>
        <w:t>.</w:t>
      </w:r>
    </w:p>
    <w:p w14:paraId="64A41969" w14:textId="77777777" w:rsidR="004629A2" w:rsidRDefault="004629A2" w:rsidP="00D26B7A"/>
    <w:p w14:paraId="0D123420" w14:textId="1BFAFBBF" w:rsidR="004629A2" w:rsidRDefault="004629A2" w:rsidP="00D26B7A">
      <w:pPr>
        <w:sectPr w:rsidR="004629A2" w:rsidSect="00A201C4">
          <w:pgSz w:w="12240" w:h="15840" w:code="1"/>
          <w:pgMar w:top="1134" w:right="1134" w:bottom="1134" w:left="1134" w:header="709" w:footer="709" w:gutter="0"/>
          <w:cols w:space="708"/>
          <w:docGrid w:linePitch="360"/>
        </w:sectPr>
      </w:pPr>
    </w:p>
    <w:p w14:paraId="3BBAF73A" w14:textId="3EAC7ADD" w:rsidR="00147A15" w:rsidRPr="00147A15" w:rsidRDefault="003B5E62" w:rsidP="00167D7C">
      <w:pPr>
        <w:pStyle w:val="Ttulo1"/>
        <w:spacing w:before="0" w:after="0"/>
      </w:pPr>
      <w:bookmarkStart w:id="75" w:name="_Toc61633645"/>
      <w:r>
        <w:lastRenderedPageBreak/>
        <w:t xml:space="preserve">VII. </w:t>
      </w:r>
      <w:r w:rsidR="00147A15" w:rsidRPr="00147A15">
        <w:t>Módulo 5. Mecanismos de coordinación</w:t>
      </w:r>
      <w:bookmarkEnd w:id="75"/>
    </w:p>
    <w:p w14:paraId="5B0A944C" w14:textId="6A4EA81C" w:rsidR="00147A15" w:rsidRPr="00E132E1" w:rsidRDefault="00196215" w:rsidP="00E132E1">
      <w:pPr>
        <w:pStyle w:val="Ttulo2"/>
      </w:pPr>
      <w:bookmarkStart w:id="76" w:name="_Toc61633646"/>
      <w:r w:rsidRPr="00E132E1">
        <w:t>5</w:t>
      </w:r>
      <w:r w:rsidR="00147A15" w:rsidRPr="00E132E1">
        <w:t>.1 Gestión, operación y planeación</w:t>
      </w:r>
      <w:bookmarkEnd w:id="76"/>
    </w:p>
    <w:p w14:paraId="03EC0B8C" w14:textId="7EB66A79" w:rsidR="00147A15" w:rsidRPr="00D31F24" w:rsidRDefault="00567363" w:rsidP="00E56B66">
      <w:pPr>
        <w:spacing w:before="0"/>
        <w:rPr>
          <w:rFonts w:cstheme="minorHAnsi"/>
          <w:b/>
        </w:rPr>
      </w:pPr>
      <w:r w:rsidRPr="00D31F24">
        <w:rPr>
          <w:rFonts w:cstheme="minorHAnsi"/>
          <w:b/>
        </w:rPr>
        <w:t xml:space="preserve">15. </w:t>
      </w:r>
      <w:bookmarkStart w:id="77" w:name="_Hlk43919378"/>
      <w:r w:rsidR="00147A15" w:rsidRPr="00D31F24">
        <w:rPr>
          <w:rFonts w:cstheme="minorHAnsi"/>
          <w:b/>
        </w:rPr>
        <w:t xml:space="preserve">Describa el o los procesos clave en la gestión y operación de las aportaciones del FAFEF a la entidad federativa, así como el papel de la o las dependencias </w:t>
      </w:r>
      <w:bookmarkEnd w:id="77"/>
      <w:r w:rsidR="00147A15" w:rsidRPr="00D31F24">
        <w:rPr>
          <w:rFonts w:cstheme="minorHAnsi"/>
          <w:b/>
        </w:rPr>
        <w:t>o entidades responsables involucradas en cada etapa del proceso desde el nivel federal hasta el local.</w:t>
      </w:r>
    </w:p>
    <w:p w14:paraId="7714D630" w14:textId="77777777" w:rsidR="00D31F24" w:rsidRPr="00E56B66" w:rsidRDefault="00D31F24" w:rsidP="00D31F24">
      <w:pPr>
        <w:rPr>
          <w:b/>
          <w:bCs/>
        </w:rPr>
      </w:pPr>
      <w:r w:rsidRPr="00E56B66">
        <w:rPr>
          <w:b/>
          <w:bCs/>
        </w:rPr>
        <w:t>No procede valoración cuantitativa.</w:t>
      </w:r>
    </w:p>
    <w:p w14:paraId="7569F7F4" w14:textId="56FD7950" w:rsidR="00D31F24" w:rsidRDefault="00D31F24" w:rsidP="00D31F24">
      <w:pPr>
        <w:spacing w:after="0"/>
      </w:pPr>
      <w:r>
        <w:t>En la entidad</w:t>
      </w:r>
      <w:r w:rsidR="00492873">
        <w:t xml:space="preserve"> federativa</w:t>
      </w:r>
      <w:r>
        <w:t xml:space="preserve"> se destinaron recursos a los </w:t>
      </w:r>
      <w:r w:rsidR="009C7668">
        <w:t>cuatro</w:t>
      </w:r>
      <w:r>
        <w:t xml:space="preserve"> rubros de gasto siguientes: </w:t>
      </w:r>
      <w:r w:rsidRPr="00901AD6">
        <w:t>1. Saneamiento Financiero; 2. Infraestructura Pública; 3. Educación;</w:t>
      </w:r>
      <w:r w:rsidR="005F4BD8">
        <w:t xml:space="preserve"> y</w:t>
      </w:r>
      <w:r w:rsidRPr="00901AD6">
        <w:t xml:space="preserve"> 4. Modernización de sistemas de recaudación</w:t>
      </w:r>
      <w:r w:rsidR="005F4BD8">
        <w:t>,</w:t>
      </w:r>
      <w:r>
        <w:t xml:space="preserve"> a través de 17 Pp.</w:t>
      </w:r>
    </w:p>
    <w:p w14:paraId="36FFB164" w14:textId="7C659D08" w:rsidR="00FD6712" w:rsidRDefault="00FD6712" w:rsidP="00FD6712">
      <w:pPr>
        <w:spacing w:after="0"/>
        <w:rPr>
          <w:b/>
          <w:bCs/>
        </w:rPr>
      </w:pPr>
      <w:r>
        <w:t>De acuerdo con lo anterior</w:t>
      </w:r>
      <w:r w:rsidR="002B6375">
        <w:t xml:space="preserve">, </w:t>
      </w:r>
      <w:r>
        <w:t>en general</w:t>
      </w:r>
      <w:r w:rsidR="002B6375">
        <w:t xml:space="preserve"> se</w:t>
      </w:r>
      <w:r>
        <w:t xml:space="preserve"> siguen los procesos clave en la gestión y operación de las aportaciones, conforme a la secuencia de pasos siguientes:</w:t>
      </w:r>
    </w:p>
    <w:p w14:paraId="56894D3E" w14:textId="32A2D34F" w:rsidR="0059761C" w:rsidRPr="006E5675" w:rsidRDefault="007B6251" w:rsidP="006E5675">
      <w:pPr>
        <w:pStyle w:val="Prrafodelista"/>
        <w:numPr>
          <w:ilvl w:val="0"/>
          <w:numId w:val="35"/>
        </w:numPr>
        <w:rPr>
          <w:b/>
          <w:bCs/>
        </w:rPr>
      </w:pPr>
      <w:r w:rsidRPr="006E5675">
        <w:rPr>
          <w:b/>
          <w:bCs/>
        </w:rPr>
        <w:t>A</w:t>
      </w:r>
      <w:r w:rsidR="00FD6712" w:rsidRPr="006E5675">
        <w:rPr>
          <w:b/>
          <w:bCs/>
        </w:rPr>
        <w:t>signación</w:t>
      </w:r>
    </w:p>
    <w:p w14:paraId="1FABA0B4" w14:textId="4ECE2C41" w:rsidR="007A63B6" w:rsidRDefault="00D030FF" w:rsidP="00D030FF">
      <w:r w:rsidRPr="00962DF4">
        <w:rPr>
          <w:rFonts w:eastAsia="MS Mincho" w:cstheme="minorHAnsi"/>
        </w:rPr>
        <w:t xml:space="preserve">Conforme el </w:t>
      </w:r>
      <w:r w:rsidR="00B66C18">
        <w:rPr>
          <w:rFonts w:eastAsia="MS Mincho" w:cstheme="minorHAnsi"/>
        </w:rPr>
        <w:t>A</w:t>
      </w:r>
      <w:r w:rsidRPr="00962DF4">
        <w:rPr>
          <w:rFonts w:eastAsia="MS Mincho" w:cstheme="minorHAnsi"/>
        </w:rPr>
        <w:t>rtículo 6 de la LFPRH, el Ejecutivo Federal, por conducto de la Secretaría de Hacienda y Crédito Público (SHCP), está a</w:t>
      </w:r>
      <w:r>
        <w:rPr>
          <w:rFonts w:eastAsia="MS Mincho" w:cstheme="minorHAnsi"/>
        </w:rPr>
        <w:t xml:space="preserve"> </w:t>
      </w:r>
      <w:r w:rsidRPr="00962DF4">
        <w:rPr>
          <w:rFonts w:eastAsia="MS Mincho" w:cstheme="minorHAnsi"/>
        </w:rPr>
        <w:t xml:space="preserve">cargo de la programación y presupuestación del gasto público federal. La SHCP estima el monto de recursos del FAFEF, así como la distribución para cada entidad federativa conforme lo establecido en el </w:t>
      </w:r>
      <w:r w:rsidR="00B66C18">
        <w:rPr>
          <w:rFonts w:eastAsia="MS Mincho" w:cstheme="minorHAnsi"/>
        </w:rPr>
        <w:t>A</w:t>
      </w:r>
      <w:r w:rsidRPr="00962DF4">
        <w:rPr>
          <w:rFonts w:eastAsia="MS Mincho" w:cstheme="minorHAnsi"/>
        </w:rPr>
        <w:t>rtículo 46 de la LCF</w:t>
      </w:r>
      <w:r>
        <w:rPr>
          <w:rFonts w:eastAsia="MS Mincho" w:cstheme="minorHAnsi"/>
        </w:rPr>
        <w:t xml:space="preserve">. En este sentido, </w:t>
      </w:r>
      <w:r w:rsidR="007A63B6" w:rsidRPr="00C46131">
        <w:t>el 8 de septiembre d</w:t>
      </w:r>
      <w:r>
        <w:t>e cada año</w:t>
      </w:r>
      <w:r w:rsidR="007A63B6" w:rsidRPr="00C46131">
        <w:t xml:space="preserve"> se publican los montos propuestos al Fondo en el Proyecto del Presupuesto de Egresos de la Federación (PPEF) correspondiente</w:t>
      </w:r>
      <w:r w:rsidR="00EB7D20">
        <w:t>.</w:t>
      </w:r>
    </w:p>
    <w:p w14:paraId="15B9E475" w14:textId="318E715C" w:rsidR="00FD6712" w:rsidRDefault="00D030FF" w:rsidP="00D030FF">
      <w:pPr>
        <w:pStyle w:val="Cuestio"/>
        <w:jc w:val="both"/>
        <w:rPr>
          <w:rFonts w:asciiTheme="minorHAnsi" w:eastAsiaTheme="minorHAnsi" w:hAnsiTheme="minorHAnsi" w:cstheme="minorBidi"/>
          <w:sz w:val="22"/>
          <w:szCs w:val="22"/>
          <w:lang w:eastAsia="en-US"/>
        </w:rPr>
      </w:pPr>
      <w:r>
        <w:rPr>
          <w:rFonts w:asciiTheme="minorHAnsi" w:eastAsia="MS Mincho" w:hAnsiTheme="minorHAnsi" w:cstheme="minorHAnsi"/>
          <w:sz w:val="22"/>
          <w:szCs w:val="22"/>
        </w:rPr>
        <w:t xml:space="preserve">La aprobación del Presupuesto de Egresos de la Federación deberá darse a más tardar el 15 de noviembre del año previo y </w:t>
      </w:r>
      <w:r w:rsidRPr="00D030FF">
        <w:rPr>
          <w:rFonts w:asciiTheme="minorHAnsi" w:eastAsiaTheme="minorHAnsi" w:hAnsiTheme="minorHAnsi" w:cstheme="minorBidi"/>
          <w:sz w:val="22"/>
          <w:szCs w:val="22"/>
          <w:lang w:eastAsia="en-US"/>
        </w:rPr>
        <w:t xml:space="preserve">posteriormente </w:t>
      </w:r>
      <w:r>
        <w:rPr>
          <w:rFonts w:asciiTheme="minorHAnsi" w:eastAsiaTheme="minorHAnsi" w:hAnsiTheme="minorHAnsi" w:cstheme="minorBidi"/>
          <w:sz w:val="22"/>
          <w:szCs w:val="22"/>
          <w:lang w:eastAsia="en-US"/>
        </w:rPr>
        <w:t>l</w:t>
      </w:r>
      <w:r w:rsidR="00FD6712" w:rsidRPr="00D030FF">
        <w:rPr>
          <w:rFonts w:asciiTheme="minorHAnsi" w:eastAsiaTheme="minorHAnsi" w:hAnsiTheme="minorHAnsi" w:cstheme="minorBidi"/>
          <w:sz w:val="22"/>
          <w:szCs w:val="22"/>
          <w:lang w:eastAsia="en-US"/>
        </w:rPr>
        <w:t>a SHCP determina la calendarización y distribución del monto de los recursos del FAFEF asignado al Estado, a través del Presupuesto de Egresos Federal y lo publica en el DO</w:t>
      </w:r>
      <w:r>
        <w:rPr>
          <w:rFonts w:asciiTheme="minorHAnsi" w:eastAsiaTheme="minorHAnsi" w:hAnsiTheme="minorHAnsi" w:cstheme="minorBidi"/>
          <w:sz w:val="22"/>
          <w:szCs w:val="22"/>
          <w:lang w:eastAsia="en-US"/>
        </w:rPr>
        <w:t xml:space="preserve">F a </w:t>
      </w:r>
      <w:r w:rsidR="00C357C0">
        <w:rPr>
          <w:rFonts w:asciiTheme="minorHAnsi" w:eastAsiaTheme="minorHAnsi" w:hAnsiTheme="minorHAnsi" w:cstheme="minorBidi"/>
          <w:sz w:val="22"/>
          <w:szCs w:val="22"/>
          <w:lang w:eastAsia="en-US"/>
        </w:rPr>
        <w:t>mediante el</w:t>
      </w:r>
      <w:r>
        <w:rPr>
          <w:rFonts w:asciiTheme="minorHAnsi" w:eastAsiaTheme="minorHAnsi" w:hAnsiTheme="minorHAnsi" w:cstheme="minorBidi"/>
          <w:sz w:val="22"/>
          <w:szCs w:val="22"/>
          <w:lang w:eastAsia="en-US"/>
        </w:rPr>
        <w:t xml:space="preserve"> </w:t>
      </w:r>
      <w:bookmarkStart w:id="78" w:name="_Hlk53098359"/>
      <w:r>
        <w:rPr>
          <w:rFonts w:asciiTheme="minorHAnsi" w:eastAsiaTheme="minorHAnsi" w:hAnsiTheme="minorHAnsi" w:cstheme="minorBidi"/>
          <w:sz w:val="22"/>
          <w:szCs w:val="22"/>
          <w:lang w:eastAsia="en-US"/>
        </w:rPr>
        <w:t>Acuerdo</w:t>
      </w:r>
      <w:r w:rsidRPr="00D030FF">
        <w:rPr>
          <w:rFonts w:asciiTheme="minorHAnsi" w:eastAsiaTheme="minorHAnsi" w:hAnsiTheme="minorHAnsi" w:cstheme="minorBidi"/>
          <w:sz w:val="22"/>
          <w:szCs w:val="22"/>
          <w:lang w:eastAsia="en-US"/>
        </w:rPr>
        <w:t xml:space="preserve"> por el que se da a conocer a los gobiernos de las entidades federativas la distribución y calendarización para la ministración durante el Ejercicio Fiscal</w:t>
      </w:r>
      <w:r>
        <w:rPr>
          <w:rFonts w:asciiTheme="minorHAnsi" w:eastAsiaTheme="minorHAnsi" w:hAnsiTheme="minorHAnsi" w:cstheme="minorBidi"/>
          <w:sz w:val="22"/>
          <w:szCs w:val="22"/>
          <w:lang w:eastAsia="en-US"/>
        </w:rPr>
        <w:t xml:space="preserve"> </w:t>
      </w:r>
      <w:r w:rsidR="00535DA1">
        <w:rPr>
          <w:rFonts w:asciiTheme="minorHAnsi" w:eastAsiaTheme="minorHAnsi" w:hAnsiTheme="minorHAnsi" w:cstheme="minorBidi"/>
          <w:sz w:val="22"/>
          <w:szCs w:val="22"/>
          <w:lang w:eastAsia="en-US"/>
        </w:rPr>
        <w:t>correspondiente</w:t>
      </w:r>
      <w:r w:rsidRPr="00D030FF">
        <w:rPr>
          <w:rFonts w:asciiTheme="minorHAnsi" w:eastAsiaTheme="minorHAnsi" w:hAnsiTheme="minorHAnsi" w:cstheme="minorBidi"/>
          <w:sz w:val="22"/>
          <w:szCs w:val="22"/>
          <w:lang w:eastAsia="en-US"/>
        </w:rPr>
        <w:t xml:space="preserve">, de los recursos </w:t>
      </w:r>
      <w:r w:rsidR="00535DA1">
        <w:rPr>
          <w:rFonts w:asciiTheme="minorHAnsi" w:eastAsiaTheme="minorHAnsi" w:hAnsiTheme="minorHAnsi" w:cstheme="minorBidi"/>
          <w:sz w:val="22"/>
          <w:szCs w:val="22"/>
          <w:lang w:eastAsia="en-US"/>
        </w:rPr>
        <w:t>de</w:t>
      </w:r>
      <w:r w:rsidRPr="00D030FF">
        <w:rPr>
          <w:rFonts w:asciiTheme="minorHAnsi" w:eastAsiaTheme="minorHAnsi" w:hAnsiTheme="minorHAnsi" w:cstheme="minorBidi"/>
          <w:sz w:val="22"/>
          <w:szCs w:val="22"/>
          <w:lang w:eastAsia="en-US"/>
        </w:rPr>
        <w:t xml:space="preserve"> los Ramos Generales 28 </w:t>
      </w:r>
      <w:r w:rsidR="00535DA1">
        <w:rPr>
          <w:rFonts w:asciiTheme="minorHAnsi" w:eastAsiaTheme="minorHAnsi" w:hAnsiTheme="minorHAnsi" w:cstheme="minorBidi"/>
          <w:sz w:val="22"/>
          <w:szCs w:val="22"/>
          <w:lang w:eastAsia="en-US"/>
        </w:rPr>
        <w:t>“</w:t>
      </w:r>
      <w:r w:rsidRPr="00D030FF">
        <w:rPr>
          <w:rFonts w:asciiTheme="minorHAnsi" w:eastAsiaTheme="minorHAnsi" w:hAnsiTheme="minorHAnsi" w:cstheme="minorBidi"/>
          <w:sz w:val="22"/>
          <w:szCs w:val="22"/>
          <w:lang w:eastAsia="en-US"/>
        </w:rPr>
        <w:t>Participaciones a Entidades Federativas y Municipios</w:t>
      </w:r>
      <w:r w:rsidR="00535DA1">
        <w:rPr>
          <w:rFonts w:asciiTheme="minorHAnsi" w:eastAsiaTheme="minorHAnsi" w:hAnsiTheme="minorHAnsi" w:cstheme="minorBidi"/>
          <w:sz w:val="22"/>
          <w:szCs w:val="22"/>
          <w:lang w:eastAsia="en-US"/>
        </w:rPr>
        <w:t>”</w:t>
      </w:r>
      <w:r w:rsidRPr="00D030FF">
        <w:rPr>
          <w:rFonts w:asciiTheme="minorHAnsi" w:eastAsiaTheme="minorHAnsi" w:hAnsiTheme="minorHAnsi" w:cstheme="minorBidi"/>
          <w:sz w:val="22"/>
          <w:szCs w:val="22"/>
          <w:lang w:eastAsia="en-US"/>
        </w:rPr>
        <w:t xml:space="preserve">, y 33 </w:t>
      </w:r>
      <w:r w:rsidR="00535DA1">
        <w:rPr>
          <w:rFonts w:asciiTheme="minorHAnsi" w:eastAsiaTheme="minorHAnsi" w:hAnsiTheme="minorHAnsi" w:cstheme="minorBidi"/>
          <w:sz w:val="22"/>
          <w:szCs w:val="22"/>
          <w:lang w:eastAsia="en-US"/>
        </w:rPr>
        <w:t>“</w:t>
      </w:r>
      <w:r w:rsidRPr="00D030FF">
        <w:rPr>
          <w:rFonts w:asciiTheme="minorHAnsi" w:eastAsiaTheme="minorHAnsi" w:hAnsiTheme="minorHAnsi" w:cstheme="minorBidi"/>
          <w:sz w:val="22"/>
          <w:szCs w:val="22"/>
          <w:lang w:eastAsia="en-US"/>
        </w:rPr>
        <w:t>Aportaciones Federales para Entidades Federativas y Municipios</w:t>
      </w:r>
      <w:r w:rsidR="00535DA1">
        <w:rPr>
          <w:rFonts w:asciiTheme="minorHAnsi" w:eastAsiaTheme="minorHAnsi" w:hAnsiTheme="minorHAnsi" w:cstheme="minorBidi"/>
          <w:sz w:val="22"/>
          <w:szCs w:val="22"/>
          <w:lang w:eastAsia="en-US"/>
        </w:rPr>
        <w:t>”</w:t>
      </w:r>
      <w:r w:rsidRPr="00D030FF">
        <w:rPr>
          <w:rFonts w:asciiTheme="minorHAnsi" w:eastAsiaTheme="minorHAnsi" w:hAnsiTheme="minorHAnsi" w:cstheme="minorBidi"/>
          <w:sz w:val="22"/>
          <w:szCs w:val="22"/>
          <w:lang w:eastAsia="en-US"/>
        </w:rPr>
        <w:t>.</w:t>
      </w:r>
    </w:p>
    <w:bookmarkEnd w:id="78"/>
    <w:p w14:paraId="7EEFF89A" w14:textId="77777777" w:rsidR="00BF6D9C" w:rsidRPr="00A80144" w:rsidRDefault="00BF6D9C" w:rsidP="00BF6D9C">
      <w:pPr>
        <w:rPr>
          <w:rFonts w:cstheme="minorHAnsi"/>
          <w:bCs/>
        </w:rPr>
      </w:pPr>
      <w:r w:rsidRPr="00A80144">
        <w:rPr>
          <w:rFonts w:cstheme="minorHAnsi"/>
          <w:b/>
        </w:rPr>
        <w:t>Planeación del gasto de inversión a financiar con recursos del FAFEF</w:t>
      </w:r>
    </w:p>
    <w:p w14:paraId="58B087E1" w14:textId="5D45D527" w:rsidR="00EB7D20" w:rsidRDefault="00EB7D20" w:rsidP="00EB7D20">
      <w:r>
        <w:t>Con base</w:t>
      </w:r>
      <w:r w:rsidRPr="00C46131">
        <w:t xml:space="preserve"> </w:t>
      </w:r>
      <w:r>
        <w:t xml:space="preserve">en el PPEF </w:t>
      </w:r>
      <w:r w:rsidRPr="00C46131">
        <w:t xml:space="preserve">el Estado incluye como parte de su propuesta de Ley de ingresos los recursos del FAFEF </w:t>
      </w:r>
      <w:r>
        <w:t xml:space="preserve">estimados </w:t>
      </w:r>
      <w:r w:rsidRPr="00C46131">
        <w:t xml:space="preserve">y define el proyecto del Presupuesto de Egresos del </w:t>
      </w:r>
      <w:r w:rsidR="00EF4A9C">
        <w:t>E</w:t>
      </w:r>
      <w:r w:rsidRPr="00C46131">
        <w:t>stado</w:t>
      </w:r>
      <w:r w:rsidRPr="00B73C39">
        <w:t>.</w:t>
      </w:r>
    </w:p>
    <w:p w14:paraId="177E1048" w14:textId="5D89C172" w:rsidR="00FD6712" w:rsidRDefault="00D030FF" w:rsidP="00D030FF">
      <w:r>
        <w:t>A través del Grupo de Trabajo, la Subsecretaría de Egresos de l</w:t>
      </w:r>
      <w:r w:rsidR="00FD6712">
        <w:t xml:space="preserve">a SF, </w:t>
      </w:r>
      <w:bookmarkStart w:id="79" w:name="_Hlk53098456"/>
      <w:r w:rsidR="00FD6712">
        <w:t>realiza un análisis del presupuesto asignado al FAFEF en el Estado,</w:t>
      </w:r>
      <w:r>
        <w:t xml:space="preserve"> y con base en el análisis de los resultados de las evaluaciones externas de los recursos del Fondo, Auditorías y los diagnósticos sectoriales del PED 2016-2024,</w:t>
      </w:r>
      <w:r w:rsidR="00FD6712">
        <w:t xml:space="preserve"> determina el destino y/o objetivos a alcanzar con dicho recurso y asigna proyectos de ejecución para ejercer el recurso del Fondo</w:t>
      </w:r>
      <w:bookmarkEnd w:id="79"/>
      <w:r w:rsidR="00FD6712">
        <w:t xml:space="preserve">. </w:t>
      </w:r>
      <w:r w:rsidR="00FD6712" w:rsidRPr="001F6E11">
        <w:t xml:space="preserve">En el Grupo de Trabajo de </w:t>
      </w:r>
      <w:r w:rsidR="00FD6712">
        <w:t>esta</w:t>
      </w:r>
      <w:r w:rsidR="00FD6712" w:rsidRPr="001F6E11">
        <w:t xml:space="preserve"> Subsecretaría, durante las sesiones se llevan a cabo análisis y deliberaciones para establecer las prioridades y necesidades sobre las cuales se canalizarán los recursos del FAFEF, hecho lo cual se seleccionan los Pp, a través de los cuales se dará cauce a dichos recursos y se identifica que las modalidades de los Pp seleccionados, sean acordes a los destinos de elegibilidad que establece la LCF para poder utilizar los recursos del FAFEF. Se hace un análisis de las obras públicas y/o proyectos en los que el FAFEF puede ser de utilidad de acuerdo a lo establecido en el </w:t>
      </w:r>
      <w:r w:rsidR="00B66C18">
        <w:t>A</w:t>
      </w:r>
      <w:r w:rsidR="00FD6712" w:rsidRPr="001F6E11">
        <w:t xml:space="preserve">rtículo 47 de la LCF. </w:t>
      </w:r>
    </w:p>
    <w:p w14:paraId="40C3AFDC" w14:textId="76EAB081" w:rsidR="0003587B" w:rsidRDefault="007B6251" w:rsidP="004F44B0">
      <w:bookmarkStart w:id="80" w:name="_Hlk53098570"/>
      <w:r w:rsidRPr="005E6605">
        <w:t xml:space="preserve">En la etapa de </w:t>
      </w:r>
      <w:r w:rsidR="0003587B" w:rsidRPr="005E6605">
        <w:t>planeación</w:t>
      </w:r>
      <w:r w:rsidRPr="005E6605">
        <w:t xml:space="preserve">, la creación del </w:t>
      </w:r>
      <w:r w:rsidR="004D3669" w:rsidRPr="005E6605">
        <w:t>G</w:t>
      </w:r>
      <w:r w:rsidRPr="005E6605">
        <w:t xml:space="preserve">rupo de </w:t>
      </w:r>
      <w:r w:rsidR="004D3669" w:rsidRPr="005E6605">
        <w:t>T</w:t>
      </w:r>
      <w:r w:rsidRPr="005E6605">
        <w:t>rabajo representa una estrategia adecuada para determinar prioridades de gasto en el ejercicio de los recursos del Fondo, lo cual a su vez se documenta en las minutas de reunión de dicho grupo</w:t>
      </w:r>
      <w:bookmarkEnd w:id="80"/>
      <w:r w:rsidRPr="005E6605">
        <w:t xml:space="preserve">. Sin embargo, se </w:t>
      </w:r>
      <w:r w:rsidR="0003587B" w:rsidRPr="005E6605">
        <w:t xml:space="preserve">recomienda </w:t>
      </w:r>
      <w:r w:rsidRPr="005E6605">
        <w:t xml:space="preserve">institucionalizar el proceso </w:t>
      </w:r>
      <w:r w:rsidR="0003587B" w:rsidRPr="005E6605">
        <w:t xml:space="preserve">de asignación de recursos del Fondo </w:t>
      </w:r>
      <w:r w:rsidRPr="005E6605">
        <w:t xml:space="preserve">como </w:t>
      </w:r>
      <w:r w:rsidR="0003587B" w:rsidRPr="005E6605">
        <w:t>parte del proceso de integración del Proyecto de Presupuesto de Egresos de la entidad (PPE). Una vez que la S</w:t>
      </w:r>
      <w:r w:rsidR="0004257C" w:rsidRPr="005E6605">
        <w:t>F</w:t>
      </w:r>
      <w:r w:rsidR="0003587B" w:rsidRPr="005E6605">
        <w:t xml:space="preserve"> ha realizado una estimación de los ingresos del Estado en el marco del proceso de integración del PPE y cuenta con las necesidades de gasto para el siguiente año, se recomienda señalar en algún anexo o en el </w:t>
      </w:r>
      <w:r w:rsidR="0003587B" w:rsidRPr="005E6605">
        <w:lastRenderedPageBreak/>
        <w:t xml:space="preserve">propio proyecto de Decreto, los rubros de gasto a los que se orientará el FAFEF conforme a las necesidades más apremiantes de la </w:t>
      </w:r>
      <w:r w:rsidR="00494B38" w:rsidRPr="005E6605">
        <w:t>e</w:t>
      </w:r>
      <w:r w:rsidR="0003587B" w:rsidRPr="005E6605">
        <w:t>ntidad</w:t>
      </w:r>
      <w:r w:rsidR="00BD21C4">
        <w:t xml:space="preserve"> federativa</w:t>
      </w:r>
      <w:r w:rsidR="0003587B" w:rsidRPr="005E6605">
        <w:t>. Lo anterior involucra de manera directa al Congreso del Estado</w:t>
      </w:r>
      <w:r w:rsidR="0004257C" w:rsidRPr="005E6605">
        <w:t xml:space="preserve">, </w:t>
      </w:r>
      <w:r w:rsidR="0003587B" w:rsidRPr="005E6605">
        <w:t>en la decisión de destino de los recursos del Fondo asegurando que estos se destinen efectivamente a las necesidades más apremiantes del Estado.</w:t>
      </w:r>
      <w:r w:rsidR="00CE7450" w:rsidRPr="005E6605">
        <w:t xml:space="preserve"> Así como, establecer en un documento de planeación estratégica específico para el Fondo, el orden de priorización del destino del gasto, conforme al </w:t>
      </w:r>
      <w:r w:rsidR="00B66C18" w:rsidRPr="005E6605">
        <w:t>A</w:t>
      </w:r>
      <w:r w:rsidR="00CE7450" w:rsidRPr="005E6605">
        <w:t>rtículo 47 de la LCF.</w:t>
      </w:r>
      <w:r w:rsidR="00CE7450">
        <w:t xml:space="preserve"> </w:t>
      </w:r>
    </w:p>
    <w:p w14:paraId="57B60AFD" w14:textId="2B915CB6" w:rsidR="0059761C" w:rsidRPr="006E5675" w:rsidRDefault="004F44B0" w:rsidP="006E5675">
      <w:pPr>
        <w:pStyle w:val="Prrafodelista"/>
        <w:numPr>
          <w:ilvl w:val="0"/>
          <w:numId w:val="35"/>
        </w:numPr>
        <w:rPr>
          <w:b/>
          <w:bCs/>
        </w:rPr>
      </w:pPr>
      <w:r w:rsidRPr="006E5675">
        <w:rPr>
          <w:b/>
          <w:bCs/>
        </w:rPr>
        <w:t>Ejercicio</w:t>
      </w:r>
    </w:p>
    <w:p w14:paraId="79C1F70C" w14:textId="4910515C" w:rsidR="00BF1508" w:rsidRDefault="00BF1508" w:rsidP="00BF1508">
      <w:r w:rsidRPr="00B73C39">
        <w:t xml:space="preserve">En lo que respecta al ejercicio, la DGPyP </w:t>
      </w:r>
      <w:r w:rsidR="00FE519B">
        <w:t>“</w:t>
      </w:r>
      <w:r w:rsidRPr="00B73C39">
        <w:t>A</w:t>
      </w:r>
      <w:r w:rsidR="00FE519B">
        <w:t>”</w:t>
      </w:r>
      <w:r w:rsidRPr="00B73C39">
        <w:t xml:space="preserve"> informa a la Subsecretaría de Egresos</w:t>
      </w:r>
      <w:r>
        <w:t xml:space="preserve"> de la Secretaría de Finanzas de la </w:t>
      </w:r>
      <w:r w:rsidR="000B4F4A">
        <w:t>e</w:t>
      </w:r>
      <w:r>
        <w:t>ntidad</w:t>
      </w:r>
      <w:r w:rsidR="000B4F4A">
        <w:t xml:space="preserve"> federativa</w:t>
      </w:r>
      <w:r w:rsidRPr="00B73C39">
        <w:t xml:space="preserve">, 5 días antes de la fecha programada en el Acuerdo por el que se da a conocer a los gobiernos de las entidades federativas la distribución y calendarización para la ministración durante el ejercicio fiscal correspondiente, de los recursos de los Ramos Generales 28 y 33, emitido por la SHCP en el </w:t>
      </w:r>
      <w:r>
        <w:t>DOF</w:t>
      </w:r>
      <w:r w:rsidRPr="00B73C39">
        <w:t>, el día último de cada mes mediante ficha de información de pagos efectuados y emite los montos del Fondo mensualmente a la SF</w:t>
      </w:r>
      <w:r>
        <w:t>.</w:t>
      </w:r>
    </w:p>
    <w:p w14:paraId="5A436156" w14:textId="730C4DB3" w:rsidR="00FD6712" w:rsidRDefault="00535DA1" w:rsidP="00BF1508">
      <w:r>
        <w:t>Respecto al ejercicio de los recursos en el rubro de infraestructura, a</w:t>
      </w:r>
      <w:r w:rsidR="00FD6712">
        <w:t>l llegar el recurso (mensualmente) la DPCH emite un aviso de disponibilidad bancaria a la unidad de inversión correspondiente a cada dependencia o entidad ejecutora de los recursos del FAFEF para que inicie la programación del recurso en el Sistema de Plataforma Única y asigne un proyecto por cada obra a realizar.</w:t>
      </w:r>
    </w:p>
    <w:p w14:paraId="65FA0F82" w14:textId="77777777" w:rsidR="00FD6712" w:rsidRDefault="00FD6712" w:rsidP="00BF1508">
      <w:r>
        <w:t>La Secretaría de Fianzas del Estado, a través de la Subsecretaría de Egresos, a</w:t>
      </w:r>
      <w:r w:rsidRPr="0075370E">
        <w:t>signa el recurso a los diferentes destinos del gasto.</w:t>
      </w:r>
    </w:p>
    <w:p w14:paraId="21D88861" w14:textId="2FB2A8D5" w:rsidR="00FD6712" w:rsidRDefault="00FD6712" w:rsidP="00BF1508">
      <w:r>
        <w:t>Las Secretaría de Finanzas, Secretaría de Obras Públicas, Secretaría de Administración y Secretaría de Educación, a través de las áreas responsables -Dirección de Planeación / SOP. Dirección de Contabilidad, DPCH, DUI, Dirección de Pagos (SF). Subsecretaría de Innovación y Tecnologías (SA). Dirección de Administración y Recursos Financieros (SET)-, ejecutan las obras y/o proyectos asignados, controlan y verifican las erogaciones correspondientes, a través de la consulta de los estados de cuenta bancarios.</w:t>
      </w:r>
    </w:p>
    <w:p w14:paraId="506634B5" w14:textId="77777777" w:rsidR="0071380B" w:rsidRDefault="0071380B" w:rsidP="0071380B">
      <w:r w:rsidRPr="0071380B">
        <w:t>Estas dependencias o entidades ejecutoras del recurso del FAFEF, realizan la captura de la información (recibos de pago y/o traspaso s) en el Sistema de Plataforma Única de las obras que ya se encuentran contratadas para posteriormente ingresar dichos documentos a la DPCH y proceder a la fiscalización y posterior trámite de pago ante la DP-SF.</w:t>
      </w:r>
    </w:p>
    <w:p w14:paraId="66853078" w14:textId="110AAFAB" w:rsidR="00FD6712" w:rsidRDefault="00FD6712" w:rsidP="00FD6712">
      <w:r w:rsidRPr="00182C06">
        <w:t>De acuerdo con lo anterior, esta fase del proceso está a cargo de las dependencias o entidades responsables de la operación de cada Pp que recibe recursos del FAFEF</w:t>
      </w:r>
      <w:r w:rsidR="00CC5005">
        <w:t>, las cuales se rigen por sus propios manuales de organización y de procedimientos, en los que se establecen los responsables y los pasos a seguir para el correcto ejercicio de los recursos que ejerce la entidad</w:t>
      </w:r>
      <w:r w:rsidR="000B4F4A">
        <w:t xml:space="preserve"> federativa</w:t>
      </w:r>
      <w:r w:rsidR="00CC5005">
        <w:rPr>
          <w:rStyle w:val="Refdenotaalpie"/>
        </w:rPr>
        <w:footnoteReference w:id="21"/>
      </w:r>
      <w:r w:rsidR="00CC5005">
        <w:t>.</w:t>
      </w:r>
    </w:p>
    <w:p w14:paraId="24C6CCD5" w14:textId="3489B1BA" w:rsidR="00E3139E" w:rsidRDefault="00E3139E" w:rsidP="00FD6712">
      <w:bookmarkStart w:id="81" w:name="_Hlk53099773"/>
      <w:r>
        <w:t>Respecto al ejercicio de los recursos correspondiente al rubro de saneamiento financiero</w:t>
      </w:r>
      <w:r w:rsidR="00CE2092">
        <w:t xml:space="preserve"> son ejercidos en su totalidad por la Secretaría de Finanzas de conformidad con los establecido en la </w:t>
      </w:r>
      <w:bookmarkStart w:id="82" w:name="_Hlk53582128"/>
      <w:r w:rsidR="00CE2092">
        <w:t>Ley de Deuda Pública Estatal y Municipal de Tamaulipas</w:t>
      </w:r>
      <w:bookmarkEnd w:id="82"/>
      <w:r w:rsidR="00CE2092">
        <w:rPr>
          <w:rStyle w:val="Refdenotaalpie"/>
        </w:rPr>
        <w:footnoteReference w:id="22"/>
      </w:r>
      <w:r w:rsidR="00CE2092">
        <w:t xml:space="preserve"> la cual establece dentro de las funciones de esta Secretaría elaborar el programa de financiamiento estatal, celebrar contratos para la obtención o reestructuración de los créditos y, previa aprobación del congreso, comprometer como garantía de pago las participaciones e inclusive aportaciones federales que le corresponden al Estado. </w:t>
      </w:r>
    </w:p>
    <w:p w14:paraId="2F98C8DB" w14:textId="7472AC1C" w:rsidR="005B09BE" w:rsidRDefault="005B09BE" w:rsidP="00FD6712">
      <w:r>
        <w:t>Respecto a los rubros de e</w:t>
      </w:r>
      <w:r w:rsidRPr="00901AD6">
        <w:t>ducación</w:t>
      </w:r>
      <w:r>
        <w:t xml:space="preserve"> y m</w:t>
      </w:r>
      <w:r w:rsidRPr="00901AD6">
        <w:t>odernización de sistemas de recaudación</w:t>
      </w:r>
      <w:r>
        <w:t xml:space="preserve"> no se contó con información donde se identifiquen los procedimientos para el ejercicio de los recursos.</w:t>
      </w:r>
    </w:p>
    <w:bookmarkEnd w:id="81"/>
    <w:p w14:paraId="07FB94AA" w14:textId="029E71E3" w:rsidR="0059761C" w:rsidRPr="006E5675" w:rsidRDefault="00FD6712" w:rsidP="006E5675">
      <w:pPr>
        <w:pStyle w:val="Prrafodelista"/>
        <w:numPr>
          <w:ilvl w:val="0"/>
          <w:numId w:val="35"/>
        </w:numPr>
        <w:rPr>
          <w:b/>
          <w:bCs/>
        </w:rPr>
      </w:pPr>
      <w:r w:rsidRPr="006E5675">
        <w:rPr>
          <w:b/>
          <w:bCs/>
        </w:rPr>
        <w:t>Seguimiento</w:t>
      </w:r>
    </w:p>
    <w:p w14:paraId="0FFD8D8D" w14:textId="5A55BECA" w:rsidR="001F5985" w:rsidRDefault="001F5985" w:rsidP="001F5985">
      <w:bookmarkStart w:id="83" w:name="_Hlk53100802"/>
      <w:r>
        <w:lastRenderedPageBreak/>
        <w:t xml:space="preserve">Desde el ámbito federal </w:t>
      </w:r>
      <w:r>
        <w:rPr>
          <w:rFonts w:cstheme="minorHAnsi"/>
          <w:bCs/>
        </w:rPr>
        <w:t xml:space="preserve">el seguimiento de los recursos del FAFEF </w:t>
      </w:r>
      <w:bookmarkStart w:id="84" w:name="_Hlk53130509"/>
      <w:r>
        <w:rPr>
          <w:rFonts w:cstheme="minorHAnsi"/>
          <w:bCs/>
        </w:rPr>
        <w:t xml:space="preserve">se realiza conforme a lo establecido en el </w:t>
      </w:r>
      <w:r w:rsidRPr="003A7B6D">
        <w:rPr>
          <w:rFonts w:cstheme="minorHAnsi"/>
          <w:bCs/>
        </w:rPr>
        <w:t>Artículo</w:t>
      </w:r>
      <w:r>
        <w:rPr>
          <w:rFonts w:cstheme="minorHAnsi"/>
          <w:bCs/>
        </w:rPr>
        <w:t xml:space="preserve"> 85 de la Ley Federal de Presupuesto y Responsabilidad Hacendaria a través de la aplicación de</w:t>
      </w:r>
      <w:r w:rsidR="00214D07">
        <w:rPr>
          <w:rFonts w:cstheme="minorHAnsi"/>
          <w:bCs/>
        </w:rPr>
        <w:t>l Sistema de S</w:t>
      </w:r>
      <w:r>
        <w:rPr>
          <w:rFonts w:cstheme="minorHAnsi"/>
          <w:bCs/>
        </w:rPr>
        <w:t>eguimiento de los Recursos Federales Transferidos</w:t>
      </w:r>
      <w:r>
        <w:t xml:space="preserve"> (SRFT) y comprende la c</w:t>
      </w:r>
      <w:r w:rsidRPr="00D36BDE">
        <w:t xml:space="preserve">aptura trimestral del origen y destino de los </w:t>
      </w:r>
      <w:r>
        <w:t>mismos</w:t>
      </w:r>
      <w:r w:rsidRPr="00D36BDE">
        <w:t xml:space="preserve"> en sus </w:t>
      </w:r>
      <w:r>
        <w:t>cuatro</w:t>
      </w:r>
      <w:r w:rsidRPr="00D36BDE">
        <w:t xml:space="preserve"> módulos (Destino del Gasto, Ejercicio del Gasto, Indicadores y Evaluaciones)</w:t>
      </w:r>
      <w:r>
        <w:t>.</w:t>
      </w:r>
      <w:bookmarkEnd w:id="84"/>
    </w:p>
    <w:bookmarkEnd w:id="83"/>
    <w:p w14:paraId="43623C35" w14:textId="64E99DC3" w:rsidR="00FD6712" w:rsidRDefault="00FD6712" w:rsidP="00946CB3">
      <w:r>
        <w:t>La Secretaría de Obras Públicas, Secretaría de Finanzas, Secretaría de Administración y Secretaría de Educación, a través de las áreas responsables -Dirección de Planeación / SOP. Dirección de Contabilidad, DPCH, DUI, Dirección de Pagos (SF). Subsecretaría de Innovación y Tecnologías (SA). Dirección de Administración y Recursos Financieros (SET)-, como instancias ejecutoras, elaboran reportes mensuales de los ingresos vs egresos en la cuenta bancaria en donde se encuentra recaudado el recurso, para verificar los movimientos de la misma, hasta agotar y/o reintegrar el remanente del recurso.</w:t>
      </w:r>
      <w:r w:rsidR="00391357">
        <w:t xml:space="preserve"> </w:t>
      </w:r>
      <w:r>
        <w:t xml:space="preserve">Estas instancias, de manera trimestral, </w:t>
      </w:r>
      <w:bookmarkStart w:id="85" w:name="_Hlk53130601"/>
      <w:r>
        <w:t xml:space="preserve">capturan y validan la información del destino, ejercicio del gasto e indicadores </w:t>
      </w:r>
      <w:bookmarkEnd w:id="85"/>
      <w:r>
        <w:t>en el SRFT. La Secretaría de Finanzas valida esta información.</w:t>
      </w:r>
    </w:p>
    <w:p w14:paraId="2AAC9033" w14:textId="34AAAC71" w:rsidR="00FD6712" w:rsidRDefault="00FD6712" w:rsidP="00946CB3">
      <w:r>
        <w:t xml:space="preserve">En su caso, en el mes de agosto del ejercicio </w:t>
      </w:r>
      <w:r w:rsidR="00946CB3">
        <w:t>corriente</w:t>
      </w:r>
      <w:r>
        <w:t>, la DPCH emite un oficio a las dependencias ejecutoras para que realicen el pre-cierre y comprometan el recurso para su pago al 31 de marzo del año siguiente.</w:t>
      </w:r>
    </w:p>
    <w:p w14:paraId="3924D14A" w14:textId="47EAC8CF" w:rsidR="00FD6712" w:rsidRDefault="00FD6712" w:rsidP="00946CB3">
      <w:r>
        <w:t xml:space="preserve">Del 1 al 15 de enero del año siguiente, las dependencias o entidades ejecutoras realizan los reintegros de los recursos que no fueron devengados al 31 de diciembre del ejercicio fiscal anterior. </w:t>
      </w:r>
      <w:r w:rsidRPr="00182C06">
        <w:t xml:space="preserve">El </w:t>
      </w:r>
      <w:r w:rsidR="007A39BD">
        <w:t>A</w:t>
      </w:r>
      <w:r w:rsidRPr="00182C06">
        <w:t xml:space="preserve">rtículo 17 de la Ley de Disciplina Financiera de las Entidades Federativas y los Municipios establece lo siguiente: Las </w:t>
      </w:r>
      <w:r w:rsidR="00494B38">
        <w:t>e</w:t>
      </w:r>
      <w:r w:rsidRPr="00182C06">
        <w:t xml:space="preserve">ntidades </w:t>
      </w:r>
      <w:r w:rsidR="00494B38">
        <w:t>f</w:t>
      </w:r>
      <w:r w:rsidRPr="00182C06">
        <w:t>ederativas, a más tardar el 15 de</w:t>
      </w:r>
      <w:r>
        <w:t xml:space="preserve"> </w:t>
      </w:r>
      <w:r w:rsidRPr="00182C06">
        <w:t>enero de cada año, deberán reintegrar a la Tesorería de la Federación las Transferencias Federales etiquetadas que, al</w:t>
      </w:r>
      <w:r>
        <w:t xml:space="preserve"> </w:t>
      </w:r>
      <w:r w:rsidRPr="00182C06">
        <w:t>31 de diciembre del ejercicio fiscal inmediato anterior, no hayan sido devengadas por sus Entes Públicos. Por lo que,</w:t>
      </w:r>
      <w:r>
        <w:t xml:space="preserve"> </w:t>
      </w:r>
      <w:r w:rsidRPr="00182C06">
        <w:t>si el recurso no cumple con esta condición, no puede ser programado para utilizarse en el ejercicio inmediato</w:t>
      </w:r>
      <w:r>
        <w:t xml:space="preserve"> </w:t>
      </w:r>
      <w:r w:rsidRPr="00182C06">
        <w:t>posterior, salvo que de manera oficial se solicite a la SHCP exponiendo las causas y a su vez dicha instancia autorice la</w:t>
      </w:r>
      <w:r>
        <w:t xml:space="preserve"> </w:t>
      </w:r>
      <w:r w:rsidRPr="00182C06">
        <w:t xml:space="preserve">solicitud. </w:t>
      </w:r>
    </w:p>
    <w:p w14:paraId="7AF21C69" w14:textId="39A6BD38" w:rsidR="00FD6712" w:rsidRDefault="00FD6712" w:rsidP="00946CB3">
      <w:r>
        <w:t>Del 1 de enero al 31 de marzo, las dependencias ejecutoras continúan ejerciendo el recurso que fue comprometido el año anterior.</w:t>
      </w:r>
      <w:r w:rsidR="001121CE">
        <w:t xml:space="preserve"> </w:t>
      </w:r>
      <w:r>
        <w:t xml:space="preserve">Las dependencias ejecutoras </w:t>
      </w:r>
      <w:r w:rsidR="00B40D47">
        <w:t xml:space="preserve">deben </w:t>
      </w:r>
      <w:r>
        <w:t>reintegra</w:t>
      </w:r>
      <w:r w:rsidR="00B40D47">
        <w:t>r</w:t>
      </w:r>
      <w:r>
        <w:t xml:space="preserve"> los remanentes del recurso que no fueron ejercidos</w:t>
      </w:r>
      <w:r w:rsidR="00B40D47">
        <w:t>, durante</w:t>
      </w:r>
      <w:r>
        <w:t xml:space="preserve"> los primeros 15 días del mes de abril.</w:t>
      </w:r>
    </w:p>
    <w:p w14:paraId="62B5FFA4" w14:textId="32EA720F" w:rsidR="00432668" w:rsidRPr="0093235C" w:rsidRDefault="00432668" w:rsidP="00432668">
      <w:r>
        <w:rPr>
          <w:rFonts w:cstheme="minorHAnsi"/>
          <w:bCs/>
        </w:rPr>
        <w:t>Considerando, que no hay procesos homogéneos en la ejecución de los recursos del FAFEF</w:t>
      </w:r>
      <w:r w:rsidR="002B6375">
        <w:rPr>
          <w:rFonts w:cstheme="minorHAnsi"/>
          <w:bCs/>
        </w:rPr>
        <w:t>, puesto que el proceso es distinto cuando se destina a inversión en infraestructura que cuando se destina al saneamiento financiero</w:t>
      </w:r>
      <w:r w:rsidR="00826CDE">
        <w:rPr>
          <w:rFonts w:cstheme="minorHAnsi"/>
          <w:bCs/>
        </w:rPr>
        <w:t xml:space="preserve"> </w:t>
      </w:r>
      <w:r>
        <w:rPr>
          <w:rFonts w:cstheme="minorHAnsi"/>
          <w:bCs/>
        </w:rPr>
        <w:t>y que dentro de las atribuciones que la L</w:t>
      </w:r>
      <w:r w:rsidRPr="00432668">
        <w:rPr>
          <w:rFonts w:cstheme="minorHAnsi"/>
          <w:bCs/>
        </w:rPr>
        <w:t xml:space="preserve">ey </w:t>
      </w:r>
      <w:r>
        <w:rPr>
          <w:rFonts w:cstheme="minorHAnsi"/>
          <w:bCs/>
        </w:rPr>
        <w:t>O</w:t>
      </w:r>
      <w:r w:rsidRPr="00432668">
        <w:rPr>
          <w:rFonts w:cstheme="minorHAnsi"/>
          <w:bCs/>
        </w:rPr>
        <w:t xml:space="preserve">rgánica de la </w:t>
      </w:r>
      <w:r>
        <w:rPr>
          <w:rFonts w:cstheme="minorHAnsi"/>
          <w:bCs/>
        </w:rPr>
        <w:t>A</w:t>
      </w:r>
      <w:r w:rsidRPr="00432668">
        <w:rPr>
          <w:rFonts w:cstheme="minorHAnsi"/>
          <w:bCs/>
        </w:rPr>
        <w:t xml:space="preserve">dministración </w:t>
      </w:r>
      <w:r>
        <w:rPr>
          <w:rFonts w:cstheme="minorHAnsi"/>
          <w:bCs/>
        </w:rPr>
        <w:t>P</w:t>
      </w:r>
      <w:r w:rsidRPr="00432668">
        <w:rPr>
          <w:rFonts w:cstheme="minorHAnsi"/>
          <w:bCs/>
        </w:rPr>
        <w:t>ública</w:t>
      </w:r>
      <w:r>
        <w:rPr>
          <w:rFonts w:cstheme="minorHAnsi"/>
          <w:bCs/>
        </w:rPr>
        <w:t xml:space="preserve"> d</w:t>
      </w:r>
      <w:r w:rsidRPr="00432668">
        <w:rPr>
          <w:rFonts w:cstheme="minorHAnsi"/>
          <w:bCs/>
        </w:rPr>
        <w:t xml:space="preserve">el </w:t>
      </w:r>
      <w:r w:rsidR="00EF4A9C">
        <w:rPr>
          <w:rFonts w:cstheme="minorHAnsi"/>
          <w:bCs/>
        </w:rPr>
        <w:t>E</w:t>
      </w:r>
      <w:r w:rsidRPr="00432668">
        <w:rPr>
          <w:rFonts w:cstheme="minorHAnsi"/>
          <w:bCs/>
        </w:rPr>
        <w:t xml:space="preserve">stado de </w:t>
      </w:r>
      <w:r>
        <w:rPr>
          <w:rFonts w:cstheme="minorHAnsi"/>
          <w:bCs/>
        </w:rPr>
        <w:t>T</w:t>
      </w:r>
      <w:r w:rsidRPr="00432668">
        <w:rPr>
          <w:rFonts w:cstheme="minorHAnsi"/>
          <w:bCs/>
        </w:rPr>
        <w:t>amaulipas</w:t>
      </w:r>
      <w:r>
        <w:rPr>
          <w:rFonts w:cstheme="minorHAnsi"/>
          <w:bCs/>
        </w:rPr>
        <w:t xml:space="preserve"> le confiere a la SF respecto a la facultad “e</w:t>
      </w:r>
      <w:r>
        <w:t xml:space="preserve">mitir políticas, lineamientos y manuales para la planeación, programación, ejercicio presupuestario, ejercicio y evaluación del gasto público con enfoque en resultados a los que deben sujetarse los ejecutores del gasto; </w:t>
      </w:r>
      <w:r w:rsidRPr="00187BCC">
        <w:t xml:space="preserve">se recomienda a esta dependencia </w:t>
      </w:r>
      <w:r w:rsidRPr="00187BCC">
        <w:rPr>
          <w:rFonts w:cstheme="minorHAnsi"/>
          <w:bCs/>
        </w:rPr>
        <w:t xml:space="preserve">elaborar un manual de procedimientos o lineamientos que regulen el funcionamiento del Fondo, en donde se determine un mecanismo para contar con información que permita identificar periódicamente las necesidades que pueden atenderse con recursos del Fondo, las dificultades (oportunidades y amenazas) que enfrenta en la operación cada política pública asociada a los rubros de gasto y el cumplimiento de los objetivos y metas a alcanzar; así como las estrategias para implementarlas y alcance de las mismas, asignar responsables; seguimiento de los procesos y diagramas de flujo. Con ello, </w:t>
      </w:r>
      <w:r w:rsidR="00592725">
        <w:rPr>
          <w:rFonts w:cstheme="minorHAnsi"/>
          <w:bCs/>
        </w:rPr>
        <w:t xml:space="preserve">el </w:t>
      </w:r>
      <w:r w:rsidR="001E7F36">
        <w:rPr>
          <w:rFonts w:cstheme="minorHAnsi"/>
          <w:bCs/>
        </w:rPr>
        <w:t>E</w:t>
      </w:r>
      <w:r w:rsidR="00592725">
        <w:rPr>
          <w:rFonts w:cstheme="minorHAnsi"/>
          <w:bCs/>
        </w:rPr>
        <w:t>stado de Tamaulipas</w:t>
      </w:r>
      <w:r w:rsidRPr="00187BCC">
        <w:rPr>
          <w:rFonts w:cstheme="minorHAnsi"/>
          <w:bCs/>
        </w:rPr>
        <w:t xml:space="preserve"> contará con una guía para la operación de los recursos del FAFEF que actué bajo los mismos criterios.</w:t>
      </w:r>
      <w:r w:rsidRPr="004A1269">
        <w:rPr>
          <w:rFonts w:cstheme="minorHAnsi"/>
          <w:bCs/>
        </w:rPr>
        <w:t xml:space="preserve"> </w:t>
      </w:r>
    </w:p>
    <w:p w14:paraId="61A5BC78" w14:textId="7B1D2206" w:rsidR="00F43334" w:rsidRDefault="00F43334" w:rsidP="00946CB3"/>
    <w:p w14:paraId="71AD961B" w14:textId="0078707F" w:rsidR="005A71E2" w:rsidRDefault="005A71E2" w:rsidP="00D31F24">
      <w:r>
        <w:br w:type="page"/>
      </w:r>
    </w:p>
    <w:p w14:paraId="1C12F3FF" w14:textId="5F7FD844" w:rsidR="00567363" w:rsidRPr="00567363" w:rsidRDefault="00567363" w:rsidP="007A7AFE">
      <w:pPr>
        <w:spacing w:before="0" w:after="0" w:line="259" w:lineRule="auto"/>
        <w:ind w:left="426" w:hanging="426"/>
        <w:contextualSpacing/>
        <w:rPr>
          <w:rFonts w:cstheme="minorHAnsi"/>
          <w:b/>
        </w:rPr>
      </w:pPr>
      <w:r w:rsidRPr="00E23500">
        <w:rPr>
          <w:rFonts w:cstheme="minorHAnsi"/>
          <w:b/>
        </w:rPr>
        <w:lastRenderedPageBreak/>
        <w:t>16. ¿La entidad federativa establece un mecanismo o proceso para la generación o administración de información sobre la operación del FAFEF, con la intención de mejorar su desempeño, sobre:</w:t>
      </w:r>
    </w:p>
    <w:p w14:paraId="1E2736F6" w14:textId="77777777" w:rsidR="00567363" w:rsidRPr="00567363" w:rsidRDefault="00567363" w:rsidP="00F92F32">
      <w:pPr>
        <w:numPr>
          <w:ilvl w:val="0"/>
          <w:numId w:val="23"/>
        </w:numPr>
        <w:spacing w:before="0" w:after="0"/>
        <w:rPr>
          <w:rFonts w:cstheme="minorHAnsi"/>
          <w:b/>
        </w:rPr>
      </w:pPr>
      <w:r w:rsidRPr="00567363">
        <w:rPr>
          <w:rFonts w:cstheme="minorHAnsi"/>
          <w:b/>
        </w:rPr>
        <w:t>Las necesidades que pueden atenderse con recursos del Fondo;</w:t>
      </w:r>
    </w:p>
    <w:p w14:paraId="61742D1E" w14:textId="77777777" w:rsidR="00567363" w:rsidRPr="00567363" w:rsidRDefault="00567363" w:rsidP="00F92F32">
      <w:pPr>
        <w:numPr>
          <w:ilvl w:val="0"/>
          <w:numId w:val="23"/>
        </w:numPr>
        <w:spacing w:before="0" w:after="0"/>
        <w:rPr>
          <w:rFonts w:cstheme="minorHAnsi"/>
          <w:b/>
        </w:rPr>
      </w:pPr>
      <w:r w:rsidRPr="00567363">
        <w:rPr>
          <w:rFonts w:cstheme="minorHAnsi"/>
          <w:b/>
        </w:rPr>
        <w:t>Las dificultades que enfrenta para la operación de los recursos del Fondo;</w:t>
      </w:r>
    </w:p>
    <w:p w14:paraId="40F3C91E" w14:textId="77777777" w:rsidR="00567363" w:rsidRPr="00567363" w:rsidRDefault="00567363" w:rsidP="00F92F32">
      <w:pPr>
        <w:numPr>
          <w:ilvl w:val="0"/>
          <w:numId w:val="23"/>
        </w:numPr>
        <w:spacing w:before="0" w:after="0"/>
        <w:rPr>
          <w:rFonts w:cstheme="minorHAnsi"/>
          <w:b/>
        </w:rPr>
      </w:pPr>
      <w:r w:rsidRPr="00567363">
        <w:rPr>
          <w:rFonts w:cstheme="minorHAnsi"/>
          <w:b/>
        </w:rPr>
        <w:t>La operación del Fondo, a nivel estatal, que afecta el logro de sus objetivos;</w:t>
      </w:r>
    </w:p>
    <w:p w14:paraId="637748FB" w14:textId="5769871D" w:rsidR="00567363" w:rsidRDefault="00567363" w:rsidP="00F92F32">
      <w:pPr>
        <w:numPr>
          <w:ilvl w:val="0"/>
          <w:numId w:val="23"/>
        </w:numPr>
        <w:spacing w:before="0"/>
        <w:ind w:left="641" w:hanging="357"/>
        <w:rPr>
          <w:rFonts w:cstheme="minorHAnsi"/>
          <w:b/>
        </w:rPr>
      </w:pPr>
      <w:r w:rsidRPr="00567363">
        <w:rPr>
          <w:rFonts w:cstheme="minorHAnsi"/>
          <w:b/>
        </w:rPr>
        <w:t xml:space="preserve">Las estrategias que implementa la entidad federativa para alcanzar o potenciar sus </w:t>
      </w:r>
      <w:r w:rsidR="00B01707" w:rsidRPr="00567363">
        <w:rPr>
          <w:rFonts w:cstheme="minorHAnsi"/>
          <w:b/>
        </w:rPr>
        <w:t>metas?</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0D234B" w:rsidRPr="00B01707" w14:paraId="37448B53" w14:textId="77777777" w:rsidTr="0046655F">
        <w:trPr>
          <w:trHeight w:val="260"/>
          <w:jc w:val="center"/>
        </w:trPr>
        <w:tc>
          <w:tcPr>
            <w:tcW w:w="675" w:type="pct"/>
            <w:shd w:val="clear" w:color="auto" w:fill="FFFFFF"/>
            <w:vAlign w:val="center"/>
          </w:tcPr>
          <w:p w14:paraId="2BADF51E" w14:textId="77777777" w:rsidR="000D234B" w:rsidRPr="00B01707" w:rsidRDefault="000D234B"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B01707">
              <w:rPr>
                <w:rFonts w:ascii="Calibri" w:eastAsia="Calibri" w:hAnsi="Calibri" w:cs="Calibri"/>
                <w:b/>
                <w:color w:val="000000"/>
                <w:sz w:val="20"/>
                <w:szCs w:val="20"/>
                <w:lang w:eastAsia="es-MX"/>
              </w:rPr>
              <w:t>Respuesta</w:t>
            </w:r>
          </w:p>
        </w:tc>
        <w:tc>
          <w:tcPr>
            <w:tcW w:w="383" w:type="pct"/>
            <w:shd w:val="clear" w:color="auto" w:fill="FFFFFF"/>
            <w:vAlign w:val="center"/>
          </w:tcPr>
          <w:p w14:paraId="4BA14941" w14:textId="77777777" w:rsidR="000D234B" w:rsidRPr="00B01707" w:rsidRDefault="000D234B"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B01707">
              <w:rPr>
                <w:rFonts w:ascii="Calibri" w:eastAsia="Calibri" w:hAnsi="Calibri" w:cs="Calibri"/>
                <w:b/>
                <w:color w:val="000000"/>
                <w:sz w:val="20"/>
                <w:szCs w:val="20"/>
                <w:lang w:eastAsia="es-MX"/>
              </w:rPr>
              <w:t>Nivel</w:t>
            </w:r>
          </w:p>
        </w:tc>
        <w:tc>
          <w:tcPr>
            <w:tcW w:w="3942" w:type="pct"/>
            <w:shd w:val="clear" w:color="auto" w:fill="FFFFFF"/>
            <w:vAlign w:val="center"/>
          </w:tcPr>
          <w:p w14:paraId="058415CA" w14:textId="77777777" w:rsidR="000D234B" w:rsidRPr="00B01707" w:rsidRDefault="000D234B" w:rsidP="00D105A8">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B01707">
              <w:rPr>
                <w:rFonts w:ascii="Calibri" w:eastAsia="Calibri" w:hAnsi="Calibri" w:cs="Calibri"/>
                <w:b/>
                <w:color w:val="000000"/>
                <w:sz w:val="20"/>
                <w:szCs w:val="20"/>
                <w:lang w:eastAsia="es-MX"/>
              </w:rPr>
              <w:t>Criterios</w:t>
            </w:r>
          </w:p>
        </w:tc>
      </w:tr>
      <w:tr w:rsidR="000D234B" w:rsidRPr="00B01707" w14:paraId="1CDA39B9" w14:textId="77777777" w:rsidTr="0046655F">
        <w:trPr>
          <w:trHeight w:val="400"/>
          <w:jc w:val="center"/>
        </w:trPr>
        <w:tc>
          <w:tcPr>
            <w:tcW w:w="675" w:type="pct"/>
            <w:shd w:val="clear" w:color="auto" w:fill="FFFFFF"/>
            <w:vAlign w:val="center"/>
          </w:tcPr>
          <w:p w14:paraId="5BA1B7AE" w14:textId="77777777" w:rsidR="000D234B" w:rsidRPr="00B01707" w:rsidRDefault="000D234B" w:rsidP="00D105A8">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B01707">
              <w:rPr>
                <w:rFonts w:ascii="Calibri" w:eastAsia="Calibri" w:hAnsi="Calibri" w:cs="Calibri"/>
                <w:color w:val="000000"/>
                <w:sz w:val="20"/>
                <w:szCs w:val="20"/>
                <w:lang w:eastAsia="es-MX"/>
              </w:rPr>
              <w:t>Sí</w:t>
            </w:r>
          </w:p>
        </w:tc>
        <w:tc>
          <w:tcPr>
            <w:tcW w:w="383" w:type="pct"/>
            <w:shd w:val="clear" w:color="auto" w:fill="FFFFFF"/>
            <w:vAlign w:val="center"/>
          </w:tcPr>
          <w:p w14:paraId="661087D1" w14:textId="433F5C6C" w:rsidR="000D234B" w:rsidRPr="00B01707" w:rsidRDefault="00D4185D" w:rsidP="00D105A8">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B01707">
              <w:rPr>
                <w:rFonts w:ascii="Calibri" w:eastAsia="Calibri" w:hAnsi="Calibri" w:cs="Calibri"/>
                <w:color w:val="000000"/>
                <w:sz w:val="20"/>
                <w:szCs w:val="20"/>
                <w:lang w:eastAsia="es-MX"/>
              </w:rPr>
              <w:t>4</w:t>
            </w:r>
          </w:p>
        </w:tc>
        <w:tc>
          <w:tcPr>
            <w:tcW w:w="3942" w:type="pct"/>
            <w:shd w:val="clear" w:color="auto" w:fill="FFFFFF"/>
            <w:vAlign w:val="center"/>
          </w:tcPr>
          <w:p w14:paraId="23375590" w14:textId="6928116B" w:rsidR="000D234B" w:rsidRPr="00B01707" w:rsidRDefault="000D117B" w:rsidP="00D105A8">
            <w:pPr>
              <w:tabs>
                <w:tab w:val="left" w:pos="256"/>
              </w:tabs>
              <w:spacing w:before="0" w:after="0"/>
              <w:contextualSpacing/>
              <w:rPr>
                <w:rFonts w:ascii="Calibri" w:eastAsia="Calibri" w:hAnsi="Calibri" w:cs="Calibri"/>
                <w:color w:val="000000"/>
                <w:sz w:val="20"/>
                <w:szCs w:val="20"/>
                <w:lang w:eastAsia="es-MX"/>
              </w:rPr>
            </w:pPr>
            <w:r w:rsidRPr="000D117B">
              <w:rPr>
                <w:rFonts w:ascii="Calibri" w:eastAsia="Calibri" w:hAnsi="Calibri" w:cs="Calibri"/>
                <w:color w:val="000000"/>
                <w:sz w:val="20"/>
                <w:szCs w:val="20"/>
                <w:lang w:eastAsia="es-MX"/>
              </w:rPr>
              <w:t>La entidad federativa establece un mecanismo o proceso para la generación o administración de información y cumple con</w:t>
            </w:r>
            <w:r w:rsidRPr="000D117B">
              <w:rPr>
                <w:rFonts w:ascii="Calibri" w:eastAsia="Calibri" w:hAnsi="Calibri" w:cs="Calibri"/>
                <w:b/>
                <w:bCs/>
                <w:color w:val="000000"/>
                <w:sz w:val="20"/>
                <w:szCs w:val="20"/>
                <w:lang w:eastAsia="es-MX"/>
              </w:rPr>
              <w:t xml:space="preserve"> todas </w:t>
            </w:r>
            <w:r w:rsidRPr="000D117B">
              <w:rPr>
                <w:rFonts w:ascii="Calibri" w:eastAsia="Calibri" w:hAnsi="Calibri" w:cs="Calibri"/>
                <w:color w:val="000000"/>
                <w:sz w:val="20"/>
                <w:szCs w:val="20"/>
                <w:lang w:eastAsia="es-MX"/>
              </w:rPr>
              <w:t>las características establecidas en la pregunta</w:t>
            </w:r>
            <w:r>
              <w:rPr>
                <w:rFonts w:ascii="Calibri" w:eastAsia="Calibri" w:hAnsi="Calibri" w:cs="Calibri"/>
                <w:color w:val="000000"/>
                <w:sz w:val="20"/>
                <w:szCs w:val="20"/>
                <w:lang w:eastAsia="es-MX"/>
              </w:rPr>
              <w:t>.</w:t>
            </w:r>
          </w:p>
        </w:tc>
      </w:tr>
    </w:tbl>
    <w:p w14:paraId="58B452CD" w14:textId="49B4D75E" w:rsidR="00D4185D" w:rsidRPr="00753EAF" w:rsidRDefault="00E609A5" w:rsidP="00D4185D">
      <w:r>
        <w:t>L</w:t>
      </w:r>
      <w:r w:rsidR="00D4185D" w:rsidRPr="00753EAF">
        <w:t>a creación de</w:t>
      </w:r>
      <w:r>
        <w:t>l</w:t>
      </w:r>
      <w:r w:rsidR="00D4185D" w:rsidRPr="00753EAF">
        <w:t xml:space="preserve"> Grupo de Trabajo representa un mecanismo estratégico e institucional para la generación y/o administración de información sobre la operación del FAFEF, que contribuye a mejorar su desempeño, respecto a la identificación de las necesidades y priorización en la asignación de los recursos asignados al Fondo en la entidad </w:t>
      </w:r>
      <w:r w:rsidR="00650560">
        <w:t xml:space="preserve">federativa </w:t>
      </w:r>
      <w:r w:rsidR="00D4185D" w:rsidRPr="00753EAF">
        <w:t>para cada ejercicio fiscal, contribuyendo con esta medida a solventar las dificultades que enfrenta la operación del Fondo en materia de asignación y ejercicio de los recursos, en las minutas de las reuniones de dicho Grupo de Trabajo, se observa que existe un seguimiento de los avances relativos a la asignación de los recursos del FAFEF, así como de la toma de decisiones al respecto.</w:t>
      </w:r>
    </w:p>
    <w:p w14:paraId="18D9642F" w14:textId="4A33D27B" w:rsidR="00D4185D" w:rsidRDefault="00103287" w:rsidP="00D4185D">
      <w:r>
        <w:t>S</w:t>
      </w:r>
      <w:r w:rsidR="00D4185D" w:rsidRPr="00753EAF">
        <w:t xml:space="preserve">e resalta que, del 2018 en adelante, además de la elaboración del Diagnóstico del FAFEF en </w:t>
      </w:r>
      <w:r w:rsidR="00650560">
        <w:t>Tamaulipas</w:t>
      </w:r>
      <w:r w:rsidR="00D4185D" w:rsidRPr="00753EAF">
        <w:t xml:space="preserve">, y del establecimiento del Grupo de Trabajo, </w:t>
      </w:r>
      <w:bookmarkStart w:id="86" w:name="_Hlk53101298"/>
      <w:r w:rsidR="00D4185D" w:rsidRPr="00753EAF">
        <w:t>se han establecido mecanismos y/o procesos para la generación o administración de información sobre la operación de</w:t>
      </w:r>
      <w:r w:rsidR="002F6E16">
        <w:t xml:space="preserve"> los Pp de la estructura programática estatal</w:t>
      </w:r>
      <w:r w:rsidR="004067BB">
        <w:t xml:space="preserve"> </w:t>
      </w:r>
      <w:r w:rsidR="00D4185D" w:rsidRPr="00753EAF">
        <w:t>que contribuyen a mejorar su desempeño, tales como los Criterios para implantar la estrategia del PbR y el Sistema de Monitoreo de Indic</w:t>
      </w:r>
      <w:r w:rsidR="007A7AFE">
        <w:t>adores para Resultados (SIMIR).</w:t>
      </w:r>
    </w:p>
    <w:bookmarkEnd w:id="86"/>
    <w:p w14:paraId="7F49EDD3" w14:textId="77777777" w:rsidR="002F6E16" w:rsidRDefault="002F6E16" w:rsidP="00D4185D"/>
    <w:p w14:paraId="47DB7BB9" w14:textId="77777777" w:rsidR="007A7AFE" w:rsidRPr="00753EAF" w:rsidRDefault="007A7AFE" w:rsidP="00D4185D"/>
    <w:p w14:paraId="0738FB21" w14:textId="0FDE6E16" w:rsidR="00523E2A" w:rsidRDefault="00523E2A" w:rsidP="00EA0EED">
      <w:pPr>
        <w:spacing w:before="0" w:after="160" w:line="259" w:lineRule="auto"/>
        <w:jc w:val="left"/>
        <w:rPr>
          <w:rFonts w:ascii="Soberana Sans Light" w:hAnsi="Soberana Sans Light" w:cstheme="minorHAnsi"/>
          <w:sz w:val="24"/>
          <w:szCs w:val="24"/>
        </w:rPr>
      </w:pPr>
      <w:r>
        <w:rPr>
          <w:rFonts w:ascii="Soberana Sans Light" w:hAnsi="Soberana Sans Light" w:cstheme="minorHAnsi"/>
          <w:sz w:val="24"/>
          <w:szCs w:val="24"/>
        </w:rPr>
        <w:br w:type="page"/>
      </w:r>
    </w:p>
    <w:p w14:paraId="3006CEEC" w14:textId="229A396F" w:rsidR="00567363" w:rsidRPr="00567363" w:rsidRDefault="00567363" w:rsidP="00B01707">
      <w:pPr>
        <w:spacing w:before="0" w:after="0"/>
        <w:contextualSpacing/>
        <w:rPr>
          <w:rFonts w:cstheme="minorHAnsi"/>
          <w:b/>
        </w:rPr>
      </w:pPr>
      <w:r w:rsidRPr="00E23500">
        <w:rPr>
          <w:rFonts w:cstheme="minorHAnsi"/>
          <w:b/>
        </w:rPr>
        <w:lastRenderedPageBreak/>
        <w:t>17. ¿La entidad federativa fomenta la institucionalización y la estandarización de procesos, para supervisar el ejercicio de los recursos del Fondo, y estas acciones de fomento consideran la formalización de procesos, contando con las siguientes características:</w:t>
      </w:r>
    </w:p>
    <w:p w14:paraId="103CF47A" w14:textId="77777777" w:rsidR="00567363" w:rsidRPr="00567363" w:rsidRDefault="00567363" w:rsidP="00F92F32">
      <w:pPr>
        <w:numPr>
          <w:ilvl w:val="0"/>
          <w:numId w:val="22"/>
        </w:numPr>
        <w:spacing w:before="0" w:after="0"/>
        <w:rPr>
          <w:rFonts w:cstheme="minorHAnsi"/>
          <w:b/>
        </w:rPr>
      </w:pPr>
      <w:r w:rsidRPr="00567363">
        <w:rPr>
          <w:rFonts w:cstheme="minorHAnsi"/>
          <w:b/>
        </w:rPr>
        <w:t>Permiten identificar si los apoyos, servicios o proyectos a entregar u otorgar son acordes a lo establecido en los documentos normativos o institucionales del Fondo;</w:t>
      </w:r>
    </w:p>
    <w:p w14:paraId="0D7B9D67" w14:textId="77777777" w:rsidR="00567363" w:rsidRPr="00567363" w:rsidRDefault="00567363" w:rsidP="00F92F32">
      <w:pPr>
        <w:numPr>
          <w:ilvl w:val="0"/>
          <w:numId w:val="22"/>
        </w:numPr>
        <w:spacing w:before="0" w:after="0"/>
        <w:rPr>
          <w:rFonts w:cstheme="minorHAnsi"/>
          <w:b/>
        </w:rPr>
      </w:pPr>
      <w:r w:rsidRPr="00567363">
        <w:rPr>
          <w:rFonts w:cstheme="minorHAnsi"/>
          <w:b/>
        </w:rPr>
        <w:t>Están estandarizados, es decir, son utilizados por todas las instancias ejecutoras del FAFEF en la entidad de manera homogénea;</w:t>
      </w:r>
    </w:p>
    <w:p w14:paraId="5A522AEB" w14:textId="77777777" w:rsidR="00567363" w:rsidRPr="00567363" w:rsidRDefault="00567363" w:rsidP="00F92F32">
      <w:pPr>
        <w:numPr>
          <w:ilvl w:val="0"/>
          <w:numId w:val="22"/>
        </w:numPr>
        <w:spacing w:before="0" w:after="0"/>
        <w:rPr>
          <w:rFonts w:cstheme="minorHAnsi"/>
          <w:b/>
        </w:rPr>
      </w:pPr>
      <w:r w:rsidRPr="00567363">
        <w:rPr>
          <w:rFonts w:cstheme="minorHAnsi"/>
          <w:b/>
        </w:rPr>
        <w:t>Están sistematizados;</w:t>
      </w:r>
    </w:p>
    <w:p w14:paraId="1D45638C" w14:textId="77777777" w:rsidR="00567363" w:rsidRPr="00567363" w:rsidRDefault="00567363" w:rsidP="00F92F32">
      <w:pPr>
        <w:numPr>
          <w:ilvl w:val="0"/>
          <w:numId w:val="22"/>
        </w:numPr>
        <w:spacing w:before="0" w:after="0"/>
        <w:ind w:left="641" w:hanging="357"/>
        <w:rPr>
          <w:rFonts w:cstheme="minorHAnsi"/>
          <w:b/>
        </w:rPr>
      </w:pPr>
      <w:r w:rsidRPr="00567363">
        <w:rPr>
          <w:rFonts w:cstheme="minorHAnsi"/>
          <w:b/>
        </w:rPr>
        <w:t>Son conocidos por los operadores del FAFEF en la entidad federativa?</w:t>
      </w:r>
    </w:p>
    <w:p w14:paraId="0AF1EC71" w14:textId="77777777" w:rsidR="00567363" w:rsidRPr="00B01707" w:rsidRDefault="00567363" w:rsidP="00567363">
      <w:pPr>
        <w:spacing w:after="0"/>
        <w:rPr>
          <w:rFonts w:cstheme="minorHAnsi"/>
          <w:b/>
          <w:bCs/>
          <w:sz w:val="24"/>
          <w:szCs w:val="24"/>
        </w:rPr>
      </w:pPr>
      <w:r w:rsidRPr="00B01707">
        <w:rPr>
          <w:rFonts w:cstheme="minorHAnsi"/>
          <w:b/>
          <w:bCs/>
        </w:rPr>
        <w:t>No procede valoración cuantitativa.</w:t>
      </w:r>
    </w:p>
    <w:p w14:paraId="2090FBA3" w14:textId="29E69873" w:rsidR="00E35122" w:rsidRPr="00B01707" w:rsidRDefault="00B1316F" w:rsidP="00F92F32">
      <w:pPr>
        <w:pStyle w:val="Prrafodelista"/>
        <w:numPr>
          <w:ilvl w:val="0"/>
          <w:numId w:val="4"/>
        </w:numPr>
        <w:spacing w:after="0"/>
        <w:ind w:left="284" w:hanging="284"/>
        <w:rPr>
          <w:rFonts w:cstheme="minorHAnsi"/>
        </w:rPr>
      </w:pPr>
      <w:bookmarkStart w:id="87" w:name="_Hlk53101381"/>
      <w:r w:rsidRPr="00B01707">
        <w:rPr>
          <w:rFonts w:cstheme="minorHAnsi"/>
        </w:rPr>
        <w:t>La entidad</w:t>
      </w:r>
      <w:r w:rsidR="00650560">
        <w:rPr>
          <w:rFonts w:cstheme="minorHAnsi"/>
        </w:rPr>
        <w:t xml:space="preserve"> federativa</w:t>
      </w:r>
      <w:r w:rsidRPr="00B01707">
        <w:rPr>
          <w:rFonts w:cstheme="minorHAnsi"/>
        </w:rPr>
        <w:t xml:space="preserve"> cuenta con procesos y formatos estandarizados para supervisar el ejercicio de los recursos del FAFEF, que permiten identificar si los apoyos o proyectos</w:t>
      </w:r>
      <w:r w:rsidR="008C3A5E" w:rsidRPr="00B01707">
        <w:rPr>
          <w:rFonts w:cstheme="minorHAnsi"/>
        </w:rPr>
        <w:t xml:space="preserve"> que se </w:t>
      </w:r>
      <w:r w:rsidRPr="00B01707">
        <w:rPr>
          <w:rFonts w:cstheme="minorHAnsi"/>
        </w:rPr>
        <w:t>entrega</w:t>
      </w:r>
      <w:r w:rsidR="008C3A5E" w:rsidRPr="00B01707">
        <w:rPr>
          <w:rFonts w:cstheme="minorHAnsi"/>
        </w:rPr>
        <w:t xml:space="preserve">n </w:t>
      </w:r>
      <w:r w:rsidRPr="00B01707">
        <w:rPr>
          <w:rFonts w:cstheme="minorHAnsi"/>
        </w:rPr>
        <w:t>u otorga</w:t>
      </w:r>
      <w:r w:rsidR="008C3A5E" w:rsidRPr="00B01707">
        <w:rPr>
          <w:rFonts w:cstheme="minorHAnsi"/>
        </w:rPr>
        <w:t>n</w:t>
      </w:r>
      <w:r w:rsidRPr="00B01707">
        <w:rPr>
          <w:rFonts w:cstheme="minorHAnsi"/>
        </w:rPr>
        <w:t xml:space="preserve"> son acordes a lo establecido en los documentos normativos o institucionales del Fondo</w:t>
      </w:r>
      <w:bookmarkEnd w:id="87"/>
      <w:r w:rsidRPr="00B01707">
        <w:rPr>
          <w:rFonts w:cstheme="minorHAnsi"/>
        </w:rPr>
        <w:t xml:space="preserve">. </w:t>
      </w:r>
    </w:p>
    <w:p w14:paraId="779EC24D" w14:textId="0F5AEAB4" w:rsidR="00E35122" w:rsidRPr="00B01707" w:rsidRDefault="00E35122" w:rsidP="008933BA">
      <w:pPr>
        <w:rPr>
          <w:rFonts w:cstheme="minorHAnsi"/>
        </w:rPr>
      </w:pPr>
      <w:r w:rsidRPr="00B01707">
        <w:rPr>
          <w:rFonts w:cstheme="minorHAnsi"/>
        </w:rPr>
        <w:t xml:space="preserve">A continuación, se citan los formatos más relevantes se encuentran institucionalizados dentro de cada Unidad responsable y que se utilizan para el ejercicio de los recursos: </w:t>
      </w:r>
      <w:bookmarkStart w:id="88" w:name="_Hlk53101440"/>
      <w:r w:rsidRPr="00B01707">
        <w:rPr>
          <w:rFonts w:cstheme="minorHAnsi"/>
        </w:rPr>
        <w:t>1. Formato de Solicitud de Apertura de cuenta; 2. Oficio de Aprobación (Proyectos); 3. Aviso de disponibilidad Bancaria; 4. Recibos de pago; 5. Reportes mensuales ingresos vs egresos; 6. Oficios de Solicitud de Traspaso; y, 7. Oficios de Solicitud de Cancelación Cuentas.</w:t>
      </w:r>
    </w:p>
    <w:bookmarkEnd w:id="88"/>
    <w:p w14:paraId="20E52087" w14:textId="4774141F" w:rsidR="008933BA" w:rsidRPr="00B01707" w:rsidRDefault="00767502" w:rsidP="00E35122">
      <w:pPr>
        <w:spacing w:after="0"/>
        <w:rPr>
          <w:rFonts w:cstheme="minorHAnsi"/>
        </w:rPr>
      </w:pPr>
      <w:r w:rsidRPr="00B01707">
        <w:rPr>
          <w:rFonts w:cstheme="minorHAnsi"/>
        </w:rPr>
        <w:t>Asimismo, como parte de la implementación de la estrategia del PbR</w:t>
      </w:r>
      <w:r w:rsidR="00F62998" w:rsidRPr="00B01707">
        <w:rPr>
          <w:rFonts w:cstheme="minorHAnsi"/>
        </w:rPr>
        <w:t xml:space="preserve"> en el Estado, todas las dependencias o entidades responsables </w:t>
      </w:r>
      <w:r w:rsidR="008933BA" w:rsidRPr="00B01707">
        <w:rPr>
          <w:rFonts w:cstheme="minorHAnsi"/>
        </w:rPr>
        <w:t xml:space="preserve">de cada Pp que recibe recursos del FAFEF, </w:t>
      </w:r>
      <w:r w:rsidR="00F62998" w:rsidRPr="00B01707">
        <w:rPr>
          <w:rFonts w:cstheme="minorHAnsi"/>
        </w:rPr>
        <w:t>deben apegarse a los criterios de esta estrategia para la elaboración y/o actualización</w:t>
      </w:r>
      <w:r w:rsidR="008933BA" w:rsidRPr="00B01707">
        <w:rPr>
          <w:rFonts w:cstheme="minorHAnsi"/>
        </w:rPr>
        <w:t xml:space="preserve"> y su respectiva carga en el SIMIR</w:t>
      </w:r>
      <w:r w:rsidR="00F62998" w:rsidRPr="00B01707">
        <w:rPr>
          <w:rFonts w:cstheme="minorHAnsi"/>
        </w:rPr>
        <w:t xml:space="preserve"> de la MIR/FID y vincularlas con el ejercicio del gasto, a través de las metas correspondientes</w:t>
      </w:r>
      <w:r w:rsidR="008933BA" w:rsidRPr="00B01707">
        <w:rPr>
          <w:rFonts w:cstheme="minorHAnsi"/>
        </w:rPr>
        <w:t>, de tal forma que estas acciones permitan realizar el monitoreo del desempeño del presupuesto asignado.</w:t>
      </w:r>
    </w:p>
    <w:p w14:paraId="3C101D84" w14:textId="3A7F056C" w:rsidR="00E35122" w:rsidRPr="00B01707" w:rsidRDefault="00E35122" w:rsidP="00F92F32">
      <w:pPr>
        <w:pStyle w:val="Prrafodelista"/>
        <w:numPr>
          <w:ilvl w:val="0"/>
          <w:numId w:val="4"/>
        </w:numPr>
        <w:spacing w:after="0"/>
        <w:ind w:left="284" w:hanging="284"/>
        <w:rPr>
          <w:rFonts w:cstheme="minorHAnsi"/>
        </w:rPr>
      </w:pPr>
      <w:r w:rsidRPr="00B01707">
        <w:rPr>
          <w:rFonts w:cstheme="minorHAnsi"/>
        </w:rPr>
        <w:t xml:space="preserve">Estos </w:t>
      </w:r>
      <w:r w:rsidR="00F62998" w:rsidRPr="00B01707">
        <w:rPr>
          <w:rFonts w:cstheme="minorHAnsi"/>
        </w:rPr>
        <w:t xml:space="preserve">procesos y/o </w:t>
      </w:r>
      <w:r w:rsidRPr="00B01707">
        <w:rPr>
          <w:rFonts w:cstheme="minorHAnsi"/>
        </w:rPr>
        <w:t>formatos están estandarizados, dado que son emp</w:t>
      </w:r>
      <w:r w:rsidR="00767502" w:rsidRPr="00B01707">
        <w:rPr>
          <w:rFonts w:cstheme="minorHAnsi"/>
        </w:rPr>
        <w:t>l</w:t>
      </w:r>
      <w:r w:rsidRPr="00B01707">
        <w:rPr>
          <w:rFonts w:cstheme="minorHAnsi"/>
        </w:rPr>
        <w:t>eados por la</w:t>
      </w:r>
      <w:r w:rsidR="00433891" w:rsidRPr="00B01707">
        <w:rPr>
          <w:rFonts w:cstheme="minorHAnsi"/>
        </w:rPr>
        <w:t xml:space="preserve"> dependencia o entidad responsable</w:t>
      </w:r>
      <w:r w:rsidRPr="00B01707">
        <w:rPr>
          <w:rFonts w:cstheme="minorHAnsi"/>
        </w:rPr>
        <w:t xml:space="preserve"> de </w:t>
      </w:r>
      <w:r w:rsidR="00B140D1" w:rsidRPr="00B01707">
        <w:rPr>
          <w:rFonts w:cstheme="minorHAnsi"/>
        </w:rPr>
        <w:t xml:space="preserve">la operación </w:t>
      </w:r>
      <w:r w:rsidRPr="00B01707">
        <w:rPr>
          <w:rFonts w:cstheme="minorHAnsi"/>
        </w:rPr>
        <w:t>cada</w:t>
      </w:r>
      <w:r w:rsidR="00433891" w:rsidRPr="00B01707">
        <w:rPr>
          <w:rFonts w:cstheme="minorHAnsi"/>
        </w:rPr>
        <w:t xml:space="preserve"> Pp que recibe recursos del FAFEF</w:t>
      </w:r>
      <w:r w:rsidR="00767502" w:rsidRPr="00B01707">
        <w:rPr>
          <w:rFonts w:cstheme="minorHAnsi"/>
        </w:rPr>
        <w:t>, mismas que se describen en el cuadro siguiente</w:t>
      </w:r>
      <w:r w:rsidR="00433891" w:rsidRPr="00B01707">
        <w:rPr>
          <w:rFonts w:cstheme="minorHAnsi"/>
        </w:rPr>
        <w:t>.</w:t>
      </w:r>
    </w:p>
    <w:p w14:paraId="4C317C23" w14:textId="4625C8A4" w:rsidR="00767502" w:rsidRPr="004F43B0" w:rsidRDefault="004F43B0" w:rsidP="004F43B0">
      <w:pPr>
        <w:pStyle w:val="Cuadro"/>
      </w:pPr>
      <w:bookmarkStart w:id="89" w:name="_Toc55502395"/>
      <w:bookmarkStart w:id="90" w:name="_Toc55502512"/>
      <w:bookmarkStart w:id="91" w:name="_Toc56069938"/>
      <w:r w:rsidRPr="004F43B0">
        <w:rPr>
          <w:rStyle w:val="CuadroCar"/>
          <w:b/>
          <w:bCs/>
          <w:color w:val="auto"/>
          <w:sz w:val="22"/>
          <w:szCs w:val="22"/>
        </w:rPr>
        <w:t xml:space="preserve">Cuadro </w:t>
      </w:r>
      <w:r w:rsidR="008159E4">
        <w:rPr>
          <w:rStyle w:val="CuadroCar"/>
          <w:b/>
          <w:bCs/>
          <w:color w:val="auto"/>
          <w:sz w:val="22"/>
          <w:szCs w:val="22"/>
        </w:rPr>
        <w:t>11</w:t>
      </w:r>
      <w:r w:rsidRPr="004F43B0">
        <w:rPr>
          <w:rStyle w:val="CuadroCar"/>
          <w:b/>
          <w:bCs/>
          <w:color w:val="auto"/>
          <w:sz w:val="22"/>
          <w:szCs w:val="22"/>
        </w:rPr>
        <w:t>. Dependencias ejecutoras de los Pp que recibieron recursos del FAFEF en 2018</w:t>
      </w:r>
      <w:r w:rsidRPr="004F43B0">
        <w:t>.</w:t>
      </w:r>
      <w:bookmarkEnd w:id="89"/>
      <w:bookmarkEnd w:id="90"/>
      <w:bookmarkEnd w:id="91"/>
      <w:r w:rsidRPr="004F43B0">
        <w:t xml:space="preserve"> </w:t>
      </w:r>
    </w:p>
    <w:tbl>
      <w:tblPr>
        <w:tblW w:w="996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1696"/>
        <w:gridCol w:w="5245"/>
        <w:gridCol w:w="3021"/>
      </w:tblGrid>
      <w:tr w:rsidR="00433891" w:rsidRPr="00B01707" w14:paraId="0C5E3569" w14:textId="71D80862" w:rsidTr="001A6C1F">
        <w:trPr>
          <w:trHeight w:val="20"/>
          <w:tblHeader/>
        </w:trPr>
        <w:tc>
          <w:tcPr>
            <w:tcW w:w="1696" w:type="dxa"/>
            <w:shd w:val="clear" w:color="auto" w:fill="9CC2E5"/>
            <w:noWrap/>
            <w:vAlign w:val="center"/>
            <w:hideMark/>
          </w:tcPr>
          <w:p w14:paraId="0B214A78" w14:textId="77777777" w:rsidR="00433891" w:rsidRPr="00B01707" w:rsidRDefault="00433891" w:rsidP="008F0662">
            <w:pPr>
              <w:spacing w:before="0" w:after="0"/>
              <w:jc w:val="center"/>
              <w:rPr>
                <w:rFonts w:eastAsia="Times New Roman" w:cstheme="minorHAnsi"/>
                <w:b/>
                <w:color w:val="000000"/>
                <w:sz w:val="20"/>
                <w:szCs w:val="20"/>
                <w:lang w:eastAsia="es-MX"/>
              </w:rPr>
            </w:pPr>
            <w:bookmarkStart w:id="92" w:name="_Hlk47847976"/>
            <w:r w:rsidRPr="00B01707">
              <w:rPr>
                <w:rFonts w:eastAsia="Times New Roman" w:cstheme="minorHAnsi"/>
                <w:b/>
                <w:color w:val="000000"/>
                <w:sz w:val="20"/>
                <w:szCs w:val="20"/>
                <w:lang w:eastAsia="es-MX"/>
              </w:rPr>
              <w:t>No. de programa presupuestario</w:t>
            </w:r>
          </w:p>
        </w:tc>
        <w:tc>
          <w:tcPr>
            <w:tcW w:w="5245" w:type="dxa"/>
            <w:shd w:val="clear" w:color="auto" w:fill="9CC2E5"/>
            <w:noWrap/>
            <w:vAlign w:val="center"/>
            <w:hideMark/>
          </w:tcPr>
          <w:p w14:paraId="1732A12F" w14:textId="77777777" w:rsidR="00433891" w:rsidRPr="00B01707" w:rsidRDefault="00433891" w:rsidP="008F0662">
            <w:pPr>
              <w:spacing w:before="0" w:after="0"/>
              <w:jc w:val="center"/>
              <w:rPr>
                <w:rFonts w:eastAsia="Times New Roman" w:cstheme="minorHAnsi"/>
                <w:b/>
                <w:color w:val="000000"/>
                <w:sz w:val="20"/>
                <w:szCs w:val="20"/>
                <w:lang w:eastAsia="es-MX"/>
              </w:rPr>
            </w:pPr>
            <w:r w:rsidRPr="00B01707">
              <w:rPr>
                <w:rFonts w:eastAsia="Times New Roman" w:cstheme="minorHAnsi"/>
                <w:b/>
                <w:color w:val="000000"/>
                <w:sz w:val="20"/>
                <w:szCs w:val="20"/>
                <w:lang w:eastAsia="es-MX"/>
              </w:rPr>
              <w:t>Programa Presupuestario</w:t>
            </w:r>
          </w:p>
        </w:tc>
        <w:tc>
          <w:tcPr>
            <w:tcW w:w="3021" w:type="dxa"/>
            <w:shd w:val="clear" w:color="auto" w:fill="9CC2E5"/>
            <w:vAlign w:val="center"/>
          </w:tcPr>
          <w:p w14:paraId="07C6830D" w14:textId="71F00338" w:rsidR="00433891" w:rsidRPr="00B01707" w:rsidRDefault="00433891" w:rsidP="008F0662">
            <w:pPr>
              <w:spacing w:before="0" w:after="0"/>
              <w:jc w:val="center"/>
              <w:rPr>
                <w:rFonts w:eastAsia="Times New Roman" w:cstheme="minorHAnsi"/>
                <w:b/>
                <w:color w:val="000000"/>
                <w:sz w:val="20"/>
                <w:szCs w:val="20"/>
                <w:lang w:eastAsia="es-MX"/>
              </w:rPr>
            </w:pPr>
            <w:r w:rsidRPr="00B01707">
              <w:rPr>
                <w:rFonts w:eastAsia="Times New Roman" w:cstheme="minorHAnsi"/>
                <w:b/>
                <w:color w:val="000000"/>
                <w:sz w:val="20"/>
                <w:szCs w:val="20"/>
                <w:lang w:eastAsia="es-MX"/>
              </w:rPr>
              <w:t>Dependencia/</w:t>
            </w:r>
            <w:r w:rsidR="00AD18F3">
              <w:rPr>
                <w:rFonts w:eastAsia="Times New Roman" w:cstheme="minorHAnsi"/>
                <w:b/>
                <w:color w:val="000000"/>
                <w:sz w:val="20"/>
                <w:szCs w:val="20"/>
                <w:lang w:eastAsia="es-MX"/>
              </w:rPr>
              <w:t>e</w:t>
            </w:r>
            <w:r w:rsidRPr="00B01707">
              <w:rPr>
                <w:rFonts w:eastAsia="Times New Roman" w:cstheme="minorHAnsi"/>
                <w:b/>
                <w:color w:val="000000"/>
                <w:sz w:val="20"/>
                <w:szCs w:val="20"/>
                <w:lang w:eastAsia="es-MX"/>
              </w:rPr>
              <w:t>ntidad responsable</w:t>
            </w:r>
          </w:p>
        </w:tc>
      </w:tr>
      <w:tr w:rsidR="00433891" w:rsidRPr="00B01707" w14:paraId="554FDCBA" w14:textId="659E4F7B" w:rsidTr="00A47A3E">
        <w:trPr>
          <w:trHeight w:val="20"/>
        </w:trPr>
        <w:tc>
          <w:tcPr>
            <w:tcW w:w="1696" w:type="dxa"/>
            <w:shd w:val="clear" w:color="auto" w:fill="auto"/>
            <w:noWrap/>
            <w:vAlign w:val="bottom"/>
          </w:tcPr>
          <w:p w14:paraId="1533AC81"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D191</w:t>
            </w:r>
          </w:p>
        </w:tc>
        <w:tc>
          <w:tcPr>
            <w:tcW w:w="5245" w:type="dxa"/>
            <w:shd w:val="clear" w:color="auto" w:fill="auto"/>
            <w:noWrap/>
            <w:vAlign w:val="center"/>
          </w:tcPr>
          <w:p w14:paraId="7A6D7C8B"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Costo financiero y deuda</w:t>
            </w:r>
          </w:p>
        </w:tc>
        <w:tc>
          <w:tcPr>
            <w:tcW w:w="3021" w:type="dxa"/>
          </w:tcPr>
          <w:p w14:paraId="055BFFA6" w14:textId="7BB7E05B" w:rsidR="00433891" w:rsidRPr="00B01707" w:rsidRDefault="008933BA" w:rsidP="001A6C1F">
            <w:pPr>
              <w:spacing w:before="0" w:after="0"/>
              <w:rPr>
                <w:rFonts w:eastAsia="Times New Roman" w:cstheme="minorHAnsi"/>
                <w:color w:val="000000"/>
                <w:sz w:val="20"/>
                <w:szCs w:val="20"/>
                <w:lang w:eastAsia="es-MX"/>
              </w:rPr>
            </w:pPr>
            <w:r w:rsidRPr="00B01707">
              <w:rPr>
                <w:rFonts w:cstheme="minorHAnsi"/>
                <w:sz w:val="20"/>
                <w:szCs w:val="20"/>
              </w:rPr>
              <w:t>Secretaría de Finanzas</w:t>
            </w:r>
          </w:p>
        </w:tc>
      </w:tr>
      <w:tr w:rsidR="00433891" w:rsidRPr="00B01707" w14:paraId="2D91B048" w14:textId="356B2E3D" w:rsidTr="00A47A3E">
        <w:trPr>
          <w:trHeight w:val="20"/>
        </w:trPr>
        <w:tc>
          <w:tcPr>
            <w:tcW w:w="1696" w:type="dxa"/>
            <w:shd w:val="clear" w:color="auto" w:fill="auto"/>
            <w:noWrap/>
            <w:vAlign w:val="bottom"/>
            <w:hideMark/>
          </w:tcPr>
          <w:p w14:paraId="73D3ABB3"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K170</w:t>
            </w:r>
          </w:p>
        </w:tc>
        <w:tc>
          <w:tcPr>
            <w:tcW w:w="5245" w:type="dxa"/>
            <w:shd w:val="clear" w:color="auto" w:fill="auto"/>
            <w:noWrap/>
            <w:vAlign w:val="center"/>
            <w:hideMark/>
          </w:tcPr>
          <w:p w14:paraId="1A6EF3F5"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Infraestructura de agua potable, alcantarillado y saneamiento</w:t>
            </w:r>
          </w:p>
        </w:tc>
        <w:tc>
          <w:tcPr>
            <w:tcW w:w="3021" w:type="dxa"/>
          </w:tcPr>
          <w:p w14:paraId="6BD9B712" w14:textId="42889F58" w:rsidR="00433891" w:rsidRPr="00B01707" w:rsidRDefault="00433891" w:rsidP="001A6C1F">
            <w:pPr>
              <w:spacing w:before="0" w:after="0"/>
              <w:rPr>
                <w:rFonts w:cstheme="minorHAnsi"/>
                <w:sz w:val="20"/>
                <w:szCs w:val="20"/>
              </w:rPr>
            </w:pPr>
            <w:r w:rsidRPr="00B01707">
              <w:rPr>
                <w:rFonts w:cstheme="minorHAnsi"/>
                <w:sz w:val="20"/>
                <w:szCs w:val="20"/>
              </w:rPr>
              <w:t>Comisión Estatal de Agua de Tamaulipas</w:t>
            </w:r>
          </w:p>
        </w:tc>
      </w:tr>
      <w:tr w:rsidR="00433891" w:rsidRPr="00B01707" w14:paraId="6449C7C2" w14:textId="1A51105F" w:rsidTr="00A47A3E">
        <w:trPr>
          <w:trHeight w:val="20"/>
        </w:trPr>
        <w:tc>
          <w:tcPr>
            <w:tcW w:w="1696" w:type="dxa"/>
            <w:shd w:val="clear" w:color="auto" w:fill="auto"/>
            <w:noWrap/>
            <w:vAlign w:val="bottom"/>
            <w:hideMark/>
          </w:tcPr>
          <w:p w14:paraId="49248F6D"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K172</w:t>
            </w:r>
          </w:p>
        </w:tc>
        <w:tc>
          <w:tcPr>
            <w:tcW w:w="5245" w:type="dxa"/>
            <w:shd w:val="clear" w:color="auto" w:fill="auto"/>
            <w:noWrap/>
            <w:vAlign w:val="center"/>
            <w:hideMark/>
          </w:tcPr>
          <w:p w14:paraId="1A9F1733"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Mantenimiento de infraestructura</w:t>
            </w:r>
          </w:p>
        </w:tc>
        <w:tc>
          <w:tcPr>
            <w:tcW w:w="3021" w:type="dxa"/>
          </w:tcPr>
          <w:p w14:paraId="32EDD678" w14:textId="24B7E812" w:rsidR="00433891" w:rsidRPr="00B01707" w:rsidRDefault="00B01707" w:rsidP="001A6C1F">
            <w:pPr>
              <w:spacing w:before="0" w:after="0"/>
              <w:rPr>
                <w:rFonts w:cstheme="minorHAnsi"/>
                <w:sz w:val="20"/>
                <w:szCs w:val="20"/>
              </w:rPr>
            </w:pPr>
            <w:r w:rsidRPr="00B01707">
              <w:rPr>
                <w:rFonts w:cstheme="minorHAnsi"/>
                <w:sz w:val="20"/>
                <w:szCs w:val="20"/>
              </w:rPr>
              <w:t>ND</w:t>
            </w:r>
          </w:p>
        </w:tc>
      </w:tr>
      <w:tr w:rsidR="00433891" w:rsidRPr="00B01707" w14:paraId="06DC4AF1" w14:textId="694977C8" w:rsidTr="00A47A3E">
        <w:trPr>
          <w:trHeight w:val="20"/>
        </w:trPr>
        <w:tc>
          <w:tcPr>
            <w:tcW w:w="1696" w:type="dxa"/>
            <w:shd w:val="clear" w:color="auto" w:fill="auto"/>
            <w:noWrap/>
            <w:vAlign w:val="bottom"/>
            <w:hideMark/>
          </w:tcPr>
          <w:p w14:paraId="7D813B35"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k173</w:t>
            </w:r>
          </w:p>
        </w:tc>
        <w:tc>
          <w:tcPr>
            <w:tcW w:w="5245" w:type="dxa"/>
            <w:shd w:val="clear" w:color="auto" w:fill="auto"/>
            <w:noWrap/>
            <w:vAlign w:val="center"/>
            <w:hideMark/>
          </w:tcPr>
          <w:p w14:paraId="61C9695F"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Otros proyectos de infraestructura gubernamental</w:t>
            </w:r>
          </w:p>
        </w:tc>
        <w:tc>
          <w:tcPr>
            <w:tcW w:w="3021" w:type="dxa"/>
          </w:tcPr>
          <w:p w14:paraId="42852AB8" w14:textId="4A4C8D22" w:rsidR="00433891" w:rsidRPr="00B01707" w:rsidRDefault="006C5359" w:rsidP="001A6C1F">
            <w:pPr>
              <w:spacing w:before="0" w:after="0"/>
              <w:rPr>
                <w:rFonts w:cstheme="minorHAnsi"/>
                <w:sz w:val="20"/>
                <w:szCs w:val="20"/>
              </w:rPr>
            </w:pPr>
            <w:r w:rsidRPr="00B01707">
              <w:rPr>
                <w:rFonts w:cstheme="minorHAnsi"/>
                <w:sz w:val="20"/>
                <w:szCs w:val="20"/>
              </w:rPr>
              <w:t>Secretaría de Finanzas</w:t>
            </w:r>
          </w:p>
        </w:tc>
      </w:tr>
      <w:tr w:rsidR="00433891" w:rsidRPr="00B01707" w14:paraId="5807DE88" w14:textId="09C4A060" w:rsidTr="00A47A3E">
        <w:trPr>
          <w:trHeight w:val="20"/>
        </w:trPr>
        <w:tc>
          <w:tcPr>
            <w:tcW w:w="1696" w:type="dxa"/>
            <w:shd w:val="clear" w:color="auto" w:fill="auto"/>
            <w:noWrap/>
            <w:vAlign w:val="bottom"/>
            <w:hideMark/>
          </w:tcPr>
          <w:p w14:paraId="4C33A278"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K174</w:t>
            </w:r>
          </w:p>
        </w:tc>
        <w:tc>
          <w:tcPr>
            <w:tcW w:w="5245" w:type="dxa"/>
            <w:shd w:val="clear" w:color="auto" w:fill="auto"/>
            <w:noWrap/>
            <w:vAlign w:val="center"/>
            <w:hideMark/>
          </w:tcPr>
          <w:p w14:paraId="73ECA1CB" w14:textId="6079C7FD"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Otros proyectos de Infraestructura social</w:t>
            </w:r>
          </w:p>
        </w:tc>
        <w:tc>
          <w:tcPr>
            <w:tcW w:w="3021" w:type="dxa"/>
          </w:tcPr>
          <w:p w14:paraId="574939F2" w14:textId="7349460D" w:rsidR="00433891" w:rsidRPr="00B01707" w:rsidRDefault="00433891" w:rsidP="001A6C1F">
            <w:pPr>
              <w:spacing w:before="0" w:after="0"/>
              <w:rPr>
                <w:rFonts w:cstheme="minorHAnsi"/>
                <w:sz w:val="20"/>
                <w:szCs w:val="20"/>
              </w:rPr>
            </w:pPr>
            <w:r w:rsidRPr="00B01707">
              <w:rPr>
                <w:rFonts w:cstheme="minorHAnsi"/>
                <w:sz w:val="20"/>
                <w:szCs w:val="20"/>
              </w:rPr>
              <w:t>Secretaría de Bienestar Social</w:t>
            </w:r>
          </w:p>
        </w:tc>
      </w:tr>
      <w:tr w:rsidR="00433891" w:rsidRPr="00B01707" w14:paraId="562C1429" w14:textId="2F40E629" w:rsidTr="00A47A3E">
        <w:trPr>
          <w:trHeight w:val="20"/>
        </w:trPr>
        <w:tc>
          <w:tcPr>
            <w:tcW w:w="1696" w:type="dxa"/>
            <w:shd w:val="clear" w:color="auto" w:fill="auto"/>
            <w:noWrap/>
            <w:vAlign w:val="bottom"/>
            <w:hideMark/>
          </w:tcPr>
          <w:p w14:paraId="40F0F5ED"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K177</w:t>
            </w:r>
          </w:p>
        </w:tc>
        <w:tc>
          <w:tcPr>
            <w:tcW w:w="5245" w:type="dxa"/>
            <w:shd w:val="clear" w:color="auto" w:fill="auto"/>
            <w:noWrap/>
            <w:vAlign w:val="center"/>
            <w:hideMark/>
          </w:tcPr>
          <w:p w14:paraId="77175BDD"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construcción de puertos</w:t>
            </w:r>
          </w:p>
        </w:tc>
        <w:tc>
          <w:tcPr>
            <w:tcW w:w="3021" w:type="dxa"/>
          </w:tcPr>
          <w:p w14:paraId="67CA864A" w14:textId="424EAFD4" w:rsidR="00433891" w:rsidRPr="00B01707" w:rsidRDefault="00433891" w:rsidP="001A6C1F">
            <w:pPr>
              <w:spacing w:before="0" w:after="0"/>
              <w:rPr>
                <w:rFonts w:cstheme="minorHAnsi"/>
                <w:sz w:val="20"/>
                <w:szCs w:val="20"/>
              </w:rPr>
            </w:pPr>
            <w:r w:rsidRPr="00B01707">
              <w:rPr>
                <w:rFonts w:cstheme="minorHAnsi"/>
                <w:sz w:val="20"/>
                <w:szCs w:val="20"/>
              </w:rPr>
              <w:t>Administración Portuaria Integral S.A. de C.V.</w:t>
            </w:r>
          </w:p>
        </w:tc>
      </w:tr>
      <w:tr w:rsidR="00433891" w:rsidRPr="00B01707" w14:paraId="761F4C65" w14:textId="5F8EA517" w:rsidTr="00A47A3E">
        <w:trPr>
          <w:trHeight w:val="20"/>
        </w:trPr>
        <w:tc>
          <w:tcPr>
            <w:tcW w:w="1696" w:type="dxa"/>
            <w:shd w:val="clear" w:color="auto" w:fill="auto"/>
            <w:noWrap/>
            <w:vAlign w:val="bottom"/>
            <w:hideMark/>
          </w:tcPr>
          <w:p w14:paraId="740E51DE"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K178</w:t>
            </w:r>
          </w:p>
        </w:tc>
        <w:tc>
          <w:tcPr>
            <w:tcW w:w="5245" w:type="dxa"/>
            <w:shd w:val="clear" w:color="auto" w:fill="auto"/>
            <w:noWrap/>
            <w:vAlign w:val="center"/>
            <w:hideMark/>
          </w:tcPr>
          <w:p w14:paraId="64679DD8"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equipamiento urbano y construcción de vialidades</w:t>
            </w:r>
          </w:p>
        </w:tc>
        <w:tc>
          <w:tcPr>
            <w:tcW w:w="3021" w:type="dxa"/>
          </w:tcPr>
          <w:p w14:paraId="7E6045E2" w14:textId="6CFDDCB6" w:rsidR="00433891" w:rsidRPr="00B01707" w:rsidRDefault="00CD6DC4" w:rsidP="001A6C1F">
            <w:pPr>
              <w:spacing w:before="0" w:after="0"/>
              <w:rPr>
                <w:rFonts w:cstheme="minorHAnsi"/>
                <w:sz w:val="20"/>
                <w:szCs w:val="20"/>
              </w:rPr>
            </w:pPr>
            <w:r w:rsidRPr="00B01707">
              <w:rPr>
                <w:rFonts w:cstheme="minorHAnsi"/>
                <w:sz w:val="20"/>
                <w:szCs w:val="20"/>
              </w:rPr>
              <w:t>Secretaría de Obras Públicas</w:t>
            </w:r>
          </w:p>
        </w:tc>
      </w:tr>
      <w:tr w:rsidR="00433891" w:rsidRPr="00B01707" w14:paraId="001057E6" w14:textId="4E65E9D5" w:rsidTr="00A47A3E">
        <w:trPr>
          <w:trHeight w:val="20"/>
        </w:trPr>
        <w:tc>
          <w:tcPr>
            <w:tcW w:w="1696" w:type="dxa"/>
            <w:shd w:val="clear" w:color="auto" w:fill="auto"/>
            <w:noWrap/>
            <w:vAlign w:val="bottom"/>
            <w:hideMark/>
          </w:tcPr>
          <w:p w14:paraId="29C2B23C"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K179</w:t>
            </w:r>
          </w:p>
        </w:tc>
        <w:tc>
          <w:tcPr>
            <w:tcW w:w="5245" w:type="dxa"/>
            <w:shd w:val="clear" w:color="auto" w:fill="auto"/>
            <w:noWrap/>
            <w:vAlign w:val="center"/>
            <w:hideMark/>
          </w:tcPr>
          <w:p w14:paraId="2D3C5EDF"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de electricidad</w:t>
            </w:r>
          </w:p>
        </w:tc>
        <w:tc>
          <w:tcPr>
            <w:tcW w:w="3021" w:type="dxa"/>
          </w:tcPr>
          <w:p w14:paraId="36C87E99" w14:textId="07765476" w:rsidR="00433891" w:rsidRPr="00B01707" w:rsidRDefault="006C5359" w:rsidP="001A6C1F">
            <w:pPr>
              <w:spacing w:before="0" w:after="0"/>
              <w:rPr>
                <w:rFonts w:cstheme="minorHAnsi"/>
                <w:sz w:val="20"/>
                <w:szCs w:val="20"/>
              </w:rPr>
            </w:pPr>
            <w:r w:rsidRPr="00B01707">
              <w:rPr>
                <w:rFonts w:cstheme="minorHAnsi"/>
                <w:sz w:val="20"/>
                <w:szCs w:val="20"/>
              </w:rPr>
              <w:t>Secretaría de Bienestar Social</w:t>
            </w:r>
          </w:p>
        </w:tc>
      </w:tr>
      <w:tr w:rsidR="00433891" w:rsidRPr="00B01707" w14:paraId="313C6C37" w14:textId="44AD94D7" w:rsidTr="00A47A3E">
        <w:trPr>
          <w:trHeight w:val="20"/>
        </w:trPr>
        <w:tc>
          <w:tcPr>
            <w:tcW w:w="1696" w:type="dxa"/>
            <w:shd w:val="clear" w:color="auto" w:fill="auto"/>
            <w:noWrap/>
            <w:vAlign w:val="bottom"/>
            <w:hideMark/>
          </w:tcPr>
          <w:p w14:paraId="0E08BF97"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K180</w:t>
            </w:r>
          </w:p>
        </w:tc>
        <w:tc>
          <w:tcPr>
            <w:tcW w:w="5245" w:type="dxa"/>
            <w:shd w:val="clear" w:color="auto" w:fill="auto"/>
            <w:noWrap/>
            <w:vAlign w:val="center"/>
            <w:hideMark/>
          </w:tcPr>
          <w:p w14:paraId="00AABDB5"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de turismo</w:t>
            </w:r>
          </w:p>
        </w:tc>
        <w:tc>
          <w:tcPr>
            <w:tcW w:w="3021" w:type="dxa"/>
          </w:tcPr>
          <w:p w14:paraId="5233CD1A" w14:textId="01498198" w:rsidR="00433891" w:rsidRPr="00B01707" w:rsidRDefault="006C5359" w:rsidP="001A6C1F">
            <w:pPr>
              <w:spacing w:before="0" w:after="0"/>
              <w:rPr>
                <w:rFonts w:cstheme="minorHAnsi"/>
                <w:sz w:val="20"/>
                <w:szCs w:val="20"/>
              </w:rPr>
            </w:pPr>
            <w:r w:rsidRPr="00B01707">
              <w:rPr>
                <w:rFonts w:cstheme="minorHAnsi"/>
                <w:sz w:val="20"/>
                <w:szCs w:val="20"/>
              </w:rPr>
              <w:t>Secretaría de Turismo</w:t>
            </w:r>
          </w:p>
        </w:tc>
      </w:tr>
      <w:tr w:rsidR="00433891" w:rsidRPr="00B01707" w14:paraId="16CB4DB5" w14:textId="285045D9" w:rsidTr="00A47A3E">
        <w:trPr>
          <w:trHeight w:val="20"/>
        </w:trPr>
        <w:tc>
          <w:tcPr>
            <w:tcW w:w="1696" w:type="dxa"/>
            <w:shd w:val="clear" w:color="auto" w:fill="auto"/>
            <w:noWrap/>
            <w:vAlign w:val="bottom"/>
            <w:hideMark/>
          </w:tcPr>
          <w:p w14:paraId="761048BF"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K182</w:t>
            </w:r>
          </w:p>
        </w:tc>
        <w:tc>
          <w:tcPr>
            <w:tcW w:w="5245" w:type="dxa"/>
            <w:shd w:val="clear" w:color="auto" w:fill="auto"/>
            <w:noWrap/>
            <w:vAlign w:val="center"/>
            <w:hideMark/>
          </w:tcPr>
          <w:p w14:paraId="69C3C78D"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gubernamental de procuración de justicia</w:t>
            </w:r>
          </w:p>
        </w:tc>
        <w:tc>
          <w:tcPr>
            <w:tcW w:w="3021" w:type="dxa"/>
          </w:tcPr>
          <w:p w14:paraId="2A9462C9" w14:textId="42C049C2" w:rsidR="00433891" w:rsidRPr="00B01707" w:rsidRDefault="00CD6DC4" w:rsidP="001A6C1F">
            <w:pPr>
              <w:spacing w:before="0" w:after="0"/>
              <w:rPr>
                <w:rFonts w:cstheme="minorHAnsi"/>
                <w:sz w:val="20"/>
                <w:szCs w:val="20"/>
              </w:rPr>
            </w:pPr>
            <w:r w:rsidRPr="00B01707">
              <w:rPr>
                <w:rFonts w:cstheme="minorHAnsi"/>
                <w:sz w:val="20"/>
                <w:szCs w:val="20"/>
              </w:rPr>
              <w:t>Secretaría de Obras Públicas</w:t>
            </w:r>
          </w:p>
        </w:tc>
      </w:tr>
      <w:tr w:rsidR="00433891" w:rsidRPr="00B01707" w14:paraId="667A0E98" w14:textId="199E8167" w:rsidTr="00A47A3E">
        <w:trPr>
          <w:trHeight w:val="20"/>
        </w:trPr>
        <w:tc>
          <w:tcPr>
            <w:tcW w:w="1696" w:type="dxa"/>
            <w:shd w:val="clear" w:color="auto" w:fill="auto"/>
            <w:noWrap/>
            <w:vAlign w:val="bottom"/>
            <w:hideMark/>
          </w:tcPr>
          <w:p w14:paraId="1070D84C"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K183</w:t>
            </w:r>
          </w:p>
        </w:tc>
        <w:tc>
          <w:tcPr>
            <w:tcW w:w="5245" w:type="dxa"/>
            <w:shd w:val="clear" w:color="auto" w:fill="auto"/>
            <w:noWrap/>
            <w:vAlign w:val="center"/>
            <w:hideMark/>
          </w:tcPr>
          <w:p w14:paraId="54269048"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gubernamental de seguridad pública</w:t>
            </w:r>
          </w:p>
        </w:tc>
        <w:tc>
          <w:tcPr>
            <w:tcW w:w="3021" w:type="dxa"/>
          </w:tcPr>
          <w:p w14:paraId="70D711B9" w14:textId="488CB4A8" w:rsidR="00433891" w:rsidRPr="00B01707" w:rsidRDefault="006C5359" w:rsidP="001A6C1F">
            <w:pPr>
              <w:spacing w:before="0" w:after="0"/>
              <w:rPr>
                <w:rFonts w:cstheme="minorHAnsi"/>
                <w:sz w:val="20"/>
                <w:szCs w:val="20"/>
              </w:rPr>
            </w:pPr>
            <w:r w:rsidRPr="00B01707">
              <w:rPr>
                <w:rFonts w:cstheme="minorHAnsi"/>
                <w:sz w:val="20"/>
                <w:szCs w:val="20"/>
              </w:rPr>
              <w:t>Secretaría de Seguridad Pública</w:t>
            </w:r>
          </w:p>
        </w:tc>
      </w:tr>
      <w:tr w:rsidR="00433891" w:rsidRPr="00B01707" w14:paraId="3F2E6F90" w14:textId="05CFE716" w:rsidTr="00A47A3E">
        <w:trPr>
          <w:trHeight w:val="20"/>
        </w:trPr>
        <w:tc>
          <w:tcPr>
            <w:tcW w:w="1696" w:type="dxa"/>
            <w:shd w:val="clear" w:color="auto" w:fill="auto"/>
            <w:noWrap/>
            <w:vAlign w:val="bottom"/>
            <w:hideMark/>
          </w:tcPr>
          <w:p w14:paraId="738EC165" w14:textId="77777777" w:rsidR="00433891" w:rsidRPr="00B01707" w:rsidRDefault="00433891" w:rsidP="008F066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K185</w:t>
            </w:r>
          </w:p>
        </w:tc>
        <w:tc>
          <w:tcPr>
            <w:tcW w:w="5245" w:type="dxa"/>
            <w:shd w:val="clear" w:color="auto" w:fill="auto"/>
            <w:noWrap/>
            <w:vAlign w:val="center"/>
            <w:hideMark/>
          </w:tcPr>
          <w:p w14:paraId="469E3A46"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social de salud</w:t>
            </w:r>
          </w:p>
        </w:tc>
        <w:tc>
          <w:tcPr>
            <w:tcW w:w="3021" w:type="dxa"/>
          </w:tcPr>
          <w:p w14:paraId="13E0FAA8" w14:textId="3A70A0E4" w:rsidR="00433891" w:rsidRPr="00B01707" w:rsidRDefault="006C5359" w:rsidP="001A6C1F">
            <w:pPr>
              <w:spacing w:before="0" w:after="0"/>
              <w:rPr>
                <w:rFonts w:cstheme="minorHAnsi"/>
                <w:sz w:val="20"/>
                <w:szCs w:val="20"/>
              </w:rPr>
            </w:pPr>
            <w:r w:rsidRPr="00B01707">
              <w:rPr>
                <w:rFonts w:cstheme="minorHAnsi"/>
                <w:sz w:val="20"/>
                <w:szCs w:val="20"/>
              </w:rPr>
              <w:t>Servicios de Salud de Tamaulipas</w:t>
            </w:r>
          </w:p>
        </w:tc>
      </w:tr>
      <w:tr w:rsidR="00433891" w:rsidRPr="00B01707" w14:paraId="693C830E" w14:textId="38FCB355" w:rsidTr="00A47A3E">
        <w:trPr>
          <w:trHeight w:val="20"/>
        </w:trPr>
        <w:tc>
          <w:tcPr>
            <w:tcW w:w="1696" w:type="dxa"/>
            <w:shd w:val="clear" w:color="auto" w:fill="auto"/>
            <w:noWrap/>
            <w:vAlign w:val="bottom"/>
            <w:hideMark/>
          </w:tcPr>
          <w:p w14:paraId="737AC2DF" w14:textId="77777777" w:rsidR="00433891" w:rsidRPr="00B01707" w:rsidRDefault="00433891" w:rsidP="0076750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lastRenderedPageBreak/>
              <w:t>K186</w:t>
            </w:r>
          </w:p>
        </w:tc>
        <w:tc>
          <w:tcPr>
            <w:tcW w:w="5245" w:type="dxa"/>
            <w:shd w:val="clear" w:color="auto" w:fill="auto"/>
            <w:noWrap/>
            <w:vAlign w:val="center"/>
            <w:hideMark/>
          </w:tcPr>
          <w:p w14:paraId="4792E3DD"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social del deporte</w:t>
            </w:r>
          </w:p>
        </w:tc>
        <w:tc>
          <w:tcPr>
            <w:tcW w:w="3021" w:type="dxa"/>
          </w:tcPr>
          <w:p w14:paraId="5178957A" w14:textId="5C2EA403" w:rsidR="00433891" w:rsidRPr="00B01707" w:rsidRDefault="006C5359" w:rsidP="008F0662">
            <w:pPr>
              <w:spacing w:before="0" w:after="0"/>
              <w:jc w:val="left"/>
              <w:rPr>
                <w:rFonts w:cstheme="minorHAnsi"/>
                <w:sz w:val="20"/>
                <w:szCs w:val="20"/>
              </w:rPr>
            </w:pPr>
            <w:r w:rsidRPr="00B01707">
              <w:rPr>
                <w:rFonts w:cstheme="minorHAnsi"/>
                <w:sz w:val="20"/>
                <w:szCs w:val="20"/>
              </w:rPr>
              <w:t>Instituto del Deporte de Tamaulipas</w:t>
            </w:r>
          </w:p>
        </w:tc>
      </w:tr>
      <w:tr w:rsidR="00433891" w:rsidRPr="00B01707" w14:paraId="1FD7BD2A" w14:textId="1A0B3BBE" w:rsidTr="00A47A3E">
        <w:trPr>
          <w:trHeight w:val="20"/>
        </w:trPr>
        <w:tc>
          <w:tcPr>
            <w:tcW w:w="1696" w:type="dxa"/>
            <w:shd w:val="clear" w:color="auto" w:fill="auto"/>
            <w:noWrap/>
            <w:vAlign w:val="bottom"/>
            <w:hideMark/>
          </w:tcPr>
          <w:p w14:paraId="517C8DE5" w14:textId="77777777" w:rsidR="00433891" w:rsidRPr="00B01707" w:rsidRDefault="00433891" w:rsidP="0076750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K187</w:t>
            </w:r>
          </w:p>
        </w:tc>
        <w:tc>
          <w:tcPr>
            <w:tcW w:w="5245" w:type="dxa"/>
            <w:shd w:val="clear" w:color="auto" w:fill="auto"/>
            <w:noWrap/>
            <w:vAlign w:val="center"/>
            <w:hideMark/>
          </w:tcPr>
          <w:p w14:paraId="325C73EB"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Proyectos de infraestructura social del sector educativo/cultura</w:t>
            </w:r>
          </w:p>
        </w:tc>
        <w:tc>
          <w:tcPr>
            <w:tcW w:w="3021" w:type="dxa"/>
          </w:tcPr>
          <w:p w14:paraId="3BFFBA5F" w14:textId="5B238669" w:rsidR="00433891" w:rsidRPr="00B01707" w:rsidRDefault="006C5359" w:rsidP="008F0662">
            <w:pPr>
              <w:spacing w:before="0" w:after="0"/>
              <w:jc w:val="left"/>
              <w:rPr>
                <w:rFonts w:cstheme="minorHAnsi"/>
                <w:sz w:val="20"/>
                <w:szCs w:val="20"/>
              </w:rPr>
            </w:pPr>
            <w:r w:rsidRPr="00B01707">
              <w:rPr>
                <w:rFonts w:cstheme="minorHAnsi"/>
                <w:sz w:val="20"/>
                <w:szCs w:val="20"/>
              </w:rPr>
              <w:t>Secretaría de Educación</w:t>
            </w:r>
          </w:p>
        </w:tc>
      </w:tr>
      <w:tr w:rsidR="00433891" w:rsidRPr="00B01707" w14:paraId="2C338B75" w14:textId="5C9D99E3" w:rsidTr="00A47A3E">
        <w:trPr>
          <w:trHeight w:val="20"/>
        </w:trPr>
        <w:tc>
          <w:tcPr>
            <w:tcW w:w="1696" w:type="dxa"/>
            <w:shd w:val="clear" w:color="auto" w:fill="auto"/>
            <w:noWrap/>
            <w:vAlign w:val="bottom"/>
            <w:hideMark/>
          </w:tcPr>
          <w:p w14:paraId="3280AFFA" w14:textId="77777777" w:rsidR="00433891" w:rsidRPr="00B01707" w:rsidRDefault="00433891" w:rsidP="0076750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K188</w:t>
            </w:r>
          </w:p>
        </w:tc>
        <w:tc>
          <w:tcPr>
            <w:tcW w:w="5245" w:type="dxa"/>
            <w:shd w:val="clear" w:color="auto" w:fill="auto"/>
            <w:noWrap/>
            <w:vAlign w:val="center"/>
            <w:hideMark/>
          </w:tcPr>
          <w:p w14:paraId="0DEBDABF"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Reconstrucción y conservación de carreteras</w:t>
            </w:r>
          </w:p>
        </w:tc>
        <w:tc>
          <w:tcPr>
            <w:tcW w:w="3021" w:type="dxa"/>
          </w:tcPr>
          <w:p w14:paraId="25258F54" w14:textId="50C76307" w:rsidR="00433891" w:rsidRPr="00B01707" w:rsidRDefault="006C5359" w:rsidP="008F0662">
            <w:pPr>
              <w:spacing w:before="0" w:after="0"/>
              <w:jc w:val="left"/>
              <w:rPr>
                <w:rFonts w:cstheme="minorHAnsi"/>
                <w:sz w:val="20"/>
                <w:szCs w:val="20"/>
              </w:rPr>
            </w:pPr>
            <w:r w:rsidRPr="00B01707">
              <w:rPr>
                <w:rFonts w:cstheme="minorHAnsi"/>
                <w:sz w:val="20"/>
                <w:szCs w:val="20"/>
              </w:rPr>
              <w:t>Secretaría de Obras Públicas</w:t>
            </w:r>
          </w:p>
        </w:tc>
      </w:tr>
      <w:tr w:rsidR="00433891" w:rsidRPr="00B01707" w14:paraId="735E0DC2" w14:textId="2CF858A4" w:rsidTr="00A47A3E">
        <w:trPr>
          <w:trHeight w:val="20"/>
        </w:trPr>
        <w:tc>
          <w:tcPr>
            <w:tcW w:w="1696" w:type="dxa"/>
            <w:shd w:val="clear" w:color="auto" w:fill="auto"/>
            <w:noWrap/>
            <w:vAlign w:val="bottom"/>
            <w:hideMark/>
          </w:tcPr>
          <w:p w14:paraId="5079D893" w14:textId="77777777" w:rsidR="00433891" w:rsidRPr="00B01707" w:rsidRDefault="00433891" w:rsidP="00767502">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M005</w:t>
            </w:r>
          </w:p>
        </w:tc>
        <w:tc>
          <w:tcPr>
            <w:tcW w:w="5245" w:type="dxa"/>
            <w:shd w:val="clear" w:color="auto" w:fill="auto"/>
            <w:noWrap/>
            <w:vAlign w:val="center"/>
            <w:hideMark/>
          </w:tcPr>
          <w:p w14:paraId="6D766DC5" w14:textId="77777777" w:rsidR="00433891" w:rsidRPr="00B01707" w:rsidRDefault="00433891"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Actividades de apoyo administrativo</w:t>
            </w:r>
          </w:p>
        </w:tc>
        <w:tc>
          <w:tcPr>
            <w:tcW w:w="3021" w:type="dxa"/>
          </w:tcPr>
          <w:p w14:paraId="4E6D5E39" w14:textId="1B434A69" w:rsidR="00433891" w:rsidRPr="00B01707" w:rsidRDefault="002E71CD" w:rsidP="008F0662">
            <w:pPr>
              <w:spacing w:before="0" w:after="0"/>
              <w:jc w:val="left"/>
              <w:rPr>
                <w:rFonts w:cstheme="minorHAnsi"/>
                <w:sz w:val="20"/>
                <w:szCs w:val="20"/>
              </w:rPr>
            </w:pPr>
            <w:r w:rsidRPr="00B01707">
              <w:rPr>
                <w:rFonts w:cstheme="minorHAnsi"/>
                <w:sz w:val="20"/>
                <w:szCs w:val="20"/>
              </w:rPr>
              <w:t>Secretaría de Finanzas</w:t>
            </w:r>
          </w:p>
        </w:tc>
      </w:tr>
      <w:tr w:rsidR="002E71CD" w:rsidRPr="00B01707" w14:paraId="4AC47F5D" w14:textId="54C497F5" w:rsidTr="00A47A3E">
        <w:trPr>
          <w:trHeight w:val="20"/>
        </w:trPr>
        <w:tc>
          <w:tcPr>
            <w:tcW w:w="1696" w:type="dxa"/>
            <w:shd w:val="clear" w:color="auto" w:fill="auto"/>
            <w:noWrap/>
            <w:vAlign w:val="bottom"/>
            <w:hideMark/>
          </w:tcPr>
          <w:p w14:paraId="7A42BA98" w14:textId="77777777" w:rsidR="002E71CD" w:rsidRPr="00B01707" w:rsidRDefault="002E71CD" w:rsidP="002E71CD">
            <w:pPr>
              <w:spacing w:before="0" w:after="0"/>
              <w:jc w:val="center"/>
              <w:rPr>
                <w:rFonts w:eastAsia="Times New Roman" w:cstheme="minorHAnsi"/>
                <w:color w:val="000000"/>
                <w:sz w:val="20"/>
                <w:szCs w:val="20"/>
                <w:lang w:eastAsia="es-MX"/>
              </w:rPr>
            </w:pPr>
            <w:r w:rsidRPr="00B01707">
              <w:rPr>
                <w:rFonts w:eastAsia="Times New Roman" w:cstheme="minorHAnsi"/>
                <w:color w:val="000000"/>
                <w:sz w:val="20"/>
                <w:szCs w:val="20"/>
                <w:lang w:eastAsia="es-MX"/>
              </w:rPr>
              <w:t>S131</w:t>
            </w:r>
          </w:p>
        </w:tc>
        <w:tc>
          <w:tcPr>
            <w:tcW w:w="5245" w:type="dxa"/>
            <w:shd w:val="clear" w:color="auto" w:fill="auto"/>
            <w:noWrap/>
            <w:vAlign w:val="center"/>
            <w:hideMark/>
          </w:tcPr>
          <w:p w14:paraId="6CFD4171" w14:textId="77777777" w:rsidR="002E71CD" w:rsidRPr="00B01707" w:rsidRDefault="002E71CD" w:rsidP="00A47A3E">
            <w:pPr>
              <w:spacing w:before="0" w:after="0"/>
              <w:jc w:val="left"/>
              <w:rPr>
                <w:rFonts w:eastAsia="Times New Roman" w:cstheme="minorHAnsi"/>
                <w:color w:val="000000"/>
                <w:sz w:val="20"/>
                <w:szCs w:val="20"/>
                <w:lang w:eastAsia="es-MX"/>
              </w:rPr>
            </w:pPr>
            <w:r w:rsidRPr="00B01707">
              <w:rPr>
                <w:rFonts w:eastAsia="Times New Roman" w:cstheme="minorHAnsi"/>
                <w:color w:val="000000"/>
                <w:sz w:val="20"/>
                <w:szCs w:val="20"/>
                <w:lang w:eastAsia="es-MX"/>
              </w:rPr>
              <w:t>Programa con mis útiles a la escuela</w:t>
            </w:r>
          </w:p>
        </w:tc>
        <w:tc>
          <w:tcPr>
            <w:tcW w:w="3021" w:type="dxa"/>
          </w:tcPr>
          <w:p w14:paraId="15067763" w14:textId="34D35D2C" w:rsidR="002E71CD" w:rsidRPr="00B01707" w:rsidRDefault="002E71CD" w:rsidP="002E71CD">
            <w:pPr>
              <w:spacing w:before="0" w:after="0"/>
              <w:jc w:val="left"/>
              <w:rPr>
                <w:rFonts w:cstheme="minorHAnsi"/>
                <w:sz w:val="20"/>
                <w:szCs w:val="20"/>
              </w:rPr>
            </w:pPr>
            <w:r w:rsidRPr="00B01707">
              <w:rPr>
                <w:rFonts w:cstheme="minorHAnsi"/>
                <w:sz w:val="20"/>
                <w:szCs w:val="20"/>
              </w:rPr>
              <w:t>Secretaría de Educación</w:t>
            </w:r>
          </w:p>
        </w:tc>
      </w:tr>
    </w:tbl>
    <w:bookmarkEnd w:id="92"/>
    <w:p w14:paraId="667A2DBE" w14:textId="77777777" w:rsidR="00605FA4" w:rsidRPr="00451BBA" w:rsidRDefault="00605FA4" w:rsidP="00605FA4">
      <w:pPr>
        <w:pStyle w:val="Fuente"/>
      </w:pPr>
      <w:r w:rsidRPr="00455C8A">
        <w:rPr>
          <w:rStyle w:val="FuenteCar"/>
        </w:rPr>
        <w:t>Fuente: Elaboración propia con base en información proporcionada por la Dirección de Planeación Estratégica de la Secretaría de Finanzas de Tamaulipas</w:t>
      </w:r>
      <w:r w:rsidRPr="00451BBA">
        <w:t>.</w:t>
      </w:r>
    </w:p>
    <w:p w14:paraId="467ED795" w14:textId="715AAEBE" w:rsidR="00433891" w:rsidRPr="00B01707" w:rsidRDefault="004302F0" w:rsidP="00F92F32">
      <w:pPr>
        <w:pStyle w:val="Prrafodelista"/>
        <w:numPr>
          <w:ilvl w:val="0"/>
          <w:numId w:val="4"/>
        </w:numPr>
        <w:ind w:left="284" w:hanging="284"/>
        <w:contextualSpacing w:val="0"/>
        <w:rPr>
          <w:rFonts w:cstheme="minorHAnsi"/>
        </w:rPr>
      </w:pPr>
      <w:r w:rsidRPr="00B01707">
        <w:rPr>
          <w:rFonts w:cstheme="minorHAnsi"/>
        </w:rPr>
        <w:t>A</w:t>
      </w:r>
      <w:r w:rsidR="008933BA" w:rsidRPr="00B01707">
        <w:rPr>
          <w:rFonts w:cstheme="minorHAnsi"/>
        </w:rPr>
        <w:t>simismo, estos formatos y/o procesos están sistematizados, es decir, la información correspondiente en cada caso, es capturada por la persona designada por la dependencia o entidad responsable de la operación de cada Pp.</w:t>
      </w:r>
    </w:p>
    <w:p w14:paraId="7D942F95" w14:textId="6CAC504E" w:rsidR="00E35122" w:rsidRPr="00B01707" w:rsidRDefault="004302F0" w:rsidP="00F92F32">
      <w:pPr>
        <w:pStyle w:val="Prrafodelista"/>
        <w:numPr>
          <w:ilvl w:val="0"/>
          <w:numId w:val="4"/>
        </w:numPr>
        <w:ind w:left="284" w:hanging="284"/>
        <w:contextualSpacing w:val="0"/>
        <w:rPr>
          <w:rFonts w:cstheme="minorHAnsi"/>
        </w:rPr>
      </w:pPr>
      <w:r w:rsidRPr="00B01707">
        <w:rPr>
          <w:rFonts w:cstheme="minorHAnsi"/>
        </w:rPr>
        <w:t xml:space="preserve">Respecto al </w:t>
      </w:r>
      <w:r w:rsidR="008933BA" w:rsidRPr="00B01707">
        <w:rPr>
          <w:rFonts w:cstheme="minorHAnsi"/>
        </w:rPr>
        <w:t>conoci</w:t>
      </w:r>
      <w:r w:rsidRPr="00B01707">
        <w:rPr>
          <w:rFonts w:cstheme="minorHAnsi"/>
        </w:rPr>
        <w:t>miento de estos procesos y/o formatos,</w:t>
      </w:r>
      <w:r w:rsidR="001F7551" w:rsidRPr="00B01707">
        <w:rPr>
          <w:rFonts w:cstheme="minorHAnsi"/>
        </w:rPr>
        <w:t xml:space="preserve"> </w:t>
      </w:r>
      <w:r w:rsidR="005C6216">
        <w:rPr>
          <w:rFonts w:cstheme="minorHAnsi"/>
        </w:rPr>
        <w:t>estos</w:t>
      </w:r>
      <w:r w:rsidR="001F7551" w:rsidRPr="00B01707">
        <w:rPr>
          <w:rFonts w:cstheme="minorHAnsi"/>
        </w:rPr>
        <w:t xml:space="preserve"> son conocidos por las dependencias y/o entidades ejecutoras de los Pp que reciben recursos del FAFEF, dado que estos procesos y/ formatos son parte fundamental de los mecanismos de seguimiento al ejercicio de las aportaciones del Fondo. Además, </w:t>
      </w:r>
      <w:r w:rsidRPr="00B01707">
        <w:rPr>
          <w:rFonts w:cstheme="minorHAnsi"/>
        </w:rPr>
        <w:t>desde el año 2017, la Secretaría de Finanzas ha difundido la temática del ejercicio del gasto con enfoque a resultados y generado diversas iniciativas para regular su operación, a través de diversas acciones, como: i) impartición de cursos de capacitación presencial sobre metodología del marco lógico, matrices de indicadores para programas presupuestarios, ii) la promoción de los cursos en línea sobre el PbR que imparte la Federación, y iii) la colaboración con la Secretaría de Administración para desarrollar el SIMIR, entre otras.</w:t>
      </w:r>
    </w:p>
    <w:p w14:paraId="0A6E9F9E" w14:textId="77777777" w:rsidR="00567363" w:rsidRDefault="00567363">
      <w:pPr>
        <w:spacing w:before="0" w:after="160" w:line="259" w:lineRule="auto"/>
        <w:jc w:val="left"/>
        <w:rPr>
          <w:rFonts w:ascii="Soberana Sans Light" w:hAnsi="Soberana Sans Light" w:cstheme="minorHAnsi"/>
          <w:sz w:val="24"/>
          <w:szCs w:val="24"/>
        </w:rPr>
      </w:pPr>
      <w:r>
        <w:rPr>
          <w:rFonts w:ascii="Soberana Sans Light" w:hAnsi="Soberana Sans Light" w:cstheme="minorHAnsi"/>
          <w:sz w:val="24"/>
          <w:szCs w:val="24"/>
        </w:rPr>
        <w:br w:type="page"/>
      </w:r>
    </w:p>
    <w:p w14:paraId="4685261F" w14:textId="652ABB3F" w:rsidR="00567363" w:rsidRPr="00567363" w:rsidRDefault="00567363" w:rsidP="00667746">
      <w:pPr>
        <w:spacing w:before="0" w:after="0"/>
        <w:contextualSpacing/>
        <w:rPr>
          <w:rFonts w:cstheme="minorHAnsi"/>
          <w:b/>
        </w:rPr>
      </w:pPr>
      <w:r w:rsidRPr="00E23500">
        <w:rPr>
          <w:rFonts w:cstheme="minorHAnsi"/>
          <w:b/>
        </w:rPr>
        <w:lastRenderedPageBreak/>
        <w:t>18. ¿La entidad federativa cuenta con mecanismos documentados para dar seguimiento al ejercicio de las aportaciones del FAFEF?</w:t>
      </w:r>
    </w:p>
    <w:p w14:paraId="0EA81294" w14:textId="77777777" w:rsidR="00567363" w:rsidRPr="00B01707" w:rsidRDefault="00567363" w:rsidP="000D4A05">
      <w:pPr>
        <w:rPr>
          <w:b/>
          <w:bCs/>
        </w:rPr>
      </w:pPr>
      <w:r w:rsidRPr="00B01707">
        <w:rPr>
          <w:b/>
          <w:bCs/>
        </w:rPr>
        <w:t>No procede valoración cuantitativa.</w:t>
      </w:r>
    </w:p>
    <w:p w14:paraId="20429C84" w14:textId="2ECB4C83" w:rsidR="00FB0168" w:rsidRDefault="00FB0168" w:rsidP="00FB0168">
      <w:r>
        <w:t>A nivel federal, l</w:t>
      </w:r>
      <w:r w:rsidRPr="00FB0168">
        <w:t xml:space="preserve">a Secretaría de Hacienda y Crédito Público (SHCP) en el ejercicio Fiscal 2018, dispuso de dos sistemas informáticos mediante los cuales la </w:t>
      </w:r>
      <w:r w:rsidR="007D4737">
        <w:t>e</w:t>
      </w:r>
      <w:r w:rsidRPr="00FB0168">
        <w:t>ntidad</w:t>
      </w:r>
      <w:r w:rsidR="00E10343">
        <w:t xml:space="preserve"> federativa</w:t>
      </w:r>
      <w:r w:rsidRPr="00FB0168">
        <w:t>, report</w:t>
      </w:r>
      <w:r w:rsidR="007D4737">
        <w:t>ó</w:t>
      </w:r>
      <w:r w:rsidRPr="00FB0168">
        <w:t xml:space="preserve"> </w:t>
      </w:r>
      <w:r w:rsidR="007D4737">
        <w:t xml:space="preserve">en forma trimestral </w:t>
      </w:r>
      <w:r w:rsidRPr="00FB0168">
        <w:t>su información sobre la ejecución y resultados de las aportaciones del FAFEF.</w:t>
      </w:r>
      <w:r w:rsidR="00BE5365">
        <w:t xml:space="preserve"> </w:t>
      </w:r>
      <w:r w:rsidRPr="00FB0168">
        <w:t>Para el primer semestre</w:t>
      </w:r>
      <w:r w:rsidR="007D4737">
        <w:t>,</w:t>
      </w:r>
      <w:r w:rsidRPr="00FB0168">
        <w:t xml:space="preserve"> se utilizó el Sistema de Formato Único (SFU) y</w:t>
      </w:r>
      <w:r w:rsidR="007D4737">
        <w:t>,</w:t>
      </w:r>
      <w:r w:rsidRPr="00FB0168">
        <w:t xml:space="preserve"> para el segundo semestre</w:t>
      </w:r>
      <w:r w:rsidR="007D4737">
        <w:t>,</w:t>
      </w:r>
      <w:r w:rsidRPr="00FB0168">
        <w:t xml:space="preserve"> el Sistema de Recursos Federales Transferidos (SRFT).</w:t>
      </w:r>
      <w:r w:rsidR="00BE5365">
        <w:t xml:space="preserve"> </w:t>
      </w:r>
    </w:p>
    <w:p w14:paraId="7D4BBAE8" w14:textId="7020C3FD" w:rsidR="00BE5365" w:rsidRPr="00114D17" w:rsidRDefault="00BE5365" w:rsidP="00D421D8">
      <w:pPr>
        <w:spacing w:before="100" w:after="80"/>
      </w:pPr>
      <w:r>
        <w:t xml:space="preserve">A partir de lo anterior el proceso </w:t>
      </w:r>
      <w:r w:rsidRPr="00114D17">
        <w:t>de integración y validación de la información de los resultados de las aportaciones del FAFEF reportada a la SCHP es el siguiente:</w:t>
      </w:r>
    </w:p>
    <w:p w14:paraId="4C9A3D2F" w14:textId="60901C15" w:rsidR="00BE5365" w:rsidRPr="00114D17" w:rsidRDefault="00BE5365" w:rsidP="00D421D8">
      <w:pPr>
        <w:spacing w:before="100" w:after="80"/>
        <w:ind w:left="284" w:hanging="284"/>
      </w:pPr>
      <w:r w:rsidRPr="00114D17">
        <w:t xml:space="preserve">1. Se </w:t>
      </w:r>
      <w:r w:rsidR="00B01707">
        <w:t>a</w:t>
      </w:r>
      <w:r w:rsidRPr="00114D17">
        <w:t>signa el recurso a los diferentes destinos del gasto (metas y objetivos), es decir, a los Pp seleccionados acordes a los destinos de elegibilidad que establece la LCF para poder utilizar los recursos del FAFEF.</w:t>
      </w:r>
    </w:p>
    <w:p w14:paraId="6DA96D10" w14:textId="1BCF6FD4" w:rsidR="00BE5365" w:rsidRPr="00114D17" w:rsidRDefault="00BE5365" w:rsidP="00D421D8">
      <w:pPr>
        <w:spacing w:before="100" w:after="80"/>
        <w:ind w:left="284" w:hanging="284"/>
      </w:pPr>
      <w:r w:rsidRPr="00114D17">
        <w:t xml:space="preserve">2. </w:t>
      </w:r>
      <w:r w:rsidR="00CD7C42" w:rsidRPr="00114D17">
        <w:t>De acuerdo con</w:t>
      </w:r>
      <w:r w:rsidRPr="00114D17">
        <w:t xml:space="preserve"> los indicadores establecidos en el SRFT, se captura la información de las metas y obj</w:t>
      </w:r>
      <w:r w:rsidR="00114D17">
        <w:t>etivos a alcanzar con el recurso</w:t>
      </w:r>
      <w:r w:rsidRPr="00114D17">
        <w:t>.</w:t>
      </w:r>
    </w:p>
    <w:p w14:paraId="5D4E5908" w14:textId="559DBBAC" w:rsidR="00BE5365" w:rsidRDefault="00BE5365" w:rsidP="00D421D8">
      <w:pPr>
        <w:spacing w:before="100" w:after="80"/>
        <w:ind w:left="284" w:hanging="284"/>
      </w:pPr>
      <w:r w:rsidRPr="00114D17">
        <w:t xml:space="preserve">3. Se capturan y validan los avances en las metas </w:t>
      </w:r>
      <w:r w:rsidR="00CD7C42" w:rsidRPr="00114D17">
        <w:t>de acuerdo con</w:t>
      </w:r>
      <w:r w:rsidRPr="00114D17">
        <w:t xml:space="preserve"> lo ejercido trimestralmente en el Sistema de Recursos Federales</w:t>
      </w:r>
      <w:r w:rsidR="00114D17" w:rsidRPr="00114D17">
        <w:t xml:space="preserve"> </w:t>
      </w:r>
      <w:r w:rsidRPr="00114D17">
        <w:t>Transferidos.</w:t>
      </w:r>
    </w:p>
    <w:p w14:paraId="21BA6066" w14:textId="68AA813E" w:rsidR="00BE5365" w:rsidRDefault="00114D17" w:rsidP="00D421D8">
      <w:pPr>
        <w:spacing w:before="100" w:after="80"/>
      </w:pPr>
      <w:r>
        <w:t xml:space="preserve">De esta forma, </w:t>
      </w:r>
      <w:r w:rsidRPr="00114D17">
        <w:t>cada instancia o entidad ejecutora de los recursos del FAFEF reporta el ejercicio de los recursos en el SFU – SRFT y es la SHCP quien valida la información y emite el Índice de Calidad de la Información.</w:t>
      </w:r>
    </w:p>
    <w:p w14:paraId="52FE0F02" w14:textId="16D5B7CB" w:rsidR="000D4A05" w:rsidRPr="00753EAF" w:rsidRDefault="00FB0168" w:rsidP="00D421D8">
      <w:pPr>
        <w:spacing w:before="100" w:after="80"/>
      </w:pPr>
      <w:r>
        <w:t xml:space="preserve">En el ámbito estatal, </w:t>
      </w:r>
      <w:r w:rsidR="000D4A05" w:rsidRPr="00753EAF">
        <w:t xml:space="preserve">a continuación, se describe el proceso de seguimiento al ejercicio de las aportaciones del FAFEF </w:t>
      </w:r>
      <w:r w:rsidR="00990F87">
        <w:t xml:space="preserve">para todos los </w:t>
      </w:r>
      <w:r w:rsidR="006A1225">
        <w:t>rubros de gastos ejercidos a través de lo Pp que reciben recursos del Fondo</w:t>
      </w:r>
      <w:r w:rsidR="000D4A05" w:rsidRPr="00753EAF">
        <w:t>.</w:t>
      </w:r>
    </w:p>
    <w:p w14:paraId="7792A494" w14:textId="477F8DFC" w:rsidR="000D4A05" w:rsidRPr="00753EAF" w:rsidRDefault="000D4A05" w:rsidP="00D421D8">
      <w:pPr>
        <w:spacing w:before="100" w:after="80"/>
      </w:pPr>
      <w:r w:rsidRPr="00753EAF">
        <w:t>1.</w:t>
      </w:r>
      <w:r w:rsidR="00826CDE">
        <w:t xml:space="preserve"> </w:t>
      </w:r>
      <w:r w:rsidRPr="00753EAF">
        <w:t xml:space="preserve">Una vez que se identifica el monto a transferir al Estado en el DOF, el Grupo de Trabajo realiza un análisis del presupuesto para definir los porcentajes a destinar a diferentes clasificaciones del gasto y éste queda documentado en las minutas de reunión de dicho Grupo. </w:t>
      </w:r>
    </w:p>
    <w:p w14:paraId="4FC0AE56" w14:textId="7E792340" w:rsidR="000D4A05" w:rsidRPr="00753EAF" w:rsidRDefault="000D4A05" w:rsidP="00D421D8">
      <w:pPr>
        <w:spacing w:before="100" w:after="80"/>
      </w:pPr>
      <w:r w:rsidRPr="00753EAF">
        <w:t>2.</w:t>
      </w:r>
      <w:r w:rsidR="00826CDE">
        <w:t xml:space="preserve"> </w:t>
      </w:r>
      <w:r w:rsidRPr="00753EAF">
        <w:t xml:space="preserve">Al llegar el recurso (mensualmente) la DPCH emite un aviso de disponibilidad bancaria a la unidad de inversión para que inicie la programación del recurso en el Sistema de Plataforma Única y asigne un proyecto por cada obra a realizar. </w:t>
      </w:r>
    </w:p>
    <w:p w14:paraId="2DECFABA" w14:textId="2352051A" w:rsidR="000D4A05" w:rsidRPr="00753EAF" w:rsidRDefault="000D4A05" w:rsidP="00D421D8">
      <w:pPr>
        <w:spacing w:before="100" w:after="80"/>
      </w:pPr>
      <w:r w:rsidRPr="00753EAF">
        <w:t>3.</w:t>
      </w:r>
      <w:r w:rsidR="00826CDE">
        <w:t xml:space="preserve"> </w:t>
      </w:r>
      <w:r w:rsidRPr="00753EAF">
        <w:t xml:space="preserve">En forma trimestral, la(s) dependencia(s) ejecutora(s) del recurso, realiza(n) la captura de la información del destino, ejercicio del gasto (recibos de pago y/o traspasos) de las obras que ya se encuentran contratadas, así como de los indicadores en el </w:t>
      </w:r>
      <w:r w:rsidR="00114D17">
        <w:t xml:space="preserve">SRFT </w:t>
      </w:r>
      <w:r w:rsidRPr="00753EAF">
        <w:t xml:space="preserve">para, posteriormente, ingresar dichos documentos a la Dirección de Planeación y Control Hacendario y proceder a la fiscalización y posterior trámite de pago ante la Dirección de Presupuesto. </w:t>
      </w:r>
    </w:p>
    <w:p w14:paraId="775B711B" w14:textId="6EA14914" w:rsidR="000D4A05" w:rsidRPr="00753EAF" w:rsidRDefault="000D4A05" w:rsidP="00D421D8">
      <w:pPr>
        <w:spacing w:before="100" w:after="80"/>
      </w:pPr>
      <w:r w:rsidRPr="00753EAF">
        <w:t>4.</w:t>
      </w:r>
      <w:r w:rsidR="00826CDE">
        <w:t xml:space="preserve"> </w:t>
      </w:r>
      <w:r w:rsidRPr="00753EAF">
        <w:t xml:space="preserve">Se elaboran reportes mensuales de los ingresos vs egresos en la cuenta bancaria, en donde se encuentra recaudado el recurso, para verificar los movimientos de la misma, hasta agotar y/o reintegrar el remanente del recurso. </w:t>
      </w:r>
    </w:p>
    <w:p w14:paraId="0A0F1A37" w14:textId="3652A123" w:rsidR="000D4A05" w:rsidRPr="00753EAF" w:rsidRDefault="000D4A05" w:rsidP="00D421D8">
      <w:pPr>
        <w:spacing w:before="100" w:after="80"/>
      </w:pPr>
      <w:r w:rsidRPr="00753EAF">
        <w:t>5.</w:t>
      </w:r>
      <w:r w:rsidR="00826CDE">
        <w:t xml:space="preserve"> </w:t>
      </w:r>
      <w:r w:rsidRPr="00753EAF">
        <w:t xml:space="preserve">En el mes de agosto del ejercicio del recurso actual, la Dirección de Planeación y Control Hacendario emite un oficio a las dependencias ejecutoras para que realicen el pre-cierre y comprometan el recurso para su pago al 31 de marzo del año siguiente. </w:t>
      </w:r>
    </w:p>
    <w:p w14:paraId="006D57C6" w14:textId="6652E225" w:rsidR="000D4A05" w:rsidRPr="00753EAF" w:rsidRDefault="000D4A05" w:rsidP="00D421D8">
      <w:pPr>
        <w:spacing w:before="100" w:after="80"/>
      </w:pPr>
      <w:r w:rsidRPr="00753EAF">
        <w:t>6.</w:t>
      </w:r>
      <w:r w:rsidR="00826CDE">
        <w:t xml:space="preserve"> </w:t>
      </w:r>
      <w:r w:rsidRPr="00753EAF">
        <w:t xml:space="preserve">Del 1 al 15 de enero del año siguiente, las dependencias ejecutoras realizan los reintegros de los recursos que no fueron devengados al 31 de diciembre del ejercicio fiscal anterior. </w:t>
      </w:r>
    </w:p>
    <w:p w14:paraId="5DB0D4D5" w14:textId="54CDFB01" w:rsidR="00667746" w:rsidRDefault="000D4A05" w:rsidP="00D421D8">
      <w:pPr>
        <w:spacing w:before="100" w:after="80"/>
      </w:pPr>
      <w:r w:rsidRPr="00753EAF">
        <w:t>7.</w:t>
      </w:r>
      <w:r w:rsidR="00826CDE">
        <w:t xml:space="preserve"> </w:t>
      </w:r>
      <w:r w:rsidRPr="00753EAF">
        <w:t xml:space="preserve">Del 1 de enero al 31 de marzo, las dependencias ejecutoras continúan ejerciendo el recurso que fue comprometido el año anterior. </w:t>
      </w:r>
    </w:p>
    <w:p w14:paraId="370B07C2" w14:textId="4B2CC02C" w:rsidR="00196215" w:rsidRDefault="000D4A05" w:rsidP="00D421D8">
      <w:pPr>
        <w:spacing w:before="100" w:after="80"/>
        <w:rPr>
          <w:rFonts w:ascii="Soberana Sans Light" w:hAnsi="Soberana Sans Light" w:cstheme="minorHAnsi"/>
          <w:sz w:val="24"/>
          <w:szCs w:val="24"/>
          <w:highlight w:val="yellow"/>
          <w:lang w:val="es-ES"/>
        </w:rPr>
      </w:pPr>
      <w:r w:rsidRPr="00753EAF">
        <w:t>8.</w:t>
      </w:r>
      <w:r w:rsidR="00826CDE">
        <w:t xml:space="preserve"> </w:t>
      </w:r>
      <w:r w:rsidRPr="00753EAF">
        <w:t xml:space="preserve">Las dependencias ejecutoras reintegran los remanentes del recurso que no fueron ejercidos los primeros 15 días del mes de abril. </w:t>
      </w:r>
      <w:r w:rsidR="00196215">
        <w:rPr>
          <w:rFonts w:ascii="Soberana Sans Light" w:hAnsi="Soberana Sans Light" w:cstheme="minorHAnsi"/>
          <w:sz w:val="24"/>
          <w:szCs w:val="24"/>
          <w:highlight w:val="yellow"/>
          <w:lang w:val="es-ES"/>
        </w:rPr>
        <w:br w:type="page"/>
      </w:r>
    </w:p>
    <w:p w14:paraId="4DA1F3E8" w14:textId="2EEF15FB" w:rsidR="00567363" w:rsidRPr="00196215" w:rsidRDefault="00196215" w:rsidP="00B01707">
      <w:pPr>
        <w:spacing w:before="0" w:after="0"/>
        <w:contextualSpacing/>
        <w:rPr>
          <w:rFonts w:cstheme="minorHAnsi"/>
          <w:b/>
        </w:rPr>
      </w:pPr>
      <w:r w:rsidRPr="00E23500">
        <w:rPr>
          <w:rFonts w:cstheme="minorHAnsi"/>
          <w:b/>
        </w:rPr>
        <w:lastRenderedPageBreak/>
        <w:t xml:space="preserve">19. </w:t>
      </w:r>
      <w:r w:rsidR="00567363" w:rsidRPr="00E23500">
        <w:rPr>
          <w:rFonts w:cstheme="minorHAnsi"/>
          <w:b/>
        </w:rPr>
        <w:t>Describa los mecanismos mediante los que la entidad federativa da seguimiento a los resultados de la ejecución del FAFEF.</w:t>
      </w:r>
    </w:p>
    <w:p w14:paraId="7E8C52E6" w14:textId="77777777" w:rsidR="009027D1" w:rsidRPr="00B01707" w:rsidRDefault="009027D1" w:rsidP="009027D1">
      <w:pPr>
        <w:rPr>
          <w:b/>
          <w:bCs/>
        </w:rPr>
      </w:pPr>
      <w:r w:rsidRPr="00B01707">
        <w:rPr>
          <w:b/>
          <w:bCs/>
        </w:rPr>
        <w:t>No procede valoración cuantitativa.</w:t>
      </w:r>
    </w:p>
    <w:p w14:paraId="6ED4BBA9" w14:textId="77777777" w:rsidR="002D2C58" w:rsidRDefault="009027D1" w:rsidP="009027D1">
      <w:r w:rsidRPr="00753EAF">
        <w:t xml:space="preserve">La entidad federativa documenta los resultados de las aportaciones del FAFEF, principalmente a través de la obligación que se establece para reportar a la Federación los avances respecto a los indicadores de la MIR que tiene el FAFEF, a través del SRFT. </w:t>
      </w:r>
    </w:p>
    <w:p w14:paraId="5F8F13D6" w14:textId="48F9EC3B" w:rsidR="002D2C58" w:rsidRDefault="002D2C58" w:rsidP="002D2C58">
      <w:r>
        <w:t xml:space="preserve">De esta forma, cada </w:t>
      </w:r>
      <w:r w:rsidRPr="00114D17">
        <w:t>instancia o entidad ejecutora de los recursos del FAFEF reporta l</w:t>
      </w:r>
      <w:r>
        <w:t xml:space="preserve">os resultados </w:t>
      </w:r>
      <w:r w:rsidRPr="00114D17">
        <w:t xml:space="preserve">de </w:t>
      </w:r>
      <w:r>
        <w:t xml:space="preserve">la ejecución de </w:t>
      </w:r>
      <w:r w:rsidRPr="00114D17">
        <w:t xml:space="preserve">los recursos </w:t>
      </w:r>
      <w:r>
        <w:t>a través del</w:t>
      </w:r>
      <w:r w:rsidRPr="00114D17">
        <w:t xml:space="preserve"> SFU – SRFT y es la SHCP quien valida la información y emite el Índice de Calidad de la Información.</w:t>
      </w:r>
    </w:p>
    <w:p w14:paraId="6F115C69" w14:textId="5CDEC5D2" w:rsidR="009027D1" w:rsidRPr="00753EAF" w:rsidRDefault="002D2C58" w:rsidP="009027D1">
      <w:r>
        <w:t>E</w:t>
      </w:r>
      <w:r w:rsidR="009027D1" w:rsidRPr="00753EAF">
        <w:t>n lo que respecta al monitoreo</w:t>
      </w:r>
      <w:r>
        <w:t xml:space="preserve"> de los resultados de la ejecución de los recursos del FAFEF</w:t>
      </w:r>
      <w:r w:rsidR="009027D1" w:rsidRPr="00753EAF">
        <w:t xml:space="preserve"> en el ámbito estatal, también se documentan los resultados observados a través de los indicadores de desempeño de los Pp que reciben recursos del FAFEF como parte de su presupuesto y que forman parte de la estructura programática estatal, lo cual se reporta a través del SIMIR, aunado a la realización de evaluaciones externas aplicadas al FAFEF. </w:t>
      </w:r>
      <w:r w:rsidR="009027D1">
        <w:t>Por lo tanto, l</w:t>
      </w:r>
      <w:r w:rsidR="009027D1" w:rsidRPr="00753EAF">
        <w:t xml:space="preserve">os documentos de medición de resultados consisten, entonces, en los 1. Reportes </w:t>
      </w:r>
      <w:r>
        <w:t>en el S</w:t>
      </w:r>
      <w:r w:rsidR="009027D1" w:rsidRPr="00753EAF">
        <w:t>RFT correspondientes al FAFEF; 2. Reportes del SIMIR; y 3. Evaluaciones Externas aplicadas al FAFEF.</w:t>
      </w:r>
    </w:p>
    <w:p w14:paraId="08130C1A" w14:textId="18D7D3BA" w:rsidR="009027D1" w:rsidRPr="00753EAF" w:rsidRDefault="009027D1" w:rsidP="009027D1">
      <w:r w:rsidRPr="00753EAF">
        <w:t xml:space="preserve">Sobre estas últimas, la entidad federativa cuenta con un Mecanismo para el Seguimiento de los </w:t>
      </w:r>
      <w:r w:rsidR="002D2C58">
        <w:t>ASM</w:t>
      </w:r>
      <w:r w:rsidRPr="00753EAF">
        <w:t>, derivados de evaluaciones externas aplicadas al FAFEF, así como a otros Fondos de Gasto Federalizado y a los Pp. La Contraloría Gubernamental emitió a finales del 2018, el Mecanismo para dar seguimiento a los ASM derivados de todas las evaluaciones que se llevan a cabo en la entidad federativa. Se destaca que dicho mecanismo está publicado en el Periódico Oficial del Estado y define de manera clara las acciones para dar seguimiento a los ASM.</w:t>
      </w:r>
    </w:p>
    <w:p w14:paraId="5DC400E8" w14:textId="77777777" w:rsidR="009027D1" w:rsidRPr="00753EAF" w:rsidRDefault="009027D1" w:rsidP="009027D1">
      <w:r w:rsidRPr="00753EAF">
        <w:t>Una de las áreas de mejora detectadas en los mecanismos de seguimiento a los resultados, ha sido la necesidad de actualizar periódicamente el Diagnóstico y demás documentos operativos (plan estratégico, programa de trabajo calendarizado), con la finalidad de contar con información actualizada que permita ratificar o reorientar la priorización futura de recursos.</w:t>
      </w:r>
    </w:p>
    <w:p w14:paraId="4363BEB7" w14:textId="37506AA4" w:rsidR="009027D1" w:rsidRPr="00753EAF" w:rsidRDefault="009027D1" w:rsidP="009027D1">
      <w:r w:rsidRPr="00753EAF">
        <w:t>Otra de las áreas de mejora detectadas, fue la redistribución de los recursos del FAFEF hacia otros conceptos y no sólo al uso del saneamiento financiero en su totalidad, lo cual no permite cuantificar de manera sistemática y generalizada a las poblaciones objetivo y potencial que atiende el Fondo en la entidad</w:t>
      </w:r>
      <w:r w:rsidR="00E10343">
        <w:t xml:space="preserve"> federativa</w:t>
      </w:r>
      <w:r w:rsidRPr="00753EAF">
        <w:t xml:space="preserve">. Para atender esta área de mejora, a partir del año 2018 se estableció </w:t>
      </w:r>
      <w:r w:rsidR="002D2C58">
        <w:t>el</w:t>
      </w:r>
      <w:r w:rsidRPr="00753EAF">
        <w:t xml:space="preserve"> Grupo de Trabajo de la propia Subsecretaria de Egresos, </w:t>
      </w:r>
      <w:bookmarkStart w:id="93" w:name="_Hlk43414159"/>
      <w:r w:rsidRPr="00753EAF">
        <w:t xml:space="preserve">como un mecanismo estratégico e institucional </w:t>
      </w:r>
      <w:bookmarkEnd w:id="93"/>
      <w:r w:rsidRPr="00753EAF">
        <w:t>para eficientar la asignación de los recursos de FAFEF en cada ejercicio fiscal.</w:t>
      </w:r>
    </w:p>
    <w:p w14:paraId="649844AD" w14:textId="3DFCD96D" w:rsidR="009027D1" w:rsidRDefault="009027D1" w:rsidP="009027D1">
      <w:r w:rsidRPr="00753EAF">
        <w:t>Asimismo, de la necesidad de implementar acciones y medidas para reforzar la planeación, programación y monitoreo de los resultados la entidad federativa, recientemente (</w:t>
      </w:r>
      <w:r w:rsidR="002D2C58">
        <w:t xml:space="preserve">en </w:t>
      </w:r>
      <w:r w:rsidRPr="00753EAF">
        <w:t>2019) puso en operación el SIMIR.</w:t>
      </w:r>
    </w:p>
    <w:p w14:paraId="6EE00E26" w14:textId="77777777" w:rsidR="009027D1" w:rsidRDefault="009027D1">
      <w:pPr>
        <w:spacing w:before="0" w:after="160" w:line="259" w:lineRule="auto"/>
        <w:jc w:val="left"/>
      </w:pPr>
      <w:r>
        <w:br w:type="page"/>
      </w:r>
    </w:p>
    <w:p w14:paraId="4113E269" w14:textId="5A5F3EBA" w:rsidR="00196215" w:rsidRPr="00E132E1" w:rsidRDefault="00196215" w:rsidP="00E132E1">
      <w:pPr>
        <w:pStyle w:val="Ttulo2"/>
      </w:pPr>
      <w:bookmarkStart w:id="94" w:name="_Toc61633647"/>
      <w:r w:rsidRPr="00E132E1">
        <w:lastRenderedPageBreak/>
        <w:t>5.2</w:t>
      </w:r>
      <w:r w:rsidR="00E132E1" w:rsidRPr="00E132E1">
        <w:t xml:space="preserve"> </w:t>
      </w:r>
      <w:r w:rsidRPr="00E132E1">
        <w:t>Obstáculos para la implementación</w:t>
      </w:r>
      <w:bookmarkEnd w:id="94"/>
    </w:p>
    <w:p w14:paraId="15FC9BEB" w14:textId="073D4C14" w:rsidR="00196215" w:rsidRPr="00E23500" w:rsidRDefault="00196215" w:rsidP="00840DA8">
      <w:pPr>
        <w:spacing w:before="0" w:after="0"/>
        <w:contextualSpacing/>
        <w:rPr>
          <w:rFonts w:cstheme="minorHAnsi"/>
          <w:b/>
        </w:rPr>
      </w:pPr>
      <w:r w:rsidRPr="00E23500">
        <w:rPr>
          <w:rFonts w:cstheme="minorHAnsi"/>
          <w:b/>
        </w:rPr>
        <w:t>20. ¿La configuración institucional y normativa del FAFEF contribuye al cumplimiento de objetivos estatales, a través de…</w:t>
      </w:r>
    </w:p>
    <w:p w14:paraId="16F63D4C" w14:textId="77777777" w:rsidR="00196215" w:rsidRPr="00196215" w:rsidRDefault="00196215" w:rsidP="00F92F32">
      <w:pPr>
        <w:numPr>
          <w:ilvl w:val="0"/>
          <w:numId w:val="24"/>
        </w:numPr>
        <w:spacing w:before="0" w:after="0"/>
        <w:rPr>
          <w:rFonts w:cstheme="minorHAnsi"/>
          <w:b/>
        </w:rPr>
      </w:pPr>
      <w:r w:rsidRPr="00196215">
        <w:rPr>
          <w:rFonts w:cstheme="minorHAnsi"/>
          <w:b/>
        </w:rPr>
        <w:t>Fomentar una coordinación eficaz y continua entre la dependencia coordinadora y el gobierno de la entidad federativa;</w:t>
      </w:r>
    </w:p>
    <w:p w14:paraId="7F9A458D" w14:textId="77777777" w:rsidR="00196215" w:rsidRPr="00196215" w:rsidRDefault="00196215" w:rsidP="00F92F32">
      <w:pPr>
        <w:numPr>
          <w:ilvl w:val="0"/>
          <w:numId w:val="24"/>
        </w:numPr>
        <w:spacing w:before="0" w:after="0"/>
        <w:rPr>
          <w:rFonts w:cstheme="minorHAnsi"/>
          <w:b/>
        </w:rPr>
      </w:pPr>
      <w:r w:rsidRPr="00196215">
        <w:rPr>
          <w:rFonts w:cstheme="minorHAnsi"/>
          <w:b/>
        </w:rPr>
        <w:t>Fomentar una coordinación eficaz y continua entre las dependencias o entidades responsables encargadas de ejecutar las políticas, programas y proyectos ejecutados con los recursos del FAFEF;</w:t>
      </w:r>
    </w:p>
    <w:p w14:paraId="5C6B3439" w14:textId="77777777" w:rsidR="00196215" w:rsidRPr="00196215" w:rsidRDefault="00196215" w:rsidP="00F92F32">
      <w:pPr>
        <w:numPr>
          <w:ilvl w:val="0"/>
          <w:numId w:val="24"/>
        </w:numPr>
        <w:spacing w:before="0" w:after="0"/>
        <w:rPr>
          <w:rFonts w:cstheme="minorHAnsi"/>
          <w:b/>
        </w:rPr>
      </w:pPr>
      <w:r w:rsidRPr="00196215">
        <w:rPr>
          <w:rFonts w:cstheme="minorHAnsi"/>
          <w:b/>
        </w:rPr>
        <w:t>Destinar los recursos del Fondo en la atención de problemáticas locales prioritarias, siempre que se cumpla los objetivos del Fondo;</w:t>
      </w:r>
    </w:p>
    <w:p w14:paraId="17BF4E3E" w14:textId="77777777" w:rsidR="00196215" w:rsidRPr="00196215" w:rsidRDefault="00196215" w:rsidP="00F92F32">
      <w:pPr>
        <w:numPr>
          <w:ilvl w:val="0"/>
          <w:numId w:val="24"/>
        </w:numPr>
        <w:spacing w:before="0" w:after="0"/>
        <w:rPr>
          <w:rFonts w:cstheme="minorHAnsi"/>
          <w:b/>
        </w:rPr>
      </w:pPr>
      <w:r w:rsidRPr="00196215">
        <w:rPr>
          <w:rFonts w:cstheme="minorHAnsi"/>
          <w:b/>
        </w:rPr>
        <w:t>La imposibilidad de utilizar los recursos del Fondo para fines locales distintos a los objetivos del Fondo?</w:t>
      </w:r>
    </w:p>
    <w:p w14:paraId="4C1382C6" w14:textId="36EA3FA2" w:rsidR="00FE2FD3" w:rsidRPr="00840DA8" w:rsidRDefault="00FE2FD3" w:rsidP="00FE2FD3">
      <w:pPr>
        <w:rPr>
          <w:b/>
          <w:bCs/>
        </w:rPr>
      </w:pPr>
      <w:r w:rsidRPr="00840DA8">
        <w:rPr>
          <w:b/>
          <w:bCs/>
        </w:rPr>
        <w:t xml:space="preserve">No </w:t>
      </w:r>
      <w:r w:rsidR="00667746" w:rsidRPr="00840DA8">
        <w:rPr>
          <w:b/>
          <w:bCs/>
        </w:rPr>
        <w:t xml:space="preserve">procede </w:t>
      </w:r>
      <w:r w:rsidR="00667746">
        <w:rPr>
          <w:b/>
          <w:bCs/>
        </w:rPr>
        <w:t>valoración</w:t>
      </w:r>
      <w:r w:rsidRPr="00840DA8">
        <w:rPr>
          <w:b/>
          <w:bCs/>
        </w:rPr>
        <w:t xml:space="preserve"> cuantitativa.</w:t>
      </w:r>
    </w:p>
    <w:p w14:paraId="0323D696" w14:textId="0BD5F07F" w:rsidR="004A1DFA" w:rsidRPr="00374952" w:rsidRDefault="004A1DFA" w:rsidP="00F92F32">
      <w:pPr>
        <w:pStyle w:val="Prrafodelista"/>
        <w:numPr>
          <w:ilvl w:val="0"/>
          <w:numId w:val="5"/>
        </w:numPr>
        <w:ind w:left="284" w:hanging="284"/>
        <w:contextualSpacing w:val="0"/>
        <w:rPr>
          <w:rFonts w:cstheme="minorHAnsi"/>
          <w:bCs/>
        </w:rPr>
      </w:pPr>
      <w:bookmarkStart w:id="95" w:name="_Hlk53101547"/>
      <w:r w:rsidRPr="006214E2">
        <w:rPr>
          <w:rFonts w:cstheme="minorHAnsi"/>
          <w:bCs/>
        </w:rPr>
        <w:t xml:space="preserve">La configuración institucional y normativa no contribuye al cumplimiento de objetivos estatales, puesto que no </w:t>
      </w:r>
      <w:r>
        <w:rPr>
          <w:rFonts w:cstheme="minorHAnsi"/>
          <w:bCs/>
        </w:rPr>
        <w:t xml:space="preserve">se </w:t>
      </w:r>
      <w:r w:rsidRPr="006214E2">
        <w:rPr>
          <w:rFonts w:cstheme="minorHAnsi"/>
          <w:bCs/>
        </w:rPr>
        <w:t>realizan ejercicios para fomentar una coordinación eficaz y continua entre la dependencia coordinadora y el gobierno de la entidad</w:t>
      </w:r>
      <w:r w:rsidR="00E10343">
        <w:rPr>
          <w:rFonts w:cstheme="minorHAnsi"/>
          <w:bCs/>
        </w:rPr>
        <w:t xml:space="preserve"> federativa</w:t>
      </w:r>
      <w:r w:rsidRPr="006214E2">
        <w:rPr>
          <w:rFonts w:cstheme="minorHAnsi"/>
          <w:bCs/>
        </w:rPr>
        <w:t>, ya que la única coordinación que se percibe es para dispersar los pagos mensuales.</w:t>
      </w:r>
      <w:r w:rsidR="00980790">
        <w:rPr>
          <w:rFonts w:cstheme="minorHAnsi"/>
          <w:bCs/>
        </w:rPr>
        <w:t xml:space="preserve"> </w:t>
      </w:r>
      <w:r w:rsidR="00980790" w:rsidRPr="00374952">
        <w:rPr>
          <w:rFonts w:cstheme="minorHAnsi"/>
          <w:bCs/>
        </w:rPr>
        <w:t xml:space="preserve">En este sentido se recomienda a la dependencia coordinadora </w:t>
      </w:r>
      <w:r w:rsidR="00980790" w:rsidRPr="00374952">
        <w:rPr>
          <w:rFonts w:ascii="Calibri" w:hAnsi="Calibri" w:cs="Calibri"/>
        </w:rPr>
        <w:t>fortalecer las acciones de capacitación y asistencia a la entidad federativa en materia de administración de la ejecución de obra pública, del manejo de las finanzas públicas y administración de la deuda y sobre un adecuado proceso se ejecución y seguimiento de los recursos del Fondo.</w:t>
      </w:r>
    </w:p>
    <w:bookmarkEnd w:id="95"/>
    <w:p w14:paraId="6FE8D0B9" w14:textId="0A8AA6A1" w:rsidR="007A2B44" w:rsidRPr="00231A2E" w:rsidRDefault="007A2B44" w:rsidP="00F92F32">
      <w:pPr>
        <w:pStyle w:val="Prrafodelista"/>
        <w:numPr>
          <w:ilvl w:val="0"/>
          <w:numId w:val="5"/>
        </w:numPr>
        <w:ind w:left="284" w:hanging="284"/>
        <w:contextualSpacing w:val="0"/>
        <w:rPr>
          <w:rFonts w:cstheme="minorHAnsi"/>
          <w:bCs/>
        </w:rPr>
      </w:pPr>
      <w:r w:rsidRPr="00231A2E">
        <w:rPr>
          <w:rFonts w:cstheme="minorHAnsi"/>
          <w:bCs/>
        </w:rPr>
        <w:t xml:space="preserve">Con la creación del Grupo de Trabajo de la Subsecretaría de Egresos de la Secretaría de Finanzas, queda redefinida la configuración institucional y normativa del FAFEF en </w:t>
      </w:r>
      <w:r w:rsidR="00367D89">
        <w:rPr>
          <w:rFonts w:cstheme="minorHAnsi"/>
          <w:bCs/>
        </w:rPr>
        <w:t>Tamaulipas</w:t>
      </w:r>
      <w:r w:rsidRPr="00231A2E">
        <w:rPr>
          <w:rFonts w:cstheme="minorHAnsi"/>
          <w:bCs/>
        </w:rPr>
        <w:t xml:space="preserve">, fomentando </w:t>
      </w:r>
      <w:r w:rsidR="00231A2E" w:rsidRPr="00231A2E">
        <w:rPr>
          <w:rFonts w:cstheme="minorHAnsi"/>
          <w:bCs/>
        </w:rPr>
        <w:t>una</w:t>
      </w:r>
      <w:r w:rsidRPr="00231A2E">
        <w:rPr>
          <w:rFonts w:cstheme="minorHAnsi"/>
          <w:bCs/>
        </w:rPr>
        <w:t xml:space="preserve"> coordinación </w:t>
      </w:r>
      <w:r w:rsidR="00231A2E" w:rsidRPr="00231A2E">
        <w:rPr>
          <w:rFonts w:cstheme="minorHAnsi"/>
          <w:bCs/>
        </w:rPr>
        <w:t>eficaz y continua entre la</w:t>
      </w:r>
      <w:r w:rsidRPr="00231A2E">
        <w:rPr>
          <w:rFonts w:cstheme="minorHAnsi"/>
          <w:bCs/>
        </w:rPr>
        <w:t xml:space="preserve"> instancia administrativa y </w:t>
      </w:r>
      <w:r w:rsidR="00231A2E" w:rsidRPr="00231A2E">
        <w:rPr>
          <w:rFonts w:cstheme="minorHAnsi"/>
          <w:bCs/>
        </w:rPr>
        <w:t>las dependencias y/o entidades responsables de los Pp que ejecut</w:t>
      </w:r>
      <w:r w:rsidRPr="00231A2E">
        <w:rPr>
          <w:rFonts w:cstheme="minorHAnsi"/>
          <w:bCs/>
        </w:rPr>
        <w:t>a</w:t>
      </w:r>
      <w:r w:rsidR="00231A2E" w:rsidRPr="00231A2E">
        <w:rPr>
          <w:rFonts w:cstheme="minorHAnsi"/>
          <w:bCs/>
        </w:rPr>
        <w:t>n</w:t>
      </w:r>
      <w:r w:rsidRPr="00231A2E">
        <w:rPr>
          <w:rFonts w:cstheme="minorHAnsi"/>
          <w:bCs/>
        </w:rPr>
        <w:t xml:space="preserve"> los recursos del Fondo.</w:t>
      </w:r>
    </w:p>
    <w:p w14:paraId="77D07790" w14:textId="77777777" w:rsidR="00231A2E" w:rsidRDefault="007A2B44" w:rsidP="00F92F32">
      <w:pPr>
        <w:pStyle w:val="Prrafodelista"/>
        <w:numPr>
          <w:ilvl w:val="0"/>
          <w:numId w:val="5"/>
        </w:numPr>
        <w:ind w:left="284" w:hanging="284"/>
        <w:contextualSpacing w:val="0"/>
        <w:rPr>
          <w:rFonts w:cstheme="minorHAnsi"/>
          <w:bCs/>
        </w:rPr>
      </w:pPr>
      <w:r w:rsidRPr="00231A2E">
        <w:rPr>
          <w:rFonts w:cstheme="minorHAnsi"/>
          <w:bCs/>
        </w:rPr>
        <w:t>La creación del Grupo de Trabajo permite una aplicación más precisa de los recursos del Fondo en la entidad federativa; durante las sesiones se llevan a cabo análisis y deliberaciones para establecer las prioridades y necesidades sobre las cuales se canalizarán los recursos del FAFEF, hecho lo cual se seleccionan los Pp</w:t>
      </w:r>
      <w:r w:rsidR="00231A2E" w:rsidRPr="00231A2E">
        <w:rPr>
          <w:rFonts w:cstheme="minorHAnsi"/>
          <w:bCs/>
        </w:rPr>
        <w:t>,</w:t>
      </w:r>
      <w:r w:rsidRPr="00231A2E">
        <w:rPr>
          <w:rFonts w:cstheme="minorHAnsi"/>
          <w:bCs/>
        </w:rPr>
        <w:t xml:space="preserve"> a través de los cuales se dará cauce a dichos recursos</w:t>
      </w:r>
      <w:r w:rsidR="00231A2E" w:rsidRPr="00231A2E">
        <w:rPr>
          <w:rFonts w:cstheme="minorHAnsi"/>
          <w:bCs/>
        </w:rPr>
        <w:t xml:space="preserve">, </w:t>
      </w:r>
      <w:r w:rsidRPr="00231A2E">
        <w:rPr>
          <w:rFonts w:cstheme="minorHAnsi"/>
          <w:bCs/>
        </w:rPr>
        <w:t>identifica</w:t>
      </w:r>
      <w:r w:rsidR="00231A2E" w:rsidRPr="00231A2E">
        <w:rPr>
          <w:rFonts w:cstheme="minorHAnsi"/>
          <w:bCs/>
        </w:rPr>
        <w:t xml:space="preserve">ndo </w:t>
      </w:r>
      <w:r w:rsidRPr="00231A2E">
        <w:rPr>
          <w:rFonts w:cstheme="minorHAnsi"/>
          <w:bCs/>
        </w:rPr>
        <w:t xml:space="preserve">que </w:t>
      </w:r>
      <w:r w:rsidR="00231A2E" w:rsidRPr="00231A2E">
        <w:rPr>
          <w:rFonts w:cstheme="minorHAnsi"/>
          <w:bCs/>
        </w:rPr>
        <w:t>sus</w:t>
      </w:r>
      <w:r w:rsidRPr="00231A2E">
        <w:rPr>
          <w:rFonts w:cstheme="minorHAnsi"/>
          <w:bCs/>
        </w:rPr>
        <w:t xml:space="preserve"> modalidades sean acordes a los destinos de elegibilidad que establece la LCF para poder utilizar los recursos del FAFEF. </w:t>
      </w:r>
    </w:p>
    <w:p w14:paraId="519C4A02" w14:textId="01505490" w:rsidR="007A2B44" w:rsidRPr="00231A2E" w:rsidRDefault="00231A2E" w:rsidP="00F92F32">
      <w:pPr>
        <w:pStyle w:val="Prrafodelista"/>
        <w:numPr>
          <w:ilvl w:val="0"/>
          <w:numId w:val="5"/>
        </w:numPr>
        <w:ind w:left="284" w:hanging="284"/>
        <w:contextualSpacing w:val="0"/>
        <w:rPr>
          <w:rFonts w:cstheme="minorHAnsi"/>
          <w:bCs/>
        </w:rPr>
      </w:pPr>
      <w:r>
        <w:rPr>
          <w:rFonts w:cstheme="minorHAnsi"/>
          <w:bCs/>
        </w:rPr>
        <w:t xml:space="preserve">Con el </w:t>
      </w:r>
      <w:r w:rsidR="007A2B44" w:rsidRPr="00231A2E">
        <w:rPr>
          <w:rFonts w:cstheme="minorHAnsi"/>
          <w:bCs/>
        </w:rPr>
        <w:t xml:space="preserve">análisis </w:t>
      </w:r>
      <w:r>
        <w:rPr>
          <w:rFonts w:cstheme="minorHAnsi"/>
          <w:bCs/>
        </w:rPr>
        <w:t xml:space="preserve">que realiza el Grupo de Trabajo </w:t>
      </w:r>
      <w:r w:rsidR="007A2B44" w:rsidRPr="00231A2E">
        <w:rPr>
          <w:rFonts w:cstheme="minorHAnsi"/>
          <w:bCs/>
        </w:rPr>
        <w:t>de l</w:t>
      </w:r>
      <w:r w:rsidRPr="00231A2E">
        <w:rPr>
          <w:rFonts w:cstheme="minorHAnsi"/>
          <w:bCs/>
        </w:rPr>
        <w:t>os diferentes rubros de gasto (proyectos de inversión)</w:t>
      </w:r>
      <w:r w:rsidR="007A2B44" w:rsidRPr="00231A2E">
        <w:rPr>
          <w:rFonts w:cstheme="minorHAnsi"/>
          <w:bCs/>
        </w:rPr>
        <w:t xml:space="preserve"> en los que el FAFEF puede ser de utilidad</w:t>
      </w:r>
      <w:r>
        <w:rPr>
          <w:rFonts w:cstheme="minorHAnsi"/>
          <w:bCs/>
        </w:rPr>
        <w:t>,</w:t>
      </w:r>
      <w:r w:rsidR="007A2B44" w:rsidRPr="00231A2E">
        <w:rPr>
          <w:rFonts w:cstheme="minorHAnsi"/>
          <w:bCs/>
        </w:rPr>
        <w:t xml:space="preserve"> </w:t>
      </w:r>
      <w:r w:rsidR="000459EB" w:rsidRPr="00231A2E">
        <w:rPr>
          <w:rFonts w:cstheme="minorHAnsi"/>
          <w:bCs/>
        </w:rPr>
        <w:t>de acuerdo con</w:t>
      </w:r>
      <w:r w:rsidR="007A2B44" w:rsidRPr="00231A2E">
        <w:rPr>
          <w:rFonts w:cstheme="minorHAnsi"/>
          <w:bCs/>
        </w:rPr>
        <w:t xml:space="preserve"> lo establecido en el </w:t>
      </w:r>
      <w:r w:rsidR="00A01B73">
        <w:rPr>
          <w:rFonts w:cstheme="minorHAnsi"/>
          <w:bCs/>
        </w:rPr>
        <w:t>A</w:t>
      </w:r>
      <w:r w:rsidR="007A2B44" w:rsidRPr="00231A2E">
        <w:rPr>
          <w:rFonts w:cstheme="minorHAnsi"/>
          <w:bCs/>
        </w:rPr>
        <w:t xml:space="preserve">rtículo 47 de la dicha Ley, se limita la posibilidad de utilizar los recursos del Fondo para fines locales distintos a sus objetivos. </w:t>
      </w:r>
    </w:p>
    <w:p w14:paraId="21C08286" w14:textId="13FCA5D7" w:rsidR="00840DA8" w:rsidRDefault="007A2B44" w:rsidP="00840DA8">
      <w:r w:rsidRPr="00753EAF">
        <w:t>De esta forma, en la estructura programática estatal es posible identificar, a través de reportes específicos del Sistema de Plataforma Única (el cual controla el presupuesto), los Pp que fueron seleccionados para recibir recursos del FAFEF durante el ejercicio fiscal que corresponda y su alineación al PED.</w:t>
      </w:r>
      <w:r w:rsidR="00840DA8">
        <w:br w:type="page"/>
      </w:r>
    </w:p>
    <w:p w14:paraId="0C46F3AA" w14:textId="05BCC32F" w:rsidR="00AD5152" w:rsidRDefault="003B5E62" w:rsidP="003B5E62">
      <w:pPr>
        <w:pStyle w:val="Ttulo1"/>
      </w:pPr>
      <w:bookmarkStart w:id="96" w:name="_Toc61633648"/>
      <w:r>
        <w:lastRenderedPageBreak/>
        <w:t xml:space="preserve">VIII. </w:t>
      </w:r>
      <w:r w:rsidR="00AD5152" w:rsidRPr="00AD5152">
        <w:t>Módulo 6. Complementariedades y coincidencias</w:t>
      </w:r>
      <w:bookmarkEnd w:id="96"/>
    </w:p>
    <w:p w14:paraId="2B0CC5AB" w14:textId="186552C4" w:rsidR="00B90014" w:rsidRPr="00B90014" w:rsidRDefault="00B90014" w:rsidP="00840DA8">
      <w:pPr>
        <w:spacing w:before="0" w:after="0"/>
        <w:contextualSpacing/>
        <w:rPr>
          <w:rFonts w:cstheme="minorHAnsi"/>
          <w:b/>
        </w:rPr>
      </w:pPr>
      <w:r>
        <w:rPr>
          <w:rFonts w:cstheme="minorHAnsi"/>
          <w:b/>
        </w:rPr>
        <w:t xml:space="preserve">21. </w:t>
      </w:r>
      <w:r w:rsidRPr="00B90014">
        <w:rPr>
          <w:rFonts w:cstheme="minorHAnsi"/>
          <w:b/>
        </w:rPr>
        <w:t>¿Con cuáles políticas, programas o proyectos locales</w:t>
      </w:r>
      <w:r w:rsidRPr="00B90014" w:rsidDel="008F53C7">
        <w:rPr>
          <w:rFonts w:cstheme="minorHAnsi"/>
          <w:b/>
        </w:rPr>
        <w:t xml:space="preserve"> </w:t>
      </w:r>
      <w:r w:rsidRPr="00B90014">
        <w:rPr>
          <w:rFonts w:cstheme="minorHAnsi"/>
          <w:b/>
        </w:rPr>
        <w:t>(incluyendo aquellos con elementos de gasto federalizado) el FAFEF podría tener complementariedad o coincidencias?</w:t>
      </w:r>
    </w:p>
    <w:p w14:paraId="5F636189" w14:textId="77777777" w:rsidR="00B90014" w:rsidRPr="00840DA8" w:rsidRDefault="00B90014" w:rsidP="00E41C41">
      <w:pPr>
        <w:rPr>
          <w:b/>
          <w:bCs/>
        </w:rPr>
      </w:pPr>
      <w:r w:rsidRPr="00840DA8">
        <w:rPr>
          <w:b/>
          <w:bCs/>
        </w:rPr>
        <w:t>No procede valoración cuantitativa.</w:t>
      </w:r>
    </w:p>
    <w:p w14:paraId="4AB41CE2" w14:textId="236D9280" w:rsidR="00FF7632" w:rsidRDefault="00FF7632" w:rsidP="00E41C41">
      <w:r w:rsidRPr="00CF6D93">
        <w:t>La aplicación de los programas en la entidad</w:t>
      </w:r>
      <w:r w:rsidR="005F29FC">
        <w:t xml:space="preserve"> federativa</w:t>
      </w:r>
      <w:r w:rsidRPr="00CF6D93">
        <w:t xml:space="preserve"> es complementaria y coincidente, dado que en la implementación de los recursos federales tienen como objetivo: contribuir al bienestar social e igualdad mediante la optimización en la aplicación de los recursos públicos federales transferidos. Aunado a </w:t>
      </w:r>
      <w:r w:rsidR="00CB48AB">
        <w:t>esto</w:t>
      </w:r>
      <w:r w:rsidRPr="00CF6D93">
        <w:t>, esta normado en las Reglas de Operación de los P</w:t>
      </w:r>
      <w:r>
        <w:t>p</w:t>
      </w:r>
      <w:r w:rsidRPr="00CF6D93">
        <w:t xml:space="preserve"> y sus </w:t>
      </w:r>
      <w:r w:rsidR="00AB307C">
        <w:t>m</w:t>
      </w:r>
      <w:r w:rsidRPr="00CF6D93">
        <w:t>odificaciones a las ya existentes, en las cuales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p>
    <w:p w14:paraId="5D4DED7B" w14:textId="54C4F14C" w:rsidR="00A000C1" w:rsidRDefault="00F03F8E" w:rsidP="00E41C41">
      <w:r>
        <w:t xml:space="preserve">De acuerdo con lo anterior y a partir de la revisión de </w:t>
      </w:r>
      <w:r w:rsidR="00CD53F7">
        <w:t>la información disponible respecto al objetivo o propósito, población objetivo, tipo de componente entregado y/o acciones ejecutadas de los Pp, proyectos o Fondos estatales, se identificaron aquellos que tienen</w:t>
      </w:r>
      <w:r w:rsidR="00A000C1">
        <w:t xml:space="preserve"> alguna complementariedad o coincidencia.</w:t>
      </w:r>
    </w:p>
    <w:p w14:paraId="612F8D6F" w14:textId="13B39213" w:rsidR="00F03F8E" w:rsidRDefault="00A000C1" w:rsidP="00E41C41">
      <w:r>
        <w:t>En la revisión</w:t>
      </w:r>
      <w:r w:rsidR="008159E4">
        <w:t xml:space="preserve"> </w:t>
      </w:r>
      <w:r>
        <w:t xml:space="preserve">de los </w:t>
      </w:r>
      <w:r w:rsidR="00F03F8E">
        <w:t xml:space="preserve">Pp que recibieron recursos del FAFEF (señalados en la Pregunta 17), </w:t>
      </w:r>
      <w:r>
        <w:t xml:space="preserve">y otros Pp, proyectos o Fondos estatales, se </w:t>
      </w:r>
      <w:r w:rsidR="00F03F8E">
        <w:t>identific</w:t>
      </w:r>
      <w:r>
        <w:t xml:space="preserve">ó la existencia de </w:t>
      </w:r>
      <w:r w:rsidR="00F03F8E">
        <w:t>complementa</w:t>
      </w:r>
      <w:r>
        <w:t>riedades, ya que atienden a la misma población objetivo, pero los entregables o acciones ejecutadas son diferentes.</w:t>
      </w:r>
    </w:p>
    <w:p w14:paraId="50717AC5" w14:textId="24E6A629" w:rsidR="00D31F24" w:rsidRDefault="004F43B0" w:rsidP="0011053C">
      <w:pPr>
        <w:pStyle w:val="Cuadro"/>
      </w:pPr>
      <w:bookmarkStart w:id="97" w:name="_Toc55502396"/>
      <w:bookmarkStart w:id="98" w:name="_Toc55502513"/>
      <w:bookmarkStart w:id="99" w:name="_Toc56069939"/>
      <w:r>
        <w:t xml:space="preserve">Cuadro </w:t>
      </w:r>
      <w:r w:rsidR="008159E4">
        <w:t>12</w:t>
      </w:r>
      <w:r>
        <w:t xml:space="preserve">. Análisis de complementariedades y coincidencias con </w:t>
      </w:r>
      <w:r w:rsidR="0011053C">
        <w:t>programas o proyectos locales.</w:t>
      </w:r>
      <w:bookmarkEnd w:id="97"/>
      <w:bookmarkEnd w:id="98"/>
      <w:bookmarkEnd w:id="99"/>
    </w:p>
    <w:tbl>
      <w:tblPr>
        <w:tblStyle w:val="Tablaconcuadrcula"/>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990"/>
        <w:gridCol w:w="1990"/>
        <w:gridCol w:w="1991"/>
        <w:gridCol w:w="1990"/>
        <w:gridCol w:w="1991"/>
      </w:tblGrid>
      <w:tr w:rsidR="00200F72" w:rsidRPr="00840DA8" w14:paraId="62E4373A" w14:textId="77777777" w:rsidTr="0046655F">
        <w:trPr>
          <w:tblHeader/>
        </w:trPr>
        <w:tc>
          <w:tcPr>
            <w:tcW w:w="1992" w:type="dxa"/>
            <w:shd w:val="clear" w:color="auto" w:fill="9CC2E5"/>
          </w:tcPr>
          <w:p w14:paraId="7731D762" w14:textId="0EB7FFA2" w:rsidR="00200F72" w:rsidRPr="00CE30DE" w:rsidRDefault="00CD53F7" w:rsidP="00CE30DE">
            <w:pPr>
              <w:spacing w:before="0" w:after="0"/>
              <w:jc w:val="center"/>
              <w:rPr>
                <w:b/>
                <w:bCs/>
                <w:sz w:val="20"/>
                <w:szCs w:val="20"/>
              </w:rPr>
            </w:pPr>
            <w:r w:rsidRPr="00CE30DE">
              <w:rPr>
                <w:b/>
                <w:bCs/>
                <w:sz w:val="20"/>
                <w:szCs w:val="20"/>
              </w:rPr>
              <w:t>Programas Presupuestarios</w:t>
            </w:r>
          </w:p>
        </w:tc>
        <w:tc>
          <w:tcPr>
            <w:tcW w:w="1992" w:type="dxa"/>
            <w:shd w:val="clear" w:color="auto" w:fill="9CC2E5"/>
          </w:tcPr>
          <w:p w14:paraId="4E20C2B6" w14:textId="2D91475B" w:rsidR="00200F72" w:rsidRPr="00CE30DE" w:rsidRDefault="00200F72" w:rsidP="00CE30DE">
            <w:pPr>
              <w:spacing w:before="0" w:after="0"/>
              <w:jc w:val="center"/>
              <w:rPr>
                <w:b/>
                <w:bCs/>
                <w:sz w:val="20"/>
                <w:szCs w:val="20"/>
              </w:rPr>
            </w:pPr>
            <w:r w:rsidRPr="00CE30DE">
              <w:rPr>
                <w:b/>
                <w:bCs/>
                <w:sz w:val="20"/>
                <w:szCs w:val="20"/>
              </w:rPr>
              <w:t>Se complementa y/o coincide</w:t>
            </w:r>
          </w:p>
        </w:tc>
        <w:tc>
          <w:tcPr>
            <w:tcW w:w="1992" w:type="dxa"/>
            <w:shd w:val="clear" w:color="auto" w:fill="9CC2E5"/>
          </w:tcPr>
          <w:p w14:paraId="59DAA08C" w14:textId="7B2360DC" w:rsidR="00200F72" w:rsidRPr="00CE30DE" w:rsidRDefault="00200F72" w:rsidP="00CE30DE">
            <w:pPr>
              <w:spacing w:before="0" w:after="0"/>
              <w:jc w:val="center"/>
              <w:rPr>
                <w:b/>
                <w:bCs/>
                <w:sz w:val="20"/>
                <w:szCs w:val="20"/>
              </w:rPr>
            </w:pPr>
            <w:r w:rsidRPr="00CE30DE">
              <w:rPr>
                <w:b/>
                <w:bCs/>
                <w:sz w:val="20"/>
                <w:szCs w:val="20"/>
              </w:rPr>
              <w:t>¿En qué objetivos?</w:t>
            </w:r>
          </w:p>
        </w:tc>
        <w:tc>
          <w:tcPr>
            <w:tcW w:w="1993" w:type="dxa"/>
            <w:shd w:val="clear" w:color="auto" w:fill="9CC2E5"/>
          </w:tcPr>
          <w:p w14:paraId="334E124C" w14:textId="18418348" w:rsidR="00200F72" w:rsidRPr="00CE30DE" w:rsidRDefault="00200F72" w:rsidP="00CE30DE">
            <w:pPr>
              <w:spacing w:before="0" w:after="0"/>
              <w:jc w:val="center"/>
              <w:rPr>
                <w:b/>
                <w:bCs/>
                <w:sz w:val="20"/>
                <w:szCs w:val="20"/>
              </w:rPr>
            </w:pPr>
            <w:r w:rsidRPr="00CE30DE">
              <w:rPr>
                <w:b/>
                <w:bCs/>
                <w:sz w:val="20"/>
                <w:szCs w:val="20"/>
              </w:rPr>
              <w:t>Población objetivo</w:t>
            </w:r>
          </w:p>
        </w:tc>
        <w:tc>
          <w:tcPr>
            <w:tcW w:w="1993" w:type="dxa"/>
            <w:shd w:val="clear" w:color="auto" w:fill="9CC2E5"/>
          </w:tcPr>
          <w:p w14:paraId="5520B59D" w14:textId="7D313307" w:rsidR="00200F72" w:rsidRPr="00CE30DE" w:rsidRDefault="00200F72" w:rsidP="00CE30DE">
            <w:pPr>
              <w:spacing w:before="0" w:after="0"/>
              <w:jc w:val="center"/>
              <w:rPr>
                <w:b/>
                <w:bCs/>
                <w:sz w:val="20"/>
                <w:szCs w:val="20"/>
              </w:rPr>
            </w:pPr>
            <w:r w:rsidRPr="00CE30DE">
              <w:rPr>
                <w:b/>
                <w:bCs/>
                <w:sz w:val="20"/>
                <w:szCs w:val="20"/>
              </w:rPr>
              <w:t>Tipo de entregables o componentes</w:t>
            </w:r>
          </w:p>
        </w:tc>
      </w:tr>
      <w:tr w:rsidR="00971BCB" w:rsidRPr="00840DA8" w14:paraId="70B79C44" w14:textId="77777777" w:rsidTr="0046655F">
        <w:tc>
          <w:tcPr>
            <w:tcW w:w="1992" w:type="dxa"/>
          </w:tcPr>
          <w:p w14:paraId="0ED795D5" w14:textId="6A8D54CD" w:rsidR="00971BCB" w:rsidRPr="00CE30DE" w:rsidRDefault="00971BCB" w:rsidP="001A6C1F">
            <w:pPr>
              <w:spacing w:before="0" w:after="0"/>
              <w:rPr>
                <w:sz w:val="20"/>
                <w:szCs w:val="20"/>
              </w:rPr>
            </w:pPr>
            <w:r w:rsidRPr="00CE30DE">
              <w:rPr>
                <w:sz w:val="20"/>
                <w:szCs w:val="20"/>
              </w:rPr>
              <w:t>Desarrollo de infraestructura física educativa</w:t>
            </w:r>
          </w:p>
        </w:tc>
        <w:tc>
          <w:tcPr>
            <w:tcW w:w="1992" w:type="dxa"/>
          </w:tcPr>
          <w:p w14:paraId="7F9BC5EC" w14:textId="66B1E064" w:rsidR="00971BCB" w:rsidRPr="00CE30DE" w:rsidRDefault="00754C78" w:rsidP="001A6C1F">
            <w:pPr>
              <w:spacing w:before="0" w:after="0"/>
              <w:rPr>
                <w:sz w:val="20"/>
                <w:szCs w:val="20"/>
              </w:rPr>
            </w:pPr>
            <w:r>
              <w:rPr>
                <w:sz w:val="20"/>
                <w:szCs w:val="20"/>
              </w:rPr>
              <w:t>Se complementa</w:t>
            </w:r>
          </w:p>
        </w:tc>
        <w:tc>
          <w:tcPr>
            <w:tcW w:w="1992" w:type="dxa"/>
          </w:tcPr>
          <w:p w14:paraId="1604DBC2" w14:textId="103F5953" w:rsidR="00971BCB" w:rsidRPr="00CE30DE" w:rsidRDefault="004C33FA" w:rsidP="001A6C1F">
            <w:pPr>
              <w:spacing w:before="0" w:after="0"/>
              <w:rPr>
                <w:sz w:val="20"/>
                <w:szCs w:val="20"/>
              </w:rPr>
            </w:pPr>
            <w:r w:rsidRPr="00CE30DE">
              <w:rPr>
                <w:sz w:val="20"/>
                <w:szCs w:val="20"/>
              </w:rPr>
              <w:t>Contribución con la infraestructura física educativa</w:t>
            </w:r>
            <w:r w:rsidR="003F0B50" w:rsidRPr="00CE30DE">
              <w:rPr>
                <w:sz w:val="20"/>
                <w:szCs w:val="20"/>
              </w:rPr>
              <w:t>.</w:t>
            </w:r>
          </w:p>
        </w:tc>
        <w:tc>
          <w:tcPr>
            <w:tcW w:w="1993" w:type="dxa"/>
          </w:tcPr>
          <w:p w14:paraId="536F600A" w14:textId="2F21B7D1" w:rsidR="00971BCB" w:rsidRPr="00CE30DE" w:rsidRDefault="004C33FA" w:rsidP="001A6C1F">
            <w:pPr>
              <w:spacing w:before="0" w:after="0"/>
              <w:rPr>
                <w:sz w:val="20"/>
                <w:szCs w:val="20"/>
              </w:rPr>
            </w:pPr>
            <w:r w:rsidRPr="00CE30DE">
              <w:rPr>
                <w:sz w:val="20"/>
                <w:szCs w:val="20"/>
              </w:rPr>
              <w:t>Población universitaria</w:t>
            </w:r>
          </w:p>
        </w:tc>
        <w:tc>
          <w:tcPr>
            <w:tcW w:w="1993" w:type="dxa"/>
          </w:tcPr>
          <w:p w14:paraId="72C4532B" w14:textId="76611541" w:rsidR="00971BCB" w:rsidRPr="00CE30DE" w:rsidRDefault="004C33FA" w:rsidP="001A6C1F">
            <w:pPr>
              <w:spacing w:before="0" w:after="0"/>
              <w:rPr>
                <w:sz w:val="20"/>
                <w:szCs w:val="20"/>
              </w:rPr>
            </w:pPr>
            <w:r w:rsidRPr="00CE30DE">
              <w:rPr>
                <w:sz w:val="20"/>
                <w:szCs w:val="20"/>
              </w:rPr>
              <w:t>Obras de infraestructura física educativa</w:t>
            </w:r>
          </w:p>
        </w:tc>
      </w:tr>
      <w:tr w:rsidR="00971BCB" w:rsidRPr="00840DA8" w14:paraId="51302ABC" w14:textId="77777777" w:rsidTr="0046655F">
        <w:tc>
          <w:tcPr>
            <w:tcW w:w="1992" w:type="dxa"/>
          </w:tcPr>
          <w:p w14:paraId="504D0661" w14:textId="4A959D80" w:rsidR="00971BCB" w:rsidRPr="00CE30DE" w:rsidRDefault="004C33FA" w:rsidP="001A6C1F">
            <w:pPr>
              <w:spacing w:before="0" w:after="0"/>
              <w:rPr>
                <w:sz w:val="20"/>
                <w:szCs w:val="20"/>
              </w:rPr>
            </w:pPr>
            <w:r w:rsidRPr="00CE30DE">
              <w:rPr>
                <w:sz w:val="20"/>
                <w:szCs w:val="20"/>
              </w:rPr>
              <w:t>Servicios portuarios</w:t>
            </w:r>
          </w:p>
        </w:tc>
        <w:tc>
          <w:tcPr>
            <w:tcW w:w="1992" w:type="dxa"/>
          </w:tcPr>
          <w:p w14:paraId="35FAA8FB" w14:textId="38D4E774" w:rsidR="00971BCB" w:rsidRPr="00CE30DE" w:rsidRDefault="004C33FA" w:rsidP="001A6C1F">
            <w:pPr>
              <w:spacing w:before="0" w:after="0"/>
              <w:rPr>
                <w:sz w:val="20"/>
                <w:szCs w:val="20"/>
              </w:rPr>
            </w:pPr>
            <w:r w:rsidRPr="00CE30DE">
              <w:rPr>
                <w:sz w:val="20"/>
                <w:szCs w:val="20"/>
              </w:rPr>
              <w:t>Se complement</w:t>
            </w:r>
            <w:r w:rsidR="005C1F6F">
              <w:rPr>
                <w:sz w:val="20"/>
                <w:szCs w:val="20"/>
              </w:rPr>
              <w:t>a</w:t>
            </w:r>
          </w:p>
        </w:tc>
        <w:tc>
          <w:tcPr>
            <w:tcW w:w="1992" w:type="dxa"/>
          </w:tcPr>
          <w:p w14:paraId="6C3174AE" w14:textId="3B679802" w:rsidR="00971BCB" w:rsidRPr="00CE30DE" w:rsidRDefault="004C33FA" w:rsidP="001A6C1F">
            <w:pPr>
              <w:spacing w:before="0" w:after="0"/>
              <w:rPr>
                <w:sz w:val="20"/>
                <w:szCs w:val="20"/>
              </w:rPr>
            </w:pPr>
            <w:r w:rsidRPr="00CE30DE">
              <w:rPr>
                <w:sz w:val="20"/>
                <w:szCs w:val="20"/>
              </w:rPr>
              <w:t>Contribución a desarrollar la infraestructura, el equipamiento y las condiciones que contribuyan a mejorar las condiciones de competitividad del Estado</w:t>
            </w:r>
            <w:r w:rsidR="003F0B50" w:rsidRPr="00CE30DE">
              <w:rPr>
                <w:sz w:val="20"/>
                <w:szCs w:val="20"/>
              </w:rPr>
              <w:t>.</w:t>
            </w:r>
          </w:p>
        </w:tc>
        <w:tc>
          <w:tcPr>
            <w:tcW w:w="1993" w:type="dxa"/>
          </w:tcPr>
          <w:p w14:paraId="40562CB3" w14:textId="59D785AB" w:rsidR="00971BCB" w:rsidRPr="00CE30DE" w:rsidRDefault="003C01B5" w:rsidP="001A6C1F">
            <w:pPr>
              <w:spacing w:before="0" w:after="0"/>
              <w:rPr>
                <w:sz w:val="20"/>
                <w:szCs w:val="20"/>
              </w:rPr>
            </w:pPr>
            <w:r w:rsidRPr="00CE30DE">
              <w:rPr>
                <w:sz w:val="20"/>
                <w:szCs w:val="20"/>
              </w:rPr>
              <w:t>Población de la zona portuaria de la zona noreste del país</w:t>
            </w:r>
          </w:p>
        </w:tc>
        <w:tc>
          <w:tcPr>
            <w:tcW w:w="1993" w:type="dxa"/>
          </w:tcPr>
          <w:p w14:paraId="44FDA1AC" w14:textId="1042D8A3" w:rsidR="00971BCB" w:rsidRPr="00CE30DE" w:rsidRDefault="003C01B5" w:rsidP="001A6C1F">
            <w:pPr>
              <w:spacing w:before="0" w:after="0"/>
              <w:rPr>
                <w:sz w:val="20"/>
                <w:szCs w:val="20"/>
              </w:rPr>
            </w:pPr>
            <w:r w:rsidRPr="00CE30DE">
              <w:rPr>
                <w:sz w:val="20"/>
                <w:szCs w:val="20"/>
              </w:rPr>
              <w:t>Infraestructura y equipamiento portuario</w:t>
            </w:r>
          </w:p>
        </w:tc>
      </w:tr>
      <w:tr w:rsidR="003C01B5" w:rsidRPr="00840DA8" w14:paraId="02FB431E" w14:textId="77777777" w:rsidTr="00943885">
        <w:trPr>
          <w:trHeight w:val="3142"/>
        </w:trPr>
        <w:tc>
          <w:tcPr>
            <w:tcW w:w="1992" w:type="dxa"/>
          </w:tcPr>
          <w:p w14:paraId="055A5571" w14:textId="56E7D2E2" w:rsidR="003C01B5" w:rsidRPr="00CE30DE" w:rsidRDefault="003C01B5" w:rsidP="001A6C1F">
            <w:pPr>
              <w:spacing w:before="0" w:after="0"/>
              <w:rPr>
                <w:sz w:val="20"/>
                <w:szCs w:val="20"/>
              </w:rPr>
            </w:pPr>
            <w:r w:rsidRPr="00CE30DE">
              <w:rPr>
                <w:sz w:val="20"/>
                <w:szCs w:val="20"/>
              </w:rPr>
              <w:t>Programa de aseguramiento de los servicios de agua potable</w:t>
            </w:r>
            <w:r w:rsidR="00563EE3" w:rsidRPr="00CE30DE">
              <w:rPr>
                <w:sz w:val="20"/>
                <w:szCs w:val="20"/>
              </w:rPr>
              <w:t>, drenaje y saneamiento de la zona conurbada</w:t>
            </w:r>
          </w:p>
        </w:tc>
        <w:tc>
          <w:tcPr>
            <w:tcW w:w="1992" w:type="dxa"/>
          </w:tcPr>
          <w:p w14:paraId="758C9103" w14:textId="01F23DD2" w:rsidR="003C01B5" w:rsidRPr="00CE30DE" w:rsidRDefault="00563EE3" w:rsidP="001A6C1F">
            <w:pPr>
              <w:spacing w:before="0" w:after="0"/>
              <w:rPr>
                <w:sz w:val="20"/>
                <w:szCs w:val="20"/>
              </w:rPr>
            </w:pPr>
            <w:r w:rsidRPr="00CE30DE">
              <w:rPr>
                <w:sz w:val="20"/>
                <w:szCs w:val="20"/>
              </w:rPr>
              <w:t>Se complementa</w:t>
            </w:r>
          </w:p>
        </w:tc>
        <w:tc>
          <w:tcPr>
            <w:tcW w:w="1992" w:type="dxa"/>
          </w:tcPr>
          <w:p w14:paraId="2CA40C70" w14:textId="026A4C7A" w:rsidR="003C01B5" w:rsidRPr="00CE30DE" w:rsidRDefault="00563EE3" w:rsidP="001A6C1F">
            <w:pPr>
              <w:spacing w:before="0" w:after="0"/>
              <w:rPr>
                <w:sz w:val="20"/>
                <w:szCs w:val="20"/>
              </w:rPr>
            </w:pPr>
            <w:r w:rsidRPr="00CE30DE">
              <w:rPr>
                <w:sz w:val="20"/>
                <w:szCs w:val="20"/>
              </w:rPr>
              <w:t xml:space="preserve">Contribución a administrar de manera sustentable los recursos hídricos del </w:t>
            </w:r>
            <w:r w:rsidR="00EF4A9C">
              <w:rPr>
                <w:sz w:val="20"/>
                <w:szCs w:val="20"/>
              </w:rPr>
              <w:t>E</w:t>
            </w:r>
            <w:r w:rsidRPr="00CE30DE">
              <w:rPr>
                <w:sz w:val="20"/>
                <w:szCs w:val="20"/>
              </w:rPr>
              <w:t>stado, mediante la suficiencia en el suministro de agua potable, alcantarillado sanitario y saneamiento</w:t>
            </w:r>
            <w:r w:rsidR="003F0B50" w:rsidRPr="00CE30DE">
              <w:rPr>
                <w:sz w:val="20"/>
                <w:szCs w:val="20"/>
              </w:rPr>
              <w:t>.</w:t>
            </w:r>
          </w:p>
        </w:tc>
        <w:tc>
          <w:tcPr>
            <w:tcW w:w="1993" w:type="dxa"/>
          </w:tcPr>
          <w:p w14:paraId="2C7DF157" w14:textId="63F18C59" w:rsidR="003C01B5" w:rsidRPr="00CE30DE" w:rsidRDefault="00563EE3" w:rsidP="001A6C1F">
            <w:pPr>
              <w:spacing w:before="0" w:after="0"/>
              <w:rPr>
                <w:sz w:val="20"/>
                <w:szCs w:val="20"/>
              </w:rPr>
            </w:pPr>
            <w:r w:rsidRPr="00CE30DE">
              <w:rPr>
                <w:sz w:val="20"/>
                <w:szCs w:val="20"/>
              </w:rPr>
              <w:t>Población de la</w:t>
            </w:r>
            <w:r w:rsidR="00D0549E">
              <w:rPr>
                <w:sz w:val="20"/>
                <w:szCs w:val="20"/>
              </w:rPr>
              <w:t>s</w:t>
            </w:r>
            <w:r w:rsidRPr="00CE30DE">
              <w:rPr>
                <w:sz w:val="20"/>
                <w:szCs w:val="20"/>
              </w:rPr>
              <w:t xml:space="preserve"> zona</w:t>
            </w:r>
            <w:r w:rsidR="00D0549E">
              <w:rPr>
                <w:sz w:val="20"/>
                <w:szCs w:val="20"/>
              </w:rPr>
              <w:t>s</w:t>
            </w:r>
            <w:r w:rsidRPr="00CE30DE">
              <w:rPr>
                <w:sz w:val="20"/>
                <w:szCs w:val="20"/>
              </w:rPr>
              <w:t xml:space="preserve"> </w:t>
            </w:r>
            <w:r w:rsidR="00D0549E">
              <w:rPr>
                <w:sz w:val="20"/>
                <w:szCs w:val="20"/>
              </w:rPr>
              <w:t>urbanas</w:t>
            </w:r>
            <w:r w:rsidRPr="00CE30DE">
              <w:rPr>
                <w:sz w:val="20"/>
                <w:szCs w:val="20"/>
              </w:rPr>
              <w:t xml:space="preserve"> de Tamaulipas de carácter doméstico, comercial, industrial y público</w:t>
            </w:r>
          </w:p>
        </w:tc>
        <w:tc>
          <w:tcPr>
            <w:tcW w:w="1993" w:type="dxa"/>
          </w:tcPr>
          <w:p w14:paraId="76A06979" w14:textId="5C1C0837" w:rsidR="003C01B5" w:rsidRPr="00CE30DE" w:rsidRDefault="00563EE3" w:rsidP="001A6C1F">
            <w:pPr>
              <w:spacing w:before="0" w:after="0"/>
              <w:rPr>
                <w:sz w:val="20"/>
                <w:szCs w:val="20"/>
              </w:rPr>
            </w:pPr>
            <w:r w:rsidRPr="00CE30DE">
              <w:rPr>
                <w:sz w:val="20"/>
                <w:szCs w:val="20"/>
              </w:rPr>
              <w:t>Servicios de agua potable</w:t>
            </w:r>
          </w:p>
        </w:tc>
      </w:tr>
      <w:tr w:rsidR="00015AFF" w:rsidRPr="00840DA8" w14:paraId="5649476B" w14:textId="77777777" w:rsidTr="0046655F">
        <w:tc>
          <w:tcPr>
            <w:tcW w:w="1992" w:type="dxa"/>
          </w:tcPr>
          <w:p w14:paraId="08B42577" w14:textId="0228FB48" w:rsidR="00015AFF" w:rsidRPr="00CE30DE" w:rsidRDefault="00015AFF" w:rsidP="001A6C1F">
            <w:pPr>
              <w:spacing w:before="0" w:after="0"/>
              <w:rPr>
                <w:sz w:val="20"/>
                <w:szCs w:val="20"/>
              </w:rPr>
            </w:pPr>
            <w:r w:rsidRPr="00CE30DE">
              <w:rPr>
                <w:sz w:val="20"/>
                <w:szCs w:val="20"/>
              </w:rPr>
              <w:lastRenderedPageBreak/>
              <w:t>Gestión del recurso agua</w:t>
            </w:r>
          </w:p>
        </w:tc>
        <w:tc>
          <w:tcPr>
            <w:tcW w:w="1992" w:type="dxa"/>
          </w:tcPr>
          <w:p w14:paraId="020E0D91" w14:textId="1402D58F" w:rsidR="00015AFF" w:rsidRPr="00CE30DE" w:rsidRDefault="00015AFF" w:rsidP="001A6C1F">
            <w:pPr>
              <w:spacing w:before="0" w:after="0"/>
              <w:rPr>
                <w:sz w:val="20"/>
                <w:szCs w:val="20"/>
              </w:rPr>
            </w:pPr>
            <w:r w:rsidRPr="00CE30DE">
              <w:rPr>
                <w:sz w:val="20"/>
                <w:szCs w:val="20"/>
              </w:rPr>
              <w:t>Se complementa</w:t>
            </w:r>
          </w:p>
        </w:tc>
        <w:tc>
          <w:tcPr>
            <w:tcW w:w="1992" w:type="dxa"/>
          </w:tcPr>
          <w:p w14:paraId="702B2427" w14:textId="480FAA74" w:rsidR="00015AFF" w:rsidRPr="00CE30DE" w:rsidRDefault="00015AFF" w:rsidP="001A6C1F">
            <w:pPr>
              <w:spacing w:before="0" w:after="0"/>
              <w:rPr>
                <w:sz w:val="20"/>
                <w:szCs w:val="20"/>
              </w:rPr>
            </w:pPr>
            <w:r w:rsidRPr="00CE30DE">
              <w:rPr>
                <w:sz w:val="20"/>
                <w:szCs w:val="20"/>
              </w:rPr>
              <w:t xml:space="preserve">Contribución a administrar de manera sustentable los recursos hídricos del </w:t>
            </w:r>
            <w:r w:rsidR="00EF4A9C">
              <w:rPr>
                <w:sz w:val="20"/>
                <w:szCs w:val="20"/>
              </w:rPr>
              <w:t>E</w:t>
            </w:r>
            <w:r w:rsidRPr="00CE30DE">
              <w:rPr>
                <w:sz w:val="20"/>
                <w:szCs w:val="20"/>
              </w:rPr>
              <w:t>stado, mediante la procuración del acceso suficiente a los servi</w:t>
            </w:r>
            <w:r w:rsidR="006B2DB4" w:rsidRPr="00CE30DE">
              <w:rPr>
                <w:sz w:val="20"/>
                <w:szCs w:val="20"/>
              </w:rPr>
              <w:t>c</w:t>
            </w:r>
            <w:r w:rsidRPr="00CE30DE">
              <w:rPr>
                <w:sz w:val="20"/>
                <w:szCs w:val="20"/>
              </w:rPr>
              <w:t>ios de agua, drenaje y tratamiento de aguas residuales</w:t>
            </w:r>
            <w:r w:rsidR="006B2DB4" w:rsidRPr="00CE30DE">
              <w:rPr>
                <w:sz w:val="20"/>
                <w:szCs w:val="20"/>
              </w:rPr>
              <w:t>, y cultura del agua</w:t>
            </w:r>
          </w:p>
        </w:tc>
        <w:tc>
          <w:tcPr>
            <w:tcW w:w="1993" w:type="dxa"/>
          </w:tcPr>
          <w:p w14:paraId="4216DA04" w14:textId="496E73C1" w:rsidR="00015AFF" w:rsidRPr="00CE30DE" w:rsidRDefault="006B2DB4" w:rsidP="001A6C1F">
            <w:pPr>
              <w:spacing w:before="0" w:after="0"/>
              <w:rPr>
                <w:sz w:val="20"/>
                <w:szCs w:val="20"/>
              </w:rPr>
            </w:pPr>
            <w:r w:rsidRPr="00CE30DE">
              <w:rPr>
                <w:sz w:val="20"/>
                <w:szCs w:val="20"/>
              </w:rPr>
              <w:t>Población de Tamaulipas</w:t>
            </w:r>
          </w:p>
        </w:tc>
        <w:tc>
          <w:tcPr>
            <w:tcW w:w="1993" w:type="dxa"/>
          </w:tcPr>
          <w:p w14:paraId="01B6A0F3" w14:textId="1F3464D4" w:rsidR="00015AFF" w:rsidRPr="00CE30DE" w:rsidRDefault="006B2DB4" w:rsidP="001A6C1F">
            <w:pPr>
              <w:spacing w:before="0" w:after="0"/>
              <w:rPr>
                <w:sz w:val="20"/>
                <w:szCs w:val="20"/>
              </w:rPr>
            </w:pPr>
            <w:r w:rsidRPr="00CE30DE">
              <w:rPr>
                <w:sz w:val="20"/>
                <w:szCs w:val="20"/>
              </w:rPr>
              <w:t>Acciones realizadas relativas al Programa de Abastecimiento de Agua mediante perforación de pozos</w:t>
            </w:r>
          </w:p>
        </w:tc>
      </w:tr>
      <w:tr w:rsidR="00563EE3" w:rsidRPr="00840DA8" w14:paraId="5CE661C0" w14:textId="77777777" w:rsidTr="0046655F">
        <w:tc>
          <w:tcPr>
            <w:tcW w:w="1992" w:type="dxa"/>
          </w:tcPr>
          <w:p w14:paraId="6131CD49" w14:textId="1166E7AB" w:rsidR="00563EE3" w:rsidRPr="00CE30DE" w:rsidRDefault="00563EE3" w:rsidP="001A6C1F">
            <w:pPr>
              <w:spacing w:before="0" w:after="0"/>
              <w:rPr>
                <w:sz w:val="20"/>
                <w:szCs w:val="20"/>
              </w:rPr>
            </w:pPr>
            <w:r w:rsidRPr="00CE30DE">
              <w:rPr>
                <w:sz w:val="20"/>
                <w:szCs w:val="20"/>
              </w:rPr>
              <w:t>Programa de becas del sector educativo</w:t>
            </w:r>
          </w:p>
        </w:tc>
        <w:tc>
          <w:tcPr>
            <w:tcW w:w="1992" w:type="dxa"/>
          </w:tcPr>
          <w:p w14:paraId="4E9D508C" w14:textId="474A9F48" w:rsidR="00563EE3" w:rsidRPr="00CE30DE" w:rsidRDefault="00563EE3" w:rsidP="001A6C1F">
            <w:pPr>
              <w:spacing w:before="0" w:after="0"/>
              <w:rPr>
                <w:sz w:val="20"/>
                <w:szCs w:val="20"/>
              </w:rPr>
            </w:pPr>
            <w:r w:rsidRPr="00CE30DE">
              <w:rPr>
                <w:sz w:val="20"/>
                <w:szCs w:val="20"/>
              </w:rPr>
              <w:t>Se complementa</w:t>
            </w:r>
          </w:p>
        </w:tc>
        <w:tc>
          <w:tcPr>
            <w:tcW w:w="1992" w:type="dxa"/>
          </w:tcPr>
          <w:p w14:paraId="0427DB56" w14:textId="39459354" w:rsidR="00563EE3" w:rsidRPr="00CE30DE" w:rsidRDefault="00563EE3" w:rsidP="001A6C1F">
            <w:pPr>
              <w:spacing w:before="0" w:after="0"/>
              <w:rPr>
                <w:sz w:val="20"/>
                <w:szCs w:val="20"/>
              </w:rPr>
            </w:pPr>
            <w:r w:rsidRPr="00CE30DE">
              <w:rPr>
                <w:sz w:val="20"/>
                <w:szCs w:val="20"/>
              </w:rPr>
              <w:t>Contribución a disminuir las desigualdades sociales en los niveles</w:t>
            </w:r>
            <w:r w:rsidR="003F0B50" w:rsidRPr="00CE30DE">
              <w:rPr>
                <w:sz w:val="20"/>
                <w:szCs w:val="20"/>
              </w:rPr>
              <w:t>.</w:t>
            </w:r>
            <w:r w:rsidRPr="00CE30DE">
              <w:rPr>
                <w:sz w:val="20"/>
                <w:szCs w:val="20"/>
              </w:rPr>
              <w:t xml:space="preserve"> educativos del Estado de Tamaulipas</w:t>
            </w:r>
            <w:r w:rsidR="003F0B50" w:rsidRPr="00CE30DE">
              <w:rPr>
                <w:sz w:val="20"/>
                <w:szCs w:val="20"/>
              </w:rPr>
              <w:t>.</w:t>
            </w:r>
          </w:p>
        </w:tc>
        <w:tc>
          <w:tcPr>
            <w:tcW w:w="1993" w:type="dxa"/>
          </w:tcPr>
          <w:p w14:paraId="081628DE" w14:textId="35917DD9" w:rsidR="00563EE3" w:rsidRPr="00CE30DE" w:rsidRDefault="00962809" w:rsidP="001A6C1F">
            <w:pPr>
              <w:spacing w:before="0" w:after="0"/>
              <w:rPr>
                <w:sz w:val="20"/>
                <w:szCs w:val="20"/>
              </w:rPr>
            </w:pPr>
            <w:r w:rsidRPr="00CE30DE">
              <w:rPr>
                <w:sz w:val="20"/>
                <w:szCs w:val="20"/>
              </w:rPr>
              <w:t>Alumnos inscritos en el sistema educativo estatal que tengan promedio superior a 9.5, alumnos con capacidad diferente o enfermedad crónico degenerativa, en situación económica adversa y estudiantes de los grupos poblacionales con alto grado de marginación</w:t>
            </w:r>
          </w:p>
        </w:tc>
        <w:tc>
          <w:tcPr>
            <w:tcW w:w="1993" w:type="dxa"/>
          </w:tcPr>
          <w:p w14:paraId="552A9015" w14:textId="75B619C8" w:rsidR="00563EE3" w:rsidRPr="00CE30DE" w:rsidRDefault="00962809" w:rsidP="001A6C1F">
            <w:pPr>
              <w:spacing w:before="0" w:after="0"/>
              <w:rPr>
                <w:sz w:val="20"/>
                <w:szCs w:val="20"/>
              </w:rPr>
            </w:pPr>
            <w:r w:rsidRPr="00CE30DE">
              <w:rPr>
                <w:sz w:val="20"/>
                <w:szCs w:val="20"/>
              </w:rPr>
              <w:t>Apoyo económico a través del pago de becas a población objetivo.</w:t>
            </w:r>
          </w:p>
        </w:tc>
      </w:tr>
      <w:tr w:rsidR="00962809" w:rsidRPr="00840DA8" w14:paraId="60B6B3E6" w14:textId="77777777" w:rsidTr="0046655F">
        <w:tc>
          <w:tcPr>
            <w:tcW w:w="1992" w:type="dxa"/>
          </w:tcPr>
          <w:p w14:paraId="6EA76FD2" w14:textId="7178440F" w:rsidR="00962809" w:rsidRPr="00CE30DE" w:rsidRDefault="00962809" w:rsidP="001A6C1F">
            <w:pPr>
              <w:spacing w:before="0" w:after="0"/>
              <w:rPr>
                <w:sz w:val="20"/>
                <w:szCs w:val="20"/>
              </w:rPr>
            </w:pPr>
            <w:r w:rsidRPr="00CE30DE">
              <w:rPr>
                <w:sz w:val="20"/>
                <w:szCs w:val="20"/>
              </w:rPr>
              <w:t>Enseñanza básica</w:t>
            </w:r>
          </w:p>
        </w:tc>
        <w:tc>
          <w:tcPr>
            <w:tcW w:w="1992" w:type="dxa"/>
          </w:tcPr>
          <w:p w14:paraId="2879B949" w14:textId="610FD406" w:rsidR="00962809" w:rsidRPr="00CE30DE" w:rsidRDefault="00962809" w:rsidP="001A6C1F">
            <w:pPr>
              <w:spacing w:before="0" w:after="0"/>
              <w:rPr>
                <w:sz w:val="20"/>
                <w:szCs w:val="20"/>
              </w:rPr>
            </w:pPr>
            <w:r w:rsidRPr="00CE30DE">
              <w:rPr>
                <w:sz w:val="20"/>
                <w:szCs w:val="20"/>
              </w:rPr>
              <w:t>Se complementa</w:t>
            </w:r>
          </w:p>
        </w:tc>
        <w:tc>
          <w:tcPr>
            <w:tcW w:w="1992" w:type="dxa"/>
          </w:tcPr>
          <w:p w14:paraId="60C5F1DF" w14:textId="6FE32108" w:rsidR="00962809" w:rsidRPr="00CE30DE" w:rsidRDefault="00962809" w:rsidP="001A6C1F">
            <w:pPr>
              <w:spacing w:before="0" w:after="0"/>
              <w:rPr>
                <w:sz w:val="20"/>
                <w:szCs w:val="20"/>
              </w:rPr>
            </w:pPr>
            <w:r w:rsidRPr="00CE30DE">
              <w:rPr>
                <w:sz w:val="20"/>
                <w:szCs w:val="20"/>
              </w:rPr>
              <w:t xml:space="preserve">Contribución a la educación básica inclusiva, de calidad, con perspectiva de </w:t>
            </w:r>
            <w:r w:rsidR="00840DA8" w:rsidRPr="00CE30DE">
              <w:rPr>
                <w:sz w:val="20"/>
                <w:szCs w:val="20"/>
              </w:rPr>
              <w:t>género</w:t>
            </w:r>
            <w:r w:rsidRPr="00CE30DE">
              <w:rPr>
                <w:sz w:val="20"/>
                <w:szCs w:val="20"/>
              </w:rPr>
              <w:t xml:space="preserve"> y orientada a oportunidades de aprendizaje, mediante el alto logro educativo de los alumnos en educación básica</w:t>
            </w:r>
            <w:r w:rsidR="003F0B50" w:rsidRPr="00CE30DE">
              <w:rPr>
                <w:sz w:val="20"/>
                <w:szCs w:val="20"/>
              </w:rPr>
              <w:t>.</w:t>
            </w:r>
          </w:p>
        </w:tc>
        <w:tc>
          <w:tcPr>
            <w:tcW w:w="1993" w:type="dxa"/>
          </w:tcPr>
          <w:p w14:paraId="24DCD560" w14:textId="78509F54" w:rsidR="00962809" w:rsidRPr="00CE30DE" w:rsidRDefault="00962809" w:rsidP="001A6C1F">
            <w:pPr>
              <w:spacing w:before="0" w:after="0"/>
              <w:rPr>
                <w:sz w:val="20"/>
                <w:szCs w:val="20"/>
              </w:rPr>
            </w:pPr>
            <w:r w:rsidRPr="00CE30DE">
              <w:rPr>
                <w:sz w:val="20"/>
                <w:szCs w:val="20"/>
              </w:rPr>
              <w:t>Población escolar de educación básica</w:t>
            </w:r>
          </w:p>
        </w:tc>
        <w:tc>
          <w:tcPr>
            <w:tcW w:w="1993" w:type="dxa"/>
          </w:tcPr>
          <w:p w14:paraId="46F283CA" w14:textId="3DF48CA7" w:rsidR="00962809" w:rsidRPr="00CE30DE" w:rsidRDefault="00962809" w:rsidP="001A6C1F">
            <w:pPr>
              <w:spacing w:before="0" w:after="0"/>
              <w:rPr>
                <w:sz w:val="20"/>
                <w:szCs w:val="20"/>
              </w:rPr>
            </w:pPr>
            <w:r w:rsidRPr="00CE30DE">
              <w:rPr>
                <w:sz w:val="20"/>
                <w:szCs w:val="20"/>
              </w:rPr>
              <w:t>Servicios educativos transversales</w:t>
            </w:r>
          </w:p>
        </w:tc>
      </w:tr>
      <w:tr w:rsidR="00DF16F6" w:rsidRPr="00840DA8" w14:paraId="21EEEB01" w14:textId="77777777" w:rsidTr="0046655F">
        <w:tc>
          <w:tcPr>
            <w:tcW w:w="1992" w:type="dxa"/>
          </w:tcPr>
          <w:p w14:paraId="18F8D8B6" w14:textId="2E85786D" w:rsidR="00DF16F6" w:rsidRPr="00CE30DE" w:rsidRDefault="00DF16F6" w:rsidP="001A6C1F">
            <w:pPr>
              <w:spacing w:before="0" w:after="0"/>
              <w:rPr>
                <w:sz w:val="20"/>
                <w:szCs w:val="20"/>
              </w:rPr>
            </w:pPr>
            <w:r w:rsidRPr="00CE30DE">
              <w:rPr>
                <w:sz w:val="20"/>
                <w:szCs w:val="20"/>
              </w:rPr>
              <w:t>Liberación de derechos de vía</w:t>
            </w:r>
          </w:p>
        </w:tc>
        <w:tc>
          <w:tcPr>
            <w:tcW w:w="1992" w:type="dxa"/>
          </w:tcPr>
          <w:p w14:paraId="1D9E7857" w14:textId="1C22B3FC" w:rsidR="00DF16F6" w:rsidRPr="00CE30DE" w:rsidRDefault="00DF16F6" w:rsidP="001A6C1F">
            <w:pPr>
              <w:spacing w:before="0" w:after="0"/>
              <w:rPr>
                <w:sz w:val="20"/>
                <w:szCs w:val="20"/>
              </w:rPr>
            </w:pPr>
            <w:r w:rsidRPr="00CE30DE">
              <w:rPr>
                <w:sz w:val="20"/>
                <w:szCs w:val="20"/>
              </w:rPr>
              <w:t>Se complementa</w:t>
            </w:r>
          </w:p>
        </w:tc>
        <w:tc>
          <w:tcPr>
            <w:tcW w:w="1992" w:type="dxa"/>
          </w:tcPr>
          <w:p w14:paraId="637B5A40" w14:textId="12AB72DE" w:rsidR="00DF16F6" w:rsidRPr="00CE30DE" w:rsidRDefault="00DF16F6" w:rsidP="001A6C1F">
            <w:pPr>
              <w:spacing w:before="0" w:after="0"/>
              <w:rPr>
                <w:sz w:val="20"/>
                <w:szCs w:val="20"/>
              </w:rPr>
            </w:pPr>
            <w:r w:rsidRPr="00CE30DE">
              <w:rPr>
                <w:sz w:val="20"/>
                <w:szCs w:val="20"/>
              </w:rPr>
              <w:t>Contribución a la liberación de derechos de vía necesarios para la construcción de obras</w:t>
            </w:r>
          </w:p>
        </w:tc>
        <w:tc>
          <w:tcPr>
            <w:tcW w:w="1993" w:type="dxa"/>
          </w:tcPr>
          <w:p w14:paraId="0E422F61" w14:textId="77777777" w:rsidR="00DF16F6" w:rsidRPr="00CE30DE" w:rsidRDefault="00DF16F6" w:rsidP="001A6C1F">
            <w:pPr>
              <w:spacing w:before="0" w:after="0"/>
              <w:rPr>
                <w:sz w:val="20"/>
                <w:szCs w:val="20"/>
              </w:rPr>
            </w:pPr>
          </w:p>
        </w:tc>
        <w:tc>
          <w:tcPr>
            <w:tcW w:w="1993" w:type="dxa"/>
          </w:tcPr>
          <w:p w14:paraId="1C2065D2" w14:textId="7291855D" w:rsidR="00DF16F6" w:rsidRPr="00CE30DE" w:rsidRDefault="00DF16F6" w:rsidP="001A6C1F">
            <w:pPr>
              <w:spacing w:before="0" w:after="0"/>
              <w:rPr>
                <w:sz w:val="20"/>
                <w:szCs w:val="20"/>
              </w:rPr>
            </w:pPr>
            <w:r w:rsidRPr="00CE30DE">
              <w:rPr>
                <w:sz w:val="20"/>
                <w:szCs w:val="20"/>
              </w:rPr>
              <w:t>Obras de liberación de vías</w:t>
            </w:r>
          </w:p>
        </w:tc>
      </w:tr>
      <w:tr w:rsidR="00DF16F6" w:rsidRPr="00840DA8" w14:paraId="404AEC8A" w14:textId="77777777" w:rsidTr="0046655F">
        <w:tc>
          <w:tcPr>
            <w:tcW w:w="1992" w:type="dxa"/>
          </w:tcPr>
          <w:p w14:paraId="64B04415" w14:textId="7E32AFB5" w:rsidR="00DF16F6" w:rsidRPr="00CE30DE" w:rsidRDefault="00DF16F6" w:rsidP="001A6C1F">
            <w:pPr>
              <w:spacing w:before="0" w:after="0"/>
              <w:rPr>
                <w:sz w:val="20"/>
                <w:szCs w:val="20"/>
              </w:rPr>
            </w:pPr>
            <w:r w:rsidRPr="00CE30DE">
              <w:rPr>
                <w:sz w:val="20"/>
                <w:szCs w:val="20"/>
              </w:rPr>
              <w:t>Programa de Promoción Turística</w:t>
            </w:r>
          </w:p>
        </w:tc>
        <w:tc>
          <w:tcPr>
            <w:tcW w:w="1992" w:type="dxa"/>
          </w:tcPr>
          <w:p w14:paraId="5930D2B6" w14:textId="4290BFA6" w:rsidR="00DF16F6" w:rsidRPr="00CE30DE" w:rsidRDefault="00DF16F6" w:rsidP="001A6C1F">
            <w:pPr>
              <w:spacing w:before="0" w:after="0"/>
              <w:rPr>
                <w:sz w:val="20"/>
                <w:szCs w:val="20"/>
              </w:rPr>
            </w:pPr>
            <w:r w:rsidRPr="00CE30DE">
              <w:rPr>
                <w:sz w:val="20"/>
                <w:szCs w:val="20"/>
              </w:rPr>
              <w:t>Se complementa</w:t>
            </w:r>
          </w:p>
        </w:tc>
        <w:tc>
          <w:tcPr>
            <w:tcW w:w="1992" w:type="dxa"/>
          </w:tcPr>
          <w:p w14:paraId="41107E56" w14:textId="04E8E744" w:rsidR="00DF16F6" w:rsidRPr="00CE30DE" w:rsidRDefault="00DF16F6" w:rsidP="001A6C1F">
            <w:pPr>
              <w:spacing w:before="0" w:after="0"/>
              <w:rPr>
                <w:sz w:val="20"/>
                <w:szCs w:val="20"/>
              </w:rPr>
            </w:pPr>
            <w:r w:rsidRPr="00CE30DE">
              <w:rPr>
                <w:sz w:val="20"/>
                <w:szCs w:val="20"/>
              </w:rPr>
              <w:t>Contribución a desarrollar y promover la oferta turística del Estado</w:t>
            </w:r>
            <w:r w:rsidR="003F0B50" w:rsidRPr="00CE30DE">
              <w:rPr>
                <w:sz w:val="20"/>
                <w:szCs w:val="20"/>
              </w:rPr>
              <w:t>.</w:t>
            </w:r>
          </w:p>
        </w:tc>
        <w:tc>
          <w:tcPr>
            <w:tcW w:w="1993" w:type="dxa"/>
          </w:tcPr>
          <w:p w14:paraId="30CB8A80" w14:textId="515C1FC5" w:rsidR="00DF16F6" w:rsidRPr="00CE30DE" w:rsidRDefault="003F0B50" w:rsidP="001A6C1F">
            <w:pPr>
              <w:spacing w:before="0" w:after="0"/>
              <w:rPr>
                <w:sz w:val="20"/>
                <w:szCs w:val="20"/>
              </w:rPr>
            </w:pPr>
            <w:r w:rsidRPr="00CE30DE">
              <w:rPr>
                <w:sz w:val="20"/>
                <w:szCs w:val="20"/>
              </w:rPr>
              <w:t>Población de las regiones turística del Estado</w:t>
            </w:r>
          </w:p>
        </w:tc>
        <w:tc>
          <w:tcPr>
            <w:tcW w:w="1993" w:type="dxa"/>
          </w:tcPr>
          <w:p w14:paraId="0B8D2180" w14:textId="12625379" w:rsidR="00DF16F6" w:rsidRPr="00CE30DE" w:rsidRDefault="003F0B50" w:rsidP="001A6C1F">
            <w:pPr>
              <w:spacing w:before="0" w:after="0"/>
              <w:rPr>
                <w:sz w:val="20"/>
                <w:szCs w:val="20"/>
              </w:rPr>
            </w:pPr>
            <w:r w:rsidRPr="00CE30DE">
              <w:rPr>
                <w:sz w:val="20"/>
                <w:szCs w:val="20"/>
              </w:rPr>
              <w:t>Realización de campañas de promoción por temporada, promoción de festividades turísticas de los municipios y Pueblos Mágicos, Ruedas de prensa, etc.</w:t>
            </w:r>
          </w:p>
        </w:tc>
      </w:tr>
      <w:tr w:rsidR="003F0B50" w:rsidRPr="00840DA8" w14:paraId="78785FA3" w14:textId="77777777" w:rsidTr="0046655F">
        <w:tc>
          <w:tcPr>
            <w:tcW w:w="1992" w:type="dxa"/>
          </w:tcPr>
          <w:p w14:paraId="121F3171" w14:textId="57CAB065" w:rsidR="003F0B50" w:rsidRPr="00CE30DE" w:rsidRDefault="003F0B50" w:rsidP="001A6C1F">
            <w:pPr>
              <w:spacing w:before="0" w:after="0"/>
              <w:rPr>
                <w:sz w:val="20"/>
                <w:szCs w:val="20"/>
              </w:rPr>
            </w:pPr>
            <w:r w:rsidRPr="00CE30DE">
              <w:rPr>
                <w:sz w:val="20"/>
                <w:szCs w:val="20"/>
              </w:rPr>
              <w:lastRenderedPageBreak/>
              <w:t>Sistema estatal de seguridad pública</w:t>
            </w:r>
          </w:p>
        </w:tc>
        <w:tc>
          <w:tcPr>
            <w:tcW w:w="1992" w:type="dxa"/>
          </w:tcPr>
          <w:p w14:paraId="51B86E41" w14:textId="121824FC" w:rsidR="003F0B50" w:rsidRPr="00CE30DE" w:rsidRDefault="003F0B50" w:rsidP="001A6C1F">
            <w:pPr>
              <w:spacing w:before="0" w:after="0"/>
              <w:rPr>
                <w:sz w:val="20"/>
                <w:szCs w:val="20"/>
              </w:rPr>
            </w:pPr>
            <w:r w:rsidRPr="00CE30DE">
              <w:rPr>
                <w:sz w:val="20"/>
                <w:szCs w:val="20"/>
              </w:rPr>
              <w:t>Se complementa</w:t>
            </w:r>
          </w:p>
        </w:tc>
        <w:tc>
          <w:tcPr>
            <w:tcW w:w="1992" w:type="dxa"/>
          </w:tcPr>
          <w:p w14:paraId="2B6A81EA" w14:textId="69527B66" w:rsidR="003F0B50" w:rsidRPr="00CE30DE" w:rsidRDefault="003F0B50" w:rsidP="001A6C1F">
            <w:pPr>
              <w:spacing w:before="0" w:after="0"/>
              <w:rPr>
                <w:sz w:val="20"/>
                <w:szCs w:val="20"/>
              </w:rPr>
            </w:pPr>
            <w:r w:rsidRPr="00CE30DE">
              <w:rPr>
                <w:sz w:val="20"/>
                <w:szCs w:val="20"/>
              </w:rPr>
              <w:t>Contribución a reducir la incidencia de los delitos del fuero común, al mejoramiento de la profesionalización y certificación de los cuerpos policiacos.</w:t>
            </w:r>
          </w:p>
        </w:tc>
        <w:tc>
          <w:tcPr>
            <w:tcW w:w="1993" w:type="dxa"/>
          </w:tcPr>
          <w:p w14:paraId="3006C0BB" w14:textId="4626DACA" w:rsidR="003F0B50" w:rsidRPr="00CE30DE" w:rsidRDefault="003F0B50" w:rsidP="001A6C1F">
            <w:pPr>
              <w:spacing w:before="0" w:after="0"/>
              <w:rPr>
                <w:sz w:val="20"/>
                <w:szCs w:val="20"/>
              </w:rPr>
            </w:pPr>
            <w:r w:rsidRPr="00CE30DE">
              <w:rPr>
                <w:sz w:val="20"/>
                <w:szCs w:val="20"/>
              </w:rPr>
              <w:t>Población del Estado de Tamaulipas</w:t>
            </w:r>
          </w:p>
        </w:tc>
        <w:tc>
          <w:tcPr>
            <w:tcW w:w="1993" w:type="dxa"/>
          </w:tcPr>
          <w:p w14:paraId="0E1C8DCB" w14:textId="6F770805" w:rsidR="003F0B50" w:rsidRPr="00CE30DE" w:rsidRDefault="003F0B50" w:rsidP="001A6C1F">
            <w:pPr>
              <w:spacing w:before="0" w:after="0"/>
              <w:rPr>
                <w:sz w:val="20"/>
                <w:szCs w:val="20"/>
              </w:rPr>
            </w:pPr>
            <w:r w:rsidRPr="00CE30DE">
              <w:rPr>
                <w:sz w:val="20"/>
                <w:szCs w:val="20"/>
              </w:rPr>
              <w:t>Servicios de evaluación y certificación a los servidores de seguridad pública y procuración de justicia</w:t>
            </w:r>
          </w:p>
        </w:tc>
      </w:tr>
      <w:tr w:rsidR="003F0B50" w:rsidRPr="00840DA8" w14:paraId="0F30617E" w14:textId="77777777" w:rsidTr="0046655F">
        <w:tc>
          <w:tcPr>
            <w:tcW w:w="1992" w:type="dxa"/>
          </w:tcPr>
          <w:p w14:paraId="6987E849" w14:textId="2E505893" w:rsidR="003F0B50" w:rsidRPr="00CE30DE" w:rsidRDefault="003F0B50" w:rsidP="001A6C1F">
            <w:pPr>
              <w:spacing w:before="0" w:after="0"/>
              <w:rPr>
                <w:sz w:val="20"/>
                <w:szCs w:val="20"/>
              </w:rPr>
            </w:pPr>
            <w:r w:rsidRPr="00CE30DE">
              <w:rPr>
                <w:sz w:val="20"/>
                <w:szCs w:val="20"/>
              </w:rPr>
              <w:t>Servicios de salud</w:t>
            </w:r>
          </w:p>
        </w:tc>
        <w:tc>
          <w:tcPr>
            <w:tcW w:w="1992" w:type="dxa"/>
          </w:tcPr>
          <w:p w14:paraId="1DE72DB6" w14:textId="5C4A8AEE" w:rsidR="003F0B50" w:rsidRPr="00CE30DE" w:rsidRDefault="003F0B50" w:rsidP="001A6C1F">
            <w:pPr>
              <w:spacing w:before="0" w:after="0"/>
              <w:rPr>
                <w:sz w:val="20"/>
                <w:szCs w:val="20"/>
              </w:rPr>
            </w:pPr>
            <w:r w:rsidRPr="00CE30DE">
              <w:rPr>
                <w:sz w:val="20"/>
                <w:szCs w:val="20"/>
              </w:rPr>
              <w:t>Se complementa</w:t>
            </w:r>
          </w:p>
        </w:tc>
        <w:tc>
          <w:tcPr>
            <w:tcW w:w="1992" w:type="dxa"/>
          </w:tcPr>
          <w:p w14:paraId="48D155E4" w14:textId="10364E71" w:rsidR="00015AFF" w:rsidRPr="00CE30DE" w:rsidRDefault="00015AFF" w:rsidP="001A6C1F">
            <w:pPr>
              <w:spacing w:before="0" w:after="0"/>
              <w:rPr>
                <w:sz w:val="20"/>
                <w:szCs w:val="20"/>
              </w:rPr>
            </w:pPr>
            <w:r w:rsidRPr="00CE30DE">
              <w:rPr>
                <w:sz w:val="20"/>
                <w:szCs w:val="20"/>
              </w:rPr>
              <w:t>Contribución a la disminución del riego de muerte de la población sin seguridad social</w:t>
            </w:r>
            <w:r w:rsidR="00F03F8E" w:rsidRPr="00CE30DE">
              <w:rPr>
                <w:sz w:val="20"/>
                <w:szCs w:val="20"/>
              </w:rPr>
              <w:t>.</w:t>
            </w:r>
          </w:p>
        </w:tc>
        <w:tc>
          <w:tcPr>
            <w:tcW w:w="1993" w:type="dxa"/>
          </w:tcPr>
          <w:p w14:paraId="21D8DD34" w14:textId="37838591" w:rsidR="003F0B50" w:rsidRPr="00CE30DE" w:rsidRDefault="00015AFF" w:rsidP="001A6C1F">
            <w:pPr>
              <w:spacing w:before="0" w:after="0"/>
              <w:rPr>
                <w:sz w:val="20"/>
                <w:szCs w:val="20"/>
              </w:rPr>
            </w:pPr>
            <w:r w:rsidRPr="00CE30DE">
              <w:rPr>
                <w:sz w:val="20"/>
                <w:szCs w:val="20"/>
              </w:rPr>
              <w:t>Población si</w:t>
            </w:r>
            <w:r w:rsidR="00615CBE">
              <w:rPr>
                <w:sz w:val="20"/>
                <w:szCs w:val="20"/>
              </w:rPr>
              <w:t>n</w:t>
            </w:r>
            <w:r w:rsidRPr="00CE30DE">
              <w:rPr>
                <w:sz w:val="20"/>
                <w:szCs w:val="20"/>
              </w:rPr>
              <w:t xml:space="preserve"> seguridad social</w:t>
            </w:r>
          </w:p>
        </w:tc>
        <w:tc>
          <w:tcPr>
            <w:tcW w:w="1993" w:type="dxa"/>
          </w:tcPr>
          <w:p w14:paraId="17AAD169" w14:textId="591DBDC9" w:rsidR="003F0B50" w:rsidRPr="00CE30DE" w:rsidRDefault="00015AFF" w:rsidP="001A6C1F">
            <w:pPr>
              <w:spacing w:before="0" w:after="0"/>
              <w:rPr>
                <w:sz w:val="20"/>
                <w:szCs w:val="20"/>
              </w:rPr>
            </w:pPr>
            <w:r w:rsidRPr="00CE30DE">
              <w:rPr>
                <w:sz w:val="20"/>
                <w:szCs w:val="20"/>
              </w:rPr>
              <w:t>Servicios de promoción y protección de la salud</w:t>
            </w:r>
          </w:p>
        </w:tc>
      </w:tr>
      <w:tr w:rsidR="006B2DB4" w:rsidRPr="00840DA8" w14:paraId="575B1F18" w14:textId="77777777" w:rsidTr="0046655F">
        <w:tc>
          <w:tcPr>
            <w:tcW w:w="1992" w:type="dxa"/>
          </w:tcPr>
          <w:p w14:paraId="51AEF89C" w14:textId="5D4D21FC" w:rsidR="006B2DB4" w:rsidRPr="00CE30DE" w:rsidRDefault="006B2DB4" w:rsidP="001A6C1F">
            <w:pPr>
              <w:spacing w:before="0" w:after="0"/>
              <w:rPr>
                <w:sz w:val="20"/>
                <w:szCs w:val="20"/>
              </w:rPr>
            </w:pPr>
            <w:r w:rsidRPr="00CE30DE">
              <w:rPr>
                <w:sz w:val="20"/>
                <w:szCs w:val="20"/>
              </w:rPr>
              <w:t>Otros proyectos de Infraestructura de Asistencia Social</w:t>
            </w:r>
          </w:p>
        </w:tc>
        <w:tc>
          <w:tcPr>
            <w:tcW w:w="1992" w:type="dxa"/>
          </w:tcPr>
          <w:p w14:paraId="4084483F" w14:textId="14B62BAE" w:rsidR="006B2DB4" w:rsidRPr="00CE30DE" w:rsidRDefault="006B2DB4" w:rsidP="001A6C1F">
            <w:pPr>
              <w:spacing w:before="0" w:after="0"/>
              <w:rPr>
                <w:sz w:val="20"/>
                <w:szCs w:val="20"/>
              </w:rPr>
            </w:pPr>
            <w:r w:rsidRPr="00CE30DE">
              <w:rPr>
                <w:sz w:val="20"/>
                <w:szCs w:val="20"/>
              </w:rPr>
              <w:t xml:space="preserve">Coincide </w:t>
            </w:r>
          </w:p>
        </w:tc>
        <w:tc>
          <w:tcPr>
            <w:tcW w:w="1992" w:type="dxa"/>
          </w:tcPr>
          <w:p w14:paraId="2DD46EFB" w14:textId="3226A936" w:rsidR="006B2DB4" w:rsidRPr="00CE30DE" w:rsidRDefault="006B2DB4" w:rsidP="001A6C1F">
            <w:pPr>
              <w:spacing w:before="0" w:after="0"/>
              <w:rPr>
                <w:sz w:val="20"/>
                <w:szCs w:val="20"/>
              </w:rPr>
            </w:pPr>
            <w:r w:rsidRPr="00CE30DE">
              <w:rPr>
                <w:sz w:val="20"/>
                <w:szCs w:val="20"/>
              </w:rPr>
              <w:t>Contribución a la protección de los derechos de todas y todos</w:t>
            </w:r>
            <w:r w:rsidR="00F03F8E" w:rsidRPr="00CE30DE">
              <w:rPr>
                <w:sz w:val="20"/>
                <w:szCs w:val="20"/>
              </w:rPr>
              <w:t>, que permita alcanzar el bienestar individual y familiar.</w:t>
            </w:r>
          </w:p>
        </w:tc>
        <w:tc>
          <w:tcPr>
            <w:tcW w:w="1993" w:type="dxa"/>
          </w:tcPr>
          <w:p w14:paraId="49B261B5" w14:textId="581C8B13" w:rsidR="006B2DB4" w:rsidRPr="00CE30DE" w:rsidRDefault="006B2DB4" w:rsidP="001A6C1F">
            <w:pPr>
              <w:spacing w:before="0" w:after="0"/>
              <w:rPr>
                <w:sz w:val="20"/>
                <w:szCs w:val="20"/>
              </w:rPr>
            </w:pPr>
            <w:r w:rsidRPr="00CE30DE">
              <w:rPr>
                <w:sz w:val="20"/>
                <w:szCs w:val="20"/>
              </w:rPr>
              <w:t>Población del Estado de Tamaulipas</w:t>
            </w:r>
          </w:p>
        </w:tc>
        <w:tc>
          <w:tcPr>
            <w:tcW w:w="1993" w:type="dxa"/>
          </w:tcPr>
          <w:p w14:paraId="5B5B4461" w14:textId="34E26976" w:rsidR="006B2DB4" w:rsidRPr="00CE30DE" w:rsidRDefault="006B2DB4" w:rsidP="001A6C1F">
            <w:pPr>
              <w:spacing w:before="0" w:after="0"/>
              <w:rPr>
                <w:sz w:val="20"/>
                <w:szCs w:val="20"/>
              </w:rPr>
            </w:pPr>
            <w:r w:rsidRPr="00CE30DE">
              <w:rPr>
                <w:sz w:val="20"/>
                <w:szCs w:val="20"/>
              </w:rPr>
              <w:t>Mejoramiento y desarrollo de infraestructura, el equipamiento y mobiliario de los espacios públicos para el esparcimiento y el desarrollo de actividades físicas, recreativas y de convivencia</w:t>
            </w:r>
          </w:p>
        </w:tc>
      </w:tr>
    </w:tbl>
    <w:p w14:paraId="32DC9CD6" w14:textId="77777777" w:rsidR="00815BB3" w:rsidRPr="00451BBA" w:rsidRDefault="00815BB3" w:rsidP="00815BB3">
      <w:pPr>
        <w:pStyle w:val="Fuente"/>
      </w:pPr>
      <w:r w:rsidRPr="00455C8A">
        <w:rPr>
          <w:rStyle w:val="FuenteCar"/>
        </w:rPr>
        <w:t>Fuente: Elaboración propia con base en información proporcionada por la Dirección de Planeación Estratégica de la Secretaría de Finanzas de Tamaulipas</w:t>
      </w:r>
      <w:r w:rsidRPr="00451BBA">
        <w:t>.</w:t>
      </w:r>
    </w:p>
    <w:p w14:paraId="23A58393" w14:textId="1FB55481" w:rsidR="00200F72" w:rsidRDefault="00200F72" w:rsidP="00E41C41"/>
    <w:p w14:paraId="0A7791E3" w14:textId="77777777" w:rsidR="00200F72" w:rsidRDefault="00200F72" w:rsidP="00E41C41"/>
    <w:p w14:paraId="059BDF02" w14:textId="77777777" w:rsidR="00FF7632" w:rsidRDefault="00FF7632">
      <w:pPr>
        <w:spacing w:before="0" w:after="160" w:line="259" w:lineRule="auto"/>
        <w:jc w:val="left"/>
        <w:rPr>
          <w:rFonts w:ascii="Soberana Sans Light" w:hAnsi="Soberana Sans Light" w:cstheme="minorHAnsi"/>
          <w:sz w:val="24"/>
          <w:szCs w:val="24"/>
        </w:rPr>
      </w:pPr>
      <w:r>
        <w:rPr>
          <w:rFonts w:ascii="Soberana Sans Light" w:hAnsi="Soberana Sans Light" w:cstheme="minorHAnsi"/>
          <w:sz w:val="24"/>
          <w:szCs w:val="24"/>
        </w:rPr>
        <w:br w:type="page"/>
      </w:r>
    </w:p>
    <w:p w14:paraId="7727BE05" w14:textId="69AE1102" w:rsidR="00B90014" w:rsidRPr="00B90014" w:rsidRDefault="00B90014" w:rsidP="00CE30DE">
      <w:pPr>
        <w:spacing w:before="0" w:after="0"/>
        <w:contextualSpacing/>
        <w:rPr>
          <w:rFonts w:cstheme="minorHAnsi"/>
          <w:b/>
        </w:rPr>
      </w:pPr>
      <w:r>
        <w:rPr>
          <w:rFonts w:cstheme="minorHAnsi"/>
          <w:b/>
        </w:rPr>
        <w:lastRenderedPageBreak/>
        <w:t xml:space="preserve">22. </w:t>
      </w:r>
      <w:r w:rsidRPr="00B90014">
        <w:rPr>
          <w:rFonts w:cstheme="minorHAnsi"/>
          <w:b/>
        </w:rPr>
        <w:t>Realizar un análisis de las sinergias del FAFEF con otras políticas, programas o proyectos en la entidad federativa, sean financiadas con otros Fondos de Aportaciones Federales, recursos de dependencias federales o recursos propios de la entidad federativa, explicando a qué objetivos contribuirían (o contribuyen) estas sinergias.</w:t>
      </w:r>
    </w:p>
    <w:p w14:paraId="7CFF7161" w14:textId="77777777" w:rsidR="00FF7632" w:rsidRPr="00D31CBB" w:rsidRDefault="00FF7632" w:rsidP="00E41C41">
      <w:pPr>
        <w:rPr>
          <w:b/>
          <w:bCs/>
        </w:rPr>
      </w:pPr>
      <w:r w:rsidRPr="00D31CBB">
        <w:rPr>
          <w:b/>
          <w:bCs/>
        </w:rPr>
        <w:t>No procede valoración cuantitativa.</w:t>
      </w:r>
    </w:p>
    <w:p w14:paraId="3AD3A5F9" w14:textId="2515EF9E" w:rsidR="00747E48" w:rsidRPr="00466175" w:rsidRDefault="00747E48" w:rsidP="00747E48">
      <w:bookmarkStart w:id="100" w:name="_Hlk53117843"/>
      <w:r w:rsidRPr="00466175">
        <w:t>Los recursos del FAFEF permiten al Estado disponer de una fuente de financiamiento para atender sus requerimientos en diversas materias, a través de los Pp a los que se destinan parte de estos recursos, sin embargo, los conceptos en los que se pueden aplicar los recursos a través de los Pp no tienen, en algunos casos, una relación directa, lo que limita el desarrollo de sinergias que potencien sus impactos; asimismo, esa diversidad de destinos dificulta la evaluación de sus resultados. A partir de esta limitante, se propone el desarrollo de la Metodología del Marco Lógico para la planeación presupuestal del Fondo, concluyendo con una MIR específica por Pp, que permita formar parte de la estrategia del PbR y monitorear el comportamiento mediante el Sistema de Evaluación de Desempeño, de tal forma que esta metodología permita identificar las posibles sinergias entre los Pp</w:t>
      </w:r>
      <w:r w:rsidR="00826CDE">
        <w:t xml:space="preserve"> </w:t>
      </w:r>
      <w:r w:rsidRPr="00466175">
        <w:t xml:space="preserve">que pueden contribuir a potenciar y/o fortalecer los resultados de los objetivos o en la población atendida. </w:t>
      </w:r>
    </w:p>
    <w:p w14:paraId="64931DD7" w14:textId="1C1B011B" w:rsidR="00747E48" w:rsidRDefault="00747E48" w:rsidP="00747E48">
      <w:r w:rsidRPr="00466175">
        <w:t xml:space="preserve">Por otra parte, </w:t>
      </w:r>
      <w:bookmarkStart w:id="101" w:name="_Hlk53117659"/>
      <w:r>
        <w:t>considerando</w:t>
      </w:r>
      <w:r w:rsidRPr="00466175">
        <w:t xml:space="preserve"> los destinos que se le pueden dar a los recursos del FAFEF, </w:t>
      </w:r>
      <w:r w:rsidR="00EE1D95" w:rsidRPr="00466175">
        <w:t>de acuerdo con el</w:t>
      </w:r>
      <w:r w:rsidRPr="00466175">
        <w:t xml:space="preserve"> Artículo 47 de la LCF, se asume la existencia de sinergias que pueden contribuir a potenciar y/o fortalecer los resultados de los objetivos o en la población atendida</w:t>
      </w:r>
      <w:r>
        <w:t xml:space="preserve"> de los distintos Pp que recibieron financiamiento del Fondo en 2018, cómo se ejemplifica en el siguiente Cuadro.</w:t>
      </w:r>
    </w:p>
    <w:p w14:paraId="7AECBFE2" w14:textId="718C3B39" w:rsidR="00747E48" w:rsidRDefault="00747E48" w:rsidP="00747E48">
      <w:pPr>
        <w:pStyle w:val="Cuadro"/>
      </w:pPr>
      <w:bookmarkStart w:id="102" w:name="_Toc56060757"/>
      <w:bookmarkStart w:id="103" w:name="_Toc56069940"/>
      <w:r>
        <w:t xml:space="preserve">Cuadro 13. Sinergias del FAFEF con programas y proyectos </w:t>
      </w:r>
      <w:r w:rsidR="006965AB">
        <w:t>l</w:t>
      </w:r>
      <w:r>
        <w:t>ocales</w:t>
      </w:r>
      <w:bookmarkEnd w:id="102"/>
      <w:bookmarkEnd w:id="103"/>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80"/>
        <w:gridCol w:w="1600"/>
        <w:gridCol w:w="5238"/>
      </w:tblGrid>
      <w:tr w:rsidR="00825CD1" w:rsidRPr="00825CD1" w14:paraId="7C608A82" w14:textId="77777777" w:rsidTr="00260902">
        <w:trPr>
          <w:trHeight w:val="315"/>
          <w:tblHeader/>
        </w:trPr>
        <w:tc>
          <w:tcPr>
            <w:tcW w:w="3080" w:type="dxa"/>
            <w:shd w:val="clear" w:color="auto" w:fill="9CC2E5"/>
            <w:noWrap/>
            <w:vAlign w:val="center"/>
            <w:hideMark/>
          </w:tcPr>
          <w:p w14:paraId="31BCE19D" w14:textId="77777777" w:rsidR="00825CD1" w:rsidRPr="00825CD1" w:rsidRDefault="00825CD1" w:rsidP="00260902">
            <w:pPr>
              <w:spacing w:before="0" w:after="0"/>
              <w:jc w:val="center"/>
              <w:rPr>
                <w:rFonts w:eastAsia="Times New Roman" w:cstheme="minorHAnsi"/>
                <w:b/>
                <w:bCs/>
                <w:color w:val="000000" w:themeColor="text1"/>
                <w:sz w:val="20"/>
                <w:szCs w:val="20"/>
                <w:lang w:eastAsia="es-MX"/>
              </w:rPr>
            </w:pPr>
            <w:bookmarkStart w:id="104" w:name="_Hlk56793759"/>
            <w:r w:rsidRPr="00825CD1">
              <w:rPr>
                <w:rFonts w:eastAsia="Times New Roman" w:cstheme="minorHAnsi"/>
                <w:b/>
                <w:bCs/>
                <w:color w:val="000000" w:themeColor="text1"/>
                <w:sz w:val="20"/>
                <w:szCs w:val="20"/>
                <w:lang w:eastAsia="es-MX"/>
              </w:rPr>
              <w:t>Programa presupuestario local</w:t>
            </w:r>
          </w:p>
        </w:tc>
        <w:tc>
          <w:tcPr>
            <w:tcW w:w="1600" w:type="dxa"/>
            <w:shd w:val="clear" w:color="auto" w:fill="9CC2E5"/>
            <w:noWrap/>
            <w:vAlign w:val="center"/>
            <w:hideMark/>
          </w:tcPr>
          <w:p w14:paraId="362813C3" w14:textId="01C64238" w:rsidR="00825CD1" w:rsidRPr="00825CD1" w:rsidRDefault="00825CD1" w:rsidP="00260902">
            <w:pPr>
              <w:spacing w:before="0" w:after="0"/>
              <w:jc w:val="center"/>
              <w:rPr>
                <w:rFonts w:eastAsia="Times New Roman" w:cstheme="minorHAnsi"/>
                <w:b/>
                <w:bCs/>
                <w:color w:val="000000" w:themeColor="text1"/>
                <w:sz w:val="20"/>
                <w:szCs w:val="20"/>
                <w:lang w:eastAsia="es-MX"/>
              </w:rPr>
            </w:pPr>
            <w:r w:rsidRPr="00825CD1">
              <w:rPr>
                <w:rFonts w:eastAsia="Times New Roman" w:cstheme="minorHAnsi"/>
                <w:b/>
                <w:bCs/>
                <w:color w:val="000000" w:themeColor="text1"/>
                <w:sz w:val="20"/>
                <w:szCs w:val="20"/>
                <w:lang w:eastAsia="es-MX"/>
              </w:rPr>
              <w:t>% FAFEF</w:t>
            </w:r>
            <w:r w:rsidR="00826CDE">
              <w:rPr>
                <w:rFonts w:eastAsia="Times New Roman" w:cstheme="minorHAnsi"/>
                <w:b/>
                <w:bCs/>
                <w:color w:val="000000" w:themeColor="text1"/>
                <w:sz w:val="20"/>
                <w:szCs w:val="20"/>
                <w:lang w:eastAsia="es-MX"/>
              </w:rPr>
              <w:t xml:space="preserve"> </w:t>
            </w:r>
            <w:r w:rsidRPr="00825CD1">
              <w:rPr>
                <w:rFonts w:eastAsia="Times New Roman" w:cstheme="minorHAnsi"/>
                <w:b/>
                <w:bCs/>
                <w:color w:val="000000" w:themeColor="text1"/>
                <w:sz w:val="20"/>
                <w:szCs w:val="20"/>
                <w:lang w:eastAsia="es-MX"/>
              </w:rPr>
              <w:t>2018</w:t>
            </w:r>
          </w:p>
        </w:tc>
        <w:tc>
          <w:tcPr>
            <w:tcW w:w="5238" w:type="dxa"/>
            <w:shd w:val="clear" w:color="auto" w:fill="9CC2E5"/>
            <w:noWrap/>
            <w:vAlign w:val="center"/>
            <w:hideMark/>
          </w:tcPr>
          <w:p w14:paraId="3A8ADD82" w14:textId="77777777" w:rsidR="00825CD1" w:rsidRPr="00825CD1" w:rsidRDefault="00825CD1" w:rsidP="00260902">
            <w:pPr>
              <w:spacing w:before="0" w:after="0"/>
              <w:jc w:val="center"/>
              <w:rPr>
                <w:rFonts w:eastAsia="Times New Roman" w:cstheme="minorHAnsi"/>
                <w:b/>
                <w:bCs/>
                <w:color w:val="000000" w:themeColor="text1"/>
                <w:sz w:val="20"/>
                <w:szCs w:val="20"/>
                <w:lang w:eastAsia="es-MX"/>
              </w:rPr>
            </w:pPr>
            <w:r w:rsidRPr="00825CD1">
              <w:rPr>
                <w:rFonts w:eastAsia="Times New Roman" w:cstheme="minorHAnsi"/>
                <w:b/>
                <w:bCs/>
                <w:color w:val="000000" w:themeColor="text1"/>
                <w:sz w:val="20"/>
                <w:szCs w:val="20"/>
                <w:lang w:eastAsia="es-MX"/>
              </w:rPr>
              <w:t>Sinergias</w:t>
            </w:r>
          </w:p>
        </w:tc>
      </w:tr>
      <w:tr w:rsidR="00825CD1" w:rsidRPr="00825CD1" w14:paraId="19B9082A" w14:textId="77777777" w:rsidTr="00260902">
        <w:trPr>
          <w:trHeight w:val="735"/>
        </w:trPr>
        <w:tc>
          <w:tcPr>
            <w:tcW w:w="3080" w:type="dxa"/>
            <w:shd w:val="clear" w:color="auto" w:fill="auto"/>
            <w:vAlign w:val="center"/>
            <w:hideMark/>
          </w:tcPr>
          <w:p w14:paraId="1EAE859B"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D191-Costo financiero y deuda</w:t>
            </w:r>
          </w:p>
        </w:tc>
        <w:tc>
          <w:tcPr>
            <w:tcW w:w="1600" w:type="dxa"/>
            <w:shd w:val="clear" w:color="auto" w:fill="auto"/>
            <w:noWrap/>
            <w:vAlign w:val="center"/>
            <w:hideMark/>
          </w:tcPr>
          <w:p w14:paraId="28483FD6"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12.14%</w:t>
            </w:r>
          </w:p>
        </w:tc>
        <w:tc>
          <w:tcPr>
            <w:tcW w:w="5238" w:type="dxa"/>
            <w:shd w:val="clear" w:color="auto" w:fill="auto"/>
            <w:vAlign w:val="center"/>
            <w:hideMark/>
          </w:tcPr>
          <w:p w14:paraId="76C5B4E1" w14:textId="13DB5755"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Los recursos del FAFEF contribuyen a la administración de la deuda pública estatal apoyando su disminución para destinar mayores recursos a la inversión pública.</w:t>
            </w:r>
            <w:r w:rsidR="003655C5">
              <w:rPr>
                <w:rFonts w:eastAsia="Times New Roman" w:cstheme="minorHAnsi"/>
                <w:color w:val="000000"/>
                <w:sz w:val="20"/>
                <w:szCs w:val="20"/>
                <w:lang w:eastAsia="es-MX"/>
              </w:rPr>
              <w:t xml:space="preserve"> El FAFEF complementa recursos provenientes del Ramo 28 en este Pp.</w:t>
            </w:r>
          </w:p>
        </w:tc>
      </w:tr>
      <w:tr w:rsidR="00825CD1" w:rsidRPr="00825CD1" w14:paraId="56C04C3D" w14:textId="77777777" w:rsidTr="00260902">
        <w:trPr>
          <w:trHeight w:val="742"/>
        </w:trPr>
        <w:tc>
          <w:tcPr>
            <w:tcW w:w="3080" w:type="dxa"/>
            <w:shd w:val="clear" w:color="auto" w:fill="auto"/>
            <w:vAlign w:val="center"/>
            <w:hideMark/>
          </w:tcPr>
          <w:p w14:paraId="6A7AE070"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S131-Programa con mis útiles a la escuela </w:t>
            </w:r>
          </w:p>
        </w:tc>
        <w:tc>
          <w:tcPr>
            <w:tcW w:w="1600" w:type="dxa"/>
            <w:shd w:val="clear" w:color="auto" w:fill="auto"/>
            <w:noWrap/>
            <w:vAlign w:val="center"/>
            <w:hideMark/>
          </w:tcPr>
          <w:p w14:paraId="070116D6"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49.10%</w:t>
            </w:r>
          </w:p>
        </w:tc>
        <w:tc>
          <w:tcPr>
            <w:tcW w:w="5238" w:type="dxa"/>
            <w:shd w:val="clear" w:color="auto" w:fill="auto"/>
            <w:vAlign w:val="center"/>
            <w:hideMark/>
          </w:tcPr>
          <w:p w14:paraId="4FD5C3AB" w14:textId="0D5ED2B9"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Contribuye a disminuir las desigualdades sociales en los niveles educativos del estado de Tamaulipas mediante el porcentaje de la permanencia de estudiantes del sistema educativo estatal que se encuentran en situación de vulnerabilidad.</w:t>
            </w:r>
            <w:r w:rsidR="003655C5">
              <w:rPr>
                <w:rFonts w:eastAsia="Times New Roman" w:cstheme="minorHAnsi"/>
                <w:color w:val="000000"/>
                <w:sz w:val="20"/>
                <w:szCs w:val="20"/>
                <w:lang w:eastAsia="es-MX"/>
              </w:rPr>
              <w:t xml:space="preserve"> Potencia recursos estatales. </w:t>
            </w:r>
          </w:p>
        </w:tc>
      </w:tr>
      <w:tr w:rsidR="00825CD1" w:rsidRPr="00825CD1" w14:paraId="0F4E566E" w14:textId="77777777" w:rsidTr="00260902">
        <w:trPr>
          <w:trHeight w:val="495"/>
        </w:trPr>
        <w:tc>
          <w:tcPr>
            <w:tcW w:w="3080" w:type="dxa"/>
            <w:shd w:val="clear" w:color="auto" w:fill="auto"/>
            <w:vAlign w:val="center"/>
            <w:hideMark/>
          </w:tcPr>
          <w:p w14:paraId="5633524C"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K172-Mantenimiento de infraestructura</w:t>
            </w:r>
          </w:p>
        </w:tc>
        <w:tc>
          <w:tcPr>
            <w:tcW w:w="1600" w:type="dxa"/>
            <w:shd w:val="clear" w:color="auto" w:fill="auto"/>
            <w:noWrap/>
            <w:vAlign w:val="center"/>
            <w:hideMark/>
          </w:tcPr>
          <w:p w14:paraId="09E91709"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46.66%</w:t>
            </w:r>
          </w:p>
        </w:tc>
        <w:tc>
          <w:tcPr>
            <w:tcW w:w="5238" w:type="dxa"/>
            <w:vMerge w:val="restart"/>
            <w:vAlign w:val="center"/>
            <w:hideMark/>
          </w:tcPr>
          <w:p w14:paraId="4E257D8D" w14:textId="7981780F" w:rsidR="00825CD1" w:rsidRPr="00825CD1" w:rsidRDefault="00ED1BA3" w:rsidP="00260902">
            <w:pPr>
              <w:spacing w:before="0" w:after="0"/>
              <w:rPr>
                <w:rFonts w:eastAsia="Times New Roman" w:cstheme="minorHAnsi"/>
                <w:color w:val="000000"/>
                <w:sz w:val="20"/>
                <w:szCs w:val="20"/>
                <w:lang w:eastAsia="es-MX"/>
              </w:rPr>
            </w:pPr>
            <w:r w:rsidRPr="00ED1BA3">
              <w:rPr>
                <w:rFonts w:eastAsia="Times New Roman" w:cstheme="minorHAnsi"/>
                <w:color w:val="000000"/>
                <w:sz w:val="20"/>
                <w:szCs w:val="20"/>
                <w:lang w:eastAsia="es-MX"/>
              </w:rPr>
              <w:t xml:space="preserve">Contribuye a la mejora de los servicios públicos mediante programas de infraestructura y equipamiento de las principales ciudades del </w:t>
            </w:r>
            <w:r w:rsidR="007F7912">
              <w:rPr>
                <w:rFonts w:eastAsia="Times New Roman" w:cstheme="minorHAnsi"/>
                <w:color w:val="000000"/>
                <w:sz w:val="20"/>
                <w:szCs w:val="20"/>
                <w:lang w:eastAsia="es-MX"/>
              </w:rPr>
              <w:t>E</w:t>
            </w:r>
            <w:r w:rsidRPr="00ED1BA3">
              <w:rPr>
                <w:rFonts w:eastAsia="Times New Roman" w:cstheme="minorHAnsi"/>
                <w:color w:val="000000"/>
                <w:sz w:val="20"/>
                <w:szCs w:val="20"/>
                <w:lang w:eastAsia="es-MX"/>
              </w:rPr>
              <w:t>stado.</w:t>
            </w:r>
          </w:p>
        </w:tc>
      </w:tr>
      <w:tr w:rsidR="00825CD1" w:rsidRPr="00825CD1" w14:paraId="7D3D529A" w14:textId="77777777" w:rsidTr="00260902">
        <w:trPr>
          <w:trHeight w:val="150"/>
        </w:trPr>
        <w:tc>
          <w:tcPr>
            <w:tcW w:w="3080" w:type="dxa"/>
            <w:shd w:val="clear" w:color="auto" w:fill="auto"/>
            <w:vAlign w:val="center"/>
            <w:hideMark/>
          </w:tcPr>
          <w:p w14:paraId="4B566305"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K177-Proyectos de construcción de puertos</w:t>
            </w:r>
          </w:p>
        </w:tc>
        <w:tc>
          <w:tcPr>
            <w:tcW w:w="1600" w:type="dxa"/>
            <w:shd w:val="clear" w:color="auto" w:fill="auto"/>
            <w:noWrap/>
            <w:vAlign w:val="center"/>
            <w:hideMark/>
          </w:tcPr>
          <w:p w14:paraId="4C21A556"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20.91%</w:t>
            </w:r>
          </w:p>
        </w:tc>
        <w:tc>
          <w:tcPr>
            <w:tcW w:w="5238" w:type="dxa"/>
            <w:vMerge/>
            <w:vAlign w:val="center"/>
            <w:hideMark/>
          </w:tcPr>
          <w:p w14:paraId="41D0AB02" w14:textId="77777777" w:rsidR="00825CD1" w:rsidRPr="00825CD1" w:rsidRDefault="00825CD1" w:rsidP="00260902">
            <w:pPr>
              <w:spacing w:before="0" w:after="0"/>
              <w:rPr>
                <w:rFonts w:eastAsia="Times New Roman" w:cstheme="minorHAnsi"/>
                <w:color w:val="000000"/>
                <w:sz w:val="20"/>
                <w:szCs w:val="20"/>
                <w:lang w:eastAsia="es-MX"/>
              </w:rPr>
            </w:pPr>
          </w:p>
        </w:tc>
      </w:tr>
      <w:tr w:rsidR="00825CD1" w:rsidRPr="00825CD1" w14:paraId="31D30D70" w14:textId="77777777" w:rsidTr="00260902">
        <w:trPr>
          <w:trHeight w:val="419"/>
        </w:trPr>
        <w:tc>
          <w:tcPr>
            <w:tcW w:w="3080" w:type="dxa"/>
            <w:shd w:val="clear" w:color="auto" w:fill="auto"/>
            <w:vAlign w:val="center"/>
            <w:hideMark/>
          </w:tcPr>
          <w:p w14:paraId="1D3B51F7"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K180-Proyectos de infraestructura de turismo</w:t>
            </w:r>
          </w:p>
        </w:tc>
        <w:tc>
          <w:tcPr>
            <w:tcW w:w="1600" w:type="dxa"/>
            <w:shd w:val="clear" w:color="auto" w:fill="auto"/>
            <w:noWrap/>
            <w:vAlign w:val="center"/>
            <w:hideMark/>
          </w:tcPr>
          <w:p w14:paraId="07C43E49"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23.18%</w:t>
            </w:r>
          </w:p>
        </w:tc>
        <w:tc>
          <w:tcPr>
            <w:tcW w:w="5238" w:type="dxa"/>
            <w:shd w:val="clear" w:color="auto" w:fill="auto"/>
            <w:vAlign w:val="center"/>
            <w:hideMark/>
          </w:tcPr>
          <w:p w14:paraId="0E9629EC" w14:textId="7408784D"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desarrollar y promover la oferta turística del </w:t>
            </w:r>
            <w:r w:rsidR="007F791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 mediante la construcción de obra pública que ofrezca el turismo de sol y playa, cultural, pueblos mágicos y turismo de naturaleza.</w:t>
            </w:r>
          </w:p>
        </w:tc>
      </w:tr>
      <w:tr w:rsidR="00825CD1" w:rsidRPr="00825CD1" w14:paraId="2723D753" w14:textId="77777777" w:rsidTr="00260902">
        <w:trPr>
          <w:trHeight w:val="495"/>
        </w:trPr>
        <w:tc>
          <w:tcPr>
            <w:tcW w:w="3080" w:type="dxa"/>
            <w:shd w:val="clear" w:color="auto" w:fill="auto"/>
            <w:vAlign w:val="center"/>
            <w:hideMark/>
          </w:tcPr>
          <w:p w14:paraId="08B75F34"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K188-Reconstrucción y conservación de carreteras</w:t>
            </w:r>
          </w:p>
        </w:tc>
        <w:tc>
          <w:tcPr>
            <w:tcW w:w="1600" w:type="dxa"/>
            <w:shd w:val="clear" w:color="auto" w:fill="auto"/>
            <w:noWrap/>
            <w:vAlign w:val="center"/>
            <w:hideMark/>
          </w:tcPr>
          <w:p w14:paraId="7DCBF560"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10.10%</w:t>
            </w:r>
          </w:p>
        </w:tc>
        <w:tc>
          <w:tcPr>
            <w:tcW w:w="5238" w:type="dxa"/>
            <w:shd w:val="clear" w:color="auto" w:fill="auto"/>
            <w:vAlign w:val="center"/>
            <w:hideMark/>
          </w:tcPr>
          <w:p w14:paraId="14915984" w14:textId="0906A7B4"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que el </w:t>
            </w:r>
            <w:r w:rsidR="007F791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 cuente con carreteras y caminos rurales en condiciones óptimas de tránsito</w:t>
            </w:r>
          </w:p>
        </w:tc>
      </w:tr>
      <w:tr w:rsidR="00825CD1" w:rsidRPr="00825CD1" w14:paraId="299B12CA" w14:textId="77777777" w:rsidTr="00260902">
        <w:trPr>
          <w:trHeight w:val="70"/>
        </w:trPr>
        <w:tc>
          <w:tcPr>
            <w:tcW w:w="3080" w:type="dxa"/>
            <w:shd w:val="clear" w:color="auto" w:fill="auto"/>
            <w:vAlign w:val="center"/>
            <w:hideMark/>
          </w:tcPr>
          <w:p w14:paraId="0418BE3D"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K183-Proyectos de infraestructura gubernamental de seguridad pública</w:t>
            </w:r>
          </w:p>
        </w:tc>
        <w:tc>
          <w:tcPr>
            <w:tcW w:w="1600" w:type="dxa"/>
            <w:shd w:val="clear" w:color="auto" w:fill="auto"/>
            <w:noWrap/>
            <w:vAlign w:val="center"/>
            <w:hideMark/>
          </w:tcPr>
          <w:p w14:paraId="4446D159"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29.37%</w:t>
            </w:r>
          </w:p>
        </w:tc>
        <w:tc>
          <w:tcPr>
            <w:tcW w:w="5238" w:type="dxa"/>
            <w:shd w:val="clear" w:color="auto" w:fill="auto"/>
            <w:vAlign w:val="center"/>
            <w:hideMark/>
          </w:tcPr>
          <w:p w14:paraId="6BDA1D18" w14:textId="411E0161"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que las distintas instancias y corporaciones del </w:t>
            </w:r>
            <w:r w:rsidR="007F791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 de Tamaulipas cuenten con la infraestructura y equipamiento que permite mejorar sus capacidades y servicios para mejorar su desempeño en materia de seguridad pública y procuración de justicia.</w:t>
            </w:r>
          </w:p>
        </w:tc>
      </w:tr>
      <w:tr w:rsidR="00825CD1" w:rsidRPr="00825CD1" w14:paraId="74A96AF9" w14:textId="77777777" w:rsidTr="00260902">
        <w:trPr>
          <w:trHeight w:val="193"/>
        </w:trPr>
        <w:tc>
          <w:tcPr>
            <w:tcW w:w="3080" w:type="dxa"/>
            <w:shd w:val="clear" w:color="auto" w:fill="auto"/>
            <w:vAlign w:val="center"/>
            <w:hideMark/>
          </w:tcPr>
          <w:p w14:paraId="2F3E98A1"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K173-Otros proyectos de infraestructura gubernamental</w:t>
            </w:r>
          </w:p>
        </w:tc>
        <w:tc>
          <w:tcPr>
            <w:tcW w:w="1600" w:type="dxa"/>
            <w:shd w:val="clear" w:color="auto" w:fill="auto"/>
            <w:noWrap/>
            <w:vAlign w:val="center"/>
            <w:hideMark/>
          </w:tcPr>
          <w:p w14:paraId="0F7225E4"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3.75%</w:t>
            </w:r>
          </w:p>
        </w:tc>
        <w:tc>
          <w:tcPr>
            <w:tcW w:w="5238" w:type="dxa"/>
            <w:shd w:val="clear" w:color="auto" w:fill="auto"/>
            <w:vAlign w:val="center"/>
            <w:hideMark/>
          </w:tcPr>
          <w:p w14:paraId="292467A8" w14:textId="090E624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la mejora de los servicios públicos mediante un programa de infraestructura y equipamiento de las principales ciudades del </w:t>
            </w:r>
            <w:r w:rsidR="007F791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w:t>
            </w:r>
          </w:p>
        </w:tc>
      </w:tr>
      <w:tr w:rsidR="00825CD1" w:rsidRPr="00825CD1" w14:paraId="199A6C98" w14:textId="77777777" w:rsidTr="00260902">
        <w:trPr>
          <w:trHeight w:val="387"/>
        </w:trPr>
        <w:tc>
          <w:tcPr>
            <w:tcW w:w="3080" w:type="dxa"/>
            <w:shd w:val="clear" w:color="auto" w:fill="auto"/>
            <w:vAlign w:val="center"/>
            <w:hideMark/>
          </w:tcPr>
          <w:p w14:paraId="2279D595"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lastRenderedPageBreak/>
              <w:t>K185-Proyectos de infraestructura social de salud</w:t>
            </w:r>
          </w:p>
        </w:tc>
        <w:tc>
          <w:tcPr>
            <w:tcW w:w="1600" w:type="dxa"/>
            <w:shd w:val="clear" w:color="auto" w:fill="auto"/>
            <w:noWrap/>
            <w:vAlign w:val="center"/>
            <w:hideMark/>
          </w:tcPr>
          <w:p w14:paraId="37038A2C"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61.11%</w:t>
            </w:r>
          </w:p>
        </w:tc>
        <w:tc>
          <w:tcPr>
            <w:tcW w:w="5238" w:type="dxa"/>
            <w:shd w:val="clear" w:color="auto" w:fill="auto"/>
            <w:vAlign w:val="center"/>
            <w:hideMark/>
          </w:tcPr>
          <w:p w14:paraId="1DD89A0B" w14:textId="59AD0D25"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que la población sin seguridad social del </w:t>
            </w:r>
            <w:r w:rsidR="00F94D4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 reciba atención médica especializada en la red se servicios hospitalarios de segundo y tercer nivel de atención de manera oportuna, integral, accesible y con calidad.</w:t>
            </w:r>
          </w:p>
        </w:tc>
      </w:tr>
      <w:tr w:rsidR="00825CD1" w:rsidRPr="00825CD1" w14:paraId="10FD74BB" w14:textId="77777777" w:rsidTr="00260902">
        <w:trPr>
          <w:trHeight w:val="70"/>
        </w:trPr>
        <w:tc>
          <w:tcPr>
            <w:tcW w:w="3080" w:type="dxa"/>
            <w:shd w:val="clear" w:color="auto" w:fill="auto"/>
            <w:vAlign w:val="center"/>
            <w:hideMark/>
          </w:tcPr>
          <w:p w14:paraId="5444B977"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K186-Proyectos de infraestructura social del deporte</w:t>
            </w:r>
          </w:p>
        </w:tc>
        <w:tc>
          <w:tcPr>
            <w:tcW w:w="1600" w:type="dxa"/>
            <w:shd w:val="clear" w:color="auto" w:fill="auto"/>
            <w:noWrap/>
            <w:vAlign w:val="center"/>
            <w:hideMark/>
          </w:tcPr>
          <w:p w14:paraId="6B8BF78C"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24.71%</w:t>
            </w:r>
          </w:p>
        </w:tc>
        <w:tc>
          <w:tcPr>
            <w:tcW w:w="5238" w:type="dxa"/>
            <w:shd w:val="clear" w:color="auto" w:fill="auto"/>
            <w:vAlign w:val="center"/>
            <w:hideMark/>
          </w:tcPr>
          <w:p w14:paraId="73A4B695" w14:textId="0E5E523D"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 xml:space="preserve">Contribuye a que la población del </w:t>
            </w:r>
            <w:r w:rsidR="00F94D42">
              <w:rPr>
                <w:rFonts w:eastAsia="Times New Roman" w:cstheme="minorHAnsi"/>
                <w:color w:val="000000"/>
                <w:sz w:val="20"/>
                <w:szCs w:val="20"/>
                <w:lang w:eastAsia="es-MX"/>
              </w:rPr>
              <w:t>E</w:t>
            </w:r>
            <w:r w:rsidRPr="00825CD1">
              <w:rPr>
                <w:rFonts w:eastAsia="Times New Roman" w:cstheme="minorHAnsi"/>
                <w:color w:val="000000"/>
                <w:sz w:val="20"/>
                <w:szCs w:val="20"/>
                <w:lang w:eastAsia="es-MX"/>
              </w:rPr>
              <w:t>stado de Tamaulipas incremente su nivel de actividad física y práctica de deporte.</w:t>
            </w:r>
          </w:p>
        </w:tc>
      </w:tr>
      <w:tr w:rsidR="00825CD1" w:rsidRPr="00825CD1" w14:paraId="5720CA55" w14:textId="77777777" w:rsidTr="00260902">
        <w:trPr>
          <w:trHeight w:val="171"/>
        </w:trPr>
        <w:tc>
          <w:tcPr>
            <w:tcW w:w="3080" w:type="dxa"/>
            <w:shd w:val="clear" w:color="auto" w:fill="auto"/>
            <w:vAlign w:val="center"/>
            <w:hideMark/>
          </w:tcPr>
          <w:p w14:paraId="16246E13"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K174-Otros proyectos de infraestructura social</w:t>
            </w:r>
          </w:p>
        </w:tc>
        <w:tc>
          <w:tcPr>
            <w:tcW w:w="1600" w:type="dxa"/>
            <w:shd w:val="clear" w:color="auto" w:fill="auto"/>
            <w:noWrap/>
            <w:vAlign w:val="center"/>
            <w:hideMark/>
          </w:tcPr>
          <w:p w14:paraId="0E9F8A66" w14:textId="77777777" w:rsidR="00825CD1" w:rsidRPr="00825CD1" w:rsidRDefault="00825CD1" w:rsidP="00260902">
            <w:pPr>
              <w:spacing w:before="0" w:after="0"/>
              <w:jc w:val="center"/>
              <w:rPr>
                <w:rFonts w:eastAsia="Times New Roman" w:cstheme="minorHAnsi"/>
                <w:color w:val="000000"/>
                <w:sz w:val="20"/>
                <w:szCs w:val="20"/>
                <w:lang w:eastAsia="es-MX"/>
              </w:rPr>
            </w:pPr>
            <w:r w:rsidRPr="00825CD1">
              <w:rPr>
                <w:rFonts w:eastAsia="Times New Roman" w:cstheme="minorHAnsi"/>
                <w:color w:val="000000"/>
                <w:sz w:val="20"/>
                <w:szCs w:val="20"/>
                <w:lang w:eastAsia="es-MX"/>
              </w:rPr>
              <w:t>21.27%</w:t>
            </w:r>
          </w:p>
        </w:tc>
        <w:tc>
          <w:tcPr>
            <w:tcW w:w="5238" w:type="dxa"/>
            <w:shd w:val="clear" w:color="auto" w:fill="auto"/>
            <w:vAlign w:val="center"/>
            <w:hideMark/>
          </w:tcPr>
          <w:p w14:paraId="198D2713" w14:textId="77777777" w:rsidR="00825CD1" w:rsidRPr="00825CD1" w:rsidRDefault="00825CD1" w:rsidP="00260902">
            <w:pPr>
              <w:spacing w:before="0" w:after="0"/>
              <w:rPr>
                <w:rFonts w:eastAsia="Times New Roman" w:cstheme="minorHAnsi"/>
                <w:color w:val="000000"/>
                <w:sz w:val="20"/>
                <w:szCs w:val="20"/>
                <w:lang w:eastAsia="es-MX"/>
              </w:rPr>
            </w:pPr>
            <w:r w:rsidRPr="00825CD1">
              <w:rPr>
                <w:rFonts w:eastAsia="Times New Roman" w:cstheme="minorHAnsi"/>
                <w:color w:val="000000"/>
                <w:sz w:val="20"/>
                <w:szCs w:val="20"/>
                <w:lang w:eastAsia="es-MX"/>
              </w:rPr>
              <w:t>Contribuye a que las personas en zonas de atención prioritaria accedan a obras de bienestar social como espacios de participación ciudadana e integración social.</w:t>
            </w:r>
          </w:p>
        </w:tc>
      </w:tr>
    </w:tbl>
    <w:bookmarkEnd w:id="101"/>
    <w:bookmarkEnd w:id="104"/>
    <w:p w14:paraId="79CF31EE" w14:textId="77777777" w:rsidR="00747E48" w:rsidRPr="00AA7FC0" w:rsidRDefault="00747E48" w:rsidP="00747E48">
      <w:pPr>
        <w:pStyle w:val="Fuente"/>
      </w:pPr>
      <w:r w:rsidRPr="00AA7FC0">
        <w:rPr>
          <w:rStyle w:val="FuenteCar"/>
        </w:rPr>
        <w:t>Fuente: Elaboración propia con base en información proporcionada por la Dirección de Planeación Estratégica de la Secretaría de Finanzas de Tamaulipas</w:t>
      </w:r>
      <w:r w:rsidRPr="00AA7FC0">
        <w:t>.</w:t>
      </w:r>
    </w:p>
    <w:p w14:paraId="46350C28" w14:textId="78A05B18" w:rsidR="00FF7632" w:rsidRPr="00466175" w:rsidRDefault="00FF7632" w:rsidP="00E41C41"/>
    <w:bookmarkEnd w:id="100"/>
    <w:p w14:paraId="2EA81C9B" w14:textId="77777777" w:rsidR="00B90014" w:rsidRDefault="00B90014">
      <w:pPr>
        <w:spacing w:before="0" w:after="160" w:line="259" w:lineRule="auto"/>
        <w:jc w:val="left"/>
        <w:rPr>
          <w:rFonts w:ascii="Soberana Sans Light" w:hAnsi="Soberana Sans Light" w:cstheme="minorHAnsi"/>
          <w:sz w:val="24"/>
          <w:szCs w:val="24"/>
        </w:rPr>
      </w:pPr>
      <w:r>
        <w:rPr>
          <w:rFonts w:ascii="Soberana Sans Light" w:hAnsi="Soberana Sans Light" w:cstheme="minorHAnsi"/>
          <w:sz w:val="24"/>
          <w:szCs w:val="24"/>
        </w:rPr>
        <w:br w:type="page"/>
      </w:r>
    </w:p>
    <w:p w14:paraId="3E1DA194" w14:textId="4890FEAF" w:rsidR="00AD5152" w:rsidRDefault="003B5E62" w:rsidP="003B5E62">
      <w:pPr>
        <w:pStyle w:val="Ttulo1"/>
      </w:pPr>
      <w:bookmarkStart w:id="105" w:name="_Toc61633649"/>
      <w:r>
        <w:lastRenderedPageBreak/>
        <w:t xml:space="preserve">IX. </w:t>
      </w:r>
      <w:r w:rsidR="00AD5152" w:rsidRPr="00AD5152">
        <w:t>Módulo 7. Calidad de la información</w:t>
      </w:r>
      <w:bookmarkEnd w:id="105"/>
    </w:p>
    <w:p w14:paraId="42A85654" w14:textId="7528ABFC" w:rsidR="00B47DBD" w:rsidRPr="00E132E1" w:rsidRDefault="00190D9F" w:rsidP="00E132E1">
      <w:pPr>
        <w:pStyle w:val="Ttulo2"/>
      </w:pPr>
      <w:bookmarkStart w:id="106" w:name="_Toc514438220"/>
      <w:bookmarkStart w:id="107" w:name="_Toc61633650"/>
      <w:r w:rsidRPr="00E132E1">
        <w:t>7.1</w:t>
      </w:r>
      <w:r w:rsidR="00B47DBD" w:rsidRPr="00E132E1">
        <w:t xml:space="preserve"> Generación de información, rendición de cuentas y medición de resultados</w:t>
      </w:r>
      <w:bookmarkEnd w:id="106"/>
      <w:bookmarkEnd w:id="107"/>
    </w:p>
    <w:p w14:paraId="214EFBF4" w14:textId="15BFE2FB" w:rsidR="007440B0" w:rsidRPr="00817BF1" w:rsidRDefault="006D2C22" w:rsidP="006D2C22">
      <w:pPr>
        <w:spacing w:before="0" w:after="0"/>
        <w:contextualSpacing/>
        <w:rPr>
          <w:rFonts w:cstheme="minorHAnsi"/>
          <w:b/>
        </w:rPr>
      </w:pPr>
      <w:r>
        <w:rPr>
          <w:rFonts w:cstheme="minorHAnsi"/>
          <w:b/>
        </w:rPr>
        <w:t xml:space="preserve">23. </w:t>
      </w:r>
      <w:r w:rsidR="007440B0" w:rsidRPr="00817BF1">
        <w:rPr>
          <w:rFonts w:cstheme="minorHAnsi"/>
          <w:b/>
        </w:rPr>
        <w:t xml:space="preserve">¿La </w:t>
      </w:r>
      <w:r w:rsidR="007440B0" w:rsidRPr="005018A3">
        <w:rPr>
          <w:rFonts w:cstheme="minorHAnsi"/>
          <w:b/>
        </w:rPr>
        <w:t>información</w:t>
      </w:r>
      <w:r w:rsidR="007440B0" w:rsidRPr="00817BF1">
        <w:rPr>
          <w:rFonts w:cstheme="minorHAnsi"/>
          <w:b/>
        </w:rPr>
        <w:t xml:space="preserve"> relacionada con los componentes de la MIR vigente del FAFEF en la entidad federativa…</w:t>
      </w:r>
    </w:p>
    <w:p w14:paraId="6E249595" w14:textId="5C9BCA56" w:rsidR="007440B0" w:rsidRPr="00817BF1" w:rsidRDefault="007440B0" w:rsidP="00F92F32">
      <w:pPr>
        <w:numPr>
          <w:ilvl w:val="0"/>
          <w:numId w:val="25"/>
        </w:numPr>
        <w:spacing w:before="0" w:after="0"/>
        <w:rPr>
          <w:rFonts w:cstheme="minorHAnsi"/>
          <w:b/>
        </w:rPr>
      </w:pPr>
      <w:r w:rsidRPr="00817BF1">
        <w:rPr>
          <w:rFonts w:cstheme="minorHAnsi"/>
          <w:b/>
        </w:rPr>
        <w:t>Es verificable públicamente;</w:t>
      </w:r>
    </w:p>
    <w:p w14:paraId="0C8B5C15" w14:textId="77777777" w:rsidR="007440B0" w:rsidRPr="00817BF1" w:rsidRDefault="007440B0" w:rsidP="00F92F32">
      <w:pPr>
        <w:numPr>
          <w:ilvl w:val="0"/>
          <w:numId w:val="25"/>
        </w:numPr>
        <w:spacing w:before="0" w:after="0"/>
        <w:rPr>
          <w:rFonts w:cstheme="minorHAnsi"/>
          <w:b/>
        </w:rPr>
      </w:pPr>
      <w:r w:rsidRPr="00817BF1">
        <w:rPr>
          <w:rFonts w:cstheme="minorHAnsi"/>
          <w:b/>
        </w:rPr>
        <w:t>Corresponde con lo establecido en los documentos normativos o institucionales del Fondo en la entidad federativa;</w:t>
      </w:r>
    </w:p>
    <w:p w14:paraId="59585B48" w14:textId="77777777" w:rsidR="007440B0" w:rsidRPr="00817BF1" w:rsidRDefault="007440B0" w:rsidP="00F92F32">
      <w:pPr>
        <w:numPr>
          <w:ilvl w:val="0"/>
          <w:numId w:val="25"/>
        </w:numPr>
        <w:spacing w:before="0" w:after="0"/>
        <w:rPr>
          <w:rFonts w:cstheme="minorHAnsi"/>
          <w:b/>
        </w:rPr>
      </w:pPr>
      <w:r w:rsidRPr="00817BF1">
        <w:rPr>
          <w:rFonts w:cstheme="minorHAnsi"/>
          <w:b/>
        </w:rPr>
        <w:t>Permite identificar la contribución del FAFEF a la atenuación o solución de las problemáticas de la entidad federativa;</w:t>
      </w:r>
    </w:p>
    <w:p w14:paraId="2DB2C834" w14:textId="163F84E2" w:rsidR="007440B0" w:rsidRPr="00817BF1" w:rsidRDefault="007440B0" w:rsidP="00F92F32">
      <w:pPr>
        <w:numPr>
          <w:ilvl w:val="0"/>
          <w:numId w:val="25"/>
        </w:numPr>
        <w:spacing w:before="0"/>
        <w:ind w:left="641" w:hanging="357"/>
        <w:rPr>
          <w:rFonts w:cstheme="minorHAnsi"/>
          <w:b/>
        </w:rPr>
      </w:pPr>
      <w:r w:rsidRPr="00817BF1">
        <w:rPr>
          <w:rFonts w:cstheme="minorHAnsi"/>
          <w:b/>
        </w:rPr>
        <w:t>Permite verificar que se beneficia efectivamente a la población</w:t>
      </w:r>
      <w:r w:rsidR="003D30E8" w:rsidRPr="003D30E8">
        <w:rPr>
          <w:rFonts w:cstheme="minorHAnsi"/>
          <w:b/>
        </w:rPr>
        <w:t xml:space="preserve"> </w:t>
      </w:r>
      <w:r w:rsidR="003D30E8" w:rsidRPr="00817BF1">
        <w:rPr>
          <w:rFonts w:cstheme="minorHAnsi"/>
          <w:b/>
        </w:rPr>
        <w:t>objetivo</w:t>
      </w:r>
      <w:r w:rsidR="003D30E8">
        <w:rPr>
          <w:rFonts w:cstheme="minorHAnsi"/>
          <w:b/>
        </w:rPr>
        <w:t xml:space="preserve"> o</w:t>
      </w:r>
      <w:r w:rsidRPr="00817BF1">
        <w:rPr>
          <w:rFonts w:cstheme="minorHAnsi"/>
          <w:b/>
        </w:rPr>
        <w:t xml:space="preserve"> usuarios del FAFEF?</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7440B0" w:rsidRPr="006D2C22" w14:paraId="589CE5C0" w14:textId="77777777" w:rsidTr="0046655F">
        <w:trPr>
          <w:trHeight w:val="260"/>
          <w:jc w:val="center"/>
        </w:trPr>
        <w:tc>
          <w:tcPr>
            <w:tcW w:w="675" w:type="pct"/>
            <w:shd w:val="clear" w:color="auto" w:fill="FFFFFF"/>
            <w:vAlign w:val="center"/>
          </w:tcPr>
          <w:p w14:paraId="14616926" w14:textId="77777777" w:rsidR="007440B0" w:rsidRPr="006D2C22" w:rsidRDefault="007440B0" w:rsidP="0093308A">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6D2C22">
              <w:rPr>
                <w:rFonts w:ascii="Calibri" w:eastAsia="Calibri" w:hAnsi="Calibri" w:cs="Calibri"/>
                <w:b/>
                <w:color w:val="000000"/>
                <w:sz w:val="20"/>
                <w:szCs w:val="20"/>
                <w:lang w:eastAsia="es-MX"/>
              </w:rPr>
              <w:t>Respuesta</w:t>
            </w:r>
          </w:p>
        </w:tc>
        <w:tc>
          <w:tcPr>
            <w:tcW w:w="383" w:type="pct"/>
            <w:shd w:val="clear" w:color="auto" w:fill="FFFFFF"/>
            <w:vAlign w:val="center"/>
          </w:tcPr>
          <w:p w14:paraId="780B9BF6" w14:textId="77777777" w:rsidR="007440B0" w:rsidRPr="006D2C22" w:rsidRDefault="007440B0" w:rsidP="0093308A">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6D2C22">
              <w:rPr>
                <w:rFonts w:ascii="Calibri" w:eastAsia="Calibri" w:hAnsi="Calibri" w:cs="Calibri"/>
                <w:b/>
                <w:color w:val="000000"/>
                <w:sz w:val="20"/>
                <w:szCs w:val="20"/>
                <w:lang w:eastAsia="es-MX"/>
              </w:rPr>
              <w:t>Nivel</w:t>
            </w:r>
          </w:p>
        </w:tc>
        <w:tc>
          <w:tcPr>
            <w:tcW w:w="3942" w:type="pct"/>
            <w:shd w:val="clear" w:color="auto" w:fill="FFFFFF"/>
            <w:vAlign w:val="center"/>
          </w:tcPr>
          <w:p w14:paraId="706B1F4E" w14:textId="77777777" w:rsidR="007440B0" w:rsidRPr="006D2C22" w:rsidRDefault="007440B0" w:rsidP="0093308A">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6D2C22">
              <w:rPr>
                <w:rFonts w:ascii="Calibri" w:eastAsia="Calibri" w:hAnsi="Calibri" w:cs="Calibri"/>
                <w:b/>
                <w:color w:val="000000"/>
                <w:sz w:val="20"/>
                <w:szCs w:val="20"/>
                <w:lang w:eastAsia="es-MX"/>
              </w:rPr>
              <w:t>Criterios</w:t>
            </w:r>
          </w:p>
        </w:tc>
      </w:tr>
      <w:tr w:rsidR="007440B0" w:rsidRPr="006D2C22" w14:paraId="04652CC0" w14:textId="77777777" w:rsidTr="0046655F">
        <w:trPr>
          <w:trHeight w:val="400"/>
          <w:jc w:val="center"/>
        </w:trPr>
        <w:tc>
          <w:tcPr>
            <w:tcW w:w="675" w:type="pct"/>
            <w:shd w:val="clear" w:color="auto" w:fill="FFFFFF"/>
            <w:vAlign w:val="center"/>
          </w:tcPr>
          <w:p w14:paraId="1626DEAE" w14:textId="77777777" w:rsidR="007440B0" w:rsidRPr="006D2C22" w:rsidRDefault="007440B0" w:rsidP="006D2C22">
            <w:pPr>
              <w:spacing w:before="0" w:after="0"/>
              <w:jc w:val="center"/>
              <w:rPr>
                <w:sz w:val="20"/>
                <w:szCs w:val="20"/>
                <w:lang w:eastAsia="es-MX"/>
              </w:rPr>
            </w:pPr>
            <w:r w:rsidRPr="006D2C22">
              <w:rPr>
                <w:sz w:val="20"/>
                <w:szCs w:val="20"/>
                <w:lang w:eastAsia="es-MX"/>
              </w:rPr>
              <w:t>No</w:t>
            </w:r>
          </w:p>
        </w:tc>
        <w:tc>
          <w:tcPr>
            <w:tcW w:w="383" w:type="pct"/>
            <w:shd w:val="clear" w:color="auto" w:fill="FFFFFF"/>
            <w:vAlign w:val="center"/>
          </w:tcPr>
          <w:p w14:paraId="6C396A36" w14:textId="5615DF6B" w:rsidR="007440B0" w:rsidRPr="006D2C22" w:rsidRDefault="007440B0" w:rsidP="006D2C22">
            <w:pPr>
              <w:spacing w:before="0" w:after="0"/>
              <w:jc w:val="center"/>
              <w:rPr>
                <w:sz w:val="20"/>
                <w:szCs w:val="20"/>
                <w:lang w:eastAsia="es-MX"/>
              </w:rPr>
            </w:pPr>
          </w:p>
        </w:tc>
        <w:tc>
          <w:tcPr>
            <w:tcW w:w="3942" w:type="pct"/>
            <w:shd w:val="clear" w:color="auto" w:fill="FFFFFF"/>
            <w:vAlign w:val="center"/>
          </w:tcPr>
          <w:p w14:paraId="71AC91E0" w14:textId="4F06FE03" w:rsidR="007440B0" w:rsidRPr="006D2C22" w:rsidRDefault="007440B0" w:rsidP="0093308A">
            <w:pPr>
              <w:spacing w:before="0" w:after="0"/>
              <w:rPr>
                <w:sz w:val="20"/>
                <w:szCs w:val="20"/>
                <w:lang w:eastAsia="es-MX"/>
              </w:rPr>
            </w:pPr>
          </w:p>
        </w:tc>
      </w:tr>
    </w:tbl>
    <w:p w14:paraId="3872644B" w14:textId="4FF148E2" w:rsidR="007440B0" w:rsidRPr="005B6923" w:rsidRDefault="007440B0" w:rsidP="007440B0">
      <w:pPr>
        <w:rPr>
          <w:rFonts w:cstheme="minorHAnsi"/>
          <w:bCs/>
        </w:rPr>
      </w:pPr>
      <w:bookmarkStart w:id="108" w:name="_Hlk53118558"/>
      <w:r w:rsidRPr="005B6923">
        <w:rPr>
          <w:rFonts w:cstheme="minorHAnsi"/>
          <w:bCs/>
        </w:rPr>
        <w:t xml:space="preserve">La entidad </w:t>
      </w:r>
      <w:r w:rsidR="001A4DB7">
        <w:rPr>
          <w:rFonts w:cstheme="minorHAnsi"/>
          <w:bCs/>
        </w:rPr>
        <w:t xml:space="preserve">federativa </w:t>
      </w:r>
      <w:r w:rsidRPr="005B6923">
        <w:rPr>
          <w:rFonts w:cstheme="minorHAnsi"/>
          <w:bCs/>
        </w:rPr>
        <w:t>no cuenta con una MIR estatal para el FAFEF, que permita conocer y dar seguimiento a los objetivos y rubros de gasto establecidos en las LCF</w:t>
      </w:r>
      <w:bookmarkEnd w:id="108"/>
      <w:r w:rsidRPr="005B6923">
        <w:rPr>
          <w:rFonts w:cstheme="minorHAnsi"/>
          <w:bCs/>
        </w:rPr>
        <w:t>, sin embargo, se identificó lo siguiente:</w:t>
      </w:r>
    </w:p>
    <w:p w14:paraId="6BA9D164" w14:textId="155968E3" w:rsidR="00414A5F" w:rsidRPr="005B6923" w:rsidRDefault="008E5A4E" w:rsidP="00F92F32">
      <w:pPr>
        <w:pStyle w:val="Prrafodelista"/>
        <w:numPr>
          <w:ilvl w:val="0"/>
          <w:numId w:val="6"/>
        </w:numPr>
        <w:ind w:left="714" w:hanging="357"/>
        <w:contextualSpacing w:val="0"/>
        <w:rPr>
          <w:rFonts w:cstheme="minorHAnsi"/>
          <w:bCs/>
        </w:rPr>
      </w:pPr>
      <w:r>
        <w:rPr>
          <w:rFonts w:cstheme="minorHAnsi"/>
          <w:bCs/>
        </w:rPr>
        <w:t>El Estado de Tamaulipas</w:t>
      </w:r>
      <w:r w:rsidR="00414A5F" w:rsidRPr="005B6923">
        <w:rPr>
          <w:rFonts w:cstheme="minorHAnsi"/>
          <w:bCs/>
        </w:rPr>
        <w:t xml:space="preserve"> reporta y publica en páginas oficiales estatales información relativa a c</w:t>
      </w:r>
      <w:r w:rsidR="005C0937">
        <w:rPr>
          <w:rFonts w:cstheme="minorHAnsi"/>
          <w:bCs/>
        </w:rPr>
        <w:t>inco</w:t>
      </w:r>
      <w:r w:rsidR="00414A5F" w:rsidRPr="005B6923">
        <w:rPr>
          <w:rFonts w:cstheme="minorHAnsi"/>
          <w:bCs/>
        </w:rPr>
        <w:t xml:space="preserve"> indicadores de la MIR Federal nivel Propósito, Componente y Actividad</w:t>
      </w:r>
      <w:r w:rsidR="005C0937">
        <w:rPr>
          <w:rFonts w:cstheme="minorHAnsi"/>
          <w:bCs/>
        </w:rPr>
        <w:t xml:space="preserve">. Esta información es </w:t>
      </w:r>
      <w:r w:rsidR="00414A5F" w:rsidRPr="005B6923">
        <w:rPr>
          <w:rFonts w:cstheme="minorHAnsi"/>
          <w:bCs/>
        </w:rPr>
        <w:t>verificable y cumple con lo establecido en la LFPRH.</w:t>
      </w:r>
    </w:p>
    <w:p w14:paraId="2BA3272D" w14:textId="77777777" w:rsidR="00BB131D" w:rsidRPr="005B6923" w:rsidRDefault="006E4C68" w:rsidP="00F92F32">
      <w:pPr>
        <w:pStyle w:val="Prrafodelista"/>
        <w:numPr>
          <w:ilvl w:val="0"/>
          <w:numId w:val="6"/>
        </w:numPr>
        <w:ind w:left="714" w:hanging="357"/>
        <w:contextualSpacing w:val="0"/>
      </w:pPr>
      <w:r w:rsidRPr="005B6923">
        <w:t xml:space="preserve">Durante 2018 se incorporó en la estructura programática la figura de los Pp, sin embargo, fue hasta 2019 que se empezaron a desarrollar gradualmente las primeras MIR de éstos, los cuales fueron cargadas en el SIMIR. </w:t>
      </w:r>
    </w:p>
    <w:p w14:paraId="4472B9F9" w14:textId="24E79BCE" w:rsidR="006E4C68" w:rsidRPr="005B6923" w:rsidRDefault="00BB131D" w:rsidP="00BB131D">
      <w:r w:rsidRPr="005B6923">
        <w:t xml:space="preserve">Sobre este aspecto, es importante resaltar que </w:t>
      </w:r>
      <w:r w:rsidR="006E4C68" w:rsidRPr="005B6923">
        <w:t xml:space="preserve">las primeras versiones de </w:t>
      </w:r>
      <w:r w:rsidRPr="005B6923">
        <w:t>las MIR de los Pp</w:t>
      </w:r>
      <w:r w:rsidR="006E4C68" w:rsidRPr="005B6923">
        <w:t xml:space="preserve"> presentaban áreas importantes de mejora en su diseño, sobre lo cual la Secretaría de Finanzas está iniciando en el segundo semestre del ejercicio </w:t>
      </w:r>
      <w:r w:rsidRPr="005B6923">
        <w:t>2020</w:t>
      </w:r>
      <w:r w:rsidR="006E4C68" w:rsidRPr="005B6923">
        <w:t>, un proceso de análisis para la validación de la</w:t>
      </w:r>
      <w:r w:rsidRPr="005B6923">
        <w:t>s</w:t>
      </w:r>
      <w:r w:rsidR="006E4C68" w:rsidRPr="005B6923">
        <w:t xml:space="preserve"> MIR</w:t>
      </w:r>
      <w:r w:rsidRPr="005B6923">
        <w:t xml:space="preserve">. En ese sentido, la información relacionada con los componentes de la MIR, permiten hasta cierto punto </w:t>
      </w:r>
      <w:r w:rsidR="0041491F">
        <w:t>ubicar</w:t>
      </w:r>
      <w:r w:rsidRPr="005B6923">
        <w:t xml:space="preserve"> la contribución del FAFEF a la atenuación de las problemáticas definidas como prioritarias en la entidad</w:t>
      </w:r>
      <w:r w:rsidR="008E4BCD">
        <w:t xml:space="preserve"> federativa</w:t>
      </w:r>
      <w:r w:rsidRPr="005B6923">
        <w:t xml:space="preserve">, asimismo, en su resumen narrativo se menciona de manera general la población objetivo al que van dirigidos los componentes o acciones de cada Pp. </w:t>
      </w:r>
    </w:p>
    <w:p w14:paraId="177E60F9" w14:textId="4F36DC25" w:rsidR="007440B0" w:rsidRPr="005B6923" w:rsidRDefault="00BB131D" w:rsidP="007440B0">
      <w:r w:rsidRPr="005B6923">
        <w:t>Por otro lado, e</w:t>
      </w:r>
      <w:r w:rsidR="007440B0" w:rsidRPr="005B6923">
        <w:t>n el diagnóstico de FAFEF en el Estado, se presenta la MIR determinada por la Federación a través de la SHCP y tales indicadores contribuyen a mostrar de manera agregada el efecto del Fondo a nivel nacional, en ese sentido, los indicadores definidos en esta matriz no son de mucha utilidad para su uso específico en una entidad federativa, ya que no permiten identificar de manera particular los efectos del Fondo en población beneficiaria.</w:t>
      </w:r>
      <w:r w:rsidRPr="005B6923">
        <w:t xml:space="preserve"> Po</w:t>
      </w:r>
      <w:r w:rsidR="005B6923" w:rsidRPr="005B6923">
        <w:t>r</w:t>
      </w:r>
      <w:r w:rsidRPr="005B6923">
        <w:t xml:space="preserve"> ejemplo, el resultado del indicador a nivel de Componente denominado “Porcentaje de avance en las metas” el cual mide el avance promedio en la ejecución física de los programas, obras o acciones que se realizan con recursos del FAFEF, no permite identificar la contribución del FAFEF a la atenuación o solución de las problemáticas de</w:t>
      </w:r>
      <w:r w:rsidR="008E4BCD">
        <w:t>l Estado</w:t>
      </w:r>
      <w:r w:rsidRPr="005B6923">
        <w:t>; ya que no se</w:t>
      </w:r>
      <w:r w:rsidR="0041491F">
        <w:t xml:space="preserve"> identifica el porcentaje de recursos con el que el FAFEF contribuye en cada Pp, ni tampoco se tiene definida en los Pp la problemática central que cada uno busca atender</w:t>
      </w:r>
      <w:r w:rsidRPr="005B6923">
        <w:t>.</w:t>
      </w:r>
    </w:p>
    <w:p w14:paraId="614B635F" w14:textId="6496D6E6" w:rsidR="009151DE" w:rsidRDefault="005B6923" w:rsidP="005B6923">
      <w:r w:rsidRPr="005B6923">
        <w:t xml:space="preserve">Asimismo, en la MIR federal, no se define una población específica para ser atendida con los recursos del FAFEF. Sin embargo, como se mencionó antes, en el caso de la información relacionada con los componentes de la MIR de los Pp permite identificar que el Programa beneficia efectivamente a una población objetivo. </w:t>
      </w:r>
      <w:r w:rsidR="009151DE">
        <w:br w:type="page"/>
      </w:r>
    </w:p>
    <w:p w14:paraId="4F04A5F6" w14:textId="4C65A32B" w:rsidR="00B47DBD" w:rsidRPr="006D2C22" w:rsidRDefault="006D2C22" w:rsidP="006D2C22">
      <w:pPr>
        <w:spacing w:before="0" w:after="0"/>
        <w:contextualSpacing/>
        <w:rPr>
          <w:rFonts w:cstheme="minorHAnsi"/>
        </w:rPr>
      </w:pPr>
      <w:r>
        <w:rPr>
          <w:rFonts w:cstheme="minorHAnsi"/>
          <w:b/>
        </w:rPr>
        <w:lastRenderedPageBreak/>
        <w:t xml:space="preserve">24. </w:t>
      </w:r>
      <w:r w:rsidR="00B47DBD" w:rsidRPr="006D2C22">
        <w:rPr>
          <w:rFonts w:cstheme="minorHAnsi"/>
          <w:b/>
        </w:rPr>
        <w:t>En caso de que la entidad federativa cuente con mecanismos, dirigidos a la población o atendida, para fortalecer la rendición de cuentas y la transparencia sobre la ejecución del FAFEF o de los proyectos que se financian con este fondo, explique el procedimiento para llevarlo a cabo, las variables o elementos que considera y la frecuencia de actualización de estos; asimismo, si estos mecanismos cumplen (o toman en cuenta) las siguientes características:</w:t>
      </w:r>
      <w:r w:rsidR="00B47DBD" w:rsidRPr="006D2C22">
        <w:rPr>
          <w:rFonts w:cstheme="minorHAnsi"/>
        </w:rPr>
        <w:tab/>
      </w:r>
    </w:p>
    <w:p w14:paraId="005FB938" w14:textId="77777777" w:rsidR="00B47DBD" w:rsidRPr="005018A3" w:rsidRDefault="00B47DBD" w:rsidP="00F92F32">
      <w:pPr>
        <w:numPr>
          <w:ilvl w:val="0"/>
          <w:numId w:val="26"/>
        </w:numPr>
        <w:spacing w:before="0" w:after="0"/>
        <w:rPr>
          <w:rFonts w:cstheme="minorHAnsi"/>
          <w:b/>
        </w:rPr>
      </w:pPr>
      <w:r w:rsidRPr="005018A3">
        <w:rPr>
          <w:rFonts w:cstheme="minorHAnsi"/>
          <w:b/>
        </w:rPr>
        <w:t>Los documentos normativos del FAFEF en la entidad federativa están disponibles en la página de Internet de la entidad federativa, y puedan ser localizados a través de un buscador funcional a partir de su página principal;</w:t>
      </w:r>
    </w:p>
    <w:p w14:paraId="73514D91" w14:textId="77777777" w:rsidR="00B47DBD" w:rsidRPr="005018A3" w:rsidRDefault="00B47DBD" w:rsidP="00F92F32">
      <w:pPr>
        <w:numPr>
          <w:ilvl w:val="0"/>
          <w:numId w:val="26"/>
        </w:numPr>
        <w:spacing w:before="0" w:after="0"/>
        <w:rPr>
          <w:rFonts w:cstheme="minorHAnsi"/>
          <w:b/>
        </w:rPr>
      </w:pPr>
      <w:r w:rsidRPr="005018A3">
        <w:rPr>
          <w:rFonts w:cstheme="minorHAnsi"/>
          <w:b/>
        </w:rPr>
        <w:t>Los resultados principales del FAFEF son difundidos en la página de Internet de la entidad federativa de manera accesible, y puedan ser localizados a través de un buscador funcional a partir de su página principal;</w:t>
      </w:r>
    </w:p>
    <w:p w14:paraId="1119A4AC" w14:textId="77777777" w:rsidR="00B47DBD" w:rsidRPr="005018A3" w:rsidRDefault="00B47DBD" w:rsidP="00F92F32">
      <w:pPr>
        <w:numPr>
          <w:ilvl w:val="0"/>
          <w:numId w:val="26"/>
        </w:numPr>
        <w:spacing w:before="0"/>
        <w:ind w:left="641" w:hanging="357"/>
        <w:rPr>
          <w:rFonts w:cstheme="minorHAnsi"/>
          <w:b/>
        </w:rPr>
      </w:pPr>
      <w:r w:rsidRPr="005018A3">
        <w:rPr>
          <w:rFonts w:cstheme="minorHAnsi"/>
          <w:b/>
        </w:rPr>
        <w:t>Difunde un teléfono o correo electrónico para informar y orientar tanto a la población beneficiaria o usuarios, como al ciudadano en general, en la página de Internet de la entidad federativa, y puedan ser localizados a través de un buscador funcional a partir de su página principal;</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4"/>
        <w:gridCol w:w="762"/>
        <w:gridCol w:w="7846"/>
      </w:tblGrid>
      <w:tr w:rsidR="003B0B44" w:rsidRPr="00C67B64" w14:paraId="6F9CFD6A" w14:textId="77777777" w:rsidTr="0046655F">
        <w:trPr>
          <w:trHeight w:val="260"/>
          <w:jc w:val="center"/>
        </w:trPr>
        <w:tc>
          <w:tcPr>
            <w:tcW w:w="675" w:type="pct"/>
            <w:shd w:val="clear" w:color="auto" w:fill="FFFFFF"/>
            <w:vAlign w:val="center"/>
          </w:tcPr>
          <w:p w14:paraId="62112A36" w14:textId="77777777" w:rsidR="003B0B44" w:rsidRPr="00C67B64" w:rsidRDefault="003B0B44" w:rsidP="000E1C6F">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Respuesta</w:t>
            </w:r>
          </w:p>
        </w:tc>
        <w:tc>
          <w:tcPr>
            <w:tcW w:w="383" w:type="pct"/>
            <w:shd w:val="clear" w:color="auto" w:fill="FFFFFF"/>
            <w:vAlign w:val="center"/>
          </w:tcPr>
          <w:p w14:paraId="478D4211" w14:textId="77777777" w:rsidR="003B0B44" w:rsidRPr="00C67B64" w:rsidRDefault="003B0B44" w:rsidP="000E1C6F">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Nivel</w:t>
            </w:r>
          </w:p>
        </w:tc>
        <w:tc>
          <w:tcPr>
            <w:tcW w:w="3942" w:type="pct"/>
            <w:shd w:val="clear" w:color="auto" w:fill="FFFFFF"/>
            <w:vAlign w:val="center"/>
          </w:tcPr>
          <w:p w14:paraId="112C67F6" w14:textId="77777777" w:rsidR="003B0B44" w:rsidRPr="00C67B64" w:rsidRDefault="003B0B44" w:rsidP="000E1C6F">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Criterios</w:t>
            </w:r>
          </w:p>
        </w:tc>
      </w:tr>
      <w:tr w:rsidR="003B0B44" w:rsidRPr="00C67B64" w14:paraId="094CC68E" w14:textId="77777777" w:rsidTr="0046655F">
        <w:trPr>
          <w:trHeight w:val="400"/>
          <w:jc w:val="center"/>
        </w:trPr>
        <w:tc>
          <w:tcPr>
            <w:tcW w:w="675" w:type="pct"/>
            <w:shd w:val="clear" w:color="auto" w:fill="FFFFFF"/>
            <w:vAlign w:val="center"/>
          </w:tcPr>
          <w:p w14:paraId="74B2BC6C" w14:textId="77777777" w:rsidR="003B0B44" w:rsidRPr="00C67B64" w:rsidRDefault="003B0B44" w:rsidP="000E1C6F">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sidRPr="00C67B64">
              <w:rPr>
                <w:rFonts w:ascii="Calibri" w:eastAsia="Calibri" w:hAnsi="Calibri" w:cs="Calibri"/>
                <w:color w:val="000000"/>
                <w:sz w:val="20"/>
                <w:szCs w:val="20"/>
                <w:lang w:eastAsia="es-MX"/>
              </w:rPr>
              <w:t>Sí</w:t>
            </w:r>
          </w:p>
        </w:tc>
        <w:tc>
          <w:tcPr>
            <w:tcW w:w="383" w:type="pct"/>
            <w:shd w:val="clear" w:color="auto" w:fill="FFFFFF"/>
            <w:vAlign w:val="center"/>
          </w:tcPr>
          <w:p w14:paraId="07F37140" w14:textId="3E1FC580" w:rsidR="003B0B44" w:rsidRPr="00C67B64" w:rsidRDefault="00F04964" w:rsidP="000E1C6F">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Pr>
                <w:rFonts w:ascii="Calibri" w:eastAsia="Calibri" w:hAnsi="Calibri" w:cs="Calibri"/>
                <w:color w:val="000000"/>
                <w:sz w:val="20"/>
                <w:szCs w:val="20"/>
                <w:lang w:eastAsia="es-MX"/>
              </w:rPr>
              <w:t>2</w:t>
            </w:r>
          </w:p>
        </w:tc>
        <w:tc>
          <w:tcPr>
            <w:tcW w:w="3942" w:type="pct"/>
            <w:shd w:val="clear" w:color="auto" w:fill="FFFFFF"/>
            <w:vAlign w:val="center"/>
          </w:tcPr>
          <w:p w14:paraId="214C5B06" w14:textId="23B799C1" w:rsidR="003B0B44" w:rsidRPr="00C67B64" w:rsidRDefault="003B0B44" w:rsidP="000E1C6F">
            <w:pPr>
              <w:tabs>
                <w:tab w:val="left" w:pos="256"/>
              </w:tabs>
              <w:spacing w:before="0" w:after="0"/>
              <w:contextualSpacing/>
              <w:rPr>
                <w:rFonts w:ascii="Calibri" w:eastAsia="Calibri" w:hAnsi="Calibri" w:cs="Calibri"/>
                <w:color w:val="000000"/>
                <w:sz w:val="20"/>
                <w:szCs w:val="20"/>
                <w:lang w:eastAsia="es-MX"/>
              </w:rPr>
            </w:pPr>
            <w:r w:rsidRPr="00C67B64">
              <w:rPr>
                <w:rFonts w:cstheme="minorHAnsi"/>
                <w:sz w:val="20"/>
                <w:szCs w:val="20"/>
                <w:lang w:eastAsia="es-MX"/>
              </w:rPr>
              <w:t xml:space="preserve">Los mecanismos de transparencia y rendición de cuentas cumplen con </w:t>
            </w:r>
            <w:r w:rsidR="00EA2918" w:rsidRPr="00EA2918">
              <w:rPr>
                <w:rFonts w:cstheme="minorHAnsi"/>
                <w:b/>
                <w:bCs/>
                <w:sz w:val="20"/>
                <w:szCs w:val="20"/>
                <w:lang w:eastAsia="es-MX"/>
              </w:rPr>
              <w:t>dos</w:t>
            </w:r>
            <w:r w:rsidRPr="00C67B64">
              <w:rPr>
                <w:rFonts w:cstheme="minorHAnsi"/>
                <w:sz w:val="20"/>
                <w:szCs w:val="20"/>
                <w:lang w:eastAsia="es-MX"/>
              </w:rPr>
              <w:t xml:space="preserve"> de las características indicadas en la pregunta.</w:t>
            </w:r>
          </w:p>
        </w:tc>
      </w:tr>
    </w:tbl>
    <w:p w14:paraId="2C9F37E7" w14:textId="427B84A7" w:rsidR="00B47DBD" w:rsidRDefault="00264CCF" w:rsidP="003B0B44">
      <w:pPr>
        <w:spacing w:after="0"/>
        <w:rPr>
          <w:rFonts w:cstheme="minorHAnsi"/>
        </w:rPr>
      </w:pPr>
      <w:r>
        <w:rPr>
          <w:rFonts w:cstheme="minorHAnsi"/>
        </w:rPr>
        <w:t>E</w:t>
      </w:r>
      <w:r w:rsidR="00B47DBD" w:rsidRPr="003B0B44">
        <w:rPr>
          <w:rFonts w:cstheme="minorHAnsi"/>
        </w:rPr>
        <w:t xml:space="preserve">l Estado cuenta con mecanismos de transparencia y rendición de cuentas y cumplen con cada una de las características establecidas en la pregunta. </w:t>
      </w:r>
    </w:p>
    <w:p w14:paraId="1E38A010" w14:textId="21E0D23B" w:rsidR="00532EEB" w:rsidRPr="00532EEB" w:rsidRDefault="00532EEB" w:rsidP="00F92F32">
      <w:pPr>
        <w:pStyle w:val="Prrafodelista"/>
        <w:numPr>
          <w:ilvl w:val="0"/>
          <w:numId w:val="7"/>
        </w:numPr>
        <w:spacing w:before="0" w:after="0"/>
        <w:ind w:left="426" w:hanging="426"/>
        <w:rPr>
          <w:rFonts w:cstheme="minorHAnsi"/>
          <w:bCs/>
        </w:rPr>
      </w:pPr>
      <w:r w:rsidRPr="00532EEB">
        <w:rPr>
          <w:rFonts w:cstheme="minorHAnsi"/>
          <w:bCs/>
        </w:rPr>
        <w:t>Los documentos normativos relacionados con la operación del FAFEF están disponibles en la página de Internet de la entidad</w:t>
      </w:r>
      <w:r w:rsidR="0047621A">
        <w:rPr>
          <w:rFonts w:cstheme="minorHAnsi"/>
          <w:bCs/>
        </w:rPr>
        <w:t xml:space="preserve"> federativa</w:t>
      </w:r>
      <w:r w:rsidRPr="00532EEB">
        <w:rPr>
          <w:rFonts w:cstheme="minorHAnsi"/>
          <w:bCs/>
        </w:rPr>
        <w:t>, y puedan ser localizados a través de un buscador funcional a partir de su página principal:</w:t>
      </w:r>
      <w:r w:rsidR="00826CDE">
        <w:rPr>
          <w:rFonts w:cstheme="minorHAnsi"/>
          <w:bCs/>
        </w:rPr>
        <w:t xml:space="preserve"> </w:t>
      </w:r>
      <w:hyperlink r:id="rId16" w:history="1">
        <w:r w:rsidRPr="00532EEB">
          <w:rPr>
            <w:rStyle w:val="Hipervnculo"/>
            <w:bCs/>
          </w:rPr>
          <w:t>https://finanzas.tamaulipas.gob.mx/</w:t>
        </w:r>
      </w:hyperlink>
    </w:p>
    <w:p w14:paraId="73305C20" w14:textId="4135A8AB" w:rsidR="00B47DBD" w:rsidRPr="00532EEB" w:rsidRDefault="00B47DBD" w:rsidP="00F92F32">
      <w:pPr>
        <w:pStyle w:val="Prrafodelista"/>
        <w:numPr>
          <w:ilvl w:val="0"/>
          <w:numId w:val="7"/>
        </w:numPr>
        <w:ind w:left="425" w:hanging="425"/>
        <w:contextualSpacing w:val="0"/>
        <w:rPr>
          <w:rFonts w:cstheme="minorHAnsi"/>
          <w:bCs/>
        </w:rPr>
      </w:pPr>
      <w:r w:rsidRPr="00532EEB">
        <w:rPr>
          <w:rFonts w:cstheme="minorHAnsi"/>
        </w:rPr>
        <w:t xml:space="preserve">Como se expresó </w:t>
      </w:r>
      <w:r w:rsidR="005B6923" w:rsidRPr="00532EEB">
        <w:rPr>
          <w:rFonts w:cstheme="minorHAnsi"/>
        </w:rPr>
        <w:t>antes</w:t>
      </w:r>
      <w:r w:rsidRPr="00532EEB">
        <w:rPr>
          <w:rFonts w:cstheme="minorHAnsi"/>
        </w:rPr>
        <w:t>, la entidad federativa cuenta con un Mecanismo para el Seguimiento</w:t>
      </w:r>
      <w:r w:rsidR="00532EEB">
        <w:rPr>
          <w:rFonts w:cstheme="minorHAnsi"/>
        </w:rPr>
        <w:t xml:space="preserve"> de </w:t>
      </w:r>
      <w:r w:rsidRPr="00532EEB">
        <w:rPr>
          <w:rFonts w:cstheme="minorHAnsi"/>
        </w:rPr>
        <w:t xml:space="preserve">ASM, el cual está publicado en el Periódico Oficial del Estado. Asimismo, en el portal </w:t>
      </w:r>
      <w:hyperlink r:id="rId17" w:history="1">
        <w:r w:rsidRPr="003B0B44">
          <w:rPr>
            <w:rStyle w:val="Hipervnculo"/>
          </w:rPr>
          <w:t>http://transparencia.tamaulipas.gob.mx/transparencia-fiscal/marco-programatico/evaluaciones/</w:t>
        </w:r>
      </w:hyperlink>
      <w:r w:rsidRPr="003B0B44">
        <w:t xml:space="preserve">, se pueden observar los documentos de las evaluaciones realizadas al FAFEF en </w:t>
      </w:r>
      <w:r w:rsidR="00A53C89">
        <w:t>Tamaulipas</w:t>
      </w:r>
      <w:r w:rsidRPr="003B0B44">
        <w:t>.</w:t>
      </w:r>
    </w:p>
    <w:p w14:paraId="214B3535" w14:textId="77777777" w:rsidR="00B47DBD" w:rsidRPr="003B0B44" w:rsidRDefault="00B47DBD" w:rsidP="003B0B44">
      <w:pPr>
        <w:spacing w:after="0"/>
        <w:rPr>
          <w:rFonts w:cstheme="minorHAnsi"/>
        </w:rPr>
      </w:pPr>
      <w:r w:rsidRPr="003B0B44">
        <w:rPr>
          <w:rFonts w:cstheme="minorHAnsi"/>
        </w:rPr>
        <w:t>En el ámbito federal y estatal existen sitios web en los que se pueden observar los principales resultados de la ejecución de los recursos del FAFEF, que pueden ser localizados a través de un buscador funcional, a partir de su página principal.</w:t>
      </w:r>
    </w:p>
    <w:p w14:paraId="39A66C28" w14:textId="5C19B93E" w:rsidR="00B47DBD" w:rsidRPr="003B0B44" w:rsidRDefault="00B47DBD" w:rsidP="003B0B44">
      <w:pPr>
        <w:spacing w:after="0"/>
        <w:rPr>
          <w:rFonts w:cstheme="minorHAnsi"/>
        </w:rPr>
      </w:pPr>
      <w:r w:rsidRPr="003B0B44">
        <w:rPr>
          <w:rFonts w:cstheme="minorHAnsi"/>
        </w:rPr>
        <w:t xml:space="preserve">En el ámbito federal, la información pública acerca del ejercicio de los recursos del FAFEF se puede consultar en el sitio del Portal de Transparencia Presupuestaria: </w:t>
      </w:r>
      <w:hyperlink r:id="rId18" w:history="1">
        <w:r w:rsidRPr="003B0B44">
          <w:rPr>
            <w:rStyle w:val="Hipervnculo"/>
            <w:rFonts w:cstheme="minorHAnsi"/>
          </w:rPr>
          <w:t>https://www.transparenciapresupuestaria.gob.mx/es/PTP/Datos_Abiertos</w:t>
        </w:r>
      </w:hyperlink>
      <w:r w:rsidRPr="003B0B44">
        <w:rPr>
          <w:rFonts w:cstheme="minorHAnsi"/>
        </w:rPr>
        <w:t xml:space="preserve"> </w:t>
      </w:r>
    </w:p>
    <w:p w14:paraId="408FFBA5" w14:textId="77777777" w:rsidR="00B47DBD" w:rsidRPr="003B0B44" w:rsidRDefault="00B47DBD" w:rsidP="003B0B44">
      <w:pPr>
        <w:spacing w:after="0"/>
        <w:rPr>
          <w:rFonts w:cstheme="minorHAnsi"/>
        </w:rPr>
      </w:pPr>
      <w:r w:rsidRPr="003B0B44">
        <w:rPr>
          <w:rFonts w:cstheme="minorHAnsi"/>
        </w:rPr>
        <w:t>En dicho sitio, se señala que de acuerdo al art. 85 de la Ley Federal de Presupuesto y Responsabilidad Hacendaria, las entidades federativas deben de enviar al Ejecutivo Federal, de conformidad con los lineamientos y el sistema de información establecido por la Secretaría de Hacienda y Crédito Público, informes consolidados sobre el ejercicio, destino y los resultados obtenidos, respecto de los recursos federales que les sean transferidos. Lo anterior se realiza a través del Sistema de Recursos Federales Transferidos (SRFT). La Secretaría de Hacienda y Crédito Público, posteriormente, debe de incluir los reportes señalados por entidad federativa en los informes trimestrales.</w:t>
      </w:r>
    </w:p>
    <w:p w14:paraId="4D1B2E8B" w14:textId="6A3B3BB7" w:rsidR="00B47DBD" w:rsidRPr="00306680" w:rsidRDefault="00B47DBD" w:rsidP="003B0B44">
      <w:pPr>
        <w:spacing w:after="0"/>
        <w:rPr>
          <w:rStyle w:val="Hipervnculo"/>
        </w:rPr>
      </w:pPr>
      <w:r w:rsidRPr="003B0B44">
        <w:rPr>
          <w:rFonts w:cstheme="minorHAnsi"/>
        </w:rPr>
        <w:t>En el ámbito estatal, los resultados del ejercicio de los recursos de FAFEF se pueden consultar en el sitio web del Portal Estatal de Transparencia:</w:t>
      </w:r>
      <w:r w:rsidR="00826CDE">
        <w:rPr>
          <w:rFonts w:cstheme="minorHAnsi"/>
        </w:rPr>
        <w:t xml:space="preserve"> </w:t>
      </w:r>
      <w:r w:rsidRPr="00306680">
        <w:rPr>
          <w:rStyle w:val="Hipervnculo"/>
        </w:rPr>
        <w:t>http://transparencia.tamaulipas.gob.mx/</w:t>
      </w:r>
    </w:p>
    <w:p w14:paraId="26D5769F" w14:textId="01956C60" w:rsidR="00B47DBD" w:rsidRPr="003B0B44" w:rsidRDefault="00B47DBD" w:rsidP="003B0B44">
      <w:pPr>
        <w:spacing w:after="0"/>
        <w:rPr>
          <w:rFonts w:cstheme="minorHAnsi"/>
        </w:rPr>
      </w:pPr>
      <w:r w:rsidRPr="003B0B44">
        <w:rPr>
          <w:rFonts w:cstheme="minorHAnsi"/>
        </w:rPr>
        <w:t>En este sitio, se puede consultar los informes trimestrales y definitivo por ejercicio fiscal de los recursos ejercicios del FAFEF en la entidad</w:t>
      </w:r>
      <w:r w:rsidR="00A53C89">
        <w:rPr>
          <w:rFonts w:cstheme="minorHAnsi"/>
        </w:rPr>
        <w:t xml:space="preserve"> federativa</w:t>
      </w:r>
      <w:r w:rsidRPr="003B0B44">
        <w:rPr>
          <w:rFonts w:cstheme="minorHAnsi"/>
        </w:rPr>
        <w:t xml:space="preserve"> en los rubros de nivel financiero, gestión de proyectos e indicadores. </w:t>
      </w:r>
    </w:p>
    <w:p w14:paraId="6634695B" w14:textId="77777777" w:rsidR="00B47DBD" w:rsidRPr="003B0B44" w:rsidRDefault="00B47DBD" w:rsidP="003B0B44">
      <w:pPr>
        <w:spacing w:after="0"/>
        <w:rPr>
          <w:rFonts w:cstheme="minorHAnsi"/>
        </w:rPr>
      </w:pPr>
      <w:r w:rsidRPr="003B0B44">
        <w:rPr>
          <w:rFonts w:cstheme="minorHAnsi"/>
        </w:rPr>
        <w:lastRenderedPageBreak/>
        <w:t>Por otra parte, en el Periódico Oficial se publicaron los Lineamientos Generales para la elaboración de Reglas de Operación de los Programas Presupuestarios(Pp) y Modificaciones a las ya existentes, en las cuales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p>
    <w:p w14:paraId="03BABFB9" w14:textId="26C266E9" w:rsidR="00B47DBD" w:rsidRPr="003B0B44" w:rsidRDefault="00B47DBD" w:rsidP="003B0B44">
      <w:pPr>
        <w:spacing w:after="0"/>
        <w:rPr>
          <w:rFonts w:cstheme="minorHAnsi"/>
        </w:rPr>
      </w:pPr>
      <w:r w:rsidRPr="003B0B44">
        <w:rPr>
          <w:rFonts w:cstheme="minorHAnsi"/>
        </w:rPr>
        <w:t xml:space="preserve">El gobierno del </w:t>
      </w:r>
      <w:r w:rsidR="008376ED">
        <w:rPr>
          <w:rFonts w:cstheme="minorHAnsi"/>
        </w:rPr>
        <w:t>E</w:t>
      </w:r>
      <w:r w:rsidRPr="003B0B44">
        <w:rPr>
          <w:rFonts w:cstheme="minorHAnsi"/>
        </w:rPr>
        <w:t>stado</w:t>
      </w:r>
      <w:r w:rsidR="0010551F">
        <w:rPr>
          <w:rFonts w:cstheme="minorHAnsi"/>
        </w:rPr>
        <w:t>,</w:t>
      </w:r>
      <w:r w:rsidRPr="003B0B44">
        <w:rPr>
          <w:rFonts w:cstheme="minorHAnsi"/>
        </w:rPr>
        <w:t xml:space="preserve"> para la publicación del ejercicio de los recursos del FAFEF 2019</w:t>
      </w:r>
      <w:r w:rsidR="0010551F">
        <w:rPr>
          <w:rFonts w:cstheme="minorHAnsi"/>
        </w:rPr>
        <w:t>,</w:t>
      </w:r>
      <w:r w:rsidRPr="003B0B44">
        <w:rPr>
          <w:rFonts w:cstheme="minorHAnsi"/>
        </w:rPr>
        <w:t xml:space="preserve"> cuenta con el </w:t>
      </w:r>
      <w:r w:rsidR="00E75AD1">
        <w:rPr>
          <w:rFonts w:cstheme="minorHAnsi"/>
        </w:rPr>
        <w:t>Periódico Oficial</w:t>
      </w:r>
      <w:r w:rsidRPr="003B0B44">
        <w:rPr>
          <w:rFonts w:cstheme="minorHAnsi"/>
        </w:rPr>
        <w:t xml:space="preserve"> y el Sistema de Plataforma Única, donde se pueden visualizar la ejecución de los recursos por parte del público en general.</w:t>
      </w:r>
    </w:p>
    <w:p w14:paraId="2E59D2C2" w14:textId="0FEA5330" w:rsidR="00B47DBD" w:rsidRPr="003B0B44" w:rsidRDefault="00B47DBD" w:rsidP="003B0B44">
      <w:pPr>
        <w:spacing w:after="0"/>
        <w:rPr>
          <w:rFonts w:cstheme="minorHAnsi"/>
        </w:rPr>
      </w:pPr>
      <w:r w:rsidRPr="003B0B44">
        <w:rPr>
          <w:rFonts w:cstheme="minorHAnsi"/>
        </w:rPr>
        <w:t xml:space="preserve">Aunado a lo anterior, el gobierno del </w:t>
      </w:r>
      <w:r w:rsidR="0090734E">
        <w:rPr>
          <w:rFonts w:cstheme="minorHAnsi"/>
        </w:rPr>
        <w:t>E</w:t>
      </w:r>
      <w:r w:rsidRPr="003B0B44">
        <w:rPr>
          <w:rFonts w:cstheme="minorHAnsi"/>
        </w:rPr>
        <w:t xml:space="preserve">stado cuenta con un portal de transparencia presupuestaria </w:t>
      </w:r>
      <w:r w:rsidRPr="00B71ABF">
        <w:rPr>
          <w:rStyle w:val="Hipervnculo"/>
          <w:rFonts w:eastAsia="Times New Roman" w:cs="Times New Roman"/>
          <w:lang w:eastAsia="es-MX"/>
        </w:rPr>
        <w:t>(</w:t>
      </w:r>
      <w:hyperlink r:id="rId19" w:history="1">
        <w:r w:rsidRPr="00B71ABF">
          <w:rPr>
            <w:rStyle w:val="Hipervnculo"/>
            <w:rFonts w:eastAsia="Times New Roman" w:cs="Times New Roman"/>
            <w:lang w:eastAsia="es-MX"/>
          </w:rPr>
          <w:t>http://finanzas.tamaulipas.gob.mx/reportes-financieros/informe-de-recursos-federales.php</w:t>
        </w:r>
      </w:hyperlink>
      <w:r w:rsidRPr="00B71ABF">
        <w:rPr>
          <w:rStyle w:val="Hipervnculo"/>
          <w:rFonts w:eastAsia="Times New Roman" w:cs="Times New Roman"/>
          <w:lang w:eastAsia="es-MX"/>
        </w:rPr>
        <w:t>)</w:t>
      </w:r>
      <w:r w:rsidRPr="003B0B44">
        <w:rPr>
          <w:rFonts w:cstheme="minorHAnsi"/>
        </w:rPr>
        <w:t xml:space="preserve">, en el cual las personas pueden acceder y visualizar el Municipio, Tipo de Registro, Ciclo de Recurso, Descripción del Programa, Clave del Programa, Programa Fondo Convenio Específico, Dependencia Ejecutora, Tipo de Gasto, Partida, Aprobado, Modificado y Ejercido. El avance del ejercicio de los recursos económicos transferidos por el Programa, se puede observar de forma trimestral para el caso de 1 indicador, semestral para el caso de 2 indicadores y anual para 1 indicador. Ésta es información que pública la Secretaría de Finanzas del </w:t>
      </w:r>
      <w:r w:rsidR="0090734E">
        <w:rPr>
          <w:rFonts w:cstheme="minorHAnsi"/>
        </w:rPr>
        <w:t>E</w:t>
      </w:r>
      <w:r w:rsidRPr="003B0B44">
        <w:rPr>
          <w:rFonts w:cstheme="minorHAnsi"/>
        </w:rPr>
        <w:t>stado de Tamaulipas en el Periódico Oficial.</w:t>
      </w:r>
    </w:p>
    <w:p w14:paraId="46F718F2" w14:textId="51520047" w:rsidR="00B47DBD" w:rsidRPr="00023DFE" w:rsidRDefault="00B47DBD" w:rsidP="00023DFE">
      <w:pPr>
        <w:pStyle w:val="Prrafodelista"/>
        <w:numPr>
          <w:ilvl w:val="0"/>
          <w:numId w:val="7"/>
        </w:numPr>
        <w:spacing w:after="0"/>
        <w:ind w:left="0" w:firstLine="0"/>
        <w:rPr>
          <w:rFonts w:cstheme="minorHAnsi"/>
        </w:rPr>
      </w:pPr>
      <w:r w:rsidRPr="00023DFE">
        <w:rPr>
          <w:rFonts w:cstheme="minorHAnsi"/>
        </w:rPr>
        <w:t xml:space="preserve">De igual forma, se establece que en el portal de transparencia presupuestaria del gobierno del </w:t>
      </w:r>
      <w:r w:rsidR="00532EEB" w:rsidRPr="00023DFE">
        <w:rPr>
          <w:rFonts w:cstheme="minorHAnsi"/>
        </w:rPr>
        <w:t>E</w:t>
      </w:r>
      <w:r w:rsidRPr="00023DFE">
        <w:rPr>
          <w:rFonts w:cstheme="minorHAnsi"/>
        </w:rPr>
        <w:t xml:space="preserve">stado </w:t>
      </w:r>
      <w:r w:rsidRPr="00023DFE">
        <w:rPr>
          <w:rStyle w:val="Hipervnculo"/>
        </w:rPr>
        <w:t>(</w:t>
      </w:r>
      <w:hyperlink r:id="rId20" w:history="1">
        <w:r w:rsidRPr="00023DFE">
          <w:rPr>
            <w:rStyle w:val="Hipervnculo"/>
            <w:rFonts w:eastAsia="Times New Roman" w:cs="Times New Roman"/>
            <w:lang w:eastAsia="es-MX"/>
          </w:rPr>
          <w:t>http://transparencia.tam</w:t>
        </w:r>
        <w:r w:rsidRPr="00023DFE">
          <w:rPr>
            <w:rStyle w:val="Hipervnculo"/>
          </w:rPr>
          <w:t>aulipas.gob.mx/informacion-publica/tema/recursos-federales/</w:t>
        </w:r>
      </w:hyperlink>
      <w:r w:rsidRPr="00023DFE">
        <w:rPr>
          <w:rStyle w:val="Hipervnculo"/>
        </w:rPr>
        <w:t>)</w:t>
      </w:r>
      <w:r w:rsidRPr="00023DFE">
        <w:rPr>
          <w:rFonts w:cstheme="minorHAnsi"/>
        </w:rPr>
        <w:t xml:space="preserve"> el público en general puede visualizar los teléfonos ((834) 318.8000, (834)318.8700 y 01.800.6333333) y la dirección de las oficinas de Gobierno (Juárez 15 y 16 Palacio de Gobierno 3er Piso Cd. Victoria, Tamaulipas, México C.P. 87000) donde pueden recibir toda la información</w:t>
      </w:r>
      <w:r w:rsidR="00023DFE" w:rsidRPr="00023DFE">
        <w:rPr>
          <w:rFonts w:cstheme="minorHAnsi"/>
        </w:rPr>
        <w:t>, pero no se encuentra señalado algún contacto directo para dudas sobre el Fondo o recursos de Ramo 33.</w:t>
      </w:r>
      <w:r w:rsidRPr="00023DFE">
        <w:rPr>
          <w:rFonts w:cstheme="minorHAnsi"/>
        </w:rPr>
        <w:t xml:space="preserve"> </w:t>
      </w:r>
    </w:p>
    <w:p w14:paraId="4267E9C2" w14:textId="77777777" w:rsidR="00B47DBD" w:rsidRPr="003B0B44" w:rsidRDefault="00B47DBD" w:rsidP="003B0B44">
      <w:pPr>
        <w:spacing w:before="0" w:after="160"/>
        <w:jc w:val="left"/>
        <w:rPr>
          <w:rFonts w:cstheme="minorHAnsi"/>
        </w:rPr>
      </w:pPr>
      <w:r w:rsidRPr="003B0B44">
        <w:rPr>
          <w:rFonts w:cstheme="minorHAnsi"/>
        </w:rPr>
        <w:br w:type="page"/>
      </w:r>
    </w:p>
    <w:p w14:paraId="35D95109" w14:textId="4DC12073" w:rsidR="005018A3" w:rsidRPr="00CE61C6" w:rsidRDefault="00C67B64" w:rsidP="00C67B64">
      <w:pPr>
        <w:spacing w:before="0" w:after="0"/>
        <w:contextualSpacing/>
        <w:rPr>
          <w:rFonts w:cstheme="minorHAnsi"/>
          <w:b/>
        </w:rPr>
      </w:pPr>
      <w:r>
        <w:rPr>
          <w:rFonts w:cstheme="minorHAnsi"/>
          <w:b/>
        </w:rPr>
        <w:lastRenderedPageBreak/>
        <w:t xml:space="preserve">25. </w:t>
      </w:r>
      <w:r w:rsidR="005018A3" w:rsidRPr="00CE61C6">
        <w:rPr>
          <w:rFonts w:cstheme="minorHAnsi"/>
          <w:b/>
        </w:rPr>
        <w:t>¿La información con que cuenta la entidad federativa para monitorear el desempeño del FAFEF cumple con las siguientes características:</w:t>
      </w:r>
    </w:p>
    <w:p w14:paraId="6D068941" w14:textId="77777777" w:rsidR="005018A3" w:rsidRPr="005018A3" w:rsidRDefault="005018A3" w:rsidP="00F92F32">
      <w:pPr>
        <w:numPr>
          <w:ilvl w:val="0"/>
          <w:numId w:val="27"/>
        </w:numPr>
        <w:spacing w:before="0" w:after="0"/>
        <w:rPr>
          <w:rFonts w:cstheme="minorHAnsi"/>
          <w:b/>
        </w:rPr>
      </w:pPr>
      <w:r w:rsidRPr="005018A3">
        <w:rPr>
          <w:rFonts w:cstheme="minorHAnsi"/>
          <w:b/>
        </w:rPr>
        <w:t>Es oportuna;</w:t>
      </w:r>
    </w:p>
    <w:p w14:paraId="2ECC6B4A" w14:textId="77777777" w:rsidR="005018A3" w:rsidRPr="005018A3" w:rsidRDefault="005018A3" w:rsidP="00F92F32">
      <w:pPr>
        <w:numPr>
          <w:ilvl w:val="0"/>
          <w:numId w:val="27"/>
        </w:numPr>
        <w:spacing w:before="0" w:after="0"/>
        <w:rPr>
          <w:rFonts w:cstheme="minorHAnsi"/>
          <w:b/>
        </w:rPr>
      </w:pPr>
      <w:r w:rsidRPr="005018A3">
        <w:rPr>
          <w:rFonts w:cstheme="minorHAnsi"/>
          <w:b/>
        </w:rPr>
        <w:t>Es confiable, es decir, está validada o revisada por quienes la integran;</w:t>
      </w:r>
    </w:p>
    <w:p w14:paraId="733CC647" w14:textId="77777777" w:rsidR="005018A3" w:rsidRPr="005018A3" w:rsidRDefault="005018A3" w:rsidP="00F92F32">
      <w:pPr>
        <w:numPr>
          <w:ilvl w:val="0"/>
          <w:numId w:val="27"/>
        </w:numPr>
        <w:spacing w:before="0" w:after="0"/>
        <w:rPr>
          <w:rFonts w:cstheme="minorHAnsi"/>
          <w:b/>
        </w:rPr>
      </w:pPr>
      <w:r w:rsidRPr="005018A3">
        <w:rPr>
          <w:rFonts w:cstheme="minorHAnsi"/>
          <w:b/>
        </w:rPr>
        <w:t>Está sistematizada;</w:t>
      </w:r>
    </w:p>
    <w:p w14:paraId="7D8F8E2C" w14:textId="77777777" w:rsidR="005018A3" w:rsidRPr="005018A3" w:rsidRDefault="005018A3" w:rsidP="00F92F32">
      <w:pPr>
        <w:numPr>
          <w:ilvl w:val="0"/>
          <w:numId w:val="27"/>
        </w:numPr>
        <w:spacing w:before="0" w:after="0"/>
        <w:rPr>
          <w:rFonts w:cstheme="minorHAnsi"/>
          <w:b/>
        </w:rPr>
      </w:pPr>
      <w:r w:rsidRPr="005018A3">
        <w:rPr>
          <w:rFonts w:cstheme="minorHAnsi"/>
          <w:b/>
        </w:rPr>
        <w:t>Es pertinente respecto de su gestión, es decir, permite medir los indicadores a nivel de actividades y componentes;</w:t>
      </w:r>
    </w:p>
    <w:p w14:paraId="074E1BE8" w14:textId="239E4D9B" w:rsidR="005018A3" w:rsidRDefault="005018A3" w:rsidP="00F92F32">
      <w:pPr>
        <w:numPr>
          <w:ilvl w:val="0"/>
          <w:numId w:val="27"/>
        </w:numPr>
        <w:spacing w:before="0"/>
        <w:ind w:left="641" w:hanging="357"/>
        <w:rPr>
          <w:rFonts w:cstheme="minorHAnsi"/>
          <w:b/>
        </w:rPr>
      </w:pPr>
      <w:r w:rsidRPr="005018A3">
        <w:rPr>
          <w:rFonts w:cstheme="minorHAnsi"/>
          <w:b/>
        </w:rPr>
        <w:t>Está actualizada y disponible para monitorear de manera permanente al Fondo?</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3"/>
        <w:gridCol w:w="1055"/>
        <w:gridCol w:w="7554"/>
      </w:tblGrid>
      <w:tr w:rsidR="00D105A8" w:rsidRPr="00C67B64" w14:paraId="3492B61A" w14:textId="77777777" w:rsidTr="0046655F">
        <w:trPr>
          <w:trHeight w:val="260"/>
          <w:jc w:val="center"/>
        </w:trPr>
        <w:tc>
          <w:tcPr>
            <w:tcW w:w="675" w:type="pct"/>
            <w:shd w:val="clear" w:color="auto" w:fill="FFFFFF"/>
            <w:vAlign w:val="center"/>
          </w:tcPr>
          <w:p w14:paraId="0F422372" w14:textId="77777777" w:rsidR="00D105A8" w:rsidRPr="00C67B64" w:rsidRDefault="00D105A8"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Respuesta</w:t>
            </w:r>
          </w:p>
        </w:tc>
        <w:tc>
          <w:tcPr>
            <w:tcW w:w="530" w:type="pct"/>
            <w:shd w:val="clear" w:color="auto" w:fill="FFFFFF"/>
            <w:vAlign w:val="center"/>
          </w:tcPr>
          <w:p w14:paraId="77567DCA" w14:textId="77777777" w:rsidR="00D105A8" w:rsidRPr="00C67B64" w:rsidRDefault="00D105A8" w:rsidP="00D105A8">
            <w:pPr>
              <w:pBdr>
                <w:top w:val="nil"/>
                <w:left w:val="nil"/>
                <w:bottom w:val="nil"/>
                <w:right w:val="nil"/>
                <w:between w:val="nil"/>
              </w:pBdr>
              <w:spacing w:before="0" w:after="0"/>
              <w:ind w:left="12"/>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Nivel</w:t>
            </w:r>
          </w:p>
        </w:tc>
        <w:tc>
          <w:tcPr>
            <w:tcW w:w="3795" w:type="pct"/>
            <w:shd w:val="clear" w:color="auto" w:fill="FFFFFF"/>
            <w:vAlign w:val="center"/>
          </w:tcPr>
          <w:p w14:paraId="4C24A31F" w14:textId="77777777" w:rsidR="00D105A8" w:rsidRPr="00C67B64" w:rsidRDefault="00D105A8" w:rsidP="00D105A8">
            <w:pPr>
              <w:pBdr>
                <w:top w:val="nil"/>
                <w:left w:val="nil"/>
                <w:bottom w:val="nil"/>
                <w:right w:val="nil"/>
                <w:between w:val="nil"/>
              </w:pBdr>
              <w:spacing w:before="0" w:after="0"/>
              <w:ind w:firstLine="20"/>
              <w:jc w:val="center"/>
              <w:rPr>
                <w:rFonts w:ascii="Calibri" w:eastAsia="Calibri" w:hAnsi="Calibri" w:cs="Calibri"/>
                <w:b/>
                <w:color w:val="000000"/>
                <w:sz w:val="20"/>
                <w:szCs w:val="20"/>
                <w:lang w:eastAsia="es-MX"/>
              </w:rPr>
            </w:pPr>
            <w:r w:rsidRPr="00C67B64">
              <w:rPr>
                <w:rFonts w:ascii="Calibri" w:eastAsia="Calibri" w:hAnsi="Calibri" w:cs="Calibri"/>
                <w:b/>
                <w:color w:val="000000"/>
                <w:sz w:val="20"/>
                <w:szCs w:val="20"/>
                <w:lang w:eastAsia="es-MX"/>
              </w:rPr>
              <w:t>Criterios</w:t>
            </w:r>
          </w:p>
        </w:tc>
      </w:tr>
      <w:tr w:rsidR="005018A3" w:rsidRPr="00C67B64" w14:paraId="1BBC5E0E" w14:textId="77777777" w:rsidTr="0046655F">
        <w:trPr>
          <w:trHeight w:val="400"/>
          <w:jc w:val="center"/>
        </w:trPr>
        <w:tc>
          <w:tcPr>
            <w:tcW w:w="675" w:type="pct"/>
            <w:shd w:val="clear" w:color="auto" w:fill="FFFFFF"/>
            <w:vAlign w:val="center"/>
          </w:tcPr>
          <w:p w14:paraId="5A9158BD" w14:textId="7FEACC04" w:rsidR="005018A3" w:rsidRPr="00C67B64" w:rsidRDefault="00157E10" w:rsidP="00D105A8">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Pr>
                <w:rFonts w:ascii="Calibri" w:eastAsia="Calibri" w:hAnsi="Calibri" w:cs="Calibri"/>
                <w:color w:val="000000"/>
                <w:sz w:val="20"/>
                <w:szCs w:val="20"/>
                <w:lang w:eastAsia="es-MX"/>
              </w:rPr>
              <w:t>Sí</w:t>
            </w:r>
          </w:p>
        </w:tc>
        <w:tc>
          <w:tcPr>
            <w:tcW w:w="530" w:type="pct"/>
            <w:shd w:val="clear" w:color="auto" w:fill="FFFFFF"/>
            <w:vAlign w:val="center"/>
          </w:tcPr>
          <w:p w14:paraId="1506331D" w14:textId="6CB5E0BE" w:rsidR="005018A3" w:rsidRPr="00C67B64" w:rsidRDefault="00EA2AFD" w:rsidP="00D105A8">
            <w:pPr>
              <w:pBdr>
                <w:top w:val="nil"/>
                <w:left w:val="nil"/>
                <w:bottom w:val="nil"/>
                <w:right w:val="nil"/>
                <w:between w:val="nil"/>
              </w:pBdr>
              <w:shd w:val="clear" w:color="auto" w:fill="FFFFFF"/>
              <w:spacing w:before="0" w:after="0"/>
              <w:ind w:firstLine="7"/>
              <w:jc w:val="center"/>
              <w:rPr>
                <w:rFonts w:ascii="Calibri" w:eastAsia="Calibri" w:hAnsi="Calibri" w:cs="Calibri"/>
                <w:color w:val="000000"/>
                <w:sz w:val="20"/>
                <w:szCs w:val="20"/>
                <w:lang w:eastAsia="es-MX"/>
              </w:rPr>
            </w:pPr>
            <w:r>
              <w:rPr>
                <w:rFonts w:ascii="Calibri" w:eastAsia="Calibri" w:hAnsi="Calibri" w:cs="Calibri"/>
                <w:color w:val="000000"/>
                <w:sz w:val="20"/>
                <w:szCs w:val="20"/>
                <w:lang w:eastAsia="es-MX"/>
              </w:rPr>
              <w:t>3</w:t>
            </w:r>
          </w:p>
        </w:tc>
        <w:tc>
          <w:tcPr>
            <w:tcW w:w="3795" w:type="pct"/>
            <w:shd w:val="clear" w:color="auto" w:fill="FFFFFF"/>
            <w:vAlign w:val="center"/>
          </w:tcPr>
          <w:p w14:paraId="29E39AF4" w14:textId="4407B0F2" w:rsidR="005018A3" w:rsidRPr="00C67B64" w:rsidRDefault="000E0A6E" w:rsidP="00EE1D95">
            <w:pPr>
              <w:pStyle w:val="Prrafodelista1"/>
              <w:overflowPunct w:val="0"/>
              <w:autoSpaceDE w:val="0"/>
              <w:autoSpaceDN w:val="0"/>
              <w:adjustRightInd w:val="0"/>
              <w:spacing w:line="256" w:lineRule="auto"/>
              <w:ind w:left="0"/>
              <w:contextualSpacing/>
              <w:textAlignment w:val="baseline"/>
              <w:rPr>
                <w:rFonts w:cstheme="minorHAnsi"/>
                <w:sz w:val="20"/>
                <w:szCs w:val="20"/>
                <w:lang w:eastAsia="es-MX"/>
              </w:rPr>
            </w:pPr>
            <w:r w:rsidRPr="00C67B64">
              <w:rPr>
                <w:rFonts w:cstheme="minorHAnsi"/>
                <w:sz w:val="20"/>
                <w:szCs w:val="20"/>
                <w:lang w:eastAsia="es-MX"/>
              </w:rPr>
              <w:t xml:space="preserve">La información con la que cuenta la entidad federativa cumple con </w:t>
            </w:r>
            <w:r w:rsidR="00AB4666" w:rsidRPr="000D117B">
              <w:rPr>
                <w:rFonts w:cstheme="minorHAnsi"/>
                <w:b/>
                <w:bCs/>
                <w:sz w:val="20"/>
                <w:szCs w:val="20"/>
                <w:lang w:eastAsia="es-MX"/>
              </w:rPr>
              <w:t>cinco</w:t>
            </w:r>
            <w:r w:rsidRPr="00EA2AFD">
              <w:rPr>
                <w:rFonts w:cstheme="minorHAnsi"/>
                <w:sz w:val="20"/>
                <w:szCs w:val="20"/>
                <w:lang w:eastAsia="es-MX"/>
              </w:rPr>
              <w:t xml:space="preserve"> </w:t>
            </w:r>
            <w:r w:rsidRPr="00C67B64">
              <w:rPr>
                <w:rFonts w:cstheme="minorHAnsi"/>
                <w:sz w:val="20"/>
                <w:szCs w:val="20"/>
                <w:lang w:eastAsia="es-MX"/>
              </w:rPr>
              <w:t>de las características establecidas en la pregunta.</w:t>
            </w:r>
          </w:p>
        </w:tc>
      </w:tr>
    </w:tbl>
    <w:p w14:paraId="5A3F844D" w14:textId="1149F2C2" w:rsidR="00CE3D4D" w:rsidRPr="000E0A6E" w:rsidRDefault="000327AE" w:rsidP="00F202FD">
      <w:pPr>
        <w:spacing w:after="0"/>
        <w:rPr>
          <w:rFonts w:cstheme="minorHAnsi"/>
          <w:bCs/>
        </w:rPr>
      </w:pPr>
      <w:r w:rsidRPr="00264F92">
        <w:rPr>
          <w:rFonts w:cstheme="minorHAnsi"/>
          <w:bCs/>
        </w:rPr>
        <w:t xml:space="preserve">Como se ha mencionado </w:t>
      </w:r>
      <w:r w:rsidR="00ED3387">
        <w:rPr>
          <w:rFonts w:cstheme="minorHAnsi"/>
          <w:bCs/>
        </w:rPr>
        <w:t>en párrafos anteriores</w:t>
      </w:r>
      <w:r w:rsidRPr="00264F92">
        <w:rPr>
          <w:rFonts w:cstheme="minorHAnsi"/>
          <w:bCs/>
        </w:rPr>
        <w:t xml:space="preserve">, el Estado no cuenta con una MIR </w:t>
      </w:r>
      <w:r w:rsidR="00A723DB" w:rsidRPr="00264F92">
        <w:rPr>
          <w:rFonts w:cstheme="minorHAnsi"/>
          <w:bCs/>
        </w:rPr>
        <w:t xml:space="preserve">estatal para el FAFEF </w:t>
      </w:r>
      <w:r w:rsidR="00F202FD" w:rsidRPr="00264F92">
        <w:rPr>
          <w:rFonts w:cstheme="minorHAnsi"/>
          <w:bCs/>
        </w:rPr>
        <w:t xml:space="preserve">y </w:t>
      </w:r>
      <w:r w:rsidR="00F202FD" w:rsidRPr="000E0A6E">
        <w:rPr>
          <w:rFonts w:cstheme="minorHAnsi"/>
          <w:bCs/>
        </w:rPr>
        <w:t xml:space="preserve">no existe un apartado específico en las páginas de transparencia del Estado donde se publiquen explícitamente los resultados del FAFEF. </w:t>
      </w:r>
    </w:p>
    <w:p w14:paraId="4A7DD031" w14:textId="50F5C073" w:rsidR="00F202FD" w:rsidRPr="000E0A6E" w:rsidRDefault="00F202FD" w:rsidP="00F202FD">
      <w:pPr>
        <w:spacing w:after="0"/>
      </w:pPr>
      <w:r w:rsidRPr="000E0A6E">
        <w:rPr>
          <w:rFonts w:cstheme="minorHAnsi"/>
          <w:bCs/>
        </w:rPr>
        <w:t>Sin embargo y derivado de que los recursos del FAFEF en la entidad</w:t>
      </w:r>
      <w:r w:rsidR="00A53C89">
        <w:rPr>
          <w:rFonts w:cstheme="minorHAnsi"/>
          <w:bCs/>
        </w:rPr>
        <w:t xml:space="preserve"> federativa</w:t>
      </w:r>
      <w:r w:rsidRPr="000E0A6E">
        <w:rPr>
          <w:rFonts w:cstheme="minorHAnsi"/>
          <w:bCs/>
        </w:rPr>
        <w:t xml:space="preserve"> se destinan a financiar los Pp</w:t>
      </w:r>
      <w:r w:rsidRPr="000E0A6E">
        <w:t>, para responder esta pregunta se considera solamente la información de los Pp que reciben recursos del Fondo.</w:t>
      </w:r>
    </w:p>
    <w:p w14:paraId="6DFD85A2" w14:textId="1E901589" w:rsidR="000E0A6E" w:rsidRPr="00421F57" w:rsidRDefault="00F202FD" w:rsidP="00F92F32">
      <w:pPr>
        <w:pStyle w:val="Prrafodelista"/>
        <w:numPr>
          <w:ilvl w:val="0"/>
          <w:numId w:val="8"/>
        </w:numPr>
        <w:spacing w:after="0"/>
        <w:ind w:left="714" w:hanging="357"/>
        <w:contextualSpacing w:val="0"/>
        <w:rPr>
          <w:rFonts w:cstheme="minorHAnsi"/>
          <w:bCs/>
        </w:rPr>
      </w:pPr>
      <w:r w:rsidRPr="00421F57">
        <w:rPr>
          <w:rFonts w:cstheme="minorHAnsi"/>
        </w:rPr>
        <w:t xml:space="preserve">Se considera que la </w:t>
      </w:r>
      <w:r w:rsidR="00CE3D4D" w:rsidRPr="00421F57">
        <w:rPr>
          <w:rFonts w:cstheme="minorHAnsi"/>
        </w:rPr>
        <w:t xml:space="preserve">información </w:t>
      </w:r>
      <w:r w:rsidRPr="00421F57">
        <w:rPr>
          <w:rFonts w:cstheme="minorHAnsi"/>
        </w:rPr>
        <w:t>con que cuenta la entidad</w:t>
      </w:r>
      <w:r w:rsidR="00A53C89">
        <w:rPr>
          <w:rFonts w:cstheme="minorHAnsi"/>
        </w:rPr>
        <w:t xml:space="preserve"> federativa</w:t>
      </w:r>
      <w:r w:rsidRPr="00421F57">
        <w:rPr>
          <w:rFonts w:cstheme="minorHAnsi"/>
        </w:rPr>
        <w:t xml:space="preserve"> es oportuna, dado que cada uno de los Pp que reciben recursos del FAFEF como parte de su presupuesto y que forman parte de la</w:t>
      </w:r>
      <w:r w:rsidR="00FB659E" w:rsidRPr="00421F57">
        <w:rPr>
          <w:rFonts w:cstheme="minorHAnsi"/>
        </w:rPr>
        <w:t xml:space="preserve"> </w:t>
      </w:r>
      <w:r w:rsidRPr="00421F57">
        <w:rPr>
          <w:rFonts w:cstheme="minorHAnsi"/>
        </w:rPr>
        <w:t>estructura programática estata</w:t>
      </w:r>
      <w:r w:rsidR="00FB659E" w:rsidRPr="00421F57">
        <w:rPr>
          <w:rFonts w:cstheme="minorHAnsi"/>
        </w:rPr>
        <w:t xml:space="preserve">l, </w:t>
      </w:r>
      <w:r w:rsidRPr="00421F57">
        <w:rPr>
          <w:rFonts w:cstheme="minorHAnsi"/>
        </w:rPr>
        <w:t>reportan sus avances en el ejercicio de los recursos en forma trimestral</w:t>
      </w:r>
      <w:r w:rsidR="00C1265D" w:rsidRPr="00421F57">
        <w:rPr>
          <w:rFonts w:cstheme="minorHAnsi"/>
        </w:rPr>
        <w:t xml:space="preserve"> semestral o anual</w:t>
      </w:r>
      <w:r w:rsidRPr="00421F57">
        <w:rPr>
          <w:rFonts w:cstheme="minorHAnsi"/>
        </w:rPr>
        <w:t>.</w:t>
      </w:r>
      <w:r w:rsidR="00421F57" w:rsidRPr="00421F57">
        <w:rPr>
          <w:rFonts w:cstheme="minorHAnsi"/>
        </w:rPr>
        <w:t xml:space="preserve"> </w:t>
      </w:r>
      <w:r w:rsidR="000E0A6E" w:rsidRPr="00421F57">
        <w:rPr>
          <w:rFonts w:cstheme="minorHAnsi"/>
          <w:bCs/>
        </w:rPr>
        <w:t>La información con la que se cuenta en el Estado para monitorear el desempeño del FAFEF</w:t>
      </w:r>
      <w:r w:rsidR="00826CDE">
        <w:rPr>
          <w:rFonts w:cstheme="minorHAnsi"/>
          <w:bCs/>
        </w:rPr>
        <w:t xml:space="preserve"> </w:t>
      </w:r>
      <w:r w:rsidR="000E0A6E" w:rsidRPr="00421F57">
        <w:rPr>
          <w:rFonts w:cstheme="minorHAnsi"/>
          <w:bCs/>
        </w:rPr>
        <w:t>es oportuna dado que se presenta de manera trimestral para el caso del Índice en el Ejercicio de Recursos, Semestral para el índice de Fortalecimiento Financiero y el índice Impulso al Gasto de Inversión y en el caso del índice de Impacto de Deuda Pública la información se presenta en forma anual, estos son los tiempos en los que se emiten los avances, lo que refleja la aplicación de los recurso en</w:t>
      </w:r>
      <w:r w:rsidR="00A53C89">
        <w:rPr>
          <w:rFonts w:cstheme="minorHAnsi"/>
          <w:bCs/>
        </w:rPr>
        <w:t xml:space="preserve"> Tamaulipas</w:t>
      </w:r>
      <w:r w:rsidR="00C1265D" w:rsidRPr="00421F57">
        <w:rPr>
          <w:rFonts w:cstheme="minorHAnsi"/>
          <w:bCs/>
        </w:rPr>
        <w:t>.</w:t>
      </w:r>
    </w:p>
    <w:p w14:paraId="08B4DE45" w14:textId="5B59A917" w:rsidR="00C1265D" w:rsidRPr="00421F57" w:rsidRDefault="00F202FD" w:rsidP="00F92F32">
      <w:pPr>
        <w:pStyle w:val="Prrafodelista"/>
        <w:numPr>
          <w:ilvl w:val="0"/>
          <w:numId w:val="8"/>
        </w:numPr>
        <w:spacing w:after="0"/>
        <w:ind w:left="714" w:hanging="357"/>
        <w:contextualSpacing w:val="0"/>
        <w:rPr>
          <w:rFonts w:cstheme="minorHAnsi"/>
          <w:bCs/>
        </w:rPr>
      </w:pPr>
      <w:r w:rsidRPr="00421F57">
        <w:rPr>
          <w:rFonts w:cstheme="minorHAnsi"/>
        </w:rPr>
        <w:t xml:space="preserve">También se considera que dicha información es confiable, </w:t>
      </w:r>
      <w:r w:rsidR="00FB659E" w:rsidRPr="00421F57">
        <w:rPr>
          <w:rFonts w:cstheme="minorHAnsi"/>
        </w:rPr>
        <w:t xml:space="preserve">puesto que es procesada y validada por las dependencias o entidades </w:t>
      </w:r>
      <w:r w:rsidR="00CE3D4D" w:rsidRPr="00421F57">
        <w:rPr>
          <w:rFonts w:cstheme="minorHAnsi"/>
        </w:rPr>
        <w:t xml:space="preserve">responsables de la ejecución </w:t>
      </w:r>
      <w:r w:rsidR="00FB659E" w:rsidRPr="00421F57">
        <w:rPr>
          <w:rFonts w:cstheme="minorHAnsi"/>
        </w:rPr>
        <w:t xml:space="preserve">de los </w:t>
      </w:r>
      <w:r w:rsidR="00CE3D4D" w:rsidRPr="00421F57">
        <w:rPr>
          <w:rFonts w:cstheme="minorHAnsi"/>
        </w:rPr>
        <w:t xml:space="preserve">Pp seleccionados que reciben </w:t>
      </w:r>
      <w:r w:rsidR="00FB659E" w:rsidRPr="00421F57">
        <w:rPr>
          <w:rFonts w:cstheme="minorHAnsi"/>
        </w:rPr>
        <w:t>recursos del FAFEF.</w:t>
      </w:r>
      <w:r w:rsidR="00421F57" w:rsidRPr="00421F57">
        <w:rPr>
          <w:rFonts w:cstheme="minorHAnsi"/>
        </w:rPr>
        <w:t xml:space="preserve"> </w:t>
      </w:r>
      <w:r w:rsidR="00C1265D" w:rsidRPr="00421F57">
        <w:rPr>
          <w:rFonts w:cstheme="minorHAnsi"/>
          <w:bCs/>
        </w:rPr>
        <w:t>Además de lo anterior, se asume que la información es confiable dado que también es validada por el Grupo de Trabajo de la Subsecretaría de Egresos, en el cual participan todos los Directores de Área (Direcciones de Planeación y Control Hacendario (DPCH), de Contabilidad (DC), de Planeación Estratégica (DPE) y de la Unidad de Inversión (DUI)), Dirección de Administración y Recursos Financieros, Subsecretaria de Innovación y Tecnologías, y el titular de dicha Subsecretaría.</w:t>
      </w:r>
    </w:p>
    <w:p w14:paraId="6A916E31" w14:textId="0CB9B27A" w:rsidR="00CE3D4D" w:rsidRPr="00264F92" w:rsidRDefault="00FB659E" w:rsidP="00F92F32">
      <w:pPr>
        <w:pStyle w:val="Prrafodelista"/>
        <w:numPr>
          <w:ilvl w:val="0"/>
          <w:numId w:val="8"/>
        </w:numPr>
        <w:ind w:left="714" w:hanging="357"/>
        <w:contextualSpacing w:val="0"/>
        <w:rPr>
          <w:rFonts w:cstheme="minorHAnsi"/>
        </w:rPr>
      </w:pPr>
      <w:r w:rsidRPr="00264F92">
        <w:rPr>
          <w:rFonts w:cstheme="minorHAnsi"/>
        </w:rPr>
        <w:t>Dich</w:t>
      </w:r>
      <w:r w:rsidR="00CE3D4D" w:rsidRPr="00264F92">
        <w:rPr>
          <w:rFonts w:cstheme="minorHAnsi"/>
        </w:rPr>
        <w:t>a</w:t>
      </w:r>
      <w:r w:rsidRPr="00264F92">
        <w:rPr>
          <w:rFonts w:cstheme="minorHAnsi"/>
        </w:rPr>
        <w:t xml:space="preserve"> información</w:t>
      </w:r>
      <w:r w:rsidR="00CE3D4D" w:rsidRPr="00264F92">
        <w:rPr>
          <w:rFonts w:cstheme="minorHAnsi"/>
        </w:rPr>
        <w:t xml:space="preserve"> está sistematizada, ya que como se refirió antes, es capturada por las dependencias o entidades ejecutoras de los recursos del FAFEF a través de los Pp seleccionados</w:t>
      </w:r>
      <w:r w:rsidR="00421F57">
        <w:rPr>
          <w:rFonts w:cstheme="minorHAnsi"/>
        </w:rPr>
        <w:t xml:space="preserve"> </w:t>
      </w:r>
      <w:r w:rsidR="00421F57" w:rsidRPr="00264F92">
        <w:rPr>
          <w:rFonts w:cstheme="minorHAnsi"/>
          <w:bCs/>
        </w:rPr>
        <w:t xml:space="preserve">y permite medir los indicadores hasta el nivel de actividad y componente, dado </w:t>
      </w:r>
      <w:r w:rsidR="00421F57">
        <w:rPr>
          <w:rFonts w:cstheme="minorHAnsi"/>
          <w:bCs/>
        </w:rPr>
        <w:t>que se desglosa</w:t>
      </w:r>
      <w:r w:rsidR="00421F57" w:rsidRPr="00264F92">
        <w:rPr>
          <w:rFonts w:cstheme="minorHAnsi"/>
          <w:bCs/>
        </w:rPr>
        <w:t xml:space="preserve"> desde nivel municipio, localidad, si es urbana o rural, tipo de registro, descripción del Programa, hasta el tipo de gasto y partida en la que se realiza.</w:t>
      </w:r>
      <w:r w:rsidR="00CE3D4D" w:rsidRPr="00264F92">
        <w:rPr>
          <w:rFonts w:cstheme="minorHAnsi"/>
        </w:rPr>
        <w:t xml:space="preserve"> </w:t>
      </w:r>
    </w:p>
    <w:p w14:paraId="3CD7DB55" w14:textId="115B82FE" w:rsidR="00FB659E" w:rsidRPr="00264F92" w:rsidRDefault="00CE3D4D" w:rsidP="00F92F32">
      <w:pPr>
        <w:pStyle w:val="Prrafodelista"/>
        <w:numPr>
          <w:ilvl w:val="0"/>
          <w:numId w:val="8"/>
        </w:numPr>
        <w:ind w:left="714" w:hanging="357"/>
        <w:contextualSpacing w:val="0"/>
        <w:rPr>
          <w:rFonts w:cstheme="minorHAnsi"/>
        </w:rPr>
      </w:pPr>
      <w:r w:rsidRPr="00264F92">
        <w:rPr>
          <w:rFonts w:cstheme="minorHAnsi"/>
        </w:rPr>
        <w:t>Respecto a la pertinencia</w:t>
      </w:r>
      <w:r w:rsidR="000E0A6E" w:rsidRPr="00264F92">
        <w:rPr>
          <w:rFonts w:cstheme="minorHAnsi"/>
        </w:rPr>
        <w:t>,</w:t>
      </w:r>
      <w:r w:rsidRPr="00264F92">
        <w:rPr>
          <w:rFonts w:cstheme="minorHAnsi"/>
        </w:rPr>
        <w:t xml:space="preserve"> la info</w:t>
      </w:r>
      <w:r w:rsidR="000E0A6E" w:rsidRPr="00264F92">
        <w:rPr>
          <w:rFonts w:cstheme="minorHAnsi"/>
        </w:rPr>
        <w:t>r</w:t>
      </w:r>
      <w:r w:rsidRPr="00264F92">
        <w:rPr>
          <w:rFonts w:cstheme="minorHAnsi"/>
        </w:rPr>
        <w:t>mación</w:t>
      </w:r>
      <w:r w:rsidR="000E0A6E" w:rsidRPr="00264F92">
        <w:rPr>
          <w:rFonts w:cstheme="minorHAnsi"/>
        </w:rPr>
        <w:t xml:space="preserve"> disponible permite </w:t>
      </w:r>
      <w:r w:rsidR="00C1265D" w:rsidRPr="00264F92">
        <w:rPr>
          <w:rFonts w:cstheme="minorHAnsi"/>
        </w:rPr>
        <w:t>medir</w:t>
      </w:r>
      <w:r w:rsidR="000E0A6E" w:rsidRPr="00264F92">
        <w:rPr>
          <w:rFonts w:cstheme="minorHAnsi"/>
        </w:rPr>
        <w:t xml:space="preserve"> los indicadores a nivel de actividades y componentes.</w:t>
      </w:r>
    </w:p>
    <w:p w14:paraId="6E62F6DD" w14:textId="4B00A7AB" w:rsidR="005018A3" w:rsidRPr="00421F57" w:rsidRDefault="000E0A6E" w:rsidP="00F92F32">
      <w:pPr>
        <w:pStyle w:val="Prrafodelista"/>
        <w:numPr>
          <w:ilvl w:val="0"/>
          <w:numId w:val="8"/>
        </w:numPr>
        <w:spacing w:after="0"/>
        <w:ind w:left="714" w:hanging="357"/>
        <w:contextualSpacing w:val="0"/>
        <w:rPr>
          <w:rFonts w:ascii="Soberana Sans Light" w:hAnsi="Soberana Sans Light" w:cstheme="minorHAnsi"/>
          <w:sz w:val="24"/>
          <w:szCs w:val="24"/>
        </w:rPr>
      </w:pPr>
      <w:r w:rsidRPr="00264F92">
        <w:rPr>
          <w:rFonts w:cstheme="minorHAnsi"/>
        </w:rPr>
        <w:t>La información, con la limitante anterior, está actualizada y disponible para monitorear de manera permanente el ejercicio de los recursos del Fondo.</w:t>
      </w:r>
    </w:p>
    <w:p w14:paraId="65A563E9" w14:textId="43B60DC2" w:rsidR="005018A3" w:rsidRDefault="00421F57" w:rsidP="005018A3">
      <w:pPr>
        <w:spacing w:after="0"/>
        <w:rPr>
          <w:rFonts w:ascii="Soberana Sans Light" w:hAnsi="Soberana Sans Light" w:cstheme="minorHAnsi"/>
          <w:sz w:val="24"/>
          <w:szCs w:val="24"/>
        </w:rPr>
      </w:pPr>
      <w:r w:rsidRPr="00374952">
        <w:rPr>
          <w:rFonts w:cstheme="minorHAnsi"/>
          <w:bCs/>
        </w:rPr>
        <w:t xml:space="preserve">Dado que el monitoreo detallado se da a nivel de Pp </w:t>
      </w:r>
      <w:bookmarkStart w:id="109" w:name="_Hlk53118928"/>
      <w:r w:rsidRPr="00374952">
        <w:rPr>
          <w:rFonts w:cstheme="minorHAnsi"/>
          <w:bCs/>
        </w:rPr>
        <w:t xml:space="preserve">se recomienda revisar la congruencia de los indicadores de la MIR federal reportados trimestralmente, con respecto al uso real de los recursos del FAFEF en la entidad federativa (en cada Pp). Es decir, debe coincidir lo reportado con el destino que se les da a los recursos del Fondo en </w:t>
      </w:r>
      <w:r w:rsidR="005C2749">
        <w:rPr>
          <w:rFonts w:cstheme="minorHAnsi"/>
          <w:bCs/>
        </w:rPr>
        <w:t>el Estado</w:t>
      </w:r>
      <w:r w:rsidRPr="00374952">
        <w:rPr>
          <w:rFonts w:cstheme="minorHAnsi"/>
          <w:bCs/>
        </w:rPr>
        <w:t>.</w:t>
      </w:r>
    </w:p>
    <w:bookmarkEnd w:id="109"/>
    <w:p w14:paraId="66C3B75C" w14:textId="77777777" w:rsidR="00C1265D" w:rsidRDefault="00C1265D" w:rsidP="005018A3">
      <w:pPr>
        <w:spacing w:after="0"/>
        <w:rPr>
          <w:rFonts w:ascii="Soberana Sans Light" w:hAnsi="Soberana Sans Light" w:cstheme="minorHAnsi"/>
          <w:sz w:val="24"/>
          <w:szCs w:val="24"/>
        </w:rPr>
        <w:sectPr w:rsidR="00C1265D" w:rsidSect="00A201C4">
          <w:pgSz w:w="12240" w:h="15840" w:code="1"/>
          <w:pgMar w:top="1134" w:right="1134" w:bottom="1134" w:left="1134" w:header="709" w:footer="709" w:gutter="0"/>
          <w:cols w:space="708"/>
          <w:docGrid w:linePitch="360"/>
        </w:sectPr>
      </w:pPr>
    </w:p>
    <w:p w14:paraId="44B71F72" w14:textId="159CF58E" w:rsidR="005018A3" w:rsidRPr="005018A3" w:rsidRDefault="00C67B64" w:rsidP="00C67B64">
      <w:pPr>
        <w:spacing w:before="0" w:after="0"/>
        <w:contextualSpacing/>
        <w:rPr>
          <w:rFonts w:cstheme="minorHAnsi"/>
          <w:b/>
        </w:rPr>
      </w:pPr>
      <w:r>
        <w:rPr>
          <w:rFonts w:cstheme="minorHAnsi"/>
          <w:b/>
        </w:rPr>
        <w:lastRenderedPageBreak/>
        <w:t xml:space="preserve">26. </w:t>
      </w:r>
      <w:r w:rsidR="005018A3" w:rsidRPr="005018A3">
        <w:rPr>
          <w:rFonts w:cstheme="minorHAnsi"/>
          <w:b/>
        </w:rPr>
        <w:t>¿La información que se reporta sobre el ejercicio de los recursos del FAFEF en la entidad federativa permite verificar alguno de los siguientes atributos:</w:t>
      </w:r>
    </w:p>
    <w:p w14:paraId="403E2D75" w14:textId="2633FE92" w:rsidR="005018A3" w:rsidRPr="005018A3" w:rsidRDefault="005018A3" w:rsidP="00F92F32">
      <w:pPr>
        <w:numPr>
          <w:ilvl w:val="0"/>
          <w:numId w:val="28"/>
        </w:numPr>
        <w:spacing w:before="0" w:after="0"/>
        <w:rPr>
          <w:rFonts w:cstheme="minorHAnsi"/>
          <w:b/>
        </w:rPr>
      </w:pPr>
      <w:r w:rsidRPr="005018A3">
        <w:rPr>
          <w:rFonts w:cstheme="minorHAnsi"/>
          <w:b/>
        </w:rPr>
        <w:t>La ejecución cumple con lo establecido en los documentos normativos o institucionales;</w:t>
      </w:r>
    </w:p>
    <w:p w14:paraId="2C62C190" w14:textId="01AEB1FD" w:rsidR="005018A3" w:rsidRPr="005018A3" w:rsidRDefault="005018A3" w:rsidP="00F92F32">
      <w:pPr>
        <w:numPr>
          <w:ilvl w:val="0"/>
          <w:numId w:val="28"/>
        </w:numPr>
        <w:spacing w:before="0" w:after="0"/>
        <w:rPr>
          <w:rFonts w:cstheme="minorHAnsi"/>
          <w:b/>
        </w:rPr>
      </w:pPr>
      <w:r w:rsidRPr="005018A3">
        <w:rPr>
          <w:rFonts w:cstheme="minorHAnsi"/>
          <w:b/>
        </w:rPr>
        <w:t xml:space="preserve">La población atendida </w:t>
      </w:r>
      <w:r w:rsidR="0041491F">
        <w:rPr>
          <w:rFonts w:cstheme="minorHAnsi"/>
          <w:b/>
        </w:rPr>
        <w:t>es</w:t>
      </w:r>
      <w:r w:rsidRPr="005018A3">
        <w:rPr>
          <w:rFonts w:cstheme="minorHAnsi"/>
          <w:b/>
        </w:rPr>
        <w:t xml:space="preserve"> las que presentaba el problema antes de la intervención (dado que se encuentran en un documento o diagnóstico);</w:t>
      </w:r>
    </w:p>
    <w:p w14:paraId="63A885E8" w14:textId="566C8EA0" w:rsidR="005018A3" w:rsidRPr="005018A3" w:rsidRDefault="005018A3" w:rsidP="00F92F32">
      <w:pPr>
        <w:numPr>
          <w:ilvl w:val="0"/>
          <w:numId w:val="28"/>
        </w:numPr>
        <w:spacing w:before="0" w:after="0"/>
        <w:rPr>
          <w:rFonts w:cstheme="minorHAnsi"/>
          <w:b/>
        </w:rPr>
      </w:pPr>
      <w:r w:rsidRPr="005018A3">
        <w:rPr>
          <w:rFonts w:cstheme="minorHAnsi"/>
          <w:b/>
        </w:rPr>
        <w:t>Incluye las actividades, acciones o programas realizados o ejecutados;</w:t>
      </w:r>
    </w:p>
    <w:p w14:paraId="5325F1E4" w14:textId="62BF05D6" w:rsidR="005018A3" w:rsidRDefault="005018A3" w:rsidP="00F92F32">
      <w:pPr>
        <w:numPr>
          <w:ilvl w:val="0"/>
          <w:numId w:val="28"/>
        </w:numPr>
        <w:spacing w:before="0"/>
        <w:ind w:left="641" w:hanging="357"/>
        <w:rPr>
          <w:rFonts w:cstheme="minorHAnsi"/>
          <w:b/>
        </w:rPr>
      </w:pPr>
      <w:r w:rsidRPr="005018A3">
        <w:rPr>
          <w:rFonts w:cstheme="minorHAnsi"/>
          <w:b/>
        </w:rPr>
        <w:t>Está sistematizada?</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3"/>
        <w:gridCol w:w="1055"/>
        <w:gridCol w:w="7554"/>
      </w:tblGrid>
      <w:tr w:rsidR="00D105A8" w:rsidRPr="00C67B64" w14:paraId="0BC5FD2D" w14:textId="16882B07" w:rsidTr="0046655F">
        <w:trPr>
          <w:trHeight w:val="260"/>
          <w:jc w:val="center"/>
        </w:trPr>
        <w:tc>
          <w:tcPr>
            <w:tcW w:w="675" w:type="pct"/>
            <w:shd w:val="clear" w:color="auto" w:fill="FFFFFF"/>
            <w:vAlign w:val="center"/>
          </w:tcPr>
          <w:p w14:paraId="2929BF72" w14:textId="743B15A9" w:rsidR="00D105A8" w:rsidRPr="00C67B64" w:rsidRDefault="00D105A8" w:rsidP="0060634B">
            <w:pPr>
              <w:pBdr>
                <w:top w:val="nil"/>
                <w:left w:val="nil"/>
                <w:bottom w:val="nil"/>
                <w:right w:val="nil"/>
                <w:between w:val="nil"/>
              </w:pBdr>
              <w:spacing w:before="0" w:after="0"/>
              <w:ind w:left="12"/>
              <w:jc w:val="center"/>
              <w:rPr>
                <w:rFonts w:eastAsia="Calibri" w:cs="Calibri"/>
                <w:b/>
                <w:color w:val="000000"/>
                <w:sz w:val="20"/>
                <w:szCs w:val="20"/>
                <w:lang w:eastAsia="es-MX"/>
              </w:rPr>
            </w:pPr>
            <w:r w:rsidRPr="00C67B64">
              <w:rPr>
                <w:rFonts w:eastAsia="Calibri" w:cs="Calibri"/>
                <w:b/>
                <w:color w:val="000000"/>
                <w:sz w:val="20"/>
                <w:szCs w:val="20"/>
                <w:lang w:eastAsia="es-MX"/>
              </w:rPr>
              <w:t>Respuesta</w:t>
            </w:r>
          </w:p>
        </w:tc>
        <w:tc>
          <w:tcPr>
            <w:tcW w:w="530" w:type="pct"/>
            <w:shd w:val="clear" w:color="auto" w:fill="FFFFFF"/>
            <w:vAlign w:val="center"/>
          </w:tcPr>
          <w:p w14:paraId="41A24F55" w14:textId="347D00F3" w:rsidR="00D105A8" w:rsidRPr="00C67B64" w:rsidRDefault="00D105A8" w:rsidP="0060634B">
            <w:pPr>
              <w:pBdr>
                <w:top w:val="nil"/>
                <w:left w:val="nil"/>
                <w:bottom w:val="nil"/>
                <w:right w:val="nil"/>
                <w:between w:val="nil"/>
              </w:pBdr>
              <w:spacing w:before="0" w:after="0"/>
              <w:ind w:left="12"/>
              <w:jc w:val="center"/>
              <w:rPr>
                <w:rFonts w:eastAsia="Calibri" w:cs="Calibri"/>
                <w:b/>
                <w:color w:val="000000"/>
                <w:sz w:val="20"/>
                <w:szCs w:val="20"/>
                <w:lang w:eastAsia="es-MX"/>
              </w:rPr>
            </w:pPr>
            <w:r w:rsidRPr="00C67B64">
              <w:rPr>
                <w:rFonts w:eastAsia="Calibri" w:cs="Calibri"/>
                <w:b/>
                <w:color w:val="000000"/>
                <w:sz w:val="20"/>
                <w:szCs w:val="20"/>
                <w:lang w:eastAsia="es-MX"/>
              </w:rPr>
              <w:t>Nivel</w:t>
            </w:r>
          </w:p>
        </w:tc>
        <w:tc>
          <w:tcPr>
            <w:tcW w:w="3795" w:type="pct"/>
            <w:shd w:val="clear" w:color="auto" w:fill="FFFFFF"/>
            <w:vAlign w:val="center"/>
          </w:tcPr>
          <w:p w14:paraId="0ACA3E55" w14:textId="473D5239" w:rsidR="00D105A8" w:rsidRPr="00C67B64" w:rsidRDefault="00D105A8" w:rsidP="0060634B">
            <w:pPr>
              <w:pBdr>
                <w:top w:val="nil"/>
                <w:left w:val="nil"/>
                <w:bottom w:val="nil"/>
                <w:right w:val="nil"/>
                <w:between w:val="nil"/>
              </w:pBdr>
              <w:spacing w:before="0" w:after="0"/>
              <w:ind w:firstLine="20"/>
              <w:jc w:val="center"/>
              <w:rPr>
                <w:rFonts w:eastAsia="Calibri" w:cs="Calibri"/>
                <w:b/>
                <w:color w:val="000000"/>
                <w:sz w:val="20"/>
                <w:szCs w:val="20"/>
                <w:lang w:eastAsia="es-MX"/>
              </w:rPr>
            </w:pPr>
            <w:r w:rsidRPr="00C67B64">
              <w:rPr>
                <w:rFonts w:eastAsia="Calibri" w:cs="Calibri"/>
                <w:b/>
                <w:color w:val="000000"/>
                <w:sz w:val="20"/>
                <w:szCs w:val="20"/>
                <w:lang w:eastAsia="es-MX"/>
              </w:rPr>
              <w:t>Criterios</w:t>
            </w:r>
          </w:p>
        </w:tc>
      </w:tr>
      <w:tr w:rsidR="00D105A8" w:rsidRPr="00C67B64" w14:paraId="3F1D9A92" w14:textId="3B2D0982" w:rsidTr="0046655F">
        <w:trPr>
          <w:trHeight w:val="400"/>
          <w:jc w:val="center"/>
        </w:trPr>
        <w:tc>
          <w:tcPr>
            <w:tcW w:w="675" w:type="pct"/>
            <w:shd w:val="clear" w:color="auto" w:fill="FFFFFF"/>
            <w:vAlign w:val="center"/>
          </w:tcPr>
          <w:p w14:paraId="458E66F6" w14:textId="48A503EF" w:rsidR="00D105A8" w:rsidRPr="00C67B64" w:rsidRDefault="00D105A8" w:rsidP="0060634B">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sidRPr="00C67B64">
              <w:rPr>
                <w:rFonts w:eastAsia="Calibri" w:cs="Calibri"/>
                <w:color w:val="000000"/>
                <w:sz w:val="20"/>
                <w:szCs w:val="20"/>
                <w:lang w:eastAsia="es-MX"/>
              </w:rPr>
              <w:t>Sí</w:t>
            </w:r>
          </w:p>
        </w:tc>
        <w:tc>
          <w:tcPr>
            <w:tcW w:w="530" w:type="pct"/>
            <w:shd w:val="clear" w:color="auto" w:fill="FFFFFF"/>
            <w:vAlign w:val="center"/>
          </w:tcPr>
          <w:p w14:paraId="0310CD61" w14:textId="5035241E" w:rsidR="00D105A8" w:rsidRPr="00C67B64" w:rsidRDefault="00280432" w:rsidP="0060634B">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Pr>
                <w:rFonts w:ascii="Calibri" w:eastAsia="Calibri" w:hAnsi="Calibri" w:cs="Calibri"/>
                <w:color w:val="000000"/>
                <w:sz w:val="20"/>
                <w:szCs w:val="20"/>
                <w:lang w:eastAsia="es-MX"/>
              </w:rPr>
              <w:t>2</w:t>
            </w:r>
          </w:p>
        </w:tc>
        <w:tc>
          <w:tcPr>
            <w:tcW w:w="3795" w:type="pct"/>
            <w:shd w:val="clear" w:color="auto" w:fill="FFFFFF"/>
            <w:vAlign w:val="center"/>
          </w:tcPr>
          <w:p w14:paraId="36A3A5D5" w14:textId="55A878BF" w:rsidR="00D105A8" w:rsidRPr="00C67B64" w:rsidRDefault="00D105A8" w:rsidP="000459EB">
            <w:pPr>
              <w:pBdr>
                <w:top w:val="nil"/>
                <w:left w:val="nil"/>
                <w:bottom w:val="nil"/>
                <w:right w:val="nil"/>
                <w:between w:val="nil"/>
              </w:pBdr>
              <w:tabs>
                <w:tab w:val="left" w:pos="256"/>
              </w:tabs>
              <w:spacing w:before="0" w:after="0"/>
              <w:contextualSpacing/>
              <w:rPr>
                <w:rFonts w:eastAsia="Calibri" w:cs="Calibri"/>
                <w:color w:val="000000"/>
                <w:sz w:val="20"/>
                <w:szCs w:val="20"/>
                <w:lang w:eastAsia="es-MX"/>
              </w:rPr>
            </w:pPr>
            <w:r w:rsidRPr="00C67B64">
              <w:rPr>
                <w:rFonts w:cstheme="minorHAnsi"/>
                <w:sz w:val="20"/>
                <w:szCs w:val="20"/>
                <w:lang w:eastAsia="es-MX"/>
              </w:rPr>
              <w:t xml:space="preserve">La información que reporta la entidad federativa cumple con </w:t>
            </w:r>
            <w:r w:rsidR="00280432" w:rsidRPr="00AC0084">
              <w:rPr>
                <w:rFonts w:cstheme="minorHAnsi"/>
                <w:b/>
                <w:bCs/>
                <w:sz w:val="20"/>
                <w:szCs w:val="20"/>
                <w:lang w:eastAsia="es-MX"/>
              </w:rPr>
              <w:t>dos</w:t>
            </w:r>
            <w:r w:rsidRPr="00C67B64">
              <w:rPr>
                <w:rFonts w:cstheme="minorHAnsi"/>
                <w:sz w:val="20"/>
                <w:szCs w:val="20"/>
                <w:lang w:eastAsia="es-MX"/>
              </w:rPr>
              <w:t xml:space="preserve"> de las características establecidas en la pregunta.</w:t>
            </w:r>
          </w:p>
        </w:tc>
      </w:tr>
    </w:tbl>
    <w:p w14:paraId="5B054A1D" w14:textId="61B514B9" w:rsidR="00C93C0B" w:rsidRDefault="00280432" w:rsidP="005018A3">
      <w:r w:rsidRPr="00820532">
        <w:t xml:space="preserve">Los resultados de las Aportaciones del FAFEF en el Estado se documentan a través de cinco indicadores que se reportan en el SRFT, los cuales </w:t>
      </w:r>
      <w:r w:rsidR="00C93C0B">
        <w:t xml:space="preserve">se rigen por los </w:t>
      </w:r>
      <w:r w:rsidRPr="00820532">
        <w:t>documentos normativos</w:t>
      </w:r>
      <w:r w:rsidR="00C93C0B">
        <w:t xml:space="preserve"> del ámbito federal y se encuentran sistematizados a través de los reportes trimestrales del SRFT</w:t>
      </w:r>
      <w:r w:rsidRPr="00820532">
        <w:t xml:space="preserve">. </w:t>
      </w:r>
    </w:p>
    <w:p w14:paraId="7D57FD85" w14:textId="420C9F45" w:rsidR="00280432" w:rsidRDefault="00280432" w:rsidP="005018A3">
      <w:r w:rsidRPr="00820532">
        <w:t xml:space="preserve">La entidad </w:t>
      </w:r>
      <w:r w:rsidR="00B54AC7">
        <w:t xml:space="preserve">federativa </w:t>
      </w:r>
      <w:r w:rsidRPr="00820532">
        <w:t>no contó en 2018 con una MIR estatal para el FAFEF. Los indicadores de la MIR federal a nivel estatal son distintos y no vinculantes respecto a lo que se reporta en las MIR de los Pp estatales que reciben recursos del Fondo</w:t>
      </w:r>
      <w:r w:rsidR="00B67379">
        <w:t xml:space="preserve">, en este sentido se recomienda establecer con claridad los vínculos de los indicadores de los Pp que reciben recursos del FAFEF en </w:t>
      </w:r>
      <w:r w:rsidR="007F4E3F">
        <w:t>Tamaulipas</w:t>
      </w:r>
      <w:r w:rsidR="00B67379">
        <w:t xml:space="preserve"> con los indicadores que se reportan al SRFT, asimismo identificar con claridad el nivel de contribución que los recursos del Fondo tienen en el logro de los objetivos de los Pp</w:t>
      </w:r>
      <w:r>
        <w:t>.</w:t>
      </w:r>
    </w:p>
    <w:p w14:paraId="5C83F864" w14:textId="7E708606" w:rsidR="005018A3" w:rsidRPr="0078445D" w:rsidRDefault="00A30C5C" w:rsidP="005018A3">
      <w:r>
        <w:t>En el ámbito estatal e</w:t>
      </w:r>
      <w:r w:rsidR="005018A3">
        <w:t xml:space="preserve">xiste </w:t>
      </w:r>
      <w:r w:rsidR="00E605F2">
        <w:t>e</w:t>
      </w:r>
      <w:r w:rsidR="005018A3">
        <w:t>videncia documental de que l</w:t>
      </w:r>
      <w:r w:rsidR="005018A3" w:rsidRPr="008B6A41">
        <w:t xml:space="preserve">a ejecución de los recursos del FAFEF en la entidad </w:t>
      </w:r>
      <w:r w:rsidR="007F4E3F">
        <w:t xml:space="preserve">federativa </w:t>
      </w:r>
      <w:r w:rsidR="005018A3" w:rsidRPr="008B6A41">
        <w:t>cumple con lo establecido en los documentos normativos o institucionales, tratándose en este caso del Diagnóstico del Fondo y de las actas de las minutas del Grupo de Trabajo en donde se establece el destino de los recursos del Fondo por Pp</w:t>
      </w:r>
      <w:r w:rsidR="005018A3">
        <w:t>, garantizando de</w:t>
      </w:r>
      <w:r w:rsidR="000E1C6F">
        <w:t xml:space="preserve"> e</w:t>
      </w:r>
      <w:r w:rsidR="005018A3">
        <w:t xml:space="preserve">sta forma, que </w:t>
      </w:r>
      <w:r w:rsidR="005018A3" w:rsidRPr="0078445D">
        <w:t>los recursos del Fondo se utilicen conforme a los destinos permitidos por la LCF.</w:t>
      </w:r>
    </w:p>
    <w:p w14:paraId="100FB4D7" w14:textId="7252031A" w:rsidR="002543EE" w:rsidRDefault="00E52B5B" w:rsidP="005018A3">
      <w:r>
        <w:t>H</w:t>
      </w:r>
      <w:r w:rsidR="005018A3" w:rsidRPr="0078445D">
        <w:t>asta el ejercicio 2018, no es posible la identificación y caracterización de la población potencial directamente relacionada con el FAFEF, ya que al ser su objetivo fortalecer los presupuestos de las entidades federativas, a las regiones que las conforman, así como contribuir a su saneamiento financiero, la población potencial del Fondo en Tamaulipas, se determina en función de la que tengan definida en su caso, los programas presupuestarios de la estructura programática estatal, a través de los cuales se priorice en cada ejercicio fiscal la utilización de dichos recursos.</w:t>
      </w:r>
      <w:r w:rsidR="00A30C5C">
        <w:t xml:space="preserve"> </w:t>
      </w:r>
      <w:r w:rsidR="005018A3" w:rsidRPr="0078445D">
        <w:t>Para solventar esa limitante, en el Periódico Oficial se publicaron los Lineamientos Generales para la elaboración de Reglas de Operación de los Programas Presupuestarios y Modificaciones a las ya existentes, en las cuales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 lo cual permitirá verificar la correspondencia entre la población atendida con la población a atender, según</w:t>
      </w:r>
      <w:r w:rsidR="00826CDE">
        <w:t xml:space="preserve"> </w:t>
      </w:r>
      <w:r w:rsidR="005018A3">
        <w:t>las prioridades definidas por el Grupo de Trabaj</w:t>
      </w:r>
      <w:r w:rsidR="00D02DC5">
        <w:t>o</w:t>
      </w:r>
      <w:r w:rsidR="005018A3">
        <w:t xml:space="preserve"> de la Subsecretaria de Egresos.</w:t>
      </w:r>
      <w:r w:rsidR="002543EE">
        <w:t xml:space="preserve"> Sin embargo, hasta la fecha no se ha documentado la forma en que se pueda diferenciar a la población que atienda con recursos del Fondo a través de estos Pp.</w:t>
      </w:r>
      <w:r w:rsidR="000109EF">
        <w:t xml:space="preserve"> En este sentido se recomienda </w:t>
      </w:r>
      <w:r w:rsidR="000109EF" w:rsidRPr="000109EF">
        <w:t>generar una metodología para distinguir los aportes del FAFEF en el conjunto de resultados de los Pp.</w:t>
      </w:r>
      <w:r w:rsidR="003E6443">
        <w:rPr>
          <w:rFonts w:cstheme="minorHAnsi"/>
          <w:b/>
        </w:rPr>
        <w:t xml:space="preserve"> </w:t>
      </w:r>
    </w:p>
    <w:p w14:paraId="1C858C7E" w14:textId="77777777" w:rsidR="002543EE" w:rsidRDefault="002543EE" w:rsidP="005018A3"/>
    <w:p w14:paraId="778E48E9" w14:textId="77777777" w:rsidR="000F0E35" w:rsidRDefault="000F0E35" w:rsidP="005018A3"/>
    <w:p w14:paraId="096D121B" w14:textId="77777777" w:rsidR="00D105A8" w:rsidRDefault="00D105A8">
      <w:pPr>
        <w:spacing w:before="0" w:after="160" w:line="259" w:lineRule="auto"/>
        <w:jc w:val="left"/>
      </w:pPr>
      <w:r>
        <w:br w:type="page"/>
      </w:r>
    </w:p>
    <w:p w14:paraId="44DB748F" w14:textId="67A7D146" w:rsidR="005018A3" w:rsidRPr="00462B90" w:rsidRDefault="00CE2580" w:rsidP="00CE2580">
      <w:pPr>
        <w:spacing w:before="0" w:after="0"/>
        <w:contextualSpacing/>
        <w:rPr>
          <w:rFonts w:cs="Arial"/>
          <w:b/>
        </w:rPr>
      </w:pPr>
      <w:r>
        <w:rPr>
          <w:rFonts w:cs="Arial"/>
          <w:b/>
        </w:rPr>
        <w:lastRenderedPageBreak/>
        <w:t xml:space="preserve">27. </w:t>
      </w:r>
      <w:r w:rsidR="005018A3" w:rsidRPr="00462B90">
        <w:rPr>
          <w:rFonts w:cs="Arial"/>
          <w:b/>
        </w:rPr>
        <w:t>¿</w:t>
      </w:r>
      <w:r w:rsidR="005018A3" w:rsidRPr="00CE2580">
        <w:rPr>
          <w:rFonts w:cstheme="minorHAnsi"/>
          <w:b/>
        </w:rPr>
        <w:t>La</w:t>
      </w:r>
      <w:r w:rsidR="005018A3" w:rsidRPr="00462B90">
        <w:rPr>
          <w:rFonts w:cs="Arial"/>
          <w:b/>
        </w:rPr>
        <w:t xml:space="preserve"> información del avance en la consecución de objetivos de la entidad federativa respecto al FAFEF…</w:t>
      </w:r>
    </w:p>
    <w:p w14:paraId="3213657F" w14:textId="77777777" w:rsidR="005018A3" w:rsidRPr="00CE2580" w:rsidRDefault="005018A3" w:rsidP="00F92F32">
      <w:pPr>
        <w:numPr>
          <w:ilvl w:val="0"/>
          <w:numId w:val="29"/>
        </w:numPr>
        <w:spacing w:before="0" w:after="0"/>
        <w:rPr>
          <w:rFonts w:cstheme="minorHAnsi"/>
          <w:b/>
        </w:rPr>
      </w:pPr>
      <w:r w:rsidRPr="00CE2580">
        <w:rPr>
          <w:rFonts w:cstheme="minorHAnsi"/>
          <w:b/>
        </w:rPr>
        <w:t>Es verificable públicamente;</w:t>
      </w:r>
    </w:p>
    <w:p w14:paraId="2D2980EB" w14:textId="77777777" w:rsidR="005018A3" w:rsidRPr="00CE2580" w:rsidRDefault="005018A3" w:rsidP="00F92F32">
      <w:pPr>
        <w:numPr>
          <w:ilvl w:val="0"/>
          <w:numId w:val="29"/>
        </w:numPr>
        <w:spacing w:before="0" w:after="0"/>
        <w:rPr>
          <w:rFonts w:cstheme="minorHAnsi"/>
          <w:b/>
        </w:rPr>
      </w:pPr>
      <w:r w:rsidRPr="00CE2580">
        <w:rPr>
          <w:rFonts w:cstheme="minorHAnsi"/>
          <w:b/>
        </w:rPr>
        <w:t>Permite ubicar geográficamente su contribución al cumplimiento de objetivos;</w:t>
      </w:r>
    </w:p>
    <w:p w14:paraId="2C4391A9" w14:textId="77777777" w:rsidR="005018A3" w:rsidRPr="00CE2580" w:rsidRDefault="005018A3" w:rsidP="00F92F32">
      <w:pPr>
        <w:numPr>
          <w:ilvl w:val="0"/>
          <w:numId w:val="29"/>
        </w:numPr>
        <w:spacing w:before="0" w:after="0"/>
        <w:rPr>
          <w:rFonts w:cstheme="minorHAnsi"/>
          <w:b/>
        </w:rPr>
      </w:pPr>
      <w:r w:rsidRPr="00CE2580">
        <w:rPr>
          <w:rFonts w:cstheme="minorHAnsi"/>
          <w:b/>
        </w:rPr>
        <w:t>Permite cuantificar a los beneficiarios finales de las acciones que se realizan con recursos del Fondo;</w:t>
      </w:r>
    </w:p>
    <w:p w14:paraId="3737D584" w14:textId="77777777" w:rsidR="005018A3" w:rsidRPr="00CE2580" w:rsidRDefault="005018A3" w:rsidP="00F92F32">
      <w:pPr>
        <w:numPr>
          <w:ilvl w:val="0"/>
          <w:numId w:val="29"/>
        </w:numPr>
        <w:spacing w:before="0" w:after="0"/>
        <w:rPr>
          <w:rFonts w:cstheme="minorHAnsi"/>
          <w:b/>
        </w:rPr>
      </w:pPr>
      <w:r w:rsidRPr="00CE2580">
        <w:rPr>
          <w:rFonts w:cstheme="minorHAnsi"/>
          <w:b/>
        </w:rPr>
        <w:t>Permite la rastreabilidad de los recursos que se ejercieron para alcanzar los resultados;</w:t>
      </w:r>
    </w:p>
    <w:p w14:paraId="7406E99D" w14:textId="77777777" w:rsidR="005018A3" w:rsidRPr="00CE2580" w:rsidRDefault="005018A3" w:rsidP="00F92F32">
      <w:pPr>
        <w:numPr>
          <w:ilvl w:val="0"/>
          <w:numId w:val="29"/>
        </w:numPr>
        <w:spacing w:before="0"/>
        <w:ind w:left="641" w:hanging="357"/>
        <w:rPr>
          <w:rFonts w:cstheme="minorHAnsi"/>
          <w:b/>
        </w:rPr>
      </w:pPr>
      <w:r w:rsidRPr="00CE2580">
        <w:rPr>
          <w:rFonts w:cstheme="minorHAnsi"/>
          <w:b/>
        </w:rPr>
        <w:t>Explica y justifica las razones de la modificación de las metas, en caso de hacerlo?</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3"/>
        <w:gridCol w:w="1055"/>
        <w:gridCol w:w="7554"/>
      </w:tblGrid>
      <w:tr w:rsidR="00D105A8" w:rsidRPr="00CE2580" w14:paraId="49754B93" w14:textId="77777777" w:rsidTr="0046655F">
        <w:trPr>
          <w:trHeight w:val="260"/>
          <w:jc w:val="center"/>
        </w:trPr>
        <w:tc>
          <w:tcPr>
            <w:tcW w:w="675" w:type="pct"/>
            <w:shd w:val="clear" w:color="auto" w:fill="FFFFFF"/>
            <w:vAlign w:val="center"/>
          </w:tcPr>
          <w:p w14:paraId="11EF7B3F" w14:textId="77777777" w:rsidR="00D105A8" w:rsidRPr="00CE2580" w:rsidRDefault="00D105A8" w:rsidP="0060634B">
            <w:pPr>
              <w:pBdr>
                <w:top w:val="nil"/>
                <w:left w:val="nil"/>
                <w:bottom w:val="nil"/>
                <w:right w:val="nil"/>
                <w:between w:val="nil"/>
              </w:pBdr>
              <w:spacing w:before="0" w:after="0"/>
              <w:ind w:left="12"/>
              <w:jc w:val="center"/>
              <w:rPr>
                <w:rFonts w:eastAsia="Calibri" w:cs="Calibri"/>
                <w:b/>
                <w:color w:val="000000"/>
                <w:sz w:val="20"/>
                <w:szCs w:val="20"/>
                <w:lang w:eastAsia="es-MX"/>
              </w:rPr>
            </w:pPr>
            <w:r w:rsidRPr="00CE2580">
              <w:rPr>
                <w:rFonts w:eastAsia="Calibri" w:cs="Calibri"/>
                <w:b/>
                <w:color w:val="000000"/>
                <w:sz w:val="20"/>
                <w:szCs w:val="20"/>
                <w:lang w:eastAsia="es-MX"/>
              </w:rPr>
              <w:t>Respuesta</w:t>
            </w:r>
          </w:p>
        </w:tc>
        <w:tc>
          <w:tcPr>
            <w:tcW w:w="530" w:type="pct"/>
            <w:shd w:val="clear" w:color="auto" w:fill="FFFFFF"/>
            <w:vAlign w:val="center"/>
          </w:tcPr>
          <w:p w14:paraId="2B57E6C5" w14:textId="77777777" w:rsidR="00D105A8" w:rsidRPr="00CE2580" w:rsidRDefault="00D105A8" w:rsidP="0060634B">
            <w:pPr>
              <w:pBdr>
                <w:top w:val="nil"/>
                <w:left w:val="nil"/>
                <w:bottom w:val="nil"/>
                <w:right w:val="nil"/>
                <w:between w:val="nil"/>
              </w:pBdr>
              <w:spacing w:before="0" w:after="0"/>
              <w:ind w:left="12"/>
              <w:jc w:val="center"/>
              <w:rPr>
                <w:rFonts w:eastAsia="Calibri" w:cs="Calibri"/>
                <w:b/>
                <w:color w:val="000000"/>
                <w:sz w:val="20"/>
                <w:szCs w:val="20"/>
                <w:lang w:eastAsia="es-MX"/>
              </w:rPr>
            </w:pPr>
            <w:r w:rsidRPr="00CE2580">
              <w:rPr>
                <w:rFonts w:eastAsia="Calibri" w:cs="Calibri"/>
                <w:b/>
                <w:color w:val="000000"/>
                <w:sz w:val="20"/>
                <w:szCs w:val="20"/>
                <w:lang w:eastAsia="es-MX"/>
              </w:rPr>
              <w:t>Nivel</w:t>
            </w:r>
          </w:p>
        </w:tc>
        <w:tc>
          <w:tcPr>
            <w:tcW w:w="3795" w:type="pct"/>
            <w:shd w:val="clear" w:color="auto" w:fill="FFFFFF"/>
            <w:vAlign w:val="center"/>
          </w:tcPr>
          <w:p w14:paraId="663CE6F6" w14:textId="77777777" w:rsidR="00D105A8" w:rsidRPr="00CE2580" w:rsidRDefault="00D105A8" w:rsidP="0060634B">
            <w:pPr>
              <w:pBdr>
                <w:top w:val="nil"/>
                <w:left w:val="nil"/>
                <w:bottom w:val="nil"/>
                <w:right w:val="nil"/>
                <w:between w:val="nil"/>
              </w:pBdr>
              <w:spacing w:before="0" w:after="0"/>
              <w:ind w:firstLine="20"/>
              <w:jc w:val="center"/>
              <w:rPr>
                <w:rFonts w:eastAsia="Calibri" w:cs="Calibri"/>
                <w:b/>
                <w:color w:val="000000"/>
                <w:sz w:val="20"/>
                <w:szCs w:val="20"/>
                <w:lang w:eastAsia="es-MX"/>
              </w:rPr>
            </w:pPr>
            <w:r w:rsidRPr="00CE2580">
              <w:rPr>
                <w:rFonts w:eastAsia="Calibri" w:cs="Calibri"/>
                <w:b/>
                <w:color w:val="000000"/>
                <w:sz w:val="20"/>
                <w:szCs w:val="20"/>
                <w:lang w:eastAsia="es-MX"/>
              </w:rPr>
              <w:t>Criterios</w:t>
            </w:r>
          </w:p>
        </w:tc>
      </w:tr>
      <w:tr w:rsidR="00D105A8" w:rsidRPr="00CE2580" w14:paraId="3471A455" w14:textId="77777777" w:rsidTr="0046655F">
        <w:trPr>
          <w:trHeight w:val="400"/>
          <w:jc w:val="center"/>
        </w:trPr>
        <w:tc>
          <w:tcPr>
            <w:tcW w:w="675" w:type="pct"/>
            <w:shd w:val="clear" w:color="auto" w:fill="FFFFFF"/>
            <w:vAlign w:val="center"/>
          </w:tcPr>
          <w:p w14:paraId="33E128EF" w14:textId="77777777" w:rsidR="00D105A8" w:rsidRPr="00CE2580" w:rsidRDefault="00D105A8" w:rsidP="0060634B">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sidRPr="00CE2580">
              <w:rPr>
                <w:rFonts w:eastAsia="Calibri" w:cs="Calibri"/>
                <w:color w:val="000000"/>
                <w:sz w:val="20"/>
                <w:szCs w:val="20"/>
                <w:lang w:eastAsia="es-MX"/>
              </w:rPr>
              <w:t>Sí</w:t>
            </w:r>
          </w:p>
        </w:tc>
        <w:tc>
          <w:tcPr>
            <w:tcW w:w="530" w:type="pct"/>
            <w:shd w:val="clear" w:color="auto" w:fill="FFFFFF"/>
            <w:vAlign w:val="center"/>
          </w:tcPr>
          <w:p w14:paraId="5FEC2D31" w14:textId="77777777" w:rsidR="00D105A8" w:rsidRPr="00CE2580" w:rsidRDefault="00D105A8" w:rsidP="0060634B">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sidRPr="00CE2580">
              <w:rPr>
                <w:rFonts w:ascii="Calibri" w:eastAsia="Calibri" w:hAnsi="Calibri" w:cs="Calibri"/>
                <w:color w:val="000000"/>
                <w:sz w:val="20"/>
                <w:szCs w:val="20"/>
                <w:lang w:eastAsia="es-MX"/>
              </w:rPr>
              <w:t>3</w:t>
            </w:r>
          </w:p>
        </w:tc>
        <w:tc>
          <w:tcPr>
            <w:tcW w:w="3795" w:type="pct"/>
            <w:shd w:val="clear" w:color="auto" w:fill="FFFFFF"/>
            <w:vAlign w:val="center"/>
          </w:tcPr>
          <w:p w14:paraId="028E9EE0" w14:textId="192C1CBC" w:rsidR="00D105A8" w:rsidRPr="00CE2580" w:rsidRDefault="00D105A8" w:rsidP="000459EB">
            <w:pPr>
              <w:pBdr>
                <w:top w:val="nil"/>
                <w:left w:val="nil"/>
                <w:bottom w:val="nil"/>
                <w:right w:val="nil"/>
                <w:between w:val="nil"/>
              </w:pBdr>
              <w:tabs>
                <w:tab w:val="left" w:pos="256"/>
              </w:tabs>
              <w:spacing w:before="0" w:after="0"/>
              <w:contextualSpacing/>
              <w:rPr>
                <w:rFonts w:eastAsia="Calibri" w:cs="Calibri"/>
                <w:color w:val="000000"/>
                <w:sz w:val="20"/>
                <w:szCs w:val="20"/>
                <w:lang w:eastAsia="es-MX"/>
              </w:rPr>
            </w:pPr>
            <w:r w:rsidRPr="00CE2580">
              <w:rPr>
                <w:rFonts w:cstheme="minorHAnsi"/>
                <w:sz w:val="20"/>
                <w:szCs w:val="20"/>
                <w:lang w:eastAsia="es-MX"/>
              </w:rPr>
              <w:t xml:space="preserve">La información del avance del FAFEF en la entidad federativa cumple con </w:t>
            </w:r>
            <w:r w:rsidR="005C17EC" w:rsidRPr="00AC0084">
              <w:rPr>
                <w:rFonts w:cstheme="minorHAnsi"/>
                <w:b/>
                <w:sz w:val="20"/>
                <w:szCs w:val="20"/>
                <w:lang w:eastAsia="es-MX"/>
              </w:rPr>
              <w:t>cuatro</w:t>
            </w:r>
            <w:r w:rsidRPr="00CE2580">
              <w:rPr>
                <w:rFonts w:cstheme="minorHAnsi"/>
                <w:b/>
                <w:sz w:val="20"/>
                <w:szCs w:val="20"/>
                <w:lang w:eastAsia="es-MX"/>
              </w:rPr>
              <w:t xml:space="preserve"> </w:t>
            </w:r>
            <w:r w:rsidRPr="00CE2580">
              <w:rPr>
                <w:rFonts w:cstheme="minorHAnsi"/>
                <w:sz w:val="20"/>
                <w:szCs w:val="20"/>
                <w:lang w:eastAsia="es-MX"/>
              </w:rPr>
              <w:t>de las características establecidas en la pregunta.</w:t>
            </w:r>
          </w:p>
        </w:tc>
      </w:tr>
    </w:tbl>
    <w:p w14:paraId="1B3DA9C8" w14:textId="7B43BC01" w:rsidR="00901AD6" w:rsidRPr="00CE2580" w:rsidRDefault="005018A3" w:rsidP="00901AD6">
      <w:r w:rsidRPr="00CE2580">
        <w:t>Para el ejercicio fiscal 2018</w:t>
      </w:r>
      <w:r w:rsidR="00901AD6" w:rsidRPr="00CE2580">
        <w:t xml:space="preserve"> la cobertura del FAFEF se orientó hacia los rubros de gatos siguientes: 1. Saneamiento Financiero; 2. Infraestructura Pública; 3. Educación; </w:t>
      </w:r>
      <w:r w:rsidR="001F2B49">
        <w:t xml:space="preserve">y </w:t>
      </w:r>
      <w:r w:rsidR="00901AD6" w:rsidRPr="00CE2580">
        <w:t xml:space="preserve">4. Modernización de sistemas de </w:t>
      </w:r>
      <w:r w:rsidR="001F2B49" w:rsidRPr="00CE2580">
        <w:t>recaudación; a</w:t>
      </w:r>
      <w:r w:rsidR="00901AD6" w:rsidRPr="00CE2580">
        <w:t xml:space="preserve"> través de 17 Pp.</w:t>
      </w:r>
    </w:p>
    <w:p w14:paraId="2A423223" w14:textId="09D8E6ED" w:rsidR="00901AD6" w:rsidRPr="00CE2580" w:rsidRDefault="00901AD6" w:rsidP="00F92F32">
      <w:pPr>
        <w:pStyle w:val="Prrafodelista"/>
        <w:numPr>
          <w:ilvl w:val="0"/>
          <w:numId w:val="9"/>
        </w:numPr>
        <w:ind w:left="714" w:hanging="357"/>
        <w:contextualSpacing w:val="0"/>
      </w:pPr>
      <w:r w:rsidRPr="00CE2580">
        <w:t xml:space="preserve">Para todos los Pp que ejercen los recursos a través de la ejecución de proyectos de inversión, la información es verificable públicamente, no así para el Pp D191, denominado </w:t>
      </w:r>
      <w:r w:rsidR="00626B30" w:rsidRPr="00CE2580">
        <w:t>“</w:t>
      </w:r>
      <w:r w:rsidRPr="00CE2580">
        <w:t>Costo Financiero y Deuda”</w:t>
      </w:r>
      <w:r w:rsidR="00626B30" w:rsidRPr="00CE2580">
        <w:t>.</w:t>
      </w:r>
    </w:p>
    <w:p w14:paraId="008002DA" w14:textId="5D38704B" w:rsidR="00626B30" w:rsidRPr="00CE2580" w:rsidRDefault="00626B30" w:rsidP="00F92F32">
      <w:pPr>
        <w:pStyle w:val="Prrafodelista"/>
        <w:numPr>
          <w:ilvl w:val="0"/>
          <w:numId w:val="9"/>
        </w:numPr>
        <w:ind w:left="714" w:hanging="357"/>
        <w:contextualSpacing w:val="0"/>
      </w:pPr>
      <w:r w:rsidRPr="00CE2580">
        <w:t>La información disponible en los informes permite ubicar geográficamente el ejercicio de los recursos hasta el nivel de comunidad y si el proyecto se realiza en la zona urbana o rural, e incluso algunos proyectos cuentan con georreferencia.</w:t>
      </w:r>
    </w:p>
    <w:p w14:paraId="07AEF5E3" w14:textId="1F9D98B4" w:rsidR="00626B30" w:rsidRPr="00CE2580" w:rsidRDefault="00626B30" w:rsidP="00F92F32">
      <w:pPr>
        <w:pStyle w:val="Prrafodelista"/>
        <w:numPr>
          <w:ilvl w:val="0"/>
          <w:numId w:val="9"/>
        </w:numPr>
        <w:ind w:left="714" w:hanging="357"/>
        <w:contextualSpacing w:val="0"/>
      </w:pPr>
      <w:r w:rsidRPr="00CE2580">
        <w:t>Al revisar los reportes trimestrales del SFU y el SRFT, se encontró que para el tercer y cuarto trimestre del ejercicio 2018, sólo cinco Pp de los 17 que recibieron recursos del FAFEF registraron una población beneficiaria.</w:t>
      </w:r>
    </w:p>
    <w:p w14:paraId="7BF7F5DF" w14:textId="23CE0C88" w:rsidR="00F83E4E" w:rsidRPr="00CE2580" w:rsidRDefault="00F83E4E" w:rsidP="00F92F32">
      <w:pPr>
        <w:pStyle w:val="Prrafodelista"/>
        <w:numPr>
          <w:ilvl w:val="0"/>
          <w:numId w:val="9"/>
        </w:numPr>
        <w:ind w:left="714" w:hanging="357"/>
        <w:contextualSpacing w:val="0"/>
      </w:pPr>
      <w:r w:rsidRPr="00CE2580">
        <w:t xml:space="preserve">Los reportes del ejercicio de los recursos permiten la rastreabilidad de los recursos, dado que se conjunta información como los recursos aprobados, su modificación (en su caso), Recaudado (ministrado), comprometido, devengado, ejercido y pagado, que permite rastrear el ejercicio de los recursos </w:t>
      </w:r>
      <w:r w:rsidR="001F2B49">
        <w:t>ya que</w:t>
      </w:r>
      <w:r w:rsidRPr="00CE2580">
        <w:t xml:space="preserve"> también se cuenta con fecha de inicio y termino del proyecto.</w:t>
      </w:r>
    </w:p>
    <w:p w14:paraId="558A5FC5" w14:textId="7E11F549" w:rsidR="00F83E4E" w:rsidRPr="00CE2580" w:rsidRDefault="00F83E4E" w:rsidP="00F92F32">
      <w:pPr>
        <w:pStyle w:val="Prrafodelista"/>
        <w:numPr>
          <w:ilvl w:val="0"/>
          <w:numId w:val="9"/>
        </w:numPr>
        <w:ind w:left="714" w:hanging="357"/>
        <w:contextualSpacing w:val="0"/>
      </w:pPr>
      <w:r w:rsidRPr="00CE2580">
        <w:t xml:space="preserve">Los formatos de los informes contienen un apartado para el registro de la modificación de metas, así como para justificar dicho ajuste y las observaciones, en caso de presentarse modificaciones. </w:t>
      </w:r>
    </w:p>
    <w:p w14:paraId="03B23D1E" w14:textId="353129A6" w:rsidR="005018A3" w:rsidRPr="00CE2580" w:rsidRDefault="00F83E4E" w:rsidP="005018A3">
      <w:r w:rsidRPr="00CE2580">
        <w:t>P</w:t>
      </w:r>
      <w:r w:rsidR="005018A3" w:rsidRPr="00CE2580">
        <w:t>ara el 2019, la información del avance de consecución de los objetivos es verificable públicamente en la página:</w:t>
      </w:r>
    </w:p>
    <w:p w14:paraId="67DF6111" w14:textId="016107DA" w:rsidR="00D105A8" w:rsidRPr="00B71ABF" w:rsidRDefault="00EC553A" w:rsidP="00B71ABF">
      <w:pPr>
        <w:rPr>
          <w:rStyle w:val="Hipervnculo"/>
          <w:rFonts w:eastAsia="Times New Roman" w:cs="Times New Roman"/>
          <w:lang w:eastAsia="es-MX"/>
        </w:rPr>
      </w:pPr>
      <w:hyperlink r:id="rId21" w:history="1">
        <w:r w:rsidR="00B71ABF" w:rsidRPr="00271E20">
          <w:rPr>
            <w:rStyle w:val="Hipervnculo"/>
            <w:rFonts w:eastAsia="Times New Roman" w:cs="Times New Roman"/>
            <w:lang w:eastAsia="es-MX"/>
          </w:rPr>
          <w:t>http://finanzas.tamaulipas.gob.mx/reportes-financieros/informe-de-recursos-federales.php</w:t>
        </w:r>
      </w:hyperlink>
      <w:r w:rsidR="00F83E4E" w:rsidRPr="00B71ABF">
        <w:rPr>
          <w:rStyle w:val="Hipervnculo"/>
          <w:rFonts w:eastAsia="Times New Roman" w:cs="Times New Roman"/>
          <w:lang w:eastAsia="es-MX"/>
        </w:rPr>
        <w:t>.</w:t>
      </w:r>
    </w:p>
    <w:p w14:paraId="52B068E3" w14:textId="77777777" w:rsidR="00D105A8" w:rsidRDefault="00D105A8">
      <w:pPr>
        <w:spacing w:before="0" w:after="160" w:line="259" w:lineRule="auto"/>
        <w:jc w:val="left"/>
      </w:pPr>
      <w:r>
        <w:br w:type="page"/>
      </w:r>
    </w:p>
    <w:p w14:paraId="198D0168" w14:textId="7F6829FD" w:rsidR="005018A3" w:rsidRDefault="00C54B23" w:rsidP="00C54B23">
      <w:pPr>
        <w:spacing w:before="0"/>
        <w:rPr>
          <w:rFonts w:cstheme="minorHAnsi"/>
          <w:b/>
        </w:rPr>
      </w:pPr>
      <w:r>
        <w:rPr>
          <w:rFonts w:cstheme="minorHAnsi"/>
          <w:b/>
        </w:rPr>
        <w:lastRenderedPageBreak/>
        <w:t xml:space="preserve">28. </w:t>
      </w:r>
      <w:r w:rsidR="005018A3" w:rsidRPr="00462B90">
        <w:rPr>
          <w:rFonts w:cstheme="minorHAnsi"/>
          <w:b/>
        </w:rPr>
        <w:t>¿Cuáles han sido los resultados de la aplicación de los recursos del FAFEF en la entidad federativa, medidos con indicadores estatales, considerando tales resultados durante la administración actual y por lo menos una anterior?</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000" w:firstRow="0" w:lastRow="0" w:firstColumn="0" w:lastColumn="0" w:noHBand="0" w:noVBand="0"/>
      </w:tblPr>
      <w:tblGrid>
        <w:gridCol w:w="1343"/>
        <w:gridCol w:w="1055"/>
        <w:gridCol w:w="7554"/>
      </w:tblGrid>
      <w:tr w:rsidR="009F1A83" w:rsidRPr="00C54B23" w14:paraId="2AB09853" w14:textId="77777777" w:rsidTr="0046655F">
        <w:trPr>
          <w:trHeight w:val="260"/>
          <w:jc w:val="center"/>
        </w:trPr>
        <w:tc>
          <w:tcPr>
            <w:tcW w:w="675" w:type="pct"/>
            <w:shd w:val="clear" w:color="auto" w:fill="FFFFFF"/>
            <w:vAlign w:val="center"/>
          </w:tcPr>
          <w:p w14:paraId="48E5BA17" w14:textId="77777777" w:rsidR="009F1A83" w:rsidRPr="00C54B23" w:rsidRDefault="009F1A83" w:rsidP="00357782">
            <w:pPr>
              <w:pBdr>
                <w:top w:val="nil"/>
                <w:left w:val="nil"/>
                <w:bottom w:val="nil"/>
                <w:right w:val="nil"/>
                <w:between w:val="nil"/>
              </w:pBdr>
              <w:spacing w:before="0" w:after="0"/>
              <w:ind w:left="12"/>
              <w:jc w:val="center"/>
              <w:rPr>
                <w:rFonts w:eastAsia="Calibri" w:cs="Calibri"/>
                <w:b/>
                <w:color w:val="000000"/>
                <w:sz w:val="20"/>
                <w:szCs w:val="20"/>
                <w:lang w:eastAsia="es-MX"/>
              </w:rPr>
            </w:pPr>
            <w:r w:rsidRPr="00C54B23">
              <w:rPr>
                <w:rFonts w:eastAsia="Calibri" w:cs="Calibri"/>
                <w:b/>
                <w:color w:val="000000"/>
                <w:sz w:val="20"/>
                <w:szCs w:val="20"/>
                <w:lang w:eastAsia="es-MX"/>
              </w:rPr>
              <w:t>Respuesta</w:t>
            </w:r>
          </w:p>
        </w:tc>
        <w:tc>
          <w:tcPr>
            <w:tcW w:w="530" w:type="pct"/>
            <w:shd w:val="clear" w:color="auto" w:fill="FFFFFF"/>
            <w:vAlign w:val="center"/>
          </w:tcPr>
          <w:p w14:paraId="3020E64A" w14:textId="77777777" w:rsidR="009F1A83" w:rsidRPr="00C54B23" w:rsidRDefault="009F1A83" w:rsidP="00357782">
            <w:pPr>
              <w:pBdr>
                <w:top w:val="nil"/>
                <w:left w:val="nil"/>
                <w:bottom w:val="nil"/>
                <w:right w:val="nil"/>
                <w:between w:val="nil"/>
              </w:pBdr>
              <w:spacing w:before="0" w:after="0"/>
              <w:ind w:left="12"/>
              <w:jc w:val="center"/>
              <w:rPr>
                <w:rFonts w:eastAsia="Calibri" w:cs="Calibri"/>
                <w:b/>
                <w:color w:val="000000"/>
                <w:sz w:val="20"/>
                <w:szCs w:val="20"/>
                <w:lang w:eastAsia="es-MX"/>
              </w:rPr>
            </w:pPr>
            <w:r w:rsidRPr="00C54B23">
              <w:rPr>
                <w:rFonts w:eastAsia="Calibri" w:cs="Calibri"/>
                <w:b/>
                <w:color w:val="000000"/>
                <w:sz w:val="20"/>
                <w:szCs w:val="20"/>
                <w:lang w:eastAsia="es-MX"/>
              </w:rPr>
              <w:t>Nivel</w:t>
            </w:r>
          </w:p>
        </w:tc>
        <w:tc>
          <w:tcPr>
            <w:tcW w:w="3795" w:type="pct"/>
            <w:shd w:val="clear" w:color="auto" w:fill="FFFFFF"/>
            <w:vAlign w:val="center"/>
          </w:tcPr>
          <w:p w14:paraId="792F67DE" w14:textId="77777777" w:rsidR="009F1A83" w:rsidRPr="00C54B23" w:rsidRDefault="009F1A83" w:rsidP="00357782">
            <w:pPr>
              <w:pBdr>
                <w:top w:val="nil"/>
                <w:left w:val="nil"/>
                <w:bottom w:val="nil"/>
                <w:right w:val="nil"/>
                <w:between w:val="nil"/>
              </w:pBdr>
              <w:spacing w:before="0" w:after="0"/>
              <w:ind w:firstLine="20"/>
              <w:jc w:val="center"/>
              <w:rPr>
                <w:rFonts w:eastAsia="Calibri" w:cs="Calibri"/>
                <w:b/>
                <w:color w:val="000000"/>
                <w:sz w:val="20"/>
                <w:szCs w:val="20"/>
                <w:lang w:eastAsia="es-MX"/>
              </w:rPr>
            </w:pPr>
            <w:r w:rsidRPr="00C54B23">
              <w:rPr>
                <w:rFonts w:eastAsia="Calibri" w:cs="Calibri"/>
                <w:b/>
                <w:color w:val="000000"/>
                <w:sz w:val="20"/>
                <w:szCs w:val="20"/>
                <w:lang w:eastAsia="es-MX"/>
              </w:rPr>
              <w:t>Criterios</w:t>
            </w:r>
          </w:p>
        </w:tc>
      </w:tr>
      <w:tr w:rsidR="009F1A83" w:rsidRPr="00C54B23" w14:paraId="4B98BC16" w14:textId="77777777" w:rsidTr="0046655F">
        <w:trPr>
          <w:trHeight w:val="400"/>
          <w:jc w:val="center"/>
        </w:trPr>
        <w:tc>
          <w:tcPr>
            <w:tcW w:w="675" w:type="pct"/>
            <w:shd w:val="clear" w:color="auto" w:fill="FFFFFF"/>
            <w:vAlign w:val="center"/>
          </w:tcPr>
          <w:p w14:paraId="53D0788D" w14:textId="124FFB86" w:rsidR="009F1A83" w:rsidRPr="00C54B23" w:rsidRDefault="00D51563" w:rsidP="00357782">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sidRPr="00C54B23">
              <w:rPr>
                <w:rFonts w:eastAsia="Calibri" w:cs="Calibri"/>
                <w:color w:val="000000"/>
                <w:sz w:val="20"/>
                <w:szCs w:val="20"/>
                <w:lang w:eastAsia="es-MX"/>
              </w:rPr>
              <w:t>No</w:t>
            </w:r>
          </w:p>
        </w:tc>
        <w:tc>
          <w:tcPr>
            <w:tcW w:w="530" w:type="pct"/>
            <w:shd w:val="clear" w:color="auto" w:fill="FFFFFF"/>
            <w:vAlign w:val="center"/>
          </w:tcPr>
          <w:p w14:paraId="7FAD8F3D" w14:textId="717B6E93" w:rsidR="009F1A83" w:rsidRPr="00C54B23" w:rsidRDefault="00A141DB" w:rsidP="00357782">
            <w:pPr>
              <w:pBdr>
                <w:top w:val="nil"/>
                <w:left w:val="nil"/>
                <w:bottom w:val="nil"/>
                <w:right w:val="nil"/>
                <w:between w:val="nil"/>
              </w:pBdr>
              <w:shd w:val="clear" w:color="auto" w:fill="FFFFFF"/>
              <w:spacing w:before="0" w:after="0"/>
              <w:ind w:firstLine="7"/>
              <w:jc w:val="center"/>
              <w:rPr>
                <w:rFonts w:eastAsia="Calibri" w:cs="Calibri"/>
                <w:color w:val="000000"/>
                <w:sz w:val="20"/>
                <w:szCs w:val="20"/>
                <w:lang w:eastAsia="es-MX"/>
              </w:rPr>
            </w:pPr>
            <w:r>
              <w:rPr>
                <w:rFonts w:eastAsia="Calibri" w:cs="Calibri"/>
                <w:color w:val="000000"/>
                <w:sz w:val="20"/>
                <w:szCs w:val="20"/>
                <w:lang w:eastAsia="es-MX"/>
              </w:rPr>
              <w:t>2</w:t>
            </w:r>
          </w:p>
        </w:tc>
        <w:tc>
          <w:tcPr>
            <w:tcW w:w="3795" w:type="pct"/>
            <w:shd w:val="clear" w:color="auto" w:fill="FFFFFF"/>
            <w:vAlign w:val="center"/>
          </w:tcPr>
          <w:p w14:paraId="405D0515" w14:textId="67142775" w:rsidR="009F1A83" w:rsidRPr="00C54B23" w:rsidRDefault="00A141DB" w:rsidP="00334416">
            <w:pPr>
              <w:pBdr>
                <w:top w:val="nil"/>
                <w:left w:val="nil"/>
                <w:bottom w:val="nil"/>
                <w:right w:val="nil"/>
                <w:between w:val="nil"/>
              </w:pBdr>
              <w:tabs>
                <w:tab w:val="left" w:pos="256"/>
              </w:tabs>
              <w:spacing w:before="0" w:after="0"/>
              <w:contextualSpacing/>
              <w:rPr>
                <w:rFonts w:eastAsia="Calibri" w:cs="Calibri"/>
                <w:bCs/>
                <w:color w:val="000000"/>
                <w:sz w:val="20"/>
                <w:szCs w:val="20"/>
                <w:lang w:eastAsia="es-MX"/>
              </w:rPr>
            </w:pPr>
            <w:r w:rsidRPr="00AC0084">
              <w:rPr>
                <w:rFonts w:eastAsia="Calibri" w:cs="Calibri"/>
                <w:b/>
                <w:color w:val="000000"/>
                <w:sz w:val="20"/>
                <w:szCs w:val="20"/>
                <w:lang w:eastAsia="es-MX"/>
              </w:rPr>
              <w:t>Hay un avance significativo en al menos un indicador del FAFEF a nivel estatal</w:t>
            </w:r>
            <w:r w:rsidRPr="004A3EB6">
              <w:rPr>
                <w:rFonts w:eastAsia="Calibri" w:cs="Calibri"/>
                <w:bCs/>
                <w:color w:val="000000"/>
                <w:sz w:val="20"/>
                <w:szCs w:val="20"/>
                <w:lang w:eastAsia="es-MX"/>
              </w:rPr>
              <w:t xml:space="preserve"> (mayor de 80% respecto de la meta) a nivel de Fin o de Propósito</w:t>
            </w:r>
          </w:p>
        </w:tc>
      </w:tr>
    </w:tbl>
    <w:p w14:paraId="2882B21A" w14:textId="77777777" w:rsidR="006E6FC5" w:rsidRDefault="006E6FC5" w:rsidP="006E6FC5">
      <w:r>
        <w:t xml:space="preserve">Como se ha referido en respuestas anteriores, la entidad federativa no cuenta con una MIR estatal que permita determinar los resultados de la aplicación de los recursos del FAFEF medidos con indicadores estatales. Por lo tanto, tomando como referencia el valor obtenido de los cinco indicadores de la MIR federal como resultados de la ejecución de los recursos del FAFEF en el Estado, se presenta la valoración siguiente: </w:t>
      </w:r>
    </w:p>
    <w:p w14:paraId="38F76730" w14:textId="77777777" w:rsidR="006E6FC5" w:rsidRDefault="006E6FC5" w:rsidP="006E6FC5">
      <w:r w:rsidRPr="00A649B1">
        <w:t xml:space="preserve">De acuerdo con los indicadores reportados por el Estado en la MIR federal, los resultados de la aplicación de los recursos del FAFEF para el año 2017 y 2018, señalan que a nivel Fin el indicador “índice de Impacto de Deuda Pública” alcanzó y superó la meta en ambos ejercicios en 80.79 y 6,333.3%, respectivamente, lo cual indica que la cantidad de recursos que el Estado canalizó de su ingreso estatal disponible al saneamiento financiero, fue constante o creciente; lo cual fortalece sus finanzas, en congruencia con lo previsto en la LCF y contribuye con el Fin establecido. A nivel de propósito, los resultados alcanzados para el año 2017 y 2018 para el indicador denominado “Índice de Fortalecimiento Financiero” correspondieron a 106.95 y 11,100%, respectivamente. Por su parte, para el indicador “Índice de Impulso al Gasto de Inversión” el resultado para año 2017 fue de apenas el 0.2%. En el caso del año 2018, no se contó con la información suficiente para realizar el análisis, aunque el mayor porcentaje de recursos (78.90%) se destinó </w:t>
      </w:r>
      <w:r>
        <w:t>a</w:t>
      </w:r>
      <w:r w:rsidRPr="00A649B1">
        <w:t xml:space="preserve"> la inversión en infraestructura física.</w:t>
      </w:r>
    </w:p>
    <w:p w14:paraId="063E6AD1" w14:textId="77777777" w:rsidR="006E6FC5" w:rsidRPr="00A649B1" w:rsidRDefault="006E6FC5" w:rsidP="006E6FC5">
      <w:r>
        <w:t>Considerando lo anterior se demuestra un avance mayor al 80% respecto a la meta para el indicador de Fin y un indicador de Propósito (</w:t>
      </w:r>
      <w:r w:rsidRPr="00A649B1">
        <w:t>Índice de Fortalecimiento Financiero</w:t>
      </w:r>
      <w:r>
        <w:t>), en ambos ejercicios ficales. Sin embargo, el indicador de Propósito expresado como “</w:t>
      </w:r>
      <w:r w:rsidRPr="00A649B1">
        <w:t>Índice de Impulso al Gasto de Inversión</w:t>
      </w:r>
      <w:r>
        <w:t>”, reporta un avance muy bajo en el ejercicio 2017 y no cuenta con información suficiente, para su valoración en el ejercicio fiscal 2018 ya que, aunque reporta en el informe definitivo de indicadores 2018, en el SRFT, un avance de 1.4% la meta registrada e el mismo es de cero, por lo que no es posible cuantificar su avance.</w:t>
      </w:r>
    </w:p>
    <w:p w14:paraId="23948741" w14:textId="77777777" w:rsidR="006E6FC5" w:rsidRPr="00A649B1" w:rsidRDefault="006E6FC5" w:rsidP="006E6FC5">
      <w:r w:rsidRPr="00A649B1">
        <w:t>Para el indicador “Porcentaje de Avance en las Metas a nivel de Componentes, los resultados para los ejercicios 2017 y 2018 fue de 61.1 y 9,500%, respectivamente, mientras que, a nivel de Actividades, el resultado alcanzado correspondió al 61.1 y 96% para el 2017 y 2018, respectivamente</w:t>
      </w:r>
      <w:r>
        <w:t xml:space="preserve"> (ver Anexo 2)</w:t>
      </w:r>
      <w:r w:rsidRPr="00A649B1">
        <w:t>.</w:t>
      </w:r>
    </w:p>
    <w:p w14:paraId="14158C5A" w14:textId="77777777" w:rsidR="006E6FC5" w:rsidRPr="00A649B1" w:rsidRDefault="006E6FC5" w:rsidP="006E6FC5">
      <w:r w:rsidRPr="00A649B1">
        <w:t>En todos los casos, según se pudo observar, no se justificó el resultado obtenido respecto a la meta programada.</w:t>
      </w:r>
    </w:p>
    <w:p w14:paraId="19B613F7" w14:textId="7D470508" w:rsidR="006E6FC5" w:rsidRDefault="006E6FC5" w:rsidP="006E6FC5">
      <w:r w:rsidRPr="00CF6D93">
        <w:t>Cabe señalar que la aplicación de los recursos del FAFEF en Tamaulipas, se venía aplicando en administraciones anteriores principalmente para saneamiento financiero a través de la amortización de capital y pago de intereses de deuda pública, no fue hasta 2017 cuando se comenzó a diversificar la utilización de los recursos del Fondo, determinando utilizar parte de esos recursos para obra pública.</w:t>
      </w:r>
      <w:r>
        <w:t xml:space="preserve"> A</w:t>
      </w:r>
      <w:r w:rsidRPr="00CF6D93">
        <w:t xml:space="preserve">lgunas de </w:t>
      </w:r>
      <w:r>
        <w:t xml:space="preserve">las </w:t>
      </w:r>
      <w:r w:rsidRPr="00CF6D93">
        <w:t>fortalezas de los resultados de la aplicación de los recursos del FAFEF en</w:t>
      </w:r>
      <w:r>
        <w:t xml:space="preserve"> Tamaulipas</w:t>
      </w:r>
      <w:r w:rsidRPr="00CF6D93">
        <w:t>, se refieren a la diversificación de la utilización de los recursos del Fondo para proyectos de inversión</w:t>
      </w:r>
      <w:r>
        <w:t>;</w:t>
      </w:r>
      <w:r w:rsidRPr="00CF6D93">
        <w:t xml:space="preserve"> el reporte oportuno de los avances de los indicadores a la Federación, a través del Sistema de Recursos Federales Transferidos</w:t>
      </w:r>
      <w:r>
        <w:t>; y,</w:t>
      </w:r>
      <w:r w:rsidR="00826CDE">
        <w:t xml:space="preserve"> </w:t>
      </w:r>
      <w:r>
        <w:t>e</w:t>
      </w:r>
      <w:r w:rsidRPr="00CF6D93">
        <w:t>l establecimiento del Grupo de Trabajo</w:t>
      </w:r>
      <w:r>
        <w:t xml:space="preserve"> que</w:t>
      </w:r>
      <w:r w:rsidRPr="00CF6D93">
        <w:t xml:space="preserve"> garantiza la atención y seguimiento de situaciones observadas a</w:t>
      </w:r>
      <w:r>
        <w:t xml:space="preserve"> </w:t>
      </w:r>
      <w:r w:rsidRPr="00CF6D93">
        <w:t>través del monitoreo de indicadores, a la vez de considerar las recomendaciones derivadas de las</w:t>
      </w:r>
      <w:r>
        <w:t xml:space="preserve"> </w:t>
      </w:r>
      <w:r w:rsidRPr="00CF6D93">
        <w:t xml:space="preserve">evaluaciones externas realizadas al Fondo y que se traduzcan en </w:t>
      </w:r>
      <w:r>
        <w:t>ASM</w:t>
      </w:r>
      <w:r w:rsidRPr="00CF6D93">
        <w:t>.</w:t>
      </w:r>
      <w:r>
        <w:t xml:space="preserve"> En contraparte, algunas debilidades que persisten son la f</w:t>
      </w:r>
      <w:r w:rsidRPr="00CF6D93">
        <w:t>alta de ejecución oportuna de las obras;</w:t>
      </w:r>
      <w:r>
        <w:t xml:space="preserve"> </w:t>
      </w:r>
      <w:r w:rsidRPr="00CF6D93">
        <w:t>los indicadores de desempeño de los Pp aún</w:t>
      </w:r>
      <w:r>
        <w:t xml:space="preserve"> </w:t>
      </w:r>
      <w:r w:rsidRPr="00CF6D93">
        <w:t>presentan áreas de mejora, respecto a la consistencia de la información que generan; y, la falta de proyectos viables para otras de las modalidades elegibles del Fondo.</w:t>
      </w:r>
    </w:p>
    <w:p w14:paraId="573F52D4" w14:textId="111459C9" w:rsidR="00D105A8" w:rsidRDefault="006E6FC5" w:rsidP="006E6FC5">
      <w:r w:rsidRPr="006B2F5B">
        <w:t>En general, es importante resaltar que,</w:t>
      </w:r>
      <w:r>
        <w:t xml:space="preserve"> en el ámbito estatal</w:t>
      </w:r>
      <w:r w:rsidRPr="006B2F5B">
        <w:t xml:space="preserve">, para la valoración de los resultados, debe considerarse que </w:t>
      </w:r>
      <w:r w:rsidRPr="006B2F5B">
        <w:rPr>
          <w:rFonts w:cstheme="minorHAnsi"/>
        </w:rPr>
        <w:t xml:space="preserve">los Pp son financiados por varias fuentes de financiamiento, entre ellas el FAFEF, </w:t>
      </w:r>
      <w:r>
        <w:rPr>
          <w:rFonts w:cstheme="minorHAnsi"/>
        </w:rPr>
        <w:t>por lo que los</w:t>
      </w:r>
      <w:r w:rsidRPr="006B2F5B">
        <w:rPr>
          <w:rFonts w:cstheme="minorHAnsi"/>
        </w:rPr>
        <w:t xml:space="preserve"> resultados de los indicadores no </w:t>
      </w:r>
      <w:r>
        <w:rPr>
          <w:rFonts w:cstheme="minorHAnsi"/>
        </w:rPr>
        <w:t xml:space="preserve">son atribuibles en su totalidad al </w:t>
      </w:r>
      <w:r w:rsidRPr="006B2F5B">
        <w:rPr>
          <w:rFonts w:cstheme="minorHAnsi"/>
        </w:rPr>
        <w:t>F</w:t>
      </w:r>
      <w:r>
        <w:rPr>
          <w:rFonts w:cstheme="minorHAnsi"/>
        </w:rPr>
        <w:t>ondo</w:t>
      </w:r>
      <w:r w:rsidRPr="006B2F5B">
        <w:rPr>
          <w:rFonts w:cstheme="minorHAnsi"/>
        </w:rPr>
        <w:t>.</w:t>
      </w:r>
      <w:r>
        <w:rPr>
          <w:rFonts w:cstheme="minorHAnsi"/>
        </w:rPr>
        <w:t xml:space="preserve"> </w:t>
      </w:r>
      <w:r w:rsidRPr="006B2F5B">
        <w:rPr>
          <w:rFonts w:cstheme="minorHAnsi"/>
        </w:rPr>
        <w:t>Por lo tanto,</w:t>
      </w:r>
      <w:r>
        <w:rPr>
          <w:rFonts w:cstheme="minorHAnsi"/>
        </w:rPr>
        <w:t xml:space="preserve"> se</w:t>
      </w:r>
      <w:r w:rsidRPr="006B2F5B">
        <w:rPr>
          <w:rFonts w:cstheme="minorHAnsi"/>
        </w:rPr>
        <w:t xml:space="preserve"> </w:t>
      </w:r>
      <w:r>
        <w:rPr>
          <w:rFonts w:cstheme="minorHAnsi"/>
        </w:rPr>
        <w:t>recomienda que la SF</w:t>
      </w:r>
      <w:r w:rsidRPr="006B2F5B">
        <w:rPr>
          <w:rFonts w:cstheme="minorHAnsi"/>
        </w:rPr>
        <w:t xml:space="preserve"> </w:t>
      </w:r>
      <w:r w:rsidRPr="006B2F5B">
        <w:rPr>
          <w:rFonts w:cstheme="minorHAnsi"/>
        </w:rPr>
        <w:lastRenderedPageBreak/>
        <w:t xml:space="preserve">en colaboración con los actores involucrados en el proceso de planeación y operación del FAFEF, </w:t>
      </w:r>
      <w:r>
        <w:rPr>
          <w:rFonts w:cstheme="minorHAnsi"/>
        </w:rPr>
        <w:t>vinculen los indicadores de los Pp con los de la MIR federal del Fondo e identifiquen el nivel de contribución de los recursos del FAFEF,</w:t>
      </w:r>
      <w:r w:rsidR="00826CDE">
        <w:rPr>
          <w:rFonts w:cstheme="minorHAnsi"/>
        </w:rPr>
        <w:t xml:space="preserve"> </w:t>
      </w:r>
      <w:r w:rsidRPr="006B2F5B">
        <w:rPr>
          <w:rFonts w:cstheme="minorHAnsi"/>
        </w:rPr>
        <w:t>que permitan dar cuenta de los resultados de la aplicación de los recursos del Fondo en las políticas y programas públicos implementados en el gobierno estatal, los cuales deben ser congruentes con los rubros de gasto determinados en la LCF, lo anterior a fin de medir los efectos concretos que se generan con dichos recursos.</w:t>
      </w:r>
      <w:r w:rsidR="00D105A8">
        <w:br w:type="page"/>
      </w:r>
    </w:p>
    <w:p w14:paraId="471911E0" w14:textId="350FFBF6" w:rsidR="005018A3" w:rsidRPr="00D105A8" w:rsidRDefault="00C54B23" w:rsidP="00305C85">
      <w:pPr>
        <w:spacing w:before="0"/>
        <w:rPr>
          <w:rFonts w:cstheme="minorHAnsi"/>
          <w:b/>
        </w:rPr>
      </w:pPr>
      <w:r>
        <w:rPr>
          <w:rFonts w:cstheme="minorHAnsi"/>
          <w:b/>
        </w:rPr>
        <w:lastRenderedPageBreak/>
        <w:t xml:space="preserve">29. </w:t>
      </w:r>
      <w:r w:rsidR="005018A3" w:rsidRPr="00D105A8">
        <w:rPr>
          <w:rFonts w:cstheme="minorHAnsi"/>
          <w:b/>
        </w:rPr>
        <w:t>A partir de análisis externos (evaluaciones, auditorías al desempeño, informes de organizaciones independientes, u otros relevantes) realizados al FAFEF (a nivel estatal) y de su experiencia en la temática ¿qué temas del Fondo considera importante analizar mediante evaluaciones u otros ejercicios conducidos por instancias externas?</w:t>
      </w:r>
    </w:p>
    <w:p w14:paraId="46705832" w14:textId="77777777" w:rsidR="00D105A8" w:rsidRPr="00C54B23" w:rsidRDefault="00D105A8" w:rsidP="00D105A8">
      <w:pPr>
        <w:rPr>
          <w:b/>
          <w:bCs/>
        </w:rPr>
      </w:pPr>
      <w:r w:rsidRPr="00C54B23">
        <w:rPr>
          <w:b/>
          <w:bCs/>
        </w:rPr>
        <w:t>No procede valoración cuantitativa.</w:t>
      </w:r>
    </w:p>
    <w:p w14:paraId="6A04A99A" w14:textId="7DD3EC52" w:rsidR="003F132A" w:rsidRDefault="003F132A" w:rsidP="005018A3">
      <w:pPr>
        <w:spacing w:after="0"/>
        <w:rPr>
          <w:rFonts w:cstheme="minorHAnsi"/>
        </w:rPr>
      </w:pPr>
      <w:r>
        <w:rPr>
          <w:rFonts w:cstheme="minorHAnsi"/>
          <w:bCs/>
        </w:rPr>
        <w:t>No obstante que se han llevado a cabo ejercicios de evaluaciones externas al FAFEF, aún se hace necesario que éstas abunden más en el desempeño</w:t>
      </w:r>
      <w:r w:rsidR="00603CE4">
        <w:rPr>
          <w:rFonts w:cstheme="minorHAnsi"/>
          <w:bCs/>
        </w:rPr>
        <w:t xml:space="preserve"> y resultados</w:t>
      </w:r>
      <w:r>
        <w:rPr>
          <w:rFonts w:cstheme="minorHAnsi"/>
          <w:bCs/>
        </w:rPr>
        <w:t xml:space="preserve"> obtenido</w:t>
      </w:r>
      <w:r w:rsidR="00603CE4">
        <w:rPr>
          <w:rFonts w:cstheme="minorHAnsi"/>
          <w:bCs/>
        </w:rPr>
        <w:t>s</w:t>
      </w:r>
      <w:r>
        <w:rPr>
          <w:rFonts w:cstheme="minorHAnsi"/>
          <w:bCs/>
        </w:rPr>
        <w:t xml:space="preserve"> por el Fondo, ya que todas las evaluaciones practicadas han sido del corte metodológico de Consistencia y Resultados y de Desempeño.</w:t>
      </w:r>
    </w:p>
    <w:p w14:paraId="27CFAB53" w14:textId="6D8756A3" w:rsidR="005018A3" w:rsidRPr="00D105A8" w:rsidRDefault="00F5399A" w:rsidP="005018A3">
      <w:pPr>
        <w:spacing w:after="0"/>
        <w:rPr>
          <w:rFonts w:cstheme="minorHAnsi"/>
        </w:rPr>
      </w:pPr>
      <w:r>
        <w:rPr>
          <w:rFonts w:cstheme="minorHAnsi"/>
        </w:rPr>
        <w:t>De manera general, uno de los</w:t>
      </w:r>
      <w:r w:rsidR="005018A3" w:rsidRPr="00D105A8">
        <w:rPr>
          <w:rFonts w:cstheme="minorHAnsi"/>
        </w:rPr>
        <w:t xml:space="preserve"> aspecto</w:t>
      </w:r>
      <w:r>
        <w:rPr>
          <w:rFonts w:cstheme="minorHAnsi"/>
        </w:rPr>
        <w:t>s</w:t>
      </w:r>
      <w:r w:rsidR="005018A3" w:rsidRPr="00D105A8">
        <w:rPr>
          <w:rFonts w:cstheme="minorHAnsi"/>
        </w:rPr>
        <w:t xml:space="preserve"> a considerar en ejercicios futuros de evaluación para el FAFEF, se refiere a la valoración de los resultados de la implementación de la estrategia del PbR en el desempeño del FAFEF en la entidad</w:t>
      </w:r>
      <w:r w:rsidR="004236AE">
        <w:rPr>
          <w:rFonts w:cstheme="minorHAnsi"/>
        </w:rPr>
        <w:t xml:space="preserve"> federativa</w:t>
      </w:r>
      <w:r w:rsidR="005018A3" w:rsidRPr="00D105A8">
        <w:rPr>
          <w:rFonts w:cstheme="minorHAnsi"/>
        </w:rPr>
        <w:t xml:space="preserve">. Es decir, se debe analizar si la operación de este esquema cumple con su objetivo de consolidar la utilización de una estructura programática con base en Programas presupuestarios (Pp) para orientar la asignación de recursos al cumplimiento de objetivos específicos y claros para resolver problemas públicos, atender necesidades o aprovechar oportunidades, de tal forma que los resultados del análisis permitan conocer con mayor precisión los impactos de la ejecución de los recursos del Fondo en </w:t>
      </w:r>
      <w:r w:rsidR="009C7939">
        <w:rPr>
          <w:rFonts w:cstheme="minorHAnsi"/>
        </w:rPr>
        <w:t>Tamaulipas</w:t>
      </w:r>
      <w:r w:rsidR="005018A3" w:rsidRPr="00D105A8">
        <w:rPr>
          <w:rFonts w:cstheme="minorHAnsi"/>
        </w:rPr>
        <w:t>.</w:t>
      </w:r>
    </w:p>
    <w:p w14:paraId="64EC46AC" w14:textId="1DF8CDF9" w:rsidR="005018A3" w:rsidRDefault="005018A3" w:rsidP="005018A3">
      <w:pPr>
        <w:spacing w:after="0"/>
        <w:rPr>
          <w:rFonts w:cstheme="minorHAnsi"/>
        </w:rPr>
      </w:pPr>
      <w:r w:rsidRPr="00D105A8">
        <w:rPr>
          <w:rFonts w:cstheme="minorHAnsi"/>
        </w:rPr>
        <w:t>En el análisis temático, se debe valorar, a partir de la revisión de los indicadores, el avance y/o alcance de las metas y objetivos definidos y su congruencia con las prioridades definidas en los documentos base de planeación estatal. Por lo tanto, se debe revisar si los indicadores de desempeño de los Pp son adecuados o aún presentan áreas de mejora, respecto a la consistencia de la información que generan y, en su caso, hacer un planteamiento de los aspectos a mejorar.</w:t>
      </w:r>
    </w:p>
    <w:p w14:paraId="1525F02D" w14:textId="30C3B592" w:rsidR="007B3F77" w:rsidRDefault="00476EC9" w:rsidP="003D06A4">
      <w:pPr>
        <w:rPr>
          <w:rFonts w:cstheme="minorHAnsi"/>
          <w:bCs/>
        </w:rPr>
      </w:pPr>
      <w:r>
        <w:rPr>
          <w:rFonts w:cstheme="minorHAnsi"/>
        </w:rPr>
        <w:t xml:space="preserve">Otro aspecto </w:t>
      </w:r>
      <w:r w:rsidR="005018A3" w:rsidRPr="00D105A8">
        <w:rPr>
          <w:rFonts w:cstheme="minorHAnsi"/>
        </w:rPr>
        <w:t xml:space="preserve">a considerar es saber si los Pp están enfocados en cerrar brechas, si están atendiendo adecuadamente a las poblaciones para las cuales fueron creados, pero, sobre todo, para conocer los cambios particulares que las personas están experimentando producto de la intervención </w:t>
      </w:r>
      <w:r w:rsidR="003D06A4" w:rsidRPr="00D105A8">
        <w:rPr>
          <w:rFonts w:cstheme="minorHAnsi"/>
        </w:rPr>
        <w:t>gubernamental.</w:t>
      </w:r>
    </w:p>
    <w:p w14:paraId="5D5BAAA7" w14:textId="2DFB7D1B" w:rsidR="003F132A" w:rsidRDefault="003F132A" w:rsidP="003D06A4">
      <w:pPr>
        <w:rPr>
          <w:rFonts w:cstheme="minorHAnsi"/>
          <w:bCs/>
        </w:rPr>
      </w:pPr>
      <w:r>
        <w:rPr>
          <w:rFonts w:cstheme="minorHAnsi"/>
          <w:bCs/>
        </w:rPr>
        <w:t>De manera concreta, se recomienda que se efectúe una evaluación Específica de Desempeño, por medio de la cual se analice el FAFEF a través de los Pp que reciben recursos de éste, en donde se determine el origen y destino del financiamiento de los Pp, el comportamiento del presupuesto en el tiempo, se revise el proceso de planificación para el cumplimiento de los objetivos del Fondo y de los Pp, se elabore un reporte sobre los principales resultados de la operación de cada uno de los Pp en términos de eficacia y eficiencia, se obtenga la evolución en el tiempo de la cobertura de los Pp</w:t>
      </w:r>
      <w:r w:rsidR="00826CDE">
        <w:rPr>
          <w:rFonts w:cstheme="minorHAnsi"/>
          <w:bCs/>
        </w:rPr>
        <w:t xml:space="preserve"> </w:t>
      </w:r>
      <w:r>
        <w:rPr>
          <w:rFonts w:cstheme="minorHAnsi"/>
          <w:bCs/>
        </w:rPr>
        <w:t>y se elabore el avance y evolución de los indicadores de resultados que se encuentran establecidos en las MIR federal y en las MIR de los Pp, estableciendo el vínculo</w:t>
      </w:r>
      <w:r w:rsidR="00603CE4">
        <w:rPr>
          <w:rFonts w:cstheme="minorHAnsi"/>
          <w:bCs/>
        </w:rPr>
        <w:t xml:space="preserve"> que permita conocer cómo los Pp contribuyen al logro de objetivos de la MIR federal</w:t>
      </w:r>
      <w:r>
        <w:rPr>
          <w:rFonts w:cstheme="minorHAnsi"/>
          <w:bCs/>
        </w:rPr>
        <w:t>.</w:t>
      </w:r>
      <w:r w:rsidR="007142B3">
        <w:rPr>
          <w:rFonts w:cstheme="minorHAnsi"/>
          <w:bCs/>
        </w:rPr>
        <w:t xml:space="preserve"> En este sentido, se recomienda realizar al FAFEF en la entidad</w:t>
      </w:r>
      <w:r w:rsidR="00C26E5D">
        <w:rPr>
          <w:rFonts w:cstheme="minorHAnsi"/>
          <w:bCs/>
        </w:rPr>
        <w:t xml:space="preserve"> federativa</w:t>
      </w:r>
      <w:r w:rsidR="007142B3">
        <w:rPr>
          <w:rFonts w:cstheme="minorHAnsi"/>
          <w:bCs/>
        </w:rPr>
        <w:t>, las evaluaciones externas que se muestran en el siguiente Cuadro.</w:t>
      </w:r>
    </w:p>
    <w:p w14:paraId="7B3D83B7" w14:textId="6AF7EAA2" w:rsidR="005D0AFE" w:rsidRPr="00644EF7" w:rsidRDefault="00644EF7" w:rsidP="00644EF7">
      <w:pPr>
        <w:pStyle w:val="Cuadro"/>
      </w:pPr>
      <w:bookmarkStart w:id="110" w:name="_Toc51660757"/>
      <w:bookmarkStart w:id="111" w:name="_Toc55502397"/>
      <w:bookmarkStart w:id="112" w:name="_Toc55502514"/>
      <w:bookmarkStart w:id="113" w:name="_Toc56069941"/>
      <w:r w:rsidRPr="00644EF7">
        <w:t>Cuadro 14</w:t>
      </w:r>
      <w:r w:rsidR="005D0AFE" w:rsidRPr="00644EF7">
        <w:t>. Tipo de evaluaciones</w:t>
      </w:r>
      <w:r w:rsidR="0001688F" w:rsidRPr="00644EF7">
        <w:t xml:space="preserve"> o análisis externos </w:t>
      </w:r>
      <w:r w:rsidR="005D0AFE" w:rsidRPr="00644EF7">
        <w:t>sugerid</w:t>
      </w:r>
      <w:r w:rsidR="0001688F" w:rsidRPr="00644EF7">
        <w:t>o</w:t>
      </w:r>
      <w:r w:rsidR="005D0AFE" w:rsidRPr="00644EF7">
        <w:t xml:space="preserve">s al FAFEF en </w:t>
      </w:r>
      <w:r w:rsidR="004A67DF" w:rsidRPr="00644EF7">
        <w:t>Tamaulipas</w:t>
      </w:r>
      <w:r w:rsidR="005D0AFE" w:rsidRPr="00644EF7">
        <w:t>.</w:t>
      </w:r>
      <w:bookmarkEnd w:id="110"/>
      <w:bookmarkEnd w:id="111"/>
      <w:bookmarkEnd w:id="112"/>
      <w:bookmarkEnd w:id="113"/>
      <w:r w:rsidR="005D0AFE" w:rsidRPr="00644EF7">
        <w:t xml:space="preserve"> </w:t>
      </w:r>
    </w:p>
    <w:tbl>
      <w:tblPr>
        <w:tblStyle w:val="Tablaconcuadrcula"/>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A0" w:firstRow="1" w:lastRow="0" w:firstColumn="1" w:lastColumn="0" w:noHBand="0" w:noVBand="1"/>
      </w:tblPr>
      <w:tblGrid>
        <w:gridCol w:w="1696"/>
        <w:gridCol w:w="3969"/>
        <w:gridCol w:w="1276"/>
        <w:gridCol w:w="3021"/>
      </w:tblGrid>
      <w:tr w:rsidR="005D0AFE" w:rsidRPr="00C54B23" w14:paraId="38915477" w14:textId="77777777" w:rsidTr="00F10A8D">
        <w:trPr>
          <w:trHeight w:val="20"/>
          <w:tblHeader/>
        </w:trPr>
        <w:tc>
          <w:tcPr>
            <w:tcW w:w="1696" w:type="dxa"/>
            <w:shd w:val="clear" w:color="auto" w:fill="9CC2E5"/>
            <w:vAlign w:val="center"/>
          </w:tcPr>
          <w:p w14:paraId="01F2F24E" w14:textId="77777777" w:rsidR="005D0AFE" w:rsidRPr="00C54B23" w:rsidRDefault="005D0AFE" w:rsidP="00476EC9">
            <w:pPr>
              <w:spacing w:before="0" w:after="0"/>
              <w:jc w:val="center"/>
              <w:rPr>
                <w:rFonts w:cstheme="minorHAnsi"/>
                <w:b/>
                <w:bCs/>
                <w:sz w:val="20"/>
                <w:szCs w:val="20"/>
              </w:rPr>
            </w:pPr>
            <w:r w:rsidRPr="00C54B23">
              <w:rPr>
                <w:rFonts w:cstheme="minorHAnsi"/>
                <w:b/>
                <w:bCs/>
                <w:sz w:val="20"/>
                <w:szCs w:val="20"/>
              </w:rPr>
              <w:t>Tipo de evaluación</w:t>
            </w:r>
          </w:p>
        </w:tc>
        <w:tc>
          <w:tcPr>
            <w:tcW w:w="3969" w:type="dxa"/>
            <w:shd w:val="clear" w:color="auto" w:fill="9CC2E5"/>
            <w:vAlign w:val="center"/>
          </w:tcPr>
          <w:p w14:paraId="60464053" w14:textId="77777777" w:rsidR="005D0AFE" w:rsidRPr="00C54B23" w:rsidRDefault="005D0AFE" w:rsidP="00476EC9">
            <w:pPr>
              <w:spacing w:before="0" w:after="0"/>
              <w:jc w:val="center"/>
              <w:rPr>
                <w:rFonts w:cstheme="minorHAnsi"/>
                <w:b/>
                <w:bCs/>
                <w:sz w:val="20"/>
                <w:szCs w:val="20"/>
              </w:rPr>
            </w:pPr>
            <w:r w:rsidRPr="00C54B23">
              <w:rPr>
                <w:rFonts w:cstheme="minorHAnsi"/>
                <w:b/>
                <w:bCs/>
                <w:sz w:val="20"/>
                <w:szCs w:val="20"/>
              </w:rPr>
              <w:t>Objetivo</w:t>
            </w:r>
          </w:p>
        </w:tc>
        <w:tc>
          <w:tcPr>
            <w:tcW w:w="1276" w:type="dxa"/>
            <w:shd w:val="clear" w:color="auto" w:fill="9CC2E5"/>
            <w:vAlign w:val="center"/>
          </w:tcPr>
          <w:p w14:paraId="021E8D85" w14:textId="77777777" w:rsidR="005D0AFE" w:rsidRPr="00C54B23" w:rsidRDefault="005D0AFE" w:rsidP="00476EC9">
            <w:pPr>
              <w:spacing w:before="0" w:after="0"/>
              <w:jc w:val="center"/>
              <w:rPr>
                <w:rFonts w:cstheme="minorHAnsi"/>
                <w:b/>
                <w:bCs/>
                <w:sz w:val="20"/>
                <w:szCs w:val="20"/>
              </w:rPr>
            </w:pPr>
            <w:r w:rsidRPr="00C54B23">
              <w:rPr>
                <w:rFonts w:cstheme="minorHAnsi"/>
                <w:b/>
                <w:bCs/>
                <w:sz w:val="20"/>
                <w:szCs w:val="20"/>
              </w:rPr>
              <w:t>Ámbito de aplicación</w:t>
            </w:r>
          </w:p>
        </w:tc>
        <w:tc>
          <w:tcPr>
            <w:tcW w:w="3021" w:type="dxa"/>
            <w:shd w:val="clear" w:color="auto" w:fill="9CC2E5"/>
            <w:vAlign w:val="center"/>
          </w:tcPr>
          <w:p w14:paraId="6927D7DE" w14:textId="77777777" w:rsidR="005D0AFE" w:rsidRPr="00C54B23" w:rsidRDefault="005D0AFE" w:rsidP="00476EC9">
            <w:pPr>
              <w:spacing w:before="0" w:after="0"/>
              <w:jc w:val="center"/>
              <w:rPr>
                <w:rFonts w:cstheme="minorHAnsi"/>
                <w:b/>
                <w:bCs/>
                <w:sz w:val="20"/>
                <w:szCs w:val="20"/>
              </w:rPr>
            </w:pPr>
            <w:r w:rsidRPr="00C54B23">
              <w:rPr>
                <w:rFonts w:cstheme="minorHAnsi"/>
                <w:b/>
                <w:bCs/>
                <w:sz w:val="20"/>
                <w:szCs w:val="20"/>
              </w:rPr>
              <w:t>Resultados</w:t>
            </w:r>
          </w:p>
        </w:tc>
      </w:tr>
      <w:tr w:rsidR="005D0AFE" w:rsidRPr="00C54B23" w14:paraId="58651EAC" w14:textId="77777777" w:rsidTr="00F10A8D">
        <w:trPr>
          <w:trHeight w:val="20"/>
        </w:trPr>
        <w:tc>
          <w:tcPr>
            <w:tcW w:w="1696" w:type="dxa"/>
            <w:vAlign w:val="center"/>
          </w:tcPr>
          <w:p w14:paraId="6FC5EAA5" w14:textId="77777777" w:rsidR="005D0AFE" w:rsidRPr="00C54B23" w:rsidRDefault="005D0AFE" w:rsidP="00F10A8D">
            <w:pPr>
              <w:spacing w:before="0" w:after="0"/>
              <w:rPr>
                <w:rFonts w:cstheme="minorHAnsi"/>
                <w:sz w:val="20"/>
                <w:szCs w:val="20"/>
              </w:rPr>
            </w:pPr>
            <w:r w:rsidRPr="00C54B23">
              <w:rPr>
                <w:rFonts w:cstheme="minorHAnsi"/>
                <w:sz w:val="20"/>
                <w:szCs w:val="20"/>
              </w:rPr>
              <w:t>Evaluación de Diseño</w:t>
            </w:r>
          </w:p>
        </w:tc>
        <w:tc>
          <w:tcPr>
            <w:tcW w:w="3969" w:type="dxa"/>
          </w:tcPr>
          <w:p w14:paraId="16C7BDCC" w14:textId="4AC07B7E" w:rsidR="005D0AFE" w:rsidRPr="00C54B23" w:rsidRDefault="005D0AFE" w:rsidP="00F10A8D">
            <w:pPr>
              <w:pStyle w:val="ms-rteelement-parrafo"/>
              <w:shd w:val="clear" w:color="auto" w:fill="FFFFFF"/>
              <w:spacing w:before="0" w:beforeAutospacing="0" w:after="0" w:afterAutospacing="0"/>
              <w:jc w:val="both"/>
              <w:rPr>
                <w:rFonts w:asciiTheme="minorHAnsi" w:hAnsiTheme="minorHAnsi" w:cstheme="minorHAnsi"/>
                <w:sz w:val="20"/>
                <w:szCs w:val="20"/>
              </w:rPr>
            </w:pPr>
            <w:r w:rsidRPr="00C54B23">
              <w:rPr>
                <w:rFonts w:asciiTheme="minorHAnsi" w:hAnsiTheme="minorHAnsi" w:cs="Arial"/>
                <w:color w:val="000000"/>
                <w:sz w:val="20"/>
                <w:szCs w:val="20"/>
                <w:shd w:val="clear" w:color="auto" w:fill="FFFFFF"/>
              </w:rPr>
              <w:t>Evaluar el diseño del FAFEF</w:t>
            </w:r>
            <w:r w:rsidR="0014440A">
              <w:rPr>
                <w:rFonts w:asciiTheme="minorHAnsi" w:hAnsiTheme="minorHAnsi" w:cs="Arial"/>
                <w:color w:val="000000"/>
                <w:sz w:val="20"/>
                <w:szCs w:val="20"/>
                <w:shd w:val="clear" w:color="auto" w:fill="FFFFFF"/>
              </w:rPr>
              <w:t xml:space="preserve"> y de los Pp que reciben recursos del Fondo</w:t>
            </w:r>
            <w:r w:rsidRPr="00C54B23">
              <w:rPr>
                <w:rFonts w:asciiTheme="minorHAnsi" w:hAnsiTheme="minorHAnsi" w:cs="Arial"/>
                <w:color w:val="000000"/>
                <w:sz w:val="20"/>
                <w:szCs w:val="20"/>
                <w:shd w:val="clear" w:color="auto" w:fill="FFFFFF"/>
              </w:rPr>
              <w:t>, con la finalidad de contar con información que permita elaborar recomendaciones a su diseño</w:t>
            </w:r>
            <w:r>
              <w:rPr>
                <w:rFonts w:asciiTheme="minorHAnsi" w:hAnsiTheme="minorHAnsi" w:cs="Arial"/>
                <w:color w:val="000000"/>
                <w:sz w:val="20"/>
                <w:szCs w:val="20"/>
                <w:shd w:val="clear" w:color="auto" w:fill="FFFFFF"/>
              </w:rPr>
              <w:t xml:space="preserve"> </w:t>
            </w:r>
            <w:r w:rsidR="001B759C" w:rsidRPr="00C54B23">
              <w:rPr>
                <w:rFonts w:asciiTheme="minorHAnsi" w:hAnsiTheme="minorHAnsi" w:cs="Arial"/>
                <w:color w:val="000000"/>
                <w:sz w:val="20"/>
                <w:szCs w:val="20"/>
                <w:shd w:val="clear" w:color="auto" w:fill="FFFFFF"/>
              </w:rPr>
              <w:t>o funcionamiento</w:t>
            </w:r>
            <w:r w:rsidRPr="00C54B23">
              <w:rPr>
                <w:rFonts w:asciiTheme="minorHAnsi" w:hAnsiTheme="minorHAnsi" w:cs="Arial"/>
                <w:color w:val="000000"/>
                <w:sz w:val="20"/>
                <w:szCs w:val="20"/>
                <w:shd w:val="clear" w:color="auto" w:fill="FFFFFF"/>
              </w:rPr>
              <w:t xml:space="preserve"> desde estadios tempranos de su operación y con ello contribuir a su mejora, a través del análisis de gabinete y con trabajo de campo.</w:t>
            </w:r>
          </w:p>
        </w:tc>
        <w:tc>
          <w:tcPr>
            <w:tcW w:w="1276" w:type="dxa"/>
            <w:vAlign w:val="center"/>
          </w:tcPr>
          <w:p w14:paraId="07C8E659" w14:textId="076777E0" w:rsidR="005D0AFE" w:rsidRPr="00C54B23" w:rsidRDefault="005D0AFE" w:rsidP="00F10A8D">
            <w:pPr>
              <w:tabs>
                <w:tab w:val="center" w:pos="1137"/>
              </w:tabs>
              <w:spacing w:before="0" w:after="0"/>
              <w:rPr>
                <w:rFonts w:cstheme="minorHAnsi"/>
                <w:sz w:val="20"/>
                <w:szCs w:val="20"/>
              </w:rPr>
            </w:pPr>
            <w:r w:rsidRPr="00C54B23">
              <w:rPr>
                <w:rFonts w:cstheme="minorHAnsi"/>
                <w:sz w:val="20"/>
                <w:szCs w:val="20"/>
              </w:rPr>
              <w:t>FAFEF</w:t>
            </w:r>
            <w:r w:rsidR="0014440A">
              <w:rPr>
                <w:rFonts w:cstheme="minorHAnsi"/>
                <w:sz w:val="20"/>
                <w:szCs w:val="20"/>
              </w:rPr>
              <w:t xml:space="preserve"> y </w:t>
            </w:r>
            <w:r w:rsidR="0014440A" w:rsidRPr="00C54B23">
              <w:rPr>
                <w:rFonts w:cs="Arial"/>
                <w:color w:val="000000"/>
                <w:sz w:val="20"/>
                <w:szCs w:val="20"/>
                <w:shd w:val="clear" w:color="auto" w:fill="FFFFFF"/>
              </w:rPr>
              <w:t>Pp financiados con recursos del F</w:t>
            </w:r>
            <w:r w:rsidR="003252CB">
              <w:rPr>
                <w:rFonts w:cs="Arial"/>
                <w:color w:val="000000"/>
                <w:sz w:val="20"/>
                <w:szCs w:val="20"/>
                <w:shd w:val="clear" w:color="auto" w:fill="FFFFFF"/>
              </w:rPr>
              <w:t>ondo</w:t>
            </w:r>
          </w:p>
        </w:tc>
        <w:tc>
          <w:tcPr>
            <w:tcW w:w="3021" w:type="dxa"/>
            <w:vAlign w:val="center"/>
          </w:tcPr>
          <w:p w14:paraId="41399064" w14:textId="0176FF5E" w:rsidR="005D0AFE" w:rsidRPr="00C54B23" w:rsidRDefault="005D0AFE" w:rsidP="00F10A8D">
            <w:pPr>
              <w:spacing w:before="0" w:after="0"/>
              <w:rPr>
                <w:rFonts w:cstheme="minorHAnsi"/>
                <w:sz w:val="20"/>
                <w:szCs w:val="20"/>
              </w:rPr>
            </w:pPr>
            <w:r w:rsidRPr="00C54B23">
              <w:rPr>
                <w:rFonts w:cstheme="minorHAnsi"/>
                <w:sz w:val="20"/>
                <w:szCs w:val="20"/>
              </w:rPr>
              <w:t>La implementación de mejoras en el diseño de la gestión y operación del Fondo</w:t>
            </w:r>
            <w:r w:rsidR="0014440A">
              <w:rPr>
                <w:rFonts w:cstheme="minorHAnsi"/>
                <w:sz w:val="20"/>
                <w:szCs w:val="20"/>
              </w:rPr>
              <w:t xml:space="preserve"> y de </w:t>
            </w:r>
            <w:r w:rsidR="0014440A" w:rsidRPr="00C54B23">
              <w:rPr>
                <w:rFonts w:cs="Arial"/>
                <w:color w:val="000000"/>
                <w:sz w:val="20"/>
                <w:szCs w:val="20"/>
                <w:shd w:val="clear" w:color="auto" w:fill="FFFFFF"/>
              </w:rPr>
              <w:t xml:space="preserve">los Pp que contribuyan a potenciar los resultados del FAFEF </w:t>
            </w:r>
            <w:r w:rsidR="0014440A">
              <w:rPr>
                <w:rFonts w:cs="Arial"/>
                <w:color w:val="000000"/>
                <w:sz w:val="20"/>
                <w:szCs w:val="20"/>
                <w:shd w:val="clear" w:color="auto" w:fill="FFFFFF"/>
              </w:rPr>
              <w:t>de manera integral.</w:t>
            </w:r>
          </w:p>
        </w:tc>
      </w:tr>
      <w:tr w:rsidR="005D0AFE" w:rsidRPr="00C54B23" w14:paraId="0F4FBC2C" w14:textId="77777777" w:rsidTr="00F10A8D">
        <w:trPr>
          <w:trHeight w:val="20"/>
        </w:trPr>
        <w:tc>
          <w:tcPr>
            <w:tcW w:w="1696" w:type="dxa"/>
            <w:vAlign w:val="center"/>
          </w:tcPr>
          <w:p w14:paraId="3A569E3A" w14:textId="77777777" w:rsidR="005D0AFE" w:rsidRPr="00C54B23" w:rsidRDefault="005D0AFE" w:rsidP="00F10A8D">
            <w:pPr>
              <w:spacing w:before="0" w:after="0"/>
              <w:rPr>
                <w:rFonts w:cstheme="minorHAnsi"/>
                <w:sz w:val="20"/>
                <w:szCs w:val="20"/>
              </w:rPr>
            </w:pPr>
            <w:r w:rsidRPr="00C54B23">
              <w:rPr>
                <w:rFonts w:cstheme="minorHAnsi"/>
                <w:sz w:val="20"/>
                <w:szCs w:val="20"/>
              </w:rPr>
              <w:t>Evaluación de procesos</w:t>
            </w:r>
          </w:p>
        </w:tc>
        <w:tc>
          <w:tcPr>
            <w:tcW w:w="3969" w:type="dxa"/>
          </w:tcPr>
          <w:p w14:paraId="2800E692" w14:textId="77777777" w:rsidR="005D0AFE" w:rsidRPr="00C54B23" w:rsidRDefault="005D0AFE" w:rsidP="00F10A8D">
            <w:pPr>
              <w:pStyle w:val="ms-rteelement-parrafo"/>
              <w:shd w:val="clear" w:color="auto" w:fill="FFFFFF"/>
              <w:spacing w:before="0" w:beforeAutospacing="0" w:after="0" w:afterAutospacing="0"/>
              <w:jc w:val="both"/>
              <w:rPr>
                <w:rFonts w:asciiTheme="minorHAnsi" w:hAnsiTheme="minorHAnsi" w:cs="Arial"/>
                <w:color w:val="000000"/>
                <w:sz w:val="20"/>
                <w:szCs w:val="20"/>
                <w:shd w:val="clear" w:color="auto" w:fill="FFFFFF"/>
              </w:rPr>
            </w:pPr>
            <w:r w:rsidRPr="00C54B23">
              <w:rPr>
                <w:rFonts w:asciiTheme="minorHAnsi" w:hAnsiTheme="minorHAnsi" w:cs="Arial"/>
                <w:color w:val="000000"/>
                <w:sz w:val="20"/>
                <w:szCs w:val="20"/>
                <w:shd w:val="clear" w:color="auto" w:fill="FFFFFF"/>
              </w:rPr>
              <w:t xml:space="preserve">Contribuir al análisis sistemático de la gestión operativa del FAFEF que permita valorar si </w:t>
            </w:r>
            <w:r w:rsidRPr="00C54B23">
              <w:rPr>
                <w:rFonts w:asciiTheme="minorHAnsi" w:hAnsiTheme="minorHAnsi" w:cs="Arial"/>
                <w:color w:val="000000"/>
                <w:sz w:val="20"/>
                <w:szCs w:val="20"/>
                <w:shd w:val="clear" w:color="auto" w:fill="FFFFFF"/>
              </w:rPr>
              <w:lastRenderedPageBreak/>
              <w:t>dicha gestión cumple con lo necesario para el logro del su objetivo.</w:t>
            </w:r>
          </w:p>
        </w:tc>
        <w:tc>
          <w:tcPr>
            <w:tcW w:w="1276" w:type="dxa"/>
            <w:vAlign w:val="center"/>
          </w:tcPr>
          <w:p w14:paraId="459A3E2A" w14:textId="77777777" w:rsidR="005D0AFE" w:rsidRPr="00C54B23" w:rsidRDefault="005D0AFE" w:rsidP="00F10A8D">
            <w:pPr>
              <w:pStyle w:val="ms-rteelement-parrafo"/>
              <w:shd w:val="clear" w:color="auto" w:fill="FFFFFF"/>
              <w:spacing w:before="0" w:beforeAutospacing="0" w:after="0" w:afterAutospacing="0"/>
              <w:jc w:val="both"/>
              <w:rPr>
                <w:rFonts w:asciiTheme="minorHAnsi" w:hAnsiTheme="minorHAnsi" w:cs="Arial"/>
                <w:color w:val="000000"/>
                <w:sz w:val="20"/>
                <w:szCs w:val="20"/>
                <w:shd w:val="clear" w:color="auto" w:fill="FFFFFF"/>
              </w:rPr>
            </w:pPr>
            <w:r w:rsidRPr="00C54B23">
              <w:rPr>
                <w:rFonts w:asciiTheme="minorHAnsi" w:hAnsiTheme="minorHAnsi" w:cs="Arial"/>
                <w:color w:val="000000"/>
                <w:sz w:val="20"/>
                <w:szCs w:val="20"/>
                <w:shd w:val="clear" w:color="auto" w:fill="FFFFFF"/>
              </w:rPr>
              <w:lastRenderedPageBreak/>
              <w:t>FAFEF</w:t>
            </w:r>
          </w:p>
        </w:tc>
        <w:tc>
          <w:tcPr>
            <w:tcW w:w="3021" w:type="dxa"/>
            <w:vAlign w:val="center"/>
          </w:tcPr>
          <w:p w14:paraId="494FA3E7" w14:textId="192A7C2C" w:rsidR="005D0AFE" w:rsidRPr="00C54B23" w:rsidRDefault="005D0AFE" w:rsidP="00F10A8D">
            <w:pPr>
              <w:pStyle w:val="ms-rteelement-parrafo"/>
              <w:shd w:val="clear" w:color="auto" w:fill="FFFFFF"/>
              <w:spacing w:before="0" w:beforeAutospacing="0" w:after="0" w:afterAutospacing="0"/>
              <w:jc w:val="both"/>
              <w:rPr>
                <w:rFonts w:asciiTheme="minorHAnsi" w:hAnsiTheme="minorHAnsi" w:cs="Arial"/>
                <w:color w:val="000000"/>
                <w:sz w:val="20"/>
                <w:szCs w:val="20"/>
                <w:shd w:val="clear" w:color="auto" w:fill="FFFFFF"/>
              </w:rPr>
            </w:pPr>
            <w:r w:rsidRPr="00C54B23">
              <w:rPr>
                <w:rFonts w:asciiTheme="minorHAnsi" w:hAnsiTheme="minorHAnsi" w:cs="Arial"/>
                <w:color w:val="000000"/>
                <w:sz w:val="20"/>
                <w:szCs w:val="20"/>
                <w:shd w:val="clear" w:color="auto" w:fill="FFFFFF"/>
              </w:rPr>
              <w:t xml:space="preserve">La generación de información que sustente la instrumentación de mejoras en los procesos de gestión </w:t>
            </w:r>
            <w:r w:rsidRPr="00C54B23">
              <w:rPr>
                <w:rFonts w:asciiTheme="minorHAnsi" w:hAnsiTheme="minorHAnsi" w:cs="Arial"/>
                <w:color w:val="000000"/>
                <w:sz w:val="20"/>
                <w:szCs w:val="20"/>
                <w:shd w:val="clear" w:color="auto" w:fill="FFFFFF"/>
              </w:rPr>
              <w:lastRenderedPageBreak/>
              <w:t>del Fondo</w:t>
            </w:r>
            <w:r w:rsidR="00E5070E">
              <w:rPr>
                <w:rFonts w:asciiTheme="minorHAnsi" w:hAnsiTheme="minorHAnsi" w:cs="Arial"/>
                <w:color w:val="000000"/>
                <w:sz w:val="20"/>
                <w:szCs w:val="20"/>
                <w:shd w:val="clear" w:color="auto" w:fill="FFFFFF"/>
              </w:rPr>
              <w:t xml:space="preserve"> y dar solidez a los proceso</w:t>
            </w:r>
            <w:r w:rsidR="004928E0">
              <w:rPr>
                <w:rFonts w:asciiTheme="minorHAnsi" w:hAnsiTheme="minorHAnsi" w:cs="Arial"/>
                <w:color w:val="000000"/>
                <w:sz w:val="20"/>
                <w:szCs w:val="20"/>
                <w:shd w:val="clear" w:color="auto" w:fill="FFFFFF"/>
              </w:rPr>
              <w:t>s</w:t>
            </w:r>
            <w:r w:rsidR="00E5070E">
              <w:rPr>
                <w:rFonts w:asciiTheme="minorHAnsi" w:hAnsiTheme="minorHAnsi" w:cs="Arial"/>
                <w:color w:val="000000"/>
                <w:sz w:val="20"/>
                <w:szCs w:val="20"/>
                <w:shd w:val="clear" w:color="auto" w:fill="FFFFFF"/>
              </w:rPr>
              <w:t xml:space="preserve"> de asignación, presupuestación, ejercicio, control y seguimiento de los recursos del </w:t>
            </w:r>
            <w:r w:rsidR="004928E0">
              <w:rPr>
                <w:rFonts w:asciiTheme="minorHAnsi" w:hAnsiTheme="minorHAnsi" w:cs="Arial"/>
                <w:color w:val="000000"/>
                <w:sz w:val="20"/>
                <w:szCs w:val="20"/>
                <w:shd w:val="clear" w:color="auto" w:fill="FFFFFF"/>
              </w:rPr>
              <w:t>Fondo.</w:t>
            </w:r>
          </w:p>
        </w:tc>
      </w:tr>
      <w:tr w:rsidR="003252CB" w:rsidRPr="00C54B23" w14:paraId="44BF430D" w14:textId="77777777" w:rsidTr="00F10A8D">
        <w:trPr>
          <w:trHeight w:val="20"/>
        </w:trPr>
        <w:tc>
          <w:tcPr>
            <w:tcW w:w="1696" w:type="dxa"/>
            <w:vAlign w:val="center"/>
          </w:tcPr>
          <w:p w14:paraId="4EDF59C3" w14:textId="0351E896" w:rsidR="003252CB" w:rsidRPr="00C54B23" w:rsidRDefault="003252CB" w:rsidP="00F10A8D">
            <w:pPr>
              <w:spacing w:before="0" w:after="0"/>
              <w:rPr>
                <w:rFonts w:cstheme="minorHAnsi"/>
                <w:sz w:val="20"/>
                <w:szCs w:val="20"/>
              </w:rPr>
            </w:pPr>
            <w:r>
              <w:rPr>
                <w:rFonts w:cstheme="minorHAnsi"/>
                <w:sz w:val="20"/>
                <w:szCs w:val="20"/>
              </w:rPr>
              <w:lastRenderedPageBreak/>
              <w:t>Evaluación específica de desempeño</w:t>
            </w:r>
          </w:p>
        </w:tc>
        <w:tc>
          <w:tcPr>
            <w:tcW w:w="3969" w:type="dxa"/>
          </w:tcPr>
          <w:p w14:paraId="698373E4" w14:textId="7CF5AE4E" w:rsidR="003252CB" w:rsidRPr="00C54B23" w:rsidRDefault="003252CB" w:rsidP="00F10A8D">
            <w:pPr>
              <w:pStyle w:val="ms-rteelement-parrafo"/>
              <w:shd w:val="clear" w:color="auto" w:fill="FFFFFF"/>
              <w:spacing w:before="0" w:beforeAutospacing="0" w:after="0" w:afterAutospacing="0"/>
              <w:jc w:val="both"/>
              <w:rPr>
                <w:rFonts w:asciiTheme="minorHAnsi" w:hAnsiTheme="minorHAnsi" w:cs="Arial"/>
                <w:color w:val="000000"/>
                <w:sz w:val="20"/>
                <w:szCs w:val="20"/>
                <w:shd w:val="clear" w:color="auto" w:fill="FFFFFF"/>
              </w:rPr>
            </w:pPr>
            <w:r w:rsidRPr="00CD3009">
              <w:rPr>
                <w:rFonts w:ascii="Calibri" w:eastAsia="Calibri" w:hAnsi="Calibri" w:cs="Calibri"/>
                <w:sz w:val="20"/>
                <w:szCs w:val="20"/>
              </w:rPr>
              <w:t xml:space="preserve">Contar con una valoración del desempeño y de los resultados del FAFEF en la </w:t>
            </w:r>
            <w:r w:rsidR="00494B38">
              <w:rPr>
                <w:rFonts w:ascii="Calibri" w:eastAsia="Calibri" w:hAnsi="Calibri" w:cs="Calibri"/>
                <w:sz w:val="20"/>
                <w:szCs w:val="20"/>
              </w:rPr>
              <w:t>e</w:t>
            </w:r>
            <w:r w:rsidRPr="00CD3009">
              <w:rPr>
                <w:rFonts w:ascii="Calibri" w:eastAsia="Calibri" w:hAnsi="Calibri" w:cs="Calibri"/>
                <w:sz w:val="20"/>
                <w:szCs w:val="20"/>
              </w:rPr>
              <w:t>ntidad</w:t>
            </w:r>
            <w:r w:rsidR="00C26E5D">
              <w:rPr>
                <w:rFonts w:ascii="Calibri" w:eastAsia="Calibri" w:hAnsi="Calibri" w:cs="Calibri"/>
                <w:sz w:val="20"/>
                <w:szCs w:val="20"/>
              </w:rPr>
              <w:t xml:space="preserve"> federativa</w:t>
            </w:r>
            <w:r w:rsidRPr="00CD3009">
              <w:rPr>
                <w:rFonts w:ascii="Calibri" w:eastAsia="Calibri" w:hAnsi="Calibri" w:cs="Calibri"/>
                <w:sz w:val="20"/>
                <w:szCs w:val="20"/>
              </w:rPr>
              <w:t>, con base en la información generada en los procesos de ejecución de los recursos del Fondo</w:t>
            </w:r>
          </w:p>
        </w:tc>
        <w:tc>
          <w:tcPr>
            <w:tcW w:w="1276" w:type="dxa"/>
            <w:vAlign w:val="center"/>
          </w:tcPr>
          <w:p w14:paraId="7301DACD" w14:textId="50126211" w:rsidR="003252CB" w:rsidRPr="003252CB" w:rsidRDefault="003252CB" w:rsidP="00F10A8D">
            <w:pPr>
              <w:pStyle w:val="ms-rteelement-parrafo"/>
              <w:shd w:val="clear" w:color="auto" w:fill="FFFFFF"/>
              <w:spacing w:before="0" w:beforeAutospacing="0" w:after="0" w:afterAutospacing="0"/>
              <w:jc w:val="both"/>
              <w:rPr>
                <w:rFonts w:ascii="Calibri" w:hAnsi="Calibri" w:cs="Calibri"/>
                <w:color w:val="000000"/>
                <w:sz w:val="20"/>
                <w:szCs w:val="20"/>
                <w:shd w:val="clear" w:color="auto" w:fill="FFFFFF"/>
              </w:rPr>
            </w:pPr>
            <w:r w:rsidRPr="003252CB">
              <w:rPr>
                <w:rFonts w:ascii="Calibri" w:hAnsi="Calibri" w:cs="Calibri"/>
                <w:sz w:val="20"/>
                <w:szCs w:val="20"/>
              </w:rPr>
              <w:t xml:space="preserve">FAFEF y </w:t>
            </w:r>
            <w:r w:rsidRPr="003252CB">
              <w:rPr>
                <w:rFonts w:ascii="Calibri" w:hAnsi="Calibri" w:cs="Calibri"/>
                <w:color w:val="000000"/>
                <w:sz w:val="20"/>
                <w:szCs w:val="20"/>
                <w:shd w:val="clear" w:color="auto" w:fill="FFFFFF"/>
              </w:rPr>
              <w:t>Pp financiados con recursos del Fondo</w:t>
            </w:r>
          </w:p>
        </w:tc>
        <w:tc>
          <w:tcPr>
            <w:tcW w:w="3021" w:type="dxa"/>
            <w:vAlign w:val="center"/>
          </w:tcPr>
          <w:p w14:paraId="2933D6AC" w14:textId="469D5563" w:rsidR="003252CB" w:rsidRPr="00F10A8D" w:rsidRDefault="003252CB" w:rsidP="00F10A8D">
            <w:pPr>
              <w:spacing w:before="0" w:after="0"/>
              <w:rPr>
                <w:rFonts w:cstheme="minorHAnsi"/>
                <w:sz w:val="20"/>
                <w:szCs w:val="20"/>
              </w:rPr>
            </w:pPr>
            <w:r w:rsidRPr="00CD3009">
              <w:rPr>
                <w:rFonts w:cstheme="minorHAnsi"/>
                <w:sz w:val="20"/>
                <w:szCs w:val="20"/>
              </w:rPr>
              <w:t xml:space="preserve">La evaluación específica de desempeño generará claridad sobre cómo se generan los resultados en la </w:t>
            </w:r>
            <w:r w:rsidR="00325A79">
              <w:rPr>
                <w:rFonts w:cstheme="minorHAnsi"/>
                <w:sz w:val="20"/>
                <w:szCs w:val="20"/>
              </w:rPr>
              <w:t>e</w:t>
            </w:r>
            <w:r w:rsidRPr="00CD3009">
              <w:rPr>
                <w:rFonts w:cstheme="minorHAnsi"/>
                <w:sz w:val="20"/>
                <w:szCs w:val="20"/>
              </w:rPr>
              <w:t xml:space="preserve">ntidad </w:t>
            </w:r>
            <w:r w:rsidR="00C26E5D">
              <w:rPr>
                <w:rFonts w:cstheme="minorHAnsi"/>
                <w:sz w:val="20"/>
                <w:szCs w:val="20"/>
              </w:rPr>
              <w:t xml:space="preserve">federativa </w:t>
            </w:r>
            <w:r w:rsidRPr="00CD3009">
              <w:rPr>
                <w:rFonts w:cstheme="minorHAnsi"/>
                <w:sz w:val="20"/>
                <w:szCs w:val="20"/>
              </w:rPr>
              <w:t xml:space="preserve">y cómo se logra beneficiar a la población </w:t>
            </w:r>
            <w:r>
              <w:rPr>
                <w:rFonts w:cstheme="minorHAnsi"/>
                <w:sz w:val="20"/>
                <w:szCs w:val="20"/>
              </w:rPr>
              <w:t>objetivo</w:t>
            </w:r>
            <w:r w:rsidRPr="00CD3009">
              <w:rPr>
                <w:rFonts w:cstheme="minorHAnsi"/>
                <w:sz w:val="20"/>
                <w:szCs w:val="20"/>
              </w:rPr>
              <w:t xml:space="preserve">, entre otros aspectos de utilidad. </w:t>
            </w:r>
          </w:p>
        </w:tc>
      </w:tr>
    </w:tbl>
    <w:p w14:paraId="56760415" w14:textId="3D41AC90" w:rsidR="0005565D" w:rsidRDefault="0005565D" w:rsidP="007B3F77">
      <w:pPr>
        <w:rPr>
          <w:rFonts w:cstheme="minorHAnsi"/>
          <w:bCs/>
        </w:rPr>
      </w:pPr>
    </w:p>
    <w:p w14:paraId="1B85D27A" w14:textId="77777777" w:rsidR="0005565D" w:rsidRDefault="0005565D">
      <w:pPr>
        <w:spacing w:before="0" w:after="160" w:line="259" w:lineRule="auto"/>
        <w:jc w:val="left"/>
        <w:rPr>
          <w:rFonts w:cstheme="minorHAnsi"/>
          <w:bCs/>
        </w:rPr>
      </w:pPr>
      <w:r>
        <w:rPr>
          <w:rFonts w:cstheme="minorHAnsi"/>
          <w:bCs/>
        </w:rPr>
        <w:br w:type="page"/>
      </w:r>
    </w:p>
    <w:p w14:paraId="021CB3DE" w14:textId="600C85B5" w:rsidR="005018A3" w:rsidRPr="00D105A8" w:rsidRDefault="00A43732" w:rsidP="00D14056">
      <w:pPr>
        <w:rPr>
          <w:rFonts w:cstheme="minorHAnsi"/>
          <w:b/>
        </w:rPr>
      </w:pPr>
      <w:r>
        <w:rPr>
          <w:rFonts w:cstheme="minorHAnsi"/>
          <w:b/>
        </w:rPr>
        <w:lastRenderedPageBreak/>
        <w:t xml:space="preserve">30. </w:t>
      </w:r>
      <w:r w:rsidR="005018A3" w:rsidRPr="00D105A8">
        <w:rPr>
          <w:rFonts w:cstheme="minorHAnsi"/>
          <w:b/>
        </w:rPr>
        <w:t>En caso de que la entidad federativa cuente con evaluaciones externas del FAFEF que permitan identificar hallazgos relacionados con el Fin y/o Propósito de su MIR, ¿cuáles son los resultados de las evaluaciones?</w:t>
      </w:r>
    </w:p>
    <w:p w14:paraId="17EC2602" w14:textId="77777777" w:rsidR="00D105A8" w:rsidRPr="00A43732" w:rsidRDefault="00D105A8" w:rsidP="00D105A8">
      <w:pPr>
        <w:rPr>
          <w:b/>
          <w:bCs/>
        </w:rPr>
      </w:pPr>
      <w:r w:rsidRPr="00A43732">
        <w:rPr>
          <w:b/>
          <w:bCs/>
        </w:rPr>
        <w:t>No procede valoración cuantitativa.</w:t>
      </w:r>
    </w:p>
    <w:p w14:paraId="222CF5FC" w14:textId="3B1408BE" w:rsidR="005018A3" w:rsidRPr="00D105A8" w:rsidRDefault="005018A3" w:rsidP="005018A3">
      <w:pPr>
        <w:spacing w:before="240" w:after="240"/>
        <w:rPr>
          <w:rFonts w:cstheme="minorHAnsi"/>
        </w:rPr>
      </w:pPr>
      <w:r w:rsidRPr="00D105A8">
        <w:rPr>
          <w:rFonts w:cstheme="minorHAnsi"/>
        </w:rPr>
        <w:t xml:space="preserve">El FAFEF en </w:t>
      </w:r>
      <w:r w:rsidR="00D27600">
        <w:rPr>
          <w:rFonts w:cstheme="minorHAnsi"/>
        </w:rPr>
        <w:t xml:space="preserve">Tamaulipas </w:t>
      </w:r>
      <w:r w:rsidR="00635D85">
        <w:rPr>
          <w:rFonts w:cstheme="minorHAnsi"/>
        </w:rPr>
        <w:t>mide sus resultados a través de l</w:t>
      </w:r>
      <w:r w:rsidRPr="00D105A8">
        <w:rPr>
          <w:rFonts w:cstheme="minorHAnsi"/>
        </w:rPr>
        <w:t xml:space="preserve">a MIR determinada por la Federación a través de la SHCP, siendo su Fin “Contribuir a impulsar el fortalecimiento del federalismo fiscal para que las </w:t>
      </w:r>
      <w:r w:rsidR="00325A79">
        <w:rPr>
          <w:rFonts w:cstheme="minorHAnsi"/>
        </w:rPr>
        <w:t>e</w:t>
      </w:r>
      <w:r w:rsidRPr="00D105A8">
        <w:rPr>
          <w:rFonts w:cstheme="minorHAnsi"/>
        </w:rPr>
        <w:t xml:space="preserve">ntidades </w:t>
      </w:r>
      <w:r w:rsidR="00325A79">
        <w:rPr>
          <w:rFonts w:cstheme="minorHAnsi"/>
        </w:rPr>
        <w:t>f</w:t>
      </w:r>
      <w:r w:rsidRPr="00D105A8">
        <w:rPr>
          <w:rFonts w:cstheme="minorHAnsi"/>
        </w:rPr>
        <w:t xml:space="preserve">ederativas y </w:t>
      </w:r>
      <w:r w:rsidR="00325A79">
        <w:rPr>
          <w:rFonts w:cstheme="minorHAnsi"/>
        </w:rPr>
        <w:t>m</w:t>
      </w:r>
      <w:r w:rsidRPr="00D105A8">
        <w:rPr>
          <w:rFonts w:cstheme="minorHAnsi"/>
        </w:rPr>
        <w:t>unicipios puedan lograr y preservar el equilibrio de sus finanzas públicas, mediante la optimización en la aplicación de los recursos públicos federales transferidos”; y su Propósito “Las entidades federativas reciben la transferencia de recursos federales para el fortalecimiento de sus finanzas públicas estatales.”, en general, se prestan a la ambigüedad y a complicaciones para las entidades</w:t>
      </w:r>
      <w:r w:rsidR="00D27600">
        <w:rPr>
          <w:rFonts w:cstheme="minorHAnsi"/>
        </w:rPr>
        <w:t xml:space="preserve"> federativas</w:t>
      </w:r>
      <w:r w:rsidRPr="00D105A8">
        <w:rPr>
          <w:rFonts w:cstheme="minorHAnsi"/>
        </w:rPr>
        <w:t xml:space="preserve"> en la correcta medición de los resultados de la aplicación de los recursos del Fondo. </w:t>
      </w:r>
    </w:p>
    <w:p w14:paraId="16FA6B4F" w14:textId="1E7CE1F1" w:rsidR="009F2A81" w:rsidRDefault="009F2A81" w:rsidP="009F2A81">
      <w:pPr>
        <w:spacing w:before="240" w:after="240"/>
        <w:rPr>
          <w:rFonts w:cstheme="minorHAnsi"/>
        </w:rPr>
      </w:pPr>
      <w:r w:rsidRPr="009F2A81">
        <w:rPr>
          <w:rFonts w:cstheme="minorHAnsi"/>
        </w:rPr>
        <w:t>La entidad</w:t>
      </w:r>
      <w:r w:rsidR="00E9179C">
        <w:rPr>
          <w:rFonts w:cstheme="minorHAnsi"/>
        </w:rPr>
        <w:t xml:space="preserve"> federativa</w:t>
      </w:r>
      <w:r w:rsidR="00325426">
        <w:rPr>
          <w:rFonts w:cstheme="minorHAnsi"/>
        </w:rPr>
        <w:t xml:space="preserve">, a través de la Secretaría de Finanzas </w:t>
      </w:r>
      <w:r w:rsidRPr="009F2A81">
        <w:rPr>
          <w:rFonts w:cstheme="minorHAnsi"/>
        </w:rPr>
        <w:t>realizó cuatro evaluaciones externas; de las cuales</w:t>
      </w:r>
      <w:r>
        <w:rPr>
          <w:rFonts w:cstheme="minorHAnsi"/>
        </w:rPr>
        <w:t>,</w:t>
      </w:r>
      <w:r w:rsidRPr="009F2A81">
        <w:rPr>
          <w:rFonts w:cstheme="minorHAnsi"/>
        </w:rPr>
        <w:t xml:space="preserve"> tres evaluaron la consistencia y resultados del FAFEF durante los ejercicios 2014, 2015 y 2016. Posteriormente, en 2018 se llevó a cabo una evaluación de Tipo Estratégica sobre Planeación,</w:t>
      </w:r>
      <w:r>
        <w:rPr>
          <w:rFonts w:cstheme="minorHAnsi"/>
        </w:rPr>
        <w:t xml:space="preserve"> </w:t>
      </w:r>
      <w:r w:rsidRPr="009F2A81">
        <w:rPr>
          <w:rFonts w:cstheme="minorHAnsi"/>
        </w:rPr>
        <w:t>Programación, Monitoreo y Evaluación del FAFEF</w:t>
      </w:r>
      <w:r>
        <w:rPr>
          <w:rFonts w:cstheme="minorHAnsi"/>
        </w:rPr>
        <w:t>.</w:t>
      </w:r>
    </w:p>
    <w:p w14:paraId="497EC74D" w14:textId="69AF248C" w:rsidR="00325426" w:rsidRDefault="00325426" w:rsidP="009F2A81">
      <w:pPr>
        <w:spacing w:before="240" w:after="240"/>
        <w:rPr>
          <w:rFonts w:cstheme="minorHAnsi"/>
        </w:rPr>
      </w:pPr>
      <w:r>
        <w:rPr>
          <w:rFonts w:cstheme="minorHAnsi"/>
        </w:rPr>
        <w:t>A partir de esas evaluaciones, en el cuadro siguiente se presenta un resumen de los principales hallazgos encontrados</w:t>
      </w:r>
      <w:r w:rsidR="000D0EBB">
        <w:rPr>
          <w:rFonts w:cstheme="minorHAnsi"/>
        </w:rPr>
        <w:t>.</w:t>
      </w:r>
    </w:p>
    <w:p w14:paraId="75399AA0" w14:textId="409159E4" w:rsidR="000D0EBB" w:rsidRDefault="000D0EBB" w:rsidP="000D0EBB">
      <w:pPr>
        <w:pStyle w:val="Cuadro"/>
      </w:pPr>
      <w:bookmarkStart w:id="114" w:name="_Toc55502398"/>
      <w:bookmarkStart w:id="115" w:name="_Toc55502515"/>
      <w:bookmarkStart w:id="116" w:name="_Toc56069942"/>
      <w:r>
        <w:t>Cuadro 1</w:t>
      </w:r>
      <w:r w:rsidR="00770EC0">
        <w:t>5</w:t>
      </w:r>
      <w:r>
        <w:t xml:space="preserve">. Principales resultados de evaluaciones externas realizadas al FAFEF en </w:t>
      </w:r>
      <w:bookmarkEnd w:id="114"/>
      <w:bookmarkEnd w:id="115"/>
      <w:r w:rsidR="00804300">
        <w:t>Tamaulipas</w:t>
      </w:r>
      <w:bookmarkEnd w:id="116"/>
    </w:p>
    <w:tbl>
      <w:tblPr>
        <w:tblStyle w:val="Tablaconcuadrcula"/>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704"/>
        <w:gridCol w:w="3822"/>
        <w:gridCol w:w="2408"/>
        <w:gridCol w:w="3018"/>
      </w:tblGrid>
      <w:tr w:rsidR="00325426" w:rsidRPr="00264F92" w14:paraId="3461CC93" w14:textId="77777777" w:rsidTr="00F10A8D">
        <w:trPr>
          <w:tblHeader/>
        </w:trPr>
        <w:tc>
          <w:tcPr>
            <w:tcW w:w="704" w:type="dxa"/>
            <w:shd w:val="clear" w:color="auto" w:fill="9CC2E5"/>
            <w:vAlign w:val="center"/>
          </w:tcPr>
          <w:p w14:paraId="6C099242" w14:textId="489373D6" w:rsidR="00325426" w:rsidRPr="00264F92" w:rsidRDefault="00325426" w:rsidP="00A43732">
            <w:pPr>
              <w:spacing w:before="0" w:after="0"/>
              <w:jc w:val="center"/>
              <w:rPr>
                <w:rFonts w:cstheme="minorHAnsi"/>
                <w:b/>
                <w:bCs/>
                <w:sz w:val="20"/>
                <w:szCs w:val="20"/>
              </w:rPr>
            </w:pPr>
            <w:r w:rsidRPr="00264F92">
              <w:rPr>
                <w:rFonts w:cstheme="minorHAnsi"/>
                <w:b/>
                <w:bCs/>
                <w:sz w:val="20"/>
                <w:szCs w:val="20"/>
              </w:rPr>
              <w:t>Año</w:t>
            </w:r>
          </w:p>
        </w:tc>
        <w:tc>
          <w:tcPr>
            <w:tcW w:w="3827" w:type="dxa"/>
            <w:shd w:val="clear" w:color="auto" w:fill="9CC2E5"/>
            <w:vAlign w:val="center"/>
          </w:tcPr>
          <w:p w14:paraId="463CE856" w14:textId="66C3563F" w:rsidR="00325426" w:rsidRPr="00264F92" w:rsidRDefault="00325426" w:rsidP="00A43732">
            <w:pPr>
              <w:spacing w:before="0" w:after="0"/>
              <w:jc w:val="center"/>
              <w:rPr>
                <w:rFonts w:cstheme="minorHAnsi"/>
                <w:b/>
                <w:bCs/>
                <w:sz w:val="20"/>
                <w:szCs w:val="20"/>
              </w:rPr>
            </w:pPr>
            <w:r w:rsidRPr="00264F92">
              <w:rPr>
                <w:rFonts w:cstheme="minorHAnsi"/>
                <w:b/>
                <w:bCs/>
                <w:sz w:val="20"/>
                <w:szCs w:val="20"/>
              </w:rPr>
              <w:t>Hallazgo o área de oportunidad</w:t>
            </w:r>
          </w:p>
        </w:tc>
        <w:tc>
          <w:tcPr>
            <w:tcW w:w="2410" w:type="dxa"/>
            <w:shd w:val="clear" w:color="auto" w:fill="9CC2E5"/>
            <w:vAlign w:val="center"/>
          </w:tcPr>
          <w:p w14:paraId="29A9F68C" w14:textId="2FFF1856" w:rsidR="00325426" w:rsidRPr="00264F92" w:rsidRDefault="00325426" w:rsidP="00A43732">
            <w:pPr>
              <w:spacing w:before="0" w:after="0"/>
              <w:jc w:val="center"/>
              <w:rPr>
                <w:rFonts w:cstheme="minorHAnsi"/>
                <w:b/>
                <w:bCs/>
                <w:sz w:val="20"/>
                <w:szCs w:val="20"/>
              </w:rPr>
            </w:pPr>
            <w:r w:rsidRPr="00264F92">
              <w:rPr>
                <w:rFonts w:cstheme="minorHAnsi"/>
                <w:b/>
                <w:bCs/>
                <w:sz w:val="20"/>
                <w:szCs w:val="20"/>
              </w:rPr>
              <w:t>Estatus y seguimiento</w:t>
            </w:r>
            <w:r w:rsidR="00337699" w:rsidRPr="00264F92">
              <w:rPr>
                <w:rFonts w:cstheme="minorHAnsi"/>
                <w:b/>
                <w:bCs/>
                <w:sz w:val="20"/>
                <w:szCs w:val="20"/>
              </w:rPr>
              <w:t xml:space="preserve"> de atención al 2018</w:t>
            </w:r>
          </w:p>
        </w:tc>
        <w:tc>
          <w:tcPr>
            <w:tcW w:w="3021" w:type="dxa"/>
            <w:shd w:val="clear" w:color="auto" w:fill="9CC2E5"/>
            <w:vAlign w:val="center"/>
          </w:tcPr>
          <w:p w14:paraId="78642163" w14:textId="6CD875B7" w:rsidR="00325426" w:rsidRPr="00264F92" w:rsidRDefault="00325426" w:rsidP="00A43732">
            <w:pPr>
              <w:spacing w:before="0" w:after="0"/>
              <w:jc w:val="center"/>
              <w:rPr>
                <w:rFonts w:cstheme="minorHAnsi"/>
                <w:b/>
                <w:bCs/>
                <w:sz w:val="20"/>
                <w:szCs w:val="20"/>
              </w:rPr>
            </w:pPr>
            <w:r w:rsidRPr="00264F92">
              <w:rPr>
                <w:rFonts w:cstheme="minorHAnsi"/>
                <w:b/>
                <w:bCs/>
                <w:sz w:val="20"/>
                <w:szCs w:val="20"/>
              </w:rPr>
              <w:t>Efecto</w:t>
            </w:r>
          </w:p>
        </w:tc>
      </w:tr>
      <w:tr w:rsidR="00337699" w:rsidRPr="00264F92" w14:paraId="48B3DF6A" w14:textId="77777777" w:rsidTr="0046655F">
        <w:tc>
          <w:tcPr>
            <w:tcW w:w="704" w:type="dxa"/>
            <w:vMerge w:val="restart"/>
            <w:vAlign w:val="center"/>
          </w:tcPr>
          <w:p w14:paraId="26F1F5C0" w14:textId="32105483" w:rsidR="00337699" w:rsidRPr="00264F92" w:rsidRDefault="00337699" w:rsidP="00A43732">
            <w:pPr>
              <w:spacing w:before="0" w:after="0"/>
              <w:jc w:val="center"/>
              <w:rPr>
                <w:rFonts w:cstheme="minorHAnsi"/>
                <w:sz w:val="20"/>
                <w:szCs w:val="20"/>
              </w:rPr>
            </w:pPr>
            <w:r w:rsidRPr="00264F92">
              <w:rPr>
                <w:rFonts w:cstheme="minorHAnsi"/>
                <w:sz w:val="20"/>
                <w:szCs w:val="20"/>
              </w:rPr>
              <w:t>2014</w:t>
            </w:r>
          </w:p>
        </w:tc>
        <w:tc>
          <w:tcPr>
            <w:tcW w:w="3827" w:type="dxa"/>
          </w:tcPr>
          <w:p w14:paraId="2B6D9221" w14:textId="71D1CAE3" w:rsidR="00337699" w:rsidRPr="00264F92" w:rsidRDefault="00337699" w:rsidP="00A43732">
            <w:pPr>
              <w:spacing w:before="0" w:after="0"/>
              <w:rPr>
                <w:rFonts w:cstheme="minorHAnsi"/>
                <w:sz w:val="20"/>
                <w:szCs w:val="20"/>
              </w:rPr>
            </w:pPr>
            <w:r w:rsidRPr="00264F92">
              <w:rPr>
                <w:rFonts w:cstheme="minorHAnsi"/>
                <w:sz w:val="20"/>
                <w:szCs w:val="20"/>
              </w:rPr>
              <w:t>La elaboración de la MIR cumpliendo con las etapas que señala la MML.</w:t>
            </w:r>
          </w:p>
        </w:tc>
        <w:tc>
          <w:tcPr>
            <w:tcW w:w="2410" w:type="dxa"/>
          </w:tcPr>
          <w:p w14:paraId="258BCB7D" w14:textId="27C2DB05" w:rsidR="00337699" w:rsidRPr="00264F92" w:rsidRDefault="00337699" w:rsidP="00A43732">
            <w:pPr>
              <w:spacing w:before="0" w:after="0"/>
              <w:rPr>
                <w:rFonts w:cstheme="minorHAnsi"/>
                <w:sz w:val="20"/>
                <w:szCs w:val="20"/>
              </w:rPr>
            </w:pPr>
            <w:r w:rsidRPr="00264F92">
              <w:rPr>
                <w:rFonts w:cstheme="minorHAnsi"/>
                <w:sz w:val="20"/>
                <w:szCs w:val="20"/>
              </w:rPr>
              <w:t xml:space="preserve">En el 2018 se </w:t>
            </w:r>
            <w:r w:rsidR="00FF4E99" w:rsidRPr="00264F92">
              <w:rPr>
                <w:rFonts w:cstheme="minorHAnsi"/>
                <w:sz w:val="20"/>
                <w:szCs w:val="20"/>
              </w:rPr>
              <w:t xml:space="preserve">integró </w:t>
            </w:r>
            <w:r w:rsidRPr="00264F92">
              <w:rPr>
                <w:rFonts w:cstheme="minorHAnsi"/>
                <w:sz w:val="20"/>
                <w:szCs w:val="20"/>
              </w:rPr>
              <w:t xml:space="preserve">la MIR </w:t>
            </w:r>
            <w:r w:rsidR="00FF4E99" w:rsidRPr="00264F92">
              <w:rPr>
                <w:rFonts w:cstheme="minorHAnsi"/>
                <w:sz w:val="20"/>
                <w:szCs w:val="20"/>
              </w:rPr>
              <w:t>determinada por la Federación a través de la SHCP.</w:t>
            </w:r>
            <w:r w:rsidR="009E7602">
              <w:rPr>
                <w:rFonts w:cstheme="minorHAnsi"/>
                <w:sz w:val="20"/>
                <w:szCs w:val="20"/>
              </w:rPr>
              <w:t xml:space="preserve"> Sin embargo, </w:t>
            </w:r>
          </w:p>
        </w:tc>
        <w:tc>
          <w:tcPr>
            <w:tcW w:w="3021" w:type="dxa"/>
          </w:tcPr>
          <w:p w14:paraId="7F0A4988" w14:textId="0BCB2655" w:rsidR="00337699" w:rsidRPr="00264F92" w:rsidRDefault="00FF4E99" w:rsidP="00A43732">
            <w:pPr>
              <w:spacing w:before="0" w:after="0"/>
              <w:rPr>
                <w:rFonts w:cstheme="minorHAnsi"/>
                <w:sz w:val="20"/>
                <w:szCs w:val="20"/>
              </w:rPr>
            </w:pPr>
            <w:r w:rsidRPr="00264F92">
              <w:rPr>
                <w:rFonts w:cstheme="minorHAnsi"/>
                <w:sz w:val="20"/>
                <w:szCs w:val="20"/>
              </w:rPr>
              <w:t>Se cuenta con un instrumento de planeación, cuyos indicadores contribuyen a mostrar de manera agregada el efecto del FAFEF a nivel nacional.</w:t>
            </w:r>
          </w:p>
        </w:tc>
      </w:tr>
      <w:tr w:rsidR="00337699" w:rsidRPr="00264F92" w14:paraId="0395A3A7" w14:textId="77777777" w:rsidTr="0046655F">
        <w:tc>
          <w:tcPr>
            <w:tcW w:w="704" w:type="dxa"/>
            <w:vMerge/>
          </w:tcPr>
          <w:p w14:paraId="378ECCD6" w14:textId="77777777" w:rsidR="00337699" w:rsidRPr="00264F92" w:rsidRDefault="00337699" w:rsidP="00A43732">
            <w:pPr>
              <w:spacing w:before="0" w:after="0"/>
              <w:rPr>
                <w:rFonts w:cstheme="minorHAnsi"/>
                <w:sz w:val="20"/>
                <w:szCs w:val="20"/>
              </w:rPr>
            </w:pPr>
          </w:p>
        </w:tc>
        <w:tc>
          <w:tcPr>
            <w:tcW w:w="3827" w:type="dxa"/>
          </w:tcPr>
          <w:p w14:paraId="7C54F3B9" w14:textId="074B6923" w:rsidR="00337699" w:rsidRPr="00264F92" w:rsidRDefault="00337699" w:rsidP="00A43732">
            <w:pPr>
              <w:spacing w:before="0" w:after="0"/>
              <w:rPr>
                <w:rFonts w:cstheme="minorHAnsi"/>
                <w:sz w:val="20"/>
                <w:szCs w:val="20"/>
              </w:rPr>
            </w:pPr>
            <w:r w:rsidRPr="00264F92">
              <w:rPr>
                <w:rFonts w:cstheme="minorHAnsi"/>
                <w:sz w:val="20"/>
                <w:szCs w:val="20"/>
              </w:rPr>
              <w:t>Considerar otros conceptos en lo que se pueden aplicar los recursos del FAFEF, esto con el beneficio de analizar el beneficio que tendría el aplicar el recurso en estos conceptos y darle prioridad a aquellos que proporcionen un mayor impacto en las finanzas de la entidad</w:t>
            </w:r>
            <w:r w:rsidR="008F512F">
              <w:rPr>
                <w:rFonts w:cstheme="minorHAnsi"/>
                <w:sz w:val="20"/>
                <w:szCs w:val="20"/>
              </w:rPr>
              <w:t xml:space="preserve"> federativa</w:t>
            </w:r>
            <w:r w:rsidRPr="00264F92">
              <w:rPr>
                <w:rFonts w:cstheme="minorHAnsi"/>
                <w:sz w:val="20"/>
                <w:szCs w:val="20"/>
              </w:rPr>
              <w:t>.</w:t>
            </w:r>
          </w:p>
        </w:tc>
        <w:tc>
          <w:tcPr>
            <w:tcW w:w="2410" w:type="dxa"/>
          </w:tcPr>
          <w:p w14:paraId="6216F312" w14:textId="45EB0A1F" w:rsidR="00337699" w:rsidRPr="00264F92" w:rsidRDefault="00FF4E99" w:rsidP="00A43732">
            <w:pPr>
              <w:spacing w:before="0" w:after="0"/>
              <w:rPr>
                <w:rFonts w:cstheme="minorHAnsi"/>
                <w:sz w:val="20"/>
                <w:szCs w:val="20"/>
              </w:rPr>
            </w:pPr>
            <w:r w:rsidRPr="00264F92">
              <w:rPr>
                <w:rFonts w:cstheme="minorHAnsi"/>
                <w:sz w:val="20"/>
                <w:szCs w:val="20"/>
              </w:rPr>
              <w:t>A partir del 2017 se comenzó a diversificar la utilización de los recursos del Fondo hacia otros rubros de gasto.</w:t>
            </w:r>
          </w:p>
        </w:tc>
        <w:tc>
          <w:tcPr>
            <w:tcW w:w="3021" w:type="dxa"/>
          </w:tcPr>
          <w:p w14:paraId="2577E4EA" w14:textId="4B57459C" w:rsidR="00337699" w:rsidRPr="00264F92" w:rsidRDefault="00B028A9" w:rsidP="00573142">
            <w:pPr>
              <w:spacing w:before="0" w:after="0"/>
              <w:rPr>
                <w:rFonts w:cstheme="minorHAnsi"/>
                <w:sz w:val="20"/>
                <w:szCs w:val="20"/>
              </w:rPr>
            </w:pPr>
            <w:r>
              <w:rPr>
                <w:rFonts w:cstheme="minorHAnsi"/>
                <w:sz w:val="20"/>
                <w:szCs w:val="20"/>
              </w:rPr>
              <w:t>E</w:t>
            </w:r>
            <w:r w:rsidRPr="00264F92">
              <w:rPr>
                <w:rFonts w:cstheme="minorHAnsi"/>
                <w:sz w:val="20"/>
                <w:szCs w:val="20"/>
              </w:rPr>
              <w:t>sa diversidad en el gasto también puede incidir de manera más directa sobre</w:t>
            </w:r>
            <w:r w:rsidR="00573142">
              <w:rPr>
                <w:rFonts w:cstheme="minorHAnsi"/>
                <w:sz w:val="20"/>
                <w:szCs w:val="20"/>
              </w:rPr>
              <w:t xml:space="preserve"> </w:t>
            </w:r>
            <w:r w:rsidRPr="00264F92">
              <w:rPr>
                <w:rFonts w:cstheme="minorHAnsi"/>
                <w:sz w:val="20"/>
                <w:szCs w:val="20"/>
              </w:rPr>
              <w:t xml:space="preserve">la </w:t>
            </w:r>
            <w:r w:rsidR="00EA2918" w:rsidRPr="00264F92">
              <w:rPr>
                <w:rFonts w:cstheme="minorHAnsi"/>
                <w:sz w:val="20"/>
                <w:szCs w:val="20"/>
              </w:rPr>
              <w:t>población atendida</w:t>
            </w:r>
            <w:r>
              <w:rPr>
                <w:rFonts w:cstheme="minorHAnsi"/>
                <w:sz w:val="20"/>
                <w:szCs w:val="20"/>
              </w:rPr>
              <w:t>, sobre todo mediante los proyectos de infraestructura que reciben recursos del Fondo.</w:t>
            </w:r>
          </w:p>
        </w:tc>
      </w:tr>
      <w:tr w:rsidR="00337699" w:rsidRPr="00264F92" w14:paraId="4EA500BB" w14:textId="77777777" w:rsidTr="0046655F">
        <w:tc>
          <w:tcPr>
            <w:tcW w:w="704" w:type="dxa"/>
            <w:vMerge/>
          </w:tcPr>
          <w:p w14:paraId="1EB3EB74" w14:textId="77777777" w:rsidR="00337699" w:rsidRPr="00264F92" w:rsidRDefault="00337699" w:rsidP="00A43732">
            <w:pPr>
              <w:spacing w:before="0" w:after="0"/>
              <w:rPr>
                <w:rFonts w:cstheme="minorHAnsi"/>
                <w:sz w:val="20"/>
                <w:szCs w:val="20"/>
              </w:rPr>
            </w:pPr>
          </w:p>
        </w:tc>
        <w:tc>
          <w:tcPr>
            <w:tcW w:w="3827" w:type="dxa"/>
          </w:tcPr>
          <w:p w14:paraId="775C73F0" w14:textId="7B136754" w:rsidR="00337699" w:rsidRPr="00264F92" w:rsidRDefault="00337699" w:rsidP="00A43732">
            <w:pPr>
              <w:spacing w:before="0" w:after="0"/>
              <w:rPr>
                <w:rFonts w:cstheme="minorHAnsi"/>
                <w:sz w:val="20"/>
                <w:szCs w:val="20"/>
              </w:rPr>
            </w:pPr>
            <w:r w:rsidRPr="00264F92">
              <w:rPr>
                <w:rFonts w:cstheme="minorHAnsi"/>
                <w:sz w:val="20"/>
                <w:szCs w:val="20"/>
              </w:rPr>
              <w:t>Elaborar un Plan Estratégico referente a la deuda pública en el que se definan objetivos específicos, a la vez de incluir indicadores que permitan medir el grado de cumplimiento de estos objetivos en la ejecución de los recursos del Fondo y donde se efectúe un desglose de las políticas y estrategias aplicadas para lograr la disminución de la deuda pública, además de la aplicación total de los recursos del FAFEF transferidos.</w:t>
            </w:r>
            <w:r w:rsidR="00826CDE">
              <w:rPr>
                <w:rFonts w:cstheme="minorHAnsi"/>
                <w:sz w:val="20"/>
                <w:szCs w:val="20"/>
              </w:rPr>
              <w:t xml:space="preserve"> </w:t>
            </w:r>
          </w:p>
        </w:tc>
        <w:tc>
          <w:tcPr>
            <w:tcW w:w="2410" w:type="dxa"/>
            <w:vAlign w:val="center"/>
          </w:tcPr>
          <w:p w14:paraId="30D8C43C" w14:textId="61C5E2D1" w:rsidR="00FF4E99" w:rsidRPr="00264F92" w:rsidRDefault="005A7CE4" w:rsidP="00A43732">
            <w:pPr>
              <w:spacing w:before="0" w:after="0"/>
              <w:jc w:val="left"/>
              <w:rPr>
                <w:rFonts w:cstheme="minorHAnsi"/>
                <w:sz w:val="20"/>
                <w:szCs w:val="20"/>
              </w:rPr>
            </w:pPr>
            <w:r w:rsidRPr="00264F92">
              <w:rPr>
                <w:rFonts w:cstheme="minorHAnsi"/>
                <w:sz w:val="20"/>
                <w:szCs w:val="20"/>
              </w:rPr>
              <w:t>Sin seguimiento</w:t>
            </w:r>
          </w:p>
        </w:tc>
        <w:tc>
          <w:tcPr>
            <w:tcW w:w="3021" w:type="dxa"/>
          </w:tcPr>
          <w:p w14:paraId="06ED09FE" w14:textId="77777777" w:rsidR="00337699" w:rsidRPr="00264F92" w:rsidRDefault="00337699" w:rsidP="00A43732">
            <w:pPr>
              <w:spacing w:before="0" w:after="0"/>
              <w:rPr>
                <w:rFonts w:cstheme="minorHAnsi"/>
                <w:sz w:val="20"/>
                <w:szCs w:val="20"/>
              </w:rPr>
            </w:pPr>
          </w:p>
        </w:tc>
      </w:tr>
      <w:tr w:rsidR="00337699" w:rsidRPr="00264F92" w14:paraId="0B8FAF06" w14:textId="77777777" w:rsidTr="0046655F">
        <w:tc>
          <w:tcPr>
            <w:tcW w:w="704" w:type="dxa"/>
            <w:vMerge w:val="restart"/>
            <w:vAlign w:val="center"/>
          </w:tcPr>
          <w:p w14:paraId="2D48F664" w14:textId="688E270C" w:rsidR="00337699" w:rsidRPr="00264F92" w:rsidRDefault="00337699" w:rsidP="00A43732">
            <w:pPr>
              <w:spacing w:before="0" w:after="0"/>
              <w:jc w:val="center"/>
              <w:rPr>
                <w:rFonts w:cstheme="minorHAnsi"/>
                <w:sz w:val="20"/>
                <w:szCs w:val="20"/>
              </w:rPr>
            </w:pPr>
            <w:r w:rsidRPr="00264F92">
              <w:rPr>
                <w:rFonts w:cstheme="minorHAnsi"/>
                <w:sz w:val="20"/>
                <w:szCs w:val="20"/>
              </w:rPr>
              <w:t>2015</w:t>
            </w:r>
          </w:p>
        </w:tc>
        <w:tc>
          <w:tcPr>
            <w:tcW w:w="3827" w:type="dxa"/>
          </w:tcPr>
          <w:p w14:paraId="6321131F" w14:textId="4516F2F6" w:rsidR="00337699" w:rsidRPr="00264F92" w:rsidRDefault="00337699" w:rsidP="00A43732">
            <w:pPr>
              <w:spacing w:before="0" w:after="0"/>
              <w:rPr>
                <w:rFonts w:cstheme="minorHAnsi"/>
                <w:sz w:val="20"/>
                <w:szCs w:val="20"/>
              </w:rPr>
            </w:pPr>
            <w:r w:rsidRPr="00264F92">
              <w:rPr>
                <w:rFonts w:cstheme="minorHAnsi"/>
                <w:sz w:val="20"/>
                <w:szCs w:val="20"/>
              </w:rPr>
              <w:t xml:space="preserve">Hacer un diagnóstico completo de la situación del </w:t>
            </w:r>
            <w:r w:rsidR="0090734E">
              <w:rPr>
                <w:rFonts w:cstheme="minorHAnsi"/>
                <w:sz w:val="20"/>
                <w:szCs w:val="20"/>
              </w:rPr>
              <w:t>E</w:t>
            </w:r>
            <w:r w:rsidRPr="00264F92">
              <w:rPr>
                <w:rFonts w:cstheme="minorHAnsi"/>
                <w:sz w:val="20"/>
                <w:szCs w:val="20"/>
              </w:rPr>
              <w:t xml:space="preserve">stado en relación a todos los conceptos que pueden ser financiados con </w:t>
            </w:r>
            <w:r w:rsidRPr="00264F92">
              <w:rPr>
                <w:rFonts w:cstheme="minorHAnsi"/>
                <w:sz w:val="20"/>
                <w:szCs w:val="20"/>
              </w:rPr>
              <w:lastRenderedPageBreak/>
              <w:t>FAFEF, a fin de que se utilice el recurso en forma óptima.</w:t>
            </w:r>
          </w:p>
        </w:tc>
        <w:tc>
          <w:tcPr>
            <w:tcW w:w="2410" w:type="dxa"/>
          </w:tcPr>
          <w:p w14:paraId="06E78054" w14:textId="64FE1CA2" w:rsidR="005A7CE4" w:rsidRPr="00264F92" w:rsidRDefault="005A7CE4" w:rsidP="00A43732">
            <w:pPr>
              <w:pStyle w:val="Default"/>
              <w:rPr>
                <w:rFonts w:cstheme="minorHAnsi"/>
                <w:sz w:val="20"/>
                <w:szCs w:val="20"/>
              </w:rPr>
            </w:pPr>
            <w:r w:rsidRPr="00264F92">
              <w:rPr>
                <w:rFonts w:asciiTheme="minorHAnsi" w:hAnsiTheme="minorHAnsi" w:cstheme="minorHAnsi"/>
                <w:color w:val="auto"/>
                <w:sz w:val="20"/>
                <w:szCs w:val="20"/>
              </w:rPr>
              <w:lastRenderedPageBreak/>
              <w:t>Se elaboró el Diagnóstico del FAFEF por parte de la Secretaría de Finanzas.</w:t>
            </w:r>
          </w:p>
        </w:tc>
        <w:tc>
          <w:tcPr>
            <w:tcW w:w="3021" w:type="dxa"/>
          </w:tcPr>
          <w:p w14:paraId="7A32D7DA" w14:textId="4DA2726B" w:rsidR="00337699" w:rsidRPr="00264F92" w:rsidRDefault="005A7CE4" w:rsidP="00A43732">
            <w:pPr>
              <w:spacing w:before="0" w:after="0"/>
              <w:rPr>
                <w:rFonts w:cstheme="minorHAnsi"/>
                <w:sz w:val="20"/>
                <w:szCs w:val="20"/>
              </w:rPr>
            </w:pPr>
            <w:r w:rsidRPr="00264F92">
              <w:rPr>
                <w:rFonts w:cstheme="minorHAnsi"/>
                <w:sz w:val="20"/>
                <w:szCs w:val="20"/>
              </w:rPr>
              <w:t>Se dispuso de</w:t>
            </w:r>
            <w:r w:rsidR="00F04964">
              <w:rPr>
                <w:rFonts w:cstheme="minorHAnsi"/>
                <w:sz w:val="20"/>
                <w:szCs w:val="20"/>
              </w:rPr>
              <w:t xml:space="preserve"> un</w:t>
            </w:r>
            <w:r w:rsidRPr="00264F92">
              <w:rPr>
                <w:rFonts w:cstheme="minorHAnsi"/>
                <w:sz w:val="20"/>
                <w:szCs w:val="20"/>
              </w:rPr>
              <w:t xml:space="preserve"> mecanismo estratégico e institucional para determinar la asignación de recursos provenientes del Fondo</w:t>
            </w:r>
          </w:p>
        </w:tc>
      </w:tr>
      <w:tr w:rsidR="00337699" w:rsidRPr="00264F92" w14:paraId="279D45B5" w14:textId="77777777" w:rsidTr="0046655F">
        <w:tc>
          <w:tcPr>
            <w:tcW w:w="704" w:type="dxa"/>
            <w:vMerge/>
            <w:vAlign w:val="center"/>
          </w:tcPr>
          <w:p w14:paraId="7877A14D" w14:textId="77777777" w:rsidR="00337699" w:rsidRPr="00264F92" w:rsidRDefault="00337699" w:rsidP="00A43732">
            <w:pPr>
              <w:spacing w:before="0" w:after="0"/>
              <w:jc w:val="center"/>
              <w:rPr>
                <w:rFonts w:cstheme="minorHAnsi"/>
                <w:sz w:val="20"/>
                <w:szCs w:val="20"/>
              </w:rPr>
            </w:pPr>
          </w:p>
        </w:tc>
        <w:tc>
          <w:tcPr>
            <w:tcW w:w="3827" w:type="dxa"/>
          </w:tcPr>
          <w:p w14:paraId="2073FBD3" w14:textId="0D0C3706" w:rsidR="00337699" w:rsidRPr="00264F92" w:rsidRDefault="00337699" w:rsidP="00A43732">
            <w:pPr>
              <w:spacing w:before="0" w:after="0"/>
              <w:rPr>
                <w:rFonts w:cstheme="minorHAnsi"/>
                <w:sz w:val="20"/>
                <w:szCs w:val="20"/>
              </w:rPr>
            </w:pPr>
            <w:r w:rsidRPr="00264F92">
              <w:rPr>
                <w:rFonts w:cstheme="minorHAnsi"/>
                <w:sz w:val="20"/>
                <w:szCs w:val="20"/>
              </w:rPr>
              <w:t xml:space="preserve">Elaborar un </w:t>
            </w:r>
            <w:r w:rsidR="005A7CE4" w:rsidRPr="00264F92">
              <w:rPr>
                <w:rFonts w:cstheme="minorHAnsi"/>
                <w:sz w:val="20"/>
                <w:szCs w:val="20"/>
              </w:rPr>
              <w:t>P</w:t>
            </w:r>
            <w:r w:rsidRPr="00264F92">
              <w:rPr>
                <w:rFonts w:cstheme="minorHAnsi"/>
                <w:sz w:val="20"/>
                <w:szCs w:val="20"/>
              </w:rPr>
              <w:t xml:space="preserve">lan </w:t>
            </w:r>
            <w:r w:rsidR="005A7CE4" w:rsidRPr="00264F92">
              <w:rPr>
                <w:rFonts w:cstheme="minorHAnsi"/>
                <w:sz w:val="20"/>
                <w:szCs w:val="20"/>
              </w:rPr>
              <w:t>E</w:t>
            </w:r>
            <w:r w:rsidRPr="00264F92">
              <w:rPr>
                <w:rFonts w:cstheme="minorHAnsi"/>
                <w:sz w:val="20"/>
                <w:szCs w:val="20"/>
              </w:rPr>
              <w:t xml:space="preserve">stratégico a corto plazo referente a la deuda pública que permita formar parte del PbR y monitorear el comportamiento mediante </w:t>
            </w:r>
            <w:r w:rsidR="00E23500" w:rsidRPr="00264F92">
              <w:rPr>
                <w:rFonts w:cstheme="minorHAnsi"/>
                <w:sz w:val="20"/>
                <w:szCs w:val="20"/>
              </w:rPr>
              <w:t>e</w:t>
            </w:r>
            <w:r w:rsidRPr="00264F92">
              <w:rPr>
                <w:rFonts w:cstheme="minorHAnsi"/>
                <w:sz w:val="20"/>
                <w:szCs w:val="20"/>
              </w:rPr>
              <w:t>l Sistema de Evaluación de Desempeño.</w:t>
            </w:r>
          </w:p>
        </w:tc>
        <w:tc>
          <w:tcPr>
            <w:tcW w:w="2410" w:type="dxa"/>
            <w:vAlign w:val="center"/>
          </w:tcPr>
          <w:p w14:paraId="1C909EA7" w14:textId="01E78ECF" w:rsidR="00337699" w:rsidRPr="00523088" w:rsidRDefault="005A7CE4" w:rsidP="00A43732">
            <w:pPr>
              <w:spacing w:before="0" w:after="0"/>
              <w:jc w:val="left"/>
              <w:rPr>
                <w:rFonts w:cstheme="minorHAnsi"/>
                <w:sz w:val="20"/>
                <w:szCs w:val="20"/>
                <w:highlight w:val="green"/>
              </w:rPr>
            </w:pPr>
            <w:r w:rsidRPr="00F04964">
              <w:rPr>
                <w:rFonts w:cstheme="minorHAnsi"/>
                <w:sz w:val="20"/>
                <w:szCs w:val="20"/>
              </w:rPr>
              <w:t>Sin seguimiento</w:t>
            </w:r>
          </w:p>
        </w:tc>
        <w:tc>
          <w:tcPr>
            <w:tcW w:w="3021" w:type="dxa"/>
          </w:tcPr>
          <w:p w14:paraId="73232DB4" w14:textId="77777777" w:rsidR="00337699" w:rsidRPr="00523088" w:rsidRDefault="00337699" w:rsidP="00A43732">
            <w:pPr>
              <w:spacing w:before="0" w:after="0"/>
              <w:rPr>
                <w:rFonts w:cstheme="minorHAnsi"/>
                <w:sz w:val="20"/>
                <w:szCs w:val="20"/>
                <w:highlight w:val="green"/>
              </w:rPr>
            </w:pPr>
          </w:p>
        </w:tc>
      </w:tr>
      <w:tr w:rsidR="00337699" w:rsidRPr="00264F92" w14:paraId="698C2ED0" w14:textId="77777777" w:rsidTr="0046655F">
        <w:tc>
          <w:tcPr>
            <w:tcW w:w="704" w:type="dxa"/>
            <w:vMerge/>
            <w:vAlign w:val="center"/>
          </w:tcPr>
          <w:p w14:paraId="56E711AE" w14:textId="77777777" w:rsidR="00337699" w:rsidRPr="00264F92" w:rsidRDefault="00337699" w:rsidP="00A43732">
            <w:pPr>
              <w:spacing w:before="0" w:after="0"/>
              <w:jc w:val="center"/>
              <w:rPr>
                <w:rFonts w:cstheme="minorHAnsi"/>
                <w:sz w:val="20"/>
                <w:szCs w:val="20"/>
              </w:rPr>
            </w:pPr>
          </w:p>
        </w:tc>
        <w:tc>
          <w:tcPr>
            <w:tcW w:w="3827" w:type="dxa"/>
          </w:tcPr>
          <w:p w14:paraId="799E292F" w14:textId="00115520" w:rsidR="00337699" w:rsidRPr="00264F92" w:rsidRDefault="00337699" w:rsidP="00A43732">
            <w:pPr>
              <w:spacing w:before="0" w:after="0"/>
              <w:rPr>
                <w:rFonts w:cstheme="minorHAnsi"/>
                <w:sz w:val="20"/>
                <w:szCs w:val="20"/>
              </w:rPr>
            </w:pPr>
            <w:r w:rsidRPr="00264F92">
              <w:rPr>
                <w:rFonts w:cstheme="minorHAnsi"/>
                <w:sz w:val="20"/>
                <w:szCs w:val="20"/>
              </w:rPr>
              <w:t>Hacer un programa de trabajo calendarizado que incluya todas las acciones necesarias y los responsables para solventa</w:t>
            </w:r>
            <w:r w:rsidR="005E6605">
              <w:rPr>
                <w:rFonts w:cstheme="minorHAnsi"/>
                <w:sz w:val="20"/>
                <w:szCs w:val="20"/>
              </w:rPr>
              <w:t>r</w:t>
            </w:r>
            <w:r w:rsidRPr="00264F92">
              <w:rPr>
                <w:rFonts w:cstheme="minorHAnsi"/>
                <w:sz w:val="20"/>
                <w:szCs w:val="20"/>
              </w:rPr>
              <w:t xml:space="preserve"> las recomendaciones resultado de la evaluación.</w:t>
            </w:r>
          </w:p>
        </w:tc>
        <w:tc>
          <w:tcPr>
            <w:tcW w:w="2410" w:type="dxa"/>
          </w:tcPr>
          <w:p w14:paraId="439EDC45" w14:textId="6A920FD5" w:rsidR="00337699" w:rsidRPr="00523088" w:rsidRDefault="00F04964" w:rsidP="00A43732">
            <w:pPr>
              <w:spacing w:before="0" w:after="0"/>
              <w:rPr>
                <w:rFonts w:cstheme="minorHAnsi"/>
                <w:sz w:val="20"/>
                <w:szCs w:val="20"/>
                <w:highlight w:val="green"/>
              </w:rPr>
            </w:pPr>
            <w:r w:rsidRPr="00F04964">
              <w:rPr>
                <w:rFonts w:cstheme="minorHAnsi"/>
                <w:sz w:val="20"/>
                <w:szCs w:val="20"/>
              </w:rPr>
              <w:t xml:space="preserve">Sin seguimiento </w:t>
            </w:r>
          </w:p>
        </w:tc>
        <w:tc>
          <w:tcPr>
            <w:tcW w:w="3021" w:type="dxa"/>
          </w:tcPr>
          <w:p w14:paraId="407527FF" w14:textId="4F5A1347" w:rsidR="00337699" w:rsidRPr="00523088" w:rsidRDefault="00337699" w:rsidP="00A43732">
            <w:pPr>
              <w:spacing w:before="0" w:after="0"/>
              <w:rPr>
                <w:rFonts w:cstheme="minorHAnsi"/>
                <w:sz w:val="20"/>
                <w:szCs w:val="20"/>
                <w:highlight w:val="green"/>
              </w:rPr>
            </w:pPr>
          </w:p>
        </w:tc>
      </w:tr>
      <w:tr w:rsidR="005A7CE4" w:rsidRPr="00264F92" w14:paraId="395D4E6F" w14:textId="77777777" w:rsidTr="0046655F">
        <w:tc>
          <w:tcPr>
            <w:tcW w:w="704" w:type="dxa"/>
            <w:vMerge w:val="restart"/>
            <w:vAlign w:val="center"/>
          </w:tcPr>
          <w:p w14:paraId="03A20E1D" w14:textId="66372814" w:rsidR="005A7CE4" w:rsidRPr="00264F92" w:rsidRDefault="005A7CE4" w:rsidP="00A43732">
            <w:pPr>
              <w:spacing w:before="0" w:after="0"/>
              <w:jc w:val="center"/>
              <w:rPr>
                <w:rFonts w:cstheme="minorHAnsi"/>
                <w:sz w:val="20"/>
                <w:szCs w:val="20"/>
              </w:rPr>
            </w:pPr>
            <w:r w:rsidRPr="00264F92">
              <w:rPr>
                <w:rFonts w:cstheme="minorHAnsi"/>
                <w:sz w:val="20"/>
                <w:szCs w:val="20"/>
              </w:rPr>
              <w:t>2016</w:t>
            </w:r>
          </w:p>
        </w:tc>
        <w:tc>
          <w:tcPr>
            <w:tcW w:w="3827" w:type="dxa"/>
          </w:tcPr>
          <w:p w14:paraId="7B04284D" w14:textId="0C3B2671" w:rsidR="005A7CE4" w:rsidRPr="00264F92" w:rsidRDefault="005A7CE4" w:rsidP="00A43732">
            <w:pPr>
              <w:spacing w:before="0" w:after="0"/>
              <w:rPr>
                <w:rFonts w:cstheme="minorHAnsi"/>
                <w:sz w:val="20"/>
                <w:szCs w:val="20"/>
              </w:rPr>
            </w:pPr>
            <w:r w:rsidRPr="00264F92">
              <w:rPr>
                <w:rFonts w:cstheme="minorHAnsi"/>
                <w:sz w:val="20"/>
                <w:szCs w:val="20"/>
              </w:rPr>
              <w:t xml:space="preserve">Ejercer recursos en más de un rubro, diversificando la aplicación de los mismos en uno o varios conceptos de acuerdo con la LCF, con base en el planteamiento de un diagnóstico de una </w:t>
            </w:r>
            <w:r w:rsidRPr="00264F92">
              <w:rPr>
                <w:sz w:val="20"/>
                <w:szCs w:val="20"/>
              </w:rPr>
              <w:t>problemática</w:t>
            </w:r>
            <w:r w:rsidRPr="00264F92">
              <w:rPr>
                <w:rFonts w:cstheme="minorHAnsi"/>
                <w:sz w:val="20"/>
                <w:szCs w:val="20"/>
              </w:rPr>
              <w:t xml:space="preserve"> sobre necesidades concretas de una población objetivo.</w:t>
            </w:r>
          </w:p>
        </w:tc>
        <w:tc>
          <w:tcPr>
            <w:tcW w:w="2410" w:type="dxa"/>
          </w:tcPr>
          <w:p w14:paraId="698B13E5" w14:textId="2D5EAD35" w:rsidR="005A7CE4" w:rsidRPr="00264F92" w:rsidRDefault="005A7CE4" w:rsidP="00A43732">
            <w:pPr>
              <w:spacing w:before="0" w:after="0"/>
              <w:rPr>
                <w:rFonts w:cstheme="minorHAnsi"/>
                <w:sz w:val="20"/>
                <w:szCs w:val="20"/>
              </w:rPr>
            </w:pPr>
            <w:r w:rsidRPr="00264F92">
              <w:rPr>
                <w:rFonts w:cstheme="minorHAnsi"/>
                <w:sz w:val="20"/>
                <w:szCs w:val="20"/>
              </w:rPr>
              <w:t>A partir del 2017 se comenzó a diversificar la utilización de los recursos del Fondo hacia otros rubros de gasto.</w:t>
            </w:r>
          </w:p>
        </w:tc>
        <w:tc>
          <w:tcPr>
            <w:tcW w:w="3021" w:type="dxa"/>
          </w:tcPr>
          <w:p w14:paraId="17873733" w14:textId="0AD70602" w:rsidR="005A7CE4" w:rsidRPr="00264F92" w:rsidRDefault="00B028A9" w:rsidP="00573142">
            <w:pPr>
              <w:spacing w:before="0" w:after="0"/>
              <w:rPr>
                <w:rFonts w:cstheme="minorHAnsi"/>
                <w:sz w:val="20"/>
                <w:szCs w:val="20"/>
              </w:rPr>
            </w:pPr>
            <w:r>
              <w:rPr>
                <w:rFonts w:cstheme="minorHAnsi"/>
                <w:sz w:val="20"/>
                <w:szCs w:val="20"/>
              </w:rPr>
              <w:t>E</w:t>
            </w:r>
            <w:r w:rsidRPr="00264F92">
              <w:rPr>
                <w:rFonts w:cstheme="minorHAnsi"/>
                <w:sz w:val="20"/>
                <w:szCs w:val="20"/>
              </w:rPr>
              <w:t xml:space="preserve">sa diversidad en el gasto también puede incidir de manera más directa </w:t>
            </w:r>
            <w:r w:rsidR="00573142">
              <w:rPr>
                <w:rFonts w:cstheme="minorHAnsi"/>
                <w:sz w:val="20"/>
                <w:szCs w:val="20"/>
              </w:rPr>
              <w:t>s</w:t>
            </w:r>
            <w:r w:rsidRPr="00264F92">
              <w:rPr>
                <w:rFonts w:cstheme="minorHAnsi"/>
                <w:sz w:val="20"/>
                <w:szCs w:val="20"/>
              </w:rPr>
              <w:t>obre la población</w:t>
            </w:r>
            <w:r w:rsidR="00826CDE">
              <w:rPr>
                <w:rFonts w:cstheme="minorHAnsi"/>
                <w:sz w:val="20"/>
                <w:szCs w:val="20"/>
              </w:rPr>
              <w:t xml:space="preserve"> </w:t>
            </w:r>
            <w:r w:rsidRPr="00264F92">
              <w:rPr>
                <w:rFonts w:cstheme="minorHAnsi"/>
                <w:sz w:val="20"/>
                <w:szCs w:val="20"/>
              </w:rPr>
              <w:t>atendida</w:t>
            </w:r>
            <w:r>
              <w:rPr>
                <w:rFonts w:cstheme="minorHAnsi"/>
                <w:sz w:val="20"/>
                <w:szCs w:val="20"/>
              </w:rPr>
              <w:t>, sobre todo mediante los proyectos de infraestructura que reciben recursos del Fondo.</w:t>
            </w:r>
          </w:p>
        </w:tc>
      </w:tr>
      <w:tr w:rsidR="005A7CE4" w:rsidRPr="00264F92" w14:paraId="5366513B" w14:textId="77777777" w:rsidTr="0046655F">
        <w:tc>
          <w:tcPr>
            <w:tcW w:w="704" w:type="dxa"/>
            <w:vMerge/>
          </w:tcPr>
          <w:p w14:paraId="43A42218" w14:textId="77777777" w:rsidR="005A7CE4" w:rsidRPr="00264F92" w:rsidRDefault="005A7CE4" w:rsidP="00A43732">
            <w:pPr>
              <w:spacing w:before="0" w:after="0"/>
              <w:rPr>
                <w:rFonts w:cstheme="minorHAnsi"/>
                <w:sz w:val="20"/>
                <w:szCs w:val="20"/>
              </w:rPr>
            </w:pPr>
          </w:p>
        </w:tc>
        <w:tc>
          <w:tcPr>
            <w:tcW w:w="3827" w:type="dxa"/>
          </w:tcPr>
          <w:p w14:paraId="0ABCDDDF" w14:textId="5427297C" w:rsidR="005A7CE4" w:rsidRPr="00264F92" w:rsidRDefault="005A7CE4" w:rsidP="00A43732">
            <w:pPr>
              <w:spacing w:before="0" w:after="0"/>
              <w:rPr>
                <w:rFonts w:cstheme="minorHAnsi"/>
                <w:sz w:val="20"/>
                <w:szCs w:val="20"/>
              </w:rPr>
            </w:pPr>
            <w:r w:rsidRPr="00264F92">
              <w:rPr>
                <w:sz w:val="20"/>
                <w:szCs w:val="20"/>
              </w:rPr>
              <w:t>Verificar que exista consistencia entre los indicadores contenidos en la ficha técnica proporcionada para la evaluación y la declarada en el PASH</w:t>
            </w:r>
            <w:r w:rsidRPr="00264F92">
              <w:rPr>
                <w:rFonts w:cstheme="minorHAnsi"/>
                <w:sz w:val="20"/>
                <w:szCs w:val="20"/>
              </w:rPr>
              <w:t xml:space="preserve"> </w:t>
            </w:r>
          </w:p>
        </w:tc>
        <w:tc>
          <w:tcPr>
            <w:tcW w:w="2410" w:type="dxa"/>
            <w:vAlign w:val="center"/>
          </w:tcPr>
          <w:p w14:paraId="0A985DC0" w14:textId="58CE331F" w:rsidR="005A7CE4" w:rsidRPr="00264F92" w:rsidRDefault="00E23500" w:rsidP="00A43732">
            <w:pPr>
              <w:spacing w:before="0" w:after="0"/>
              <w:jc w:val="left"/>
              <w:rPr>
                <w:rFonts w:cstheme="minorHAnsi"/>
                <w:sz w:val="20"/>
                <w:szCs w:val="20"/>
              </w:rPr>
            </w:pPr>
            <w:r w:rsidRPr="00264F92">
              <w:rPr>
                <w:rFonts w:cstheme="minorHAnsi"/>
                <w:sz w:val="20"/>
                <w:szCs w:val="20"/>
              </w:rPr>
              <w:t>Sin seguimiento</w:t>
            </w:r>
          </w:p>
        </w:tc>
        <w:tc>
          <w:tcPr>
            <w:tcW w:w="3021" w:type="dxa"/>
          </w:tcPr>
          <w:p w14:paraId="125148E6" w14:textId="77777777" w:rsidR="005A7CE4" w:rsidRPr="00264F92" w:rsidRDefault="005A7CE4" w:rsidP="00A43732">
            <w:pPr>
              <w:spacing w:before="0" w:after="0"/>
              <w:rPr>
                <w:rFonts w:cstheme="minorHAnsi"/>
                <w:sz w:val="20"/>
                <w:szCs w:val="20"/>
              </w:rPr>
            </w:pPr>
          </w:p>
        </w:tc>
      </w:tr>
      <w:tr w:rsidR="005A7CE4" w:rsidRPr="00264F92" w14:paraId="65241450" w14:textId="77777777" w:rsidTr="0046655F">
        <w:tc>
          <w:tcPr>
            <w:tcW w:w="704" w:type="dxa"/>
            <w:vMerge/>
          </w:tcPr>
          <w:p w14:paraId="501067F6" w14:textId="77777777" w:rsidR="005A7CE4" w:rsidRPr="00264F92" w:rsidRDefault="005A7CE4" w:rsidP="00A43732">
            <w:pPr>
              <w:spacing w:before="0" w:after="0"/>
              <w:rPr>
                <w:rFonts w:cstheme="minorHAnsi"/>
                <w:sz w:val="20"/>
                <w:szCs w:val="20"/>
              </w:rPr>
            </w:pPr>
          </w:p>
        </w:tc>
        <w:tc>
          <w:tcPr>
            <w:tcW w:w="3827" w:type="dxa"/>
          </w:tcPr>
          <w:p w14:paraId="2071244E" w14:textId="5CF6D8D4" w:rsidR="005A7CE4" w:rsidRPr="00264F92" w:rsidRDefault="005A7CE4" w:rsidP="00A43732">
            <w:pPr>
              <w:spacing w:before="0" w:after="0"/>
              <w:rPr>
                <w:rFonts w:cstheme="minorHAnsi"/>
                <w:sz w:val="20"/>
                <w:szCs w:val="20"/>
              </w:rPr>
            </w:pPr>
            <w:r w:rsidRPr="00264F92">
              <w:rPr>
                <w:sz w:val="20"/>
                <w:szCs w:val="20"/>
              </w:rPr>
              <w:t>Generar</w:t>
            </w:r>
            <w:r w:rsidRPr="00264F92">
              <w:rPr>
                <w:rFonts w:cstheme="minorHAnsi"/>
                <w:sz w:val="20"/>
                <w:szCs w:val="20"/>
              </w:rPr>
              <w:t xml:space="preserve"> un expediente de cada trimestre documentando cada indicador del PASH, alimentando las fichas técnicas de cada indicador con el documento institucional que soporte cifras calculadas.</w:t>
            </w:r>
          </w:p>
        </w:tc>
        <w:tc>
          <w:tcPr>
            <w:tcW w:w="2410" w:type="dxa"/>
            <w:vAlign w:val="center"/>
          </w:tcPr>
          <w:p w14:paraId="2F8A994E" w14:textId="6AA1C63E" w:rsidR="005A7CE4" w:rsidRPr="00264F92" w:rsidRDefault="00E23500" w:rsidP="00A43732">
            <w:pPr>
              <w:spacing w:before="0" w:after="0"/>
              <w:jc w:val="left"/>
              <w:rPr>
                <w:rFonts w:cstheme="minorHAnsi"/>
                <w:sz w:val="20"/>
                <w:szCs w:val="20"/>
              </w:rPr>
            </w:pPr>
            <w:r w:rsidRPr="00264F92">
              <w:rPr>
                <w:rFonts w:cstheme="minorHAnsi"/>
                <w:sz w:val="20"/>
                <w:szCs w:val="20"/>
              </w:rPr>
              <w:t>Sin seguimiento</w:t>
            </w:r>
          </w:p>
        </w:tc>
        <w:tc>
          <w:tcPr>
            <w:tcW w:w="3021" w:type="dxa"/>
          </w:tcPr>
          <w:p w14:paraId="73281E6C" w14:textId="77777777" w:rsidR="005A7CE4" w:rsidRPr="00264F92" w:rsidRDefault="005A7CE4" w:rsidP="00A43732">
            <w:pPr>
              <w:spacing w:before="0" w:after="0"/>
              <w:rPr>
                <w:rFonts w:cstheme="minorHAnsi"/>
                <w:sz w:val="20"/>
                <w:szCs w:val="20"/>
              </w:rPr>
            </w:pPr>
          </w:p>
        </w:tc>
      </w:tr>
      <w:tr w:rsidR="00800D30" w:rsidRPr="00264F92" w14:paraId="3EC31484" w14:textId="77777777" w:rsidTr="0046655F">
        <w:trPr>
          <w:trHeight w:val="1099"/>
        </w:trPr>
        <w:tc>
          <w:tcPr>
            <w:tcW w:w="704" w:type="dxa"/>
            <w:vAlign w:val="center"/>
          </w:tcPr>
          <w:p w14:paraId="751A20F8" w14:textId="2B05A9C4" w:rsidR="00800D30" w:rsidRPr="00264F92" w:rsidRDefault="00800D30" w:rsidP="00A43732">
            <w:pPr>
              <w:spacing w:before="0" w:after="0"/>
              <w:jc w:val="center"/>
              <w:rPr>
                <w:rFonts w:cstheme="minorHAnsi"/>
                <w:sz w:val="20"/>
                <w:szCs w:val="20"/>
              </w:rPr>
            </w:pPr>
            <w:r w:rsidRPr="00264F92">
              <w:rPr>
                <w:rFonts w:cstheme="minorHAnsi"/>
                <w:sz w:val="20"/>
                <w:szCs w:val="20"/>
              </w:rPr>
              <w:t>2018</w:t>
            </w:r>
          </w:p>
        </w:tc>
        <w:tc>
          <w:tcPr>
            <w:tcW w:w="3827" w:type="dxa"/>
          </w:tcPr>
          <w:p w14:paraId="066FC8A7" w14:textId="635FAFC0" w:rsidR="00800D30" w:rsidRPr="00264F92" w:rsidRDefault="00800D30" w:rsidP="00A43732">
            <w:pPr>
              <w:spacing w:before="0" w:after="0"/>
              <w:rPr>
                <w:rFonts w:cstheme="minorHAnsi"/>
                <w:sz w:val="20"/>
                <w:szCs w:val="20"/>
              </w:rPr>
            </w:pPr>
            <w:r w:rsidRPr="00264F92">
              <w:rPr>
                <w:sz w:val="20"/>
                <w:szCs w:val="20"/>
              </w:rPr>
              <w:t xml:space="preserve">Es posible observar un ejercicio de mejora en la aplicación de los recursos del FAFEF en el </w:t>
            </w:r>
            <w:r w:rsidR="00636A8C">
              <w:rPr>
                <w:sz w:val="20"/>
                <w:szCs w:val="20"/>
              </w:rPr>
              <w:t>E</w:t>
            </w:r>
            <w:r w:rsidRPr="00264F92">
              <w:rPr>
                <w:sz w:val="20"/>
                <w:szCs w:val="20"/>
              </w:rPr>
              <w:t>stado de Tamaulipas en tanto que cuenta con un sistema de monitoreo de indicadores y avances de los Pp apoyados por el Fondo.</w:t>
            </w:r>
          </w:p>
        </w:tc>
        <w:tc>
          <w:tcPr>
            <w:tcW w:w="2410" w:type="dxa"/>
          </w:tcPr>
          <w:p w14:paraId="09715A34" w14:textId="58917026" w:rsidR="00800D30" w:rsidRPr="00264F92" w:rsidRDefault="00800D30" w:rsidP="00A43732">
            <w:pPr>
              <w:spacing w:before="0" w:after="0"/>
              <w:rPr>
                <w:rFonts w:cstheme="minorHAnsi"/>
                <w:sz w:val="20"/>
                <w:szCs w:val="20"/>
              </w:rPr>
            </w:pPr>
            <w:r w:rsidRPr="00264F92">
              <w:rPr>
                <w:rFonts w:cstheme="minorHAnsi"/>
                <w:sz w:val="20"/>
                <w:szCs w:val="20"/>
              </w:rPr>
              <w:t>Implementación del monitoreo de resultados a través de las MIR/FID de los Pp que reciben recursos del FAFEF</w:t>
            </w:r>
          </w:p>
        </w:tc>
        <w:tc>
          <w:tcPr>
            <w:tcW w:w="3021" w:type="dxa"/>
          </w:tcPr>
          <w:p w14:paraId="5C9E44D2" w14:textId="6C51AB6F" w:rsidR="00800D30" w:rsidRPr="00264F92" w:rsidRDefault="00800D30" w:rsidP="00A43732">
            <w:pPr>
              <w:spacing w:before="0" w:after="0"/>
              <w:rPr>
                <w:rFonts w:cstheme="minorHAnsi"/>
                <w:sz w:val="20"/>
                <w:szCs w:val="20"/>
              </w:rPr>
            </w:pPr>
            <w:r w:rsidRPr="00264F92">
              <w:rPr>
                <w:rFonts w:cstheme="minorHAnsi"/>
                <w:sz w:val="20"/>
                <w:szCs w:val="20"/>
              </w:rPr>
              <w:t>Generación de información para medir el desempeño y los resultados del ejercicio de los recursos del FAFEF.</w:t>
            </w:r>
          </w:p>
        </w:tc>
      </w:tr>
    </w:tbl>
    <w:p w14:paraId="4D195D71" w14:textId="77777777" w:rsidR="00815BB3" w:rsidRDefault="00815BB3" w:rsidP="00815BB3">
      <w:r w:rsidRPr="00455C8A">
        <w:rPr>
          <w:rStyle w:val="FuenteCar"/>
        </w:rPr>
        <w:t xml:space="preserve">Fuente: Elaboración propia con base en </w:t>
      </w:r>
      <w:r>
        <w:rPr>
          <w:rStyle w:val="FuenteCar"/>
        </w:rPr>
        <w:t>resultados de evaluaciones externas 2014,2015, 2016 y 2018.</w:t>
      </w:r>
    </w:p>
    <w:p w14:paraId="31E59014" w14:textId="7ACDC7A2" w:rsidR="005018A3" w:rsidRPr="00D105A8" w:rsidRDefault="00E23500" w:rsidP="005018A3">
      <w:pPr>
        <w:spacing w:before="240" w:after="240"/>
        <w:rPr>
          <w:rFonts w:cstheme="minorHAnsi"/>
        </w:rPr>
      </w:pPr>
      <w:r>
        <w:rPr>
          <w:rFonts w:cstheme="minorHAnsi"/>
        </w:rPr>
        <w:t xml:space="preserve">En general, </w:t>
      </w:r>
      <w:r w:rsidR="005018A3" w:rsidRPr="00D105A8">
        <w:rPr>
          <w:rFonts w:cstheme="minorHAnsi"/>
        </w:rPr>
        <w:t>uno de los hallazgos de la Evaluación de Consistencia y Resultados, se refiere a</w:t>
      </w:r>
      <w:r w:rsidR="00635D85">
        <w:rPr>
          <w:rFonts w:cstheme="minorHAnsi"/>
        </w:rPr>
        <w:t xml:space="preserve"> la aplicación </w:t>
      </w:r>
      <w:r w:rsidR="005018A3" w:rsidRPr="00D105A8">
        <w:rPr>
          <w:rFonts w:cstheme="minorHAnsi"/>
        </w:rPr>
        <w:t xml:space="preserve">de la Metodología del Marco Lógico para la planeación presupuestal del Fondo, concluyendo con una MIR específica por Pp, que permita formar parte de la estrategia del PbR y monitorear el comportamiento mediante el Sistema de Evaluación de Desempeño. </w:t>
      </w:r>
      <w:r w:rsidR="004078B4">
        <w:rPr>
          <w:rFonts w:cstheme="minorHAnsi"/>
        </w:rPr>
        <w:t xml:space="preserve">El diseño de una </w:t>
      </w:r>
      <w:r w:rsidR="005018A3" w:rsidRPr="00D105A8">
        <w:rPr>
          <w:rFonts w:cstheme="minorHAnsi"/>
        </w:rPr>
        <w:t xml:space="preserve">MIR especifica implica la definición del Fin, Propósito, Componentes y Actividades y los indicadores de los Pp, cuyo presupuesto contenga parte o todos sus recursos provenientes del Fondo en cada ejercicio fiscal. </w:t>
      </w:r>
    </w:p>
    <w:p w14:paraId="097239F4" w14:textId="0C4A1947" w:rsidR="00B028A9" w:rsidRPr="00147A15" w:rsidRDefault="005018A3" w:rsidP="00264F92">
      <w:pPr>
        <w:spacing w:before="240" w:after="240"/>
      </w:pPr>
      <w:r w:rsidRPr="00D105A8">
        <w:rPr>
          <w:rFonts w:cstheme="minorHAnsi"/>
        </w:rPr>
        <w:t>En ese sentido, es importante destacar que derivado de lo anterior, la entidad federativa recientemente (en 2019) puso en operación el Sistema de Monitoreo de Indicadores para Resultados (SIMIR), en el cual se concentra la información y se monitorean todos los Pp, entre ellos, los que reciben recursos del FAFEF como parte de su presupuesto, este último identificado a través de la información que se tienen en el Sistema de Plataforma Única.</w:t>
      </w:r>
    </w:p>
    <w:p w14:paraId="15FB984D" w14:textId="442F22D7" w:rsidR="0077335C" w:rsidRPr="00147A15" w:rsidRDefault="0077335C" w:rsidP="00147A15">
      <w:pPr>
        <w:spacing w:before="0" w:after="160" w:line="259" w:lineRule="auto"/>
      </w:pPr>
      <w:bookmarkStart w:id="117" w:name="_Toc485329964"/>
      <w:r>
        <w:br w:type="page"/>
      </w:r>
    </w:p>
    <w:p w14:paraId="65FCD23C" w14:textId="2B474D9D" w:rsidR="00AD05E7" w:rsidRDefault="003B5E62" w:rsidP="00AD05E7">
      <w:pPr>
        <w:pStyle w:val="Ttulo1"/>
      </w:pPr>
      <w:bookmarkStart w:id="118" w:name="_Toc61633651"/>
      <w:r>
        <w:lastRenderedPageBreak/>
        <w:t>X</w:t>
      </w:r>
      <w:r w:rsidR="00AD05E7">
        <w:t>. Análisis de Fortalezas, Oportunidades, Debilidades, Amenazas y Recomendaciones</w:t>
      </w:r>
      <w:bookmarkEnd w:id="118"/>
    </w:p>
    <w:tbl>
      <w:tblPr>
        <w:tblStyle w:val="Tablaconcuadrcula"/>
        <w:tblW w:w="0" w:type="auto"/>
        <w:jc w:val="center"/>
        <w:tblBorders>
          <w:top w:val="none" w:sz="0" w:space="0" w:color="auto"/>
          <w:left w:val="none" w:sz="0" w:space="0" w:color="auto"/>
          <w:bottom w:val="none" w:sz="0" w:space="0" w:color="auto"/>
          <w:right w:val="none" w:sz="0" w:space="0" w:color="auto"/>
          <w:insideH w:val="single" w:sz="24" w:space="0" w:color="4472C4" w:themeColor="accent5"/>
          <w:insideV w:val="single" w:sz="24" w:space="0" w:color="4472C4" w:themeColor="accent5"/>
        </w:tblBorders>
        <w:shd w:val="clear" w:color="auto" w:fill="F2F2F2" w:themeFill="background1" w:themeFillShade="F2"/>
        <w:tblLook w:val="04A0" w:firstRow="1" w:lastRow="0" w:firstColumn="1" w:lastColumn="0" w:noHBand="0" w:noVBand="1"/>
      </w:tblPr>
      <w:tblGrid>
        <w:gridCol w:w="4981"/>
        <w:gridCol w:w="4800"/>
      </w:tblGrid>
      <w:tr w:rsidR="002406A3" w:rsidRPr="004D0549" w14:paraId="03078285" w14:textId="77777777" w:rsidTr="00B249F1">
        <w:trPr>
          <w:jc w:val="center"/>
        </w:trPr>
        <w:tc>
          <w:tcPr>
            <w:tcW w:w="4981" w:type="dxa"/>
            <w:tcBorders>
              <w:top w:val="nil"/>
              <w:bottom w:val="single" w:sz="4" w:space="0" w:color="FFFFFF" w:themeColor="background1"/>
            </w:tcBorders>
            <w:shd w:val="clear" w:color="auto" w:fill="F2F2F2" w:themeFill="background1" w:themeFillShade="F2"/>
            <w:vAlign w:val="center"/>
          </w:tcPr>
          <w:p w14:paraId="104852D7" w14:textId="77777777" w:rsidR="006930D9" w:rsidRPr="004D0549" w:rsidRDefault="006930D9" w:rsidP="00E470FC">
            <w:pPr>
              <w:spacing w:after="200"/>
              <w:jc w:val="left"/>
              <w:rPr>
                <w:rFonts w:eastAsia="Times" w:cs="Arial"/>
                <w:b/>
                <w:iCs/>
                <w:color w:val="000000" w:themeColor="text1"/>
              </w:rPr>
            </w:pPr>
            <w:r w:rsidRPr="004D0549">
              <w:rPr>
                <w:rFonts w:eastAsia="Times" w:cs="Arial"/>
                <w:b/>
                <w:iCs/>
                <w:color w:val="000000" w:themeColor="text1"/>
              </w:rPr>
              <w:t>FORTALEZAS</w:t>
            </w:r>
          </w:p>
        </w:tc>
        <w:tc>
          <w:tcPr>
            <w:tcW w:w="4800" w:type="dxa"/>
            <w:tcBorders>
              <w:top w:val="nil"/>
              <w:bottom w:val="single" w:sz="4" w:space="0" w:color="FFFFFF" w:themeColor="background1"/>
            </w:tcBorders>
            <w:shd w:val="clear" w:color="auto" w:fill="F2F2F2" w:themeFill="background1" w:themeFillShade="F2"/>
            <w:vAlign w:val="center"/>
          </w:tcPr>
          <w:p w14:paraId="419EC565" w14:textId="77777777" w:rsidR="006930D9" w:rsidRPr="004D0549" w:rsidRDefault="006930D9" w:rsidP="00E470FC">
            <w:pPr>
              <w:spacing w:after="200"/>
              <w:jc w:val="left"/>
              <w:rPr>
                <w:rFonts w:eastAsia="Calibri" w:cs="Calibri"/>
                <w:b/>
                <w:bCs/>
                <w:color w:val="000000" w:themeColor="text1"/>
              </w:rPr>
            </w:pPr>
            <w:r w:rsidRPr="004D0549">
              <w:rPr>
                <w:rFonts w:eastAsia="Times" w:cs="Arial"/>
                <w:b/>
                <w:iCs/>
                <w:color w:val="000000" w:themeColor="text1"/>
              </w:rPr>
              <w:t>DEBILIDADES</w:t>
            </w:r>
          </w:p>
        </w:tc>
      </w:tr>
      <w:tr w:rsidR="002406A3" w:rsidRPr="004D0549" w14:paraId="441DE82A" w14:textId="77777777" w:rsidTr="00B249F1">
        <w:trPr>
          <w:jc w:val="center"/>
        </w:trPr>
        <w:tc>
          <w:tcPr>
            <w:tcW w:w="4981" w:type="dxa"/>
            <w:tcBorders>
              <w:top w:val="single" w:sz="4" w:space="0" w:color="FFFFFF" w:themeColor="background1"/>
              <w:bottom w:val="single" w:sz="24" w:space="0" w:color="4472C4" w:themeColor="accent5"/>
            </w:tcBorders>
            <w:shd w:val="clear" w:color="auto" w:fill="F2F2F2" w:themeFill="background1" w:themeFillShade="F2"/>
          </w:tcPr>
          <w:p w14:paraId="47C6A303" w14:textId="69930EF6" w:rsidR="00A57C29" w:rsidRPr="004D0549" w:rsidRDefault="00A57C29"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En 2018, se crea el Grupo de Trabajo de la Subsecretaría de Egresos, en el que participan todos los Directores de Área, así como el titular de dicha Subsecretaría; como una instancia institucional administrativa y ejecutora de los recursos del FAFEF cuyo principal objetivo es identificar, de manera más precisa, las prioridades sobre las cuales se deben asignar los recursos del Fondo y por ende, los Pp de la estructura programática estatal que serán sujetos a recibir y operar estos recursos. Asimismo, tiene la función de coordinar acciones conducentes a la implementación de la estrategia del PbR llevando a cabo acciones y medidas para reforzar la planeación, programación y monitoreo de los resultados esperados de la aplicación de los recursos del FAFEF. Este Grupo de Trabajo, representa un adecuado mecanismo para la toma decisiones en materia presupuestaria. Sin embargo, no se cuenta con un documento de planeación estratégica que defina objetivos y metas a alcanzar en el corto y mediano plazos.</w:t>
            </w:r>
          </w:p>
          <w:p w14:paraId="3C204FCE" w14:textId="2F88680F" w:rsidR="000D0B87" w:rsidRPr="004D0549" w:rsidRDefault="00DF08E6"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S</w:t>
            </w:r>
            <w:r w:rsidR="00DE690E" w:rsidRPr="004D0549">
              <w:rPr>
                <w:rFonts w:eastAsia="Calibri" w:cs="Calibri"/>
                <w:color w:val="000000" w:themeColor="text1"/>
              </w:rPr>
              <w:t xml:space="preserve">e han establecido mecanismos y/o procesos para la generación o administración de información, que contribuyen a mejorar la gestión y resultados del FAFEF, tales como el establecimiento del Grupo de Trabajo y el Mecanismo para dar seguimiento a los ASM derivados de todas las evaluaciones que se llevan a cabo en la </w:t>
            </w:r>
            <w:r w:rsidR="00325A79" w:rsidRPr="004D0549">
              <w:rPr>
                <w:rFonts w:eastAsia="Calibri" w:cs="Calibri"/>
                <w:color w:val="000000" w:themeColor="text1"/>
              </w:rPr>
              <w:t>e</w:t>
            </w:r>
            <w:r w:rsidR="00BC7AC5" w:rsidRPr="004D0549">
              <w:rPr>
                <w:rFonts w:eastAsia="Calibri" w:cs="Calibri"/>
                <w:color w:val="000000" w:themeColor="text1"/>
              </w:rPr>
              <w:t xml:space="preserve">ntidad </w:t>
            </w:r>
            <w:r w:rsidR="00325A79" w:rsidRPr="004D0549">
              <w:rPr>
                <w:rFonts w:eastAsia="Calibri" w:cs="Calibri"/>
                <w:color w:val="000000" w:themeColor="text1"/>
              </w:rPr>
              <w:t>f</w:t>
            </w:r>
            <w:r w:rsidR="00BC7AC5" w:rsidRPr="004D0549">
              <w:rPr>
                <w:rFonts w:eastAsia="Calibri" w:cs="Calibri"/>
                <w:color w:val="000000" w:themeColor="text1"/>
              </w:rPr>
              <w:t>ederativa</w:t>
            </w:r>
            <w:r w:rsidR="00DE690E" w:rsidRPr="004D0549">
              <w:rPr>
                <w:rFonts w:eastAsia="Calibri" w:cs="Calibri"/>
                <w:color w:val="000000" w:themeColor="text1"/>
              </w:rPr>
              <w:t xml:space="preserve"> creados en año 2018, así como la definición en 2019 de los Lineamientos Generales para la elaboración de Reglas de Operación de los Programas Presupuestarios y Modificaciones a las ya existentes, los criterios para implantar la estrategia del PbR, el SIMIR y Lineamientos para la revisión y actualización de metas, mejora, calendarización y seguimiento de la MIR de los Pp.</w:t>
            </w:r>
          </w:p>
          <w:p w14:paraId="66CA00AB" w14:textId="77777777" w:rsidR="00B0045E" w:rsidRPr="004D0549" w:rsidRDefault="00B0045E"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La planeación estatal se encuentra alineada a los ejes y líneas de acción del PND y es posible detectar la alineación de los ODS con los programas y proyectos a los cuales se destinan los recursos del FAFEF.</w:t>
            </w:r>
          </w:p>
          <w:p w14:paraId="33433F50" w14:textId="77777777" w:rsidR="00B0045E" w:rsidRPr="004D0549" w:rsidRDefault="00B0045E"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lastRenderedPageBreak/>
              <w:t>El Grupo de Trabajo tiene la función de coordinar acciones conducentes a la implementación de la estrategia del PbR implementando acciones y medidas para reforzar la planeación, programación y monitoreo de los resultados esperados de la aplicación de los recursos del FAFEF en Tamaulipas.</w:t>
            </w:r>
          </w:p>
          <w:p w14:paraId="2D89910E" w14:textId="77777777" w:rsidR="00B0045E" w:rsidRPr="004D0549" w:rsidRDefault="00B0045E"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Para la operación de los Pp estatales en general, entre los que se encuentran los que reciben recurso del FAFEF, se tienen formatos estandarizados tales como: 1. Formato de Solicitud de Apertura de cuenta; 2. Oficio de Aprobación (Proyectos); 3. Aviso de disponibilidad Bancaria; 4. Recibos de pago; 5. Reportes mensuales ingresos vs egresos; 6. Oficios de Solicitud de Traspaso; y, 7. Oficios de Solicitud de Cancelación Cuentas.</w:t>
            </w:r>
          </w:p>
          <w:p w14:paraId="49E3C5F4" w14:textId="77777777" w:rsidR="00680D54" w:rsidRPr="004D0549" w:rsidRDefault="00680D54"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Se identifica que los recursos del FAFEF se complementan con otros programas del mismo ramo 33, principalmente con aquellos con objetivos dirigidos a atender la infraestructura de tipo social.</w:t>
            </w:r>
          </w:p>
          <w:p w14:paraId="30FC0CFC" w14:textId="132FE402" w:rsidR="00DA0B66" w:rsidRPr="004D0549" w:rsidRDefault="00DA0B66"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En el portal de transparencia del gobierno del </w:t>
            </w:r>
            <w:r w:rsidR="00732C7B" w:rsidRPr="004D0549">
              <w:rPr>
                <w:rFonts w:eastAsia="Calibri" w:cs="Calibri"/>
                <w:color w:val="000000" w:themeColor="text1"/>
              </w:rPr>
              <w:t>E</w:t>
            </w:r>
            <w:r w:rsidRPr="004D0549">
              <w:rPr>
                <w:rFonts w:eastAsia="Calibri" w:cs="Calibri"/>
                <w:color w:val="000000" w:themeColor="text1"/>
              </w:rPr>
              <w:t>stado de Tamaulipas, se pueden consultar los documentos de las evaluaciones realizadas al FAFEF en la entidad</w:t>
            </w:r>
            <w:r w:rsidR="00744CD7" w:rsidRPr="004D0549">
              <w:rPr>
                <w:rFonts w:eastAsia="Calibri" w:cs="Calibri"/>
                <w:color w:val="000000" w:themeColor="text1"/>
              </w:rPr>
              <w:t xml:space="preserve"> federativa</w:t>
            </w:r>
            <w:r w:rsidRPr="004D0549">
              <w:rPr>
                <w:rFonts w:eastAsia="Calibri" w:cs="Calibri"/>
                <w:color w:val="000000" w:themeColor="text1"/>
              </w:rPr>
              <w:t>. Asimismo, el público en general puede visualizar la información pública del ejercicio de los recursos del FAFEF por cada trimestre del ejercicio fiscal.</w:t>
            </w:r>
          </w:p>
        </w:tc>
        <w:tc>
          <w:tcPr>
            <w:tcW w:w="4800" w:type="dxa"/>
            <w:tcBorders>
              <w:top w:val="single" w:sz="4" w:space="0" w:color="FFFFFF" w:themeColor="background1"/>
              <w:bottom w:val="single" w:sz="24" w:space="0" w:color="4472C4" w:themeColor="accent5"/>
            </w:tcBorders>
            <w:shd w:val="clear" w:color="auto" w:fill="F2F2F2" w:themeFill="background1" w:themeFillShade="F2"/>
          </w:tcPr>
          <w:p w14:paraId="3A132384" w14:textId="3F1375A3" w:rsidR="00846515" w:rsidRPr="004D0549" w:rsidRDefault="00DF08E6"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lastRenderedPageBreak/>
              <w:t>El</w:t>
            </w:r>
            <w:r w:rsidR="00863143" w:rsidRPr="004D0549">
              <w:rPr>
                <w:rFonts w:eastAsia="Calibri" w:cs="Calibri"/>
                <w:color w:val="000000" w:themeColor="text1"/>
              </w:rPr>
              <w:t xml:space="preserve"> diagnóstico elaborado en 2018, la problemática central que este identifica se enfoca en la insuficiencia de recursos y no en la o las problemáticas que la entidad </w:t>
            </w:r>
            <w:r w:rsidR="00744CD7" w:rsidRPr="004D0549">
              <w:rPr>
                <w:rFonts w:eastAsia="Calibri" w:cs="Calibri"/>
                <w:color w:val="000000" w:themeColor="text1"/>
              </w:rPr>
              <w:t xml:space="preserve">federativa </w:t>
            </w:r>
            <w:r w:rsidR="00863143" w:rsidRPr="004D0549">
              <w:rPr>
                <w:rFonts w:eastAsia="Calibri" w:cs="Calibri"/>
                <w:color w:val="000000" w:themeColor="text1"/>
              </w:rPr>
              <w:t>busca atender con el ejercicio de los recursos del Fondo. La problemática que se busca atender, no se estructura en un árbol de problemas y en consecuencia no se establece un árbol de objetivos.</w:t>
            </w:r>
            <w:r w:rsidR="00846515" w:rsidRPr="004D0549">
              <w:rPr>
                <w:rFonts w:eastAsia="Calibri" w:cs="Calibri"/>
                <w:color w:val="000000" w:themeColor="text1"/>
              </w:rPr>
              <w:t xml:space="preserve"> </w:t>
            </w:r>
          </w:p>
          <w:p w14:paraId="38966DE4" w14:textId="1DEEE142" w:rsidR="00863143" w:rsidRPr="004D0549" w:rsidRDefault="00846515"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No existe un plan estratégico para el FAFEF en </w:t>
            </w:r>
            <w:r w:rsidR="00744CD7" w:rsidRPr="004D0549">
              <w:rPr>
                <w:rFonts w:eastAsia="Calibri" w:cs="Calibri"/>
                <w:color w:val="000000" w:themeColor="text1"/>
              </w:rPr>
              <w:t>Tamaulipas</w:t>
            </w:r>
            <w:r w:rsidRPr="004D0549">
              <w:rPr>
                <w:rFonts w:eastAsia="Calibri" w:cs="Calibri"/>
                <w:color w:val="000000" w:themeColor="text1"/>
              </w:rPr>
              <w:t>, que cumpla con las siguientes características: sigue un procedimiento establecido en un documento oficial, Abarque un horizonte de al menos cinco años, que establezca los resultados que se pretenden alcanzar con la ejecución del Fondo y consistentes con el Propósito de su MIR.</w:t>
            </w:r>
          </w:p>
          <w:p w14:paraId="198C4C1F" w14:textId="0074E01F" w:rsidR="002767CF" w:rsidRPr="004D0549" w:rsidRDefault="00C30FFB"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N</w:t>
            </w:r>
            <w:r w:rsidR="00DE690E" w:rsidRPr="004D0549">
              <w:rPr>
                <w:rFonts w:eastAsia="Calibri" w:cs="Calibri"/>
                <w:color w:val="000000" w:themeColor="text1"/>
              </w:rPr>
              <w:t>o</w:t>
            </w:r>
            <w:r w:rsidRPr="004D0549">
              <w:rPr>
                <w:rFonts w:eastAsia="Calibri" w:cs="Calibri"/>
                <w:color w:val="000000" w:themeColor="text1"/>
              </w:rPr>
              <w:t xml:space="preserve"> se</w:t>
            </w:r>
            <w:r w:rsidR="00DE690E" w:rsidRPr="004D0549">
              <w:rPr>
                <w:rFonts w:eastAsia="Calibri" w:cs="Calibri"/>
                <w:color w:val="000000" w:themeColor="text1"/>
              </w:rPr>
              <w:t xml:space="preserve"> cuenta con un Plan Anual de Trabajo (PAT) específico para la programación anual del ejercicio de los recursos del Fondo.</w:t>
            </w:r>
          </w:p>
          <w:p w14:paraId="009B5C48" w14:textId="40BE23E6" w:rsidR="00680D54" w:rsidRPr="004D0549" w:rsidRDefault="00680D54"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Los procesos clave para la operación de las aportaciones del FAFEF en la entidad</w:t>
            </w:r>
            <w:r w:rsidR="00744CD7" w:rsidRPr="004D0549">
              <w:rPr>
                <w:rFonts w:eastAsia="Calibri" w:cs="Calibri"/>
                <w:color w:val="000000" w:themeColor="text1"/>
              </w:rPr>
              <w:t xml:space="preserve"> federativa</w:t>
            </w:r>
            <w:r w:rsidRPr="004D0549">
              <w:rPr>
                <w:rFonts w:eastAsia="Calibri" w:cs="Calibri"/>
                <w:color w:val="000000" w:themeColor="text1"/>
              </w:rPr>
              <w:t>, no cuentan con un procedimiento específico para el ejercicio de los recursos del Fondo, sino que siguen un procedimiento definido según las modalidades de gasto o rubro de destino establecido en los manuales de procedimientos de cada ente ejecutor.</w:t>
            </w:r>
          </w:p>
          <w:p w14:paraId="27BE4967" w14:textId="60E70394" w:rsidR="00680D54" w:rsidRPr="004D0549" w:rsidRDefault="00680D54"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La configuración institucional y normativa no contribuye al cumplimiento de objetivos estatales, puesto que no se realizan ejercicios para fomentar una coordinación eficaz y continua entre la dependencia coordinadora y el gobierno de la entidad</w:t>
            </w:r>
            <w:r w:rsidR="00744CD7" w:rsidRPr="004D0549">
              <w:rPr>
                <w:rFonts w:eastAsia="Calibri" w:cs="Calibri"/>
                <w:color w:val="000000" w:themeColor="text1"/>
              </w:rPr>
              <w:t xml:space="preserve"> federativa</w:t>
            </w:r>
            <w:r w:rsidRPr="004D0549">
              <w:rPr>
                <w:rFonts w:eastAsia="Calibri" w:cs="Calibri"/>
                <w:color w:val="000000" w:themeColor="text1"/>
              </w:rPr>
              <w:t>, ya que la única coordinación que se percibe es para dispersar los pagos mensuales.</w:t>
            </w:r>
          </w:p>
          <w:p w14:paraId="479570D0" w14:textId="77777777" w:rsidR="00680D54" w:rsidRPr="004D0549" w:rsidRDefault="00680D54"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Los conceptos en los que se pueden aplicar los recursos a través de los Pp no tienen, en algunos casos, una relación directa, lo que limita el desarrollo de sinergias que potencien sus impactos; asimismo, esa diversidad de destinos dificulta la evaluación de sus resultados.</w:t>
            </w:r>
          </w:p>
          <w:p w14:paraId="69D2F9EF" w14:textId="72278F2B" w:rsidR="00DA0B66" w:rsidRPr="004D0549" w:rsidRDefault="00DA0B66"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lastRenderedPageBreak/>
              <w:t xml:space="preserve">No se encontró evidencia documental que permita identificar la contribución del FAFEF a la atenuación o solución de las problemáticas de la </w:t>
            </w:r>
            <w:r w:rsidR="00325A79" w:rsidRPr="004D0549">
              <w:rPr>
                <w:rFonts w:eastAsia="Calibri" w:cs="Calibri"/>
                <w:color w:val="000000" w:themeColor="text1"/>
              </w:rPr>
              <w:t>e</w:t>
            </w:r>
            <w:r w:rsidR="00BC7AC5" w:rsidRPr="004D0549">
              <w:rPr>
                <w:rFonts w:eastAsia="Calibri" w:cs="Calibri"/>
                <w:color w:val="000000" w:themeColor="text1"/>
              </w:rPr>
              <w:t xml:space="preserve">ntidad </w:t>
            </w:r>
            <w:r w:rsidR="00325A79" w:rsidRPr="004D0549">
              <w:rPr>
                <w:rFonts w:eastAsia="Calibri" w:cs="Calibri"/>
                <w:color w:val="000000" w:themeColor="text1"/>
              </w:rPr>
              <w:t>f</w:t>
            </w:r>
            <w:r w:rsidR="00BC7AC5" w:rsidRPr="004D0549">
              <w:rPr>
                <w:rFonts w:eastAsia="Calibri" w:cs="Calibri"/>
                <w:color w:val="000000" w:themeColor="text1"/>
              </w:rPr>
              <w:t>ederativa</w:t>
            </w:r>
            <w:r w:rsidRPr="004D0549">
              <w:rPr>
                <w:rFonts w:eastAsia="Calibri" w:cs="Calibri"/>
                <w:color w:val="000000" w:themeColor="text1"/>
              </w:rPr>
              <w:t>.</w:t>
            </w:r>
          </w:p>
          <w:p w14:paraId="04EAF0A0" w14:textId="2C8BDA14" w:rsidR="00DA0B66" w:rsidRPr="004D0549" w:rsidRDefault="00B47E18" w:rsidP="00E470FC">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No se tienen </w:t>
            </w:r>
            <w:r w:rsidR="00DA0B66" w:rsidRPr="004D0549">
              <w:rPr>
                <w:rFonts w:eastAsia="Calibri" w:cs="Calibri"/>
                <w:color w:val="000000" w:themeColor="text1"/>
              </w:rPr>
              <w:t>identific</w:t>
            </w:r>
            <w:r w:rsidRPr="004D0549">
              <w:rPr>
                <w:rFonts w:eastAsia="Calibri" w:cs="Calibri"/>
                <w:color w:val="000000" w:themeColor="text1"/>
              </w:rPr>
              <w:t>ada ni</w:t>
            </w:r>
            <w:r w:rsidR="00DA0B66" w:rsidRPr="004D0549">
              <w:rPr>
                <w:rFonts w:eastAsia="Calibri" w:cs="Calibri"/>
                <w:color w:val="000000" w:themeColor="text1"/>
              </w:rPr>
              <w:t xml:space="preserve"> caracteriza</w:t>
            </w:r>
            <w:r w:rsidRPr="004D0549">
              <w:rPr>
                <w:rFonts w:eastAsia="Calibri" w:cs="Calibri"/>
                <w:color w:val="000000" w:themeColor="text1"/>
              </w:rPr>
              <w:t>da</w:t>
            </w:r>
            <w:r w:rsidR="00DA0B66" w:rsidRPr="004D0549">
              <w:rPr>
                <w:rFonts w:eastAsia="Calibri" w:cs="Calibri"/>
                <w:color w:val="000000" w:themeColor="text1"/>
              </w:rPr>
              <w:t xml:space="preserve"> </w:t>
            </w:r>
            <w:r w:rsidRPr="004D0549">
              <w:rPr>
                <w:rFonts w:eastAsia="Calibri" w:cs="Calibri"/>
                <w:color w:val="000000" w:themeColor="text1"/>
              </w:rPr>
              <w:t>a</w:t>
            </w:r>
            <w:r w:rsidR="00DA0B66" w:rsidRPr="004D0549">
              <w:rPr>
                <w:rFonts w:eastAsia="Calibri" w:cs="Calibri"/>
                <w:color w:val="000000" w:themeColor="text1"/>
              </w:rPr>
              <w:t xml:space="preserve"> la población potencial </w:t>
            </w:r>
            <w:r w:rsidRPr="004D0549">
              <w:rPr>
                <w:rFonts w:eastAsia="Calibri" w:cs="Calibri"/>
                <w:color w:val="000000" w:themeColor="text1"/>
              </w:rPr>
              <w:t xml:space="preserve">y objetivo </w:t>
            </w:r>
            <w:r w:rsidR="00DA0B66" w:rsidRPr="004D0549">
              <w:rPr>
                <w:rFonts w:eastAsia="Calibri" w:cs="Calibri"/>
                <w:color w:val="000000" w:themeColor="text1"/>
              </w:rPr>
              <w:t>directamente relacionada con el FAFEF.</w:t>
            </w:r>
          </w:p>
        </w:tc>
      </w:tr>
      <w:tr w:rsidR="002406A3" w:rsidRPr="004D0549" w14:paraId="2ED90C33" w14:textId="77777777" w:rsidTr="00B249F1">
        <w:trPr>
          <w:jc w:val="center"/>
        </w:trPr>
        <w:tc>
          <w:tcPr>
            <w:tcW w:w="4981" w:type="dxa"/>
            <w:tcBorders>
              <w:top w:val="single" w:sz="24" w:space="0" w:color="4472C4" w:themeColor="accent5"/>
              <w:bottom w:val="single" w:sz="4" w:space="0" w:color="FFFFFF" w:themeColor="background1"/>
            </w:tcBorders>
            <w:shd w:val="clear" w:color="auto" w:fill="F2F2F2" w:themeFill="background1" w:themeFillShade="F2"/>
            <w:vAlign w:val="center"/>
          </w:tcPr>
          <w:p w14:paraId="4A607C62" w14:textId="77777777" w:rsidR="006930D9" w:rsidRPr="004D0549" w:rsidRDefault="006930D9" w:rsidP="002E0702">
            <w:pPr>
              <w:spacing w:after="200"/>
              <w:jc w:val="left"/>
              <w:rPr>
                <w:rFonts w:eastAsia="Times" w:cs="Arial"/>
                <w:b/>
                <w:iCs/>
                <w:color w:val="000000" w:themeColor="text1"/>
              </w:rPr>
            </w:pPr>
            <w:r w:rsidRPr="004D0549">
              <w:rPr>
                <w:rFonts w:eastAsia="Times" w:cs="Arial"/>
                <w:b/>
                <w:iCs/>
                <w:color w:val="000000" w:themeColor="text1"/>
              </w:rPr>
              <w:lastRenderedPageBreak/>
              <w:t>OPORTUNIDADES</w:t>
            </w:r>
          </w:p>
        </w:tc>
        <w:tc>
          <w:tcPr>
            <w:tcW w:w="4800" w:type="dxa"/>
            <w:tcBorders>
              <w:top w:val="single" w:sz="24" w:space="0" w:color="4472C4" w:themeColor="accent5"/>
              <w:bottom w:val="single" w:sz="4" w:space="0" w:color="FFFFFF" w:themeColor="background1"/>
            </w:tcBorders>
            <w:shd w:val="clear" w:color="auto" w:fill="F2F2F2" w:themeFill="background1" w:themeFillShade="F2"/>
            <w:vAlign w:val="center"/>
          </w:tcPr>
          <w:p w14:paraId="72908F5E" w14:textId="7C730AEE" w:rsidR="00846515" w:rsidRPr="004D0549" w:rsidRDefault="006930D9" w:rsidP="002E0702">
            <w:pPr>
              <w:spacing w:after="200"/>
              <w:jc w:val="left"/>
              <w:rPr>
                <w:rFonts w:eastAsia="Times" w:cs="Arial"/>
                <w:b/>
                <w:iCs/>
                <w:color w:val="000000" w:themeColor="text1"/>
              </w:rPr>
            </w:pPr>
            <w:r w:rsidRPr="004D0549">
              <w:rPr>
                <w:rFonts w:eastAsia="Times" w:cs="Arial"/>
                <w:b/>
                <w:iCs/>
                <w:color w:val="000000" w:themeColor="text1"/>
              </w:rPr>
              <w:t>AMENAZAS</w:t>
            </w:r>
          </w:p>
        </w:tc>
      </w:tr>
      <w:tr w:rsidR="002406A3" w:rsidRPr="004D0549" w14:paraId="655B32F7" w14:textId="77777777" w:rsidTr="00B249F1">
        <w:trPr>
          <w:jc w:val="center"/>
        </w:trPr>
        <w:tc>
          <w:tcPr>
            <w:tcW w:w="4981" w:type="dxa"/>
            <w:tcBorders>
              <w:top w:val="single" w:sz="4" w:space="0" w:color="FFFFFF" w:themeColor="background1"/>
            </w:tcBorders>
            <w:shd w:val="clear" w:color="auto" w:fill="F2F2F2" w:themeFill="background1" w:themeFillShade="F2"/>
          </w:tcPr>
          <w:p w14:paraId="2129D747" w14:textId="3F1026BA" w:rsidR="00863143" w:rsidRPr="004D0549" w:rsidRDefault="00863143"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Los resultados de las aportaciones del FAFEF en el </w:t>
            </w:r>
            <w:r w:rsidR="00067869" w:rsidRPr="004D0549">
              <w:rPr>
                <w:rFonts w:eastAsia="Calibri" w:cs="Calibri"/>
                <w:color w:val="000000" w:themeColor="text1"/>
              </w:rPr>
              <w:t>E</w:t>
            </w:r>
            <w:r w:rsidRPr="004D0549">
              <w:rPr>
                <w:rFonts w:eastAsia="Calibri" w:cs="Calibri"/>
                <w:color w:val="000000" w:themeColor="text1"/>
              </w:rPr>
              <w:t>stado de Tamaulipas se documentan a través de los indicadores de la MIR federal que son reportados trimestralmente a través del SRFT. Asimismo, a partir del ejercicio 2019 también se da seguimiento a los indicadores de los Pp de la estructura programática estatal a través del SIMIR. La entidad</w:t>
            </w:r>
            <w:r w:rsidR="00744CD7" w:rsidRPr="004D0549">
              <w:rPr>
                <w:rFonts w:eastAsia="Calibri" w:cs="Calibri"/>
                <w:color w:val="000000" w:themeColor="text1"/>
              </w:rPr>
              <w:t xml:space="preserve"> federativa</w:t>
            </w:r>
            <w:r w:rsidRPr="004D0549">
              <w:rPr>
                <w:rFonts w:eastAsia="Calibri" w:cs="Calibri"/>
                <w:color w:val="000000" w:themeColor="text1"/>
              </w:rPr>
              <w:t xml:space="preserve"> también cuenta con evaluaciones externas realizadas en los ejercicios 2014, 2015, 2016 y 2018. Sin embargo, se señala que los indicadores de la MIR federal no resultan de mucha utilidad para su uso específico en </w:t>
            </w:r>
            <w:r w:rsidR="007A098C" w:rsidRPr="004D0549">
              <w:rPr>
                <w:rFonts w:eastAsia="Calibri" w:cs="Calibri"/>
                <w:color w:val="000000" w:themeColor="text1"/>
              </w:rPr>
              <w:t>el Estado</w:t>
            </w:r>
            <w:r w:rsidRPr="004D0549">
              <w:rPr>
                <w:rFonts w:eastAsia="Calibri" w:cs="Calibri"/>
                <w:color w:val="000000" w:themeColor="text1"/>
              </w:rPr>
              <w:t>, ya que no permiten la identificación, caracterización, cuantificación y frecuencia de actualización de la población potencial u objetivo directamente relacionada con el FAFEF y, por lo tanto, los efectos del Fondo en población beneficiaria atendida.</w:t>
            </w:r>
          </w:p>
          <w:p w14:paraId="18BC78DD" w14:textId="6FF982E2" w:rsidR="00863143" w:rsidRPr="004D0549" w:rsidRDefault="00863143"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Los indicadores a través de los cuales se da seguimiento a los resultados del FAFEF en la entidad </w:t>
            </w:r>
            <w:r w:rsidR="0040436B" w:rsidRPr="004D0549">
              <w:rPr>
                <w:rFonts w:eastAsia="Calibri" w:cs="Calibri"/>
                <w:color w:val="000000" w:themeColor="text1"/>
              </w:rPr>
              <w:t xml:space="preserve">federativa </w:t>
            </w:r>
            <w:r w:rsidRPr="004D0549">
              <w:rPr>
                <w:rFonts w:eastAsia="Calibri" w:cs="Calibri"/>
                <w:color w:val="000000" w:themeColor="text1"/>
              </w:rPr>
              <w:t xml:space="preserve">corresponden a la MIR federal, los cuales </w:t>
            </w:r>
            <w:r w:rsidRPr="004D0549">
              <w:rPr>
                <w:rFonts w:eastAsia="Calibri" w:cs="Calibri"/>
                <w:color w:val="000000" w:themeColor="text1"/>
              </w:rPr>
              <w:lastRenderedPageBreak/>
              <w:t>fueron definidos de común acuerdo entre las entidades federativas y la SHCP en el marco de los esquemas de coordinación intergubernamental. Las metas de cada indicador son definidas por el gobierno de la entidad</w:t>
            </w:r>
            <w:r w:rsidR="00283D5C" w:rsidRPr="004D0549">
              <w:rPr>
                <w:rFonts w:eastAsia="Calibri" w:cs="Calibri"/>
                <w:color w:val="000000" w:themeColor="text1"/>
              </w:rPr>
              <w:t xml:space="preserve"> federativa</w:t>
            </w:r>
            <w:r w:rsidRPr="004D0549">
              <w:rPr>
                <w:rFonts w:eastAsia="Calibri" w:cs="Calibri"/>
                <w:color w:val="000000" w:themeColor="text1"/>
              </w:rPr>
              <w:t>, sin embargo, no se identifica los elementos que se consideran en la definición de las mismas. En el ámbito estatal, a partir del ejercicio 2019 se podrá dar seguimiento a los resultados con los indicadores de las MIR de cada Pp que reciba recursos del Fondo los cuales se han construido de acuerdo a lo establecido en los Criterios para implantar la estrategia del PbR en Tamaulipas, así como los Lineamientos MIR para registro de avances en metas y resultados.</w:t>
            </w:r>
          </w:p>
          <w:p w14:paraId="7AD1A5B0" w14:textId="28E6CEA9" w:rsidR="00863143" w:rsidRPr="004D0549" w:rsidRDefault="00863143"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En la entidad</w:t>
            </w:r>
            <w:r w:rsidR="00957C13" w:rsidRPr="004D0549">
              <w:rPr>
                <w:rFonts w:eastAsia="Calibri" w:cs="Calibri"/>
                <w:color w:val="000000" w:themeColor="text1"/>
              </w:rPr>
              <w:t xml:space="preserve"> federativa</w:t>
            </w:r>
            <w:r w:rsidRPr="004D0549">
              <w:rPr>
                <w:rFonts w:eastAsia="Calibri" w:cs="Calibri"/>
                <w:color w:val="000000" w:themeColor="text1"/>
              </w:rPr>
              <w:t>, existe evidencia de que los hallazgos y recomendaciones derivadas de las evaluaciones externas realizadas al FAFEF en los ejercicios 2014, 2015, 2016 y 2018, así como los resultados de las Auditorías Combinadas de Cumplimiento y Desempeño de los recursos del Fondo del 2013 al 2018, han sido elementos a considerar para la toma de decisiones sobre la operación del Fondo.</w:t>
            </w:r>
          </w:p>
          <w:p w14:paraId="4DFA46E7" w14:textId="77777777" w:rsidR="00DE690E" w:rsidRPr="004D0549" w:rsidRDefault="00DE690E"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A partir de 2019 los </w:t>
            </w:r>
            <w:r w:rsidR="00126630" w:rsidRPr="004D0549">
              <w:rPr>
                <w:rFonts w:eastAsia="Calibri" w:cs="Calibri"/>
                <w:color w:val="000000" w:themeColor="text1"/>
              </w:rPr>
              <w:t>Pp que</w:t>
            </w:r>
            <w:r w:rsidRPr="004D0549">
              <w:rPr>
                <w:rFonts w:eastAsia="Calibri" w:cs="Calibri"/>
                <w:color w:val="000000" w:themeColor="text1"/>
              </w:rPr>
              <w:t xml:space="preserve"> reciben recursos del Fondo deben observar la obligatoriedad de determinar su población objetivo, así como la definición de los Titulares de Derecho (beneficiarios) y, como parte del proceso de selección, la instancia responsable de su operación debe recabar información socioeconómica de los posibles beneficiarios.</w:t>
            </w:r>
          </w:p>
          <w:p w14:paraId="0F9B596D" w14:textId="46029D1D" w:rsidR="00B0045E" w:rsidRPr="004D0549" w:rsidRDefault="00B0045E"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La planeación del destino de los recursos del FAFEF corresponde al Grupo de </w:t>
            </w:r>
            <w:r w:rsidR="00680D54" w:rsidRPr="004D0549">
              <w:rPr>
                <w:rFonts w:eastAsia="Calibri" w:cs="Calibri"/>
                <w:color w:val="000000" w:themeColor="text1"/>
              </w:rPr>
              <w:t>Trabajo de</w:t>
            </w:r>
            <w:r w:rsidRPr="004D0549">
              <w:rPr>
                <w:rFonts w:eastAsia="Calibri" w:cs="Calibri"/>
                <w:color w:val="000000" w:themeColor="text1"/>
              </w:rPr>
              <w:t xml:space="preserve"> la Subsecretaría de Egresos, mediante el cual, previo conocimiento del </w:t>
            </w:r>
            <w:r w:rsidR="00680D54" w:rsidRPr="004D0549">
              <w:rPr>
                <w:rFonts w:eastAsia="Calibri" w:cs="Calibri"/>
                <w:color w:val="000000" w:themeColor="text1"/>
              </w:rPr>
              <w:t>monto que</w:t>
            </w:r>
            <w:r w:rsidRPr="004D0549">
              <w:rPr>
                <w:rFonts w:eastAsia="Calibri" w:cs="Calibri"/>
                <w:color w:val="000000" w:themeColor="text1"/>
              </w:rPr>
              <w:t xml:space="preserve"> corresponde a la entidad</w:t>
            </w:r>
            <w:r w:rsidR="004E2576" w:rsidRPr="004D0549">
              <w:rPr>
                <w:rFonts w:eastAsia="Calibri" w:cs="Calibri"/>
                <w:color w:val="000000" w:themeColor="text1"/>
              </w:rPr>
              <w:t xml:space="preserve"> federativa</w:t>
            </w:r>
            <w:r w:rsidRPr="004D0549">
              <w:rPr>
                <w:rFonts w:eastAsia="Calibri" w:cs="Calibri"/>
                <w:color w:val="000000" w:themeColor="text1"/>
              </w:rPr>
              <w:t xml:space="preserve"> en cada ejercicio fiscal </w:t>
            </w:r>
            <w:r w:rsidR="00680D54" w:rsidRPr="004D0549">
              <w:rPr>
                <w:rFonts w:eastAsia="Calibri" w:cs="Calibri"/>
                <w:color w:val="000000" w:themeColor="text1"/>
              </w:rPr>
              <w:t>determina</w:t>
            </w:r>
            <w:r w:rsidRPr="004D0549">
              <w:rPr>
                <w:rFonts w:eastAsia="Calibri" w:cs="Calibri"/>
                <w:color w:val="000000" w:themeColor="text1"/>
              </w:rPr>
              <w:t xml:space="preserve"> los Pp que serán financiados con recursos </w:t>
            </w:r>
            <w:r w:rsidR="00680D54" w:rsidRPr="004D0549">
              <w:rPr>
                <w:rFonts w:eastAsia="Calibri" w:cs="Calibri"/>
                <w:color w:val="000000" w:themeColor="text1"/>
              </w:rPr>
              <w:t>del Fondo</w:t>
            </w:r>
            <w:r w:rsidRPr="004D0549">
              <w:rPr>
                <w:rFonts w:eastAsia="Calibri" w:cs="Calibri"/>
                <w:color w:val="000000" w:themeColor="text1"/>
              </w:rPr>
              <w:t xml:space="preserve"> y se asignan los montos presupuestales a cada Pp.</w:t>
            </w:r>
          </w:p>
          <w:p w14:paraId="3FF2B86F" w14:textId="77777777" w:rsidR="00680D54" w:rsidRPr="004D0549" w:rsidRDefault="00680D54"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Los mecanismos de seguimiento a los resultados presentan áreas de mejora en relación con la elaboración de un Plan Estratégico y un programa de trabajo calendarizado que permita obtener información actualizada.</w:t>
            </w:r>
          </w:p>
          <w:p w14:paraId="58FF46CD" w14:textId="789FE04E" w:rsidR="00DA0B66" w:rsidRPr="004D0549" w:rsidRDefault="00DA0B66"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 xml:space="preserve">La información con que cuenta la </w:t>
            </w:r>
            <w:r w:rsidR="00325A79" w:rsidRPr="004D0549">
              <w:rPr>
                <w:rFonts w:eastAsia="Calibri" w:cs="Calibri"/>
                <w:color w:val="000000" w:themeColor="text1"/>
              </w:rPr>
              <w:t>e</w:t>
            </w:r>
            <w:r w:rsidR="00BC7AC5" w:rsidRPr="004D0549">
              <w:rPr>
                <w:rFonts w:eastAsia="Calibri" w:cs="Calibri"/>
                <w:color w:val="000000" w:themeColor="text1"/>
              </w:rPr>
              <w:t xml:space="preserve">ntidad </w:t>
            </w:r>
            <w:r w:rsidR="00325A79" w:rsidRPr="004D0549">
              <w:rPr>
                <w:rFonts w:eastAsia="Calibri" w:cs="Calibri"/>
                <w:color w:val="000000" w:themeColor="text1"/>
              </w:rPr>
              <w:t>f</w:t>
            </w:r>
            <w:r w:rsidR="00BC7AC5" w:rsidRPr="004D0549">
              <w:rPr>
                <w:rFonts w:eastAsia="Calibri" w:cs="Calibri"/>
                <w:color w:val="000000" w:themeColor="text1"/>
              </w:rPr>
              <w:t>ederativa</w:t>
            </w:r>
            <w:r w:rsidRPr="004D0549">
              <w:rPr>
                <w:rFonts w:eastAsia="Calibri" w:cs="Calibri"/>
                <w:color w:val="000000" w:themeColor="text1"/>
              </w:rPr>
              <w:t xml:space="preserve"> además de los indicadores de la MIR federal reportados a través del SRFT, para monitorear el desempeño del Fondo, es la que se genera a partir de la ejecución de los Pp que reciben recursos del </w:t>
            </w:r>
            <w:r w:rsidRPr="004D0549">
              <w:rPr>
                <w:rFonts w:eastAsia="Calibri" w:cs="Calibri"/>
                <w:color w:val="000000" w:themeColor="text1"/>
              </w:rPr>
              <w:lastRenderedPageBreak/>
              <w:t xml:space="preserve">FAFEF, ya que no existe una MIR específica para el mismo y las páginas de transparencia de la entidad </w:t>
            </w:r>
            <w:r w:rsidR="006735B3" w:rsidRPr="004D0549">
              <w:rPr>
                <w:rFonts w:eastAsia="Calibri" w:cs="Calibri"/>
                <w:color w:val="000000" w:themeColor="text1"/>
              </w:rPr>
              <w:t xml:space="preserve">federativa </w:t>
            </w:r>
            <w:r w:rsidRPr="004D0549">
              <w:rPr>
                <w:rFonts w:eastAsia="Calibri" w:cs="Calibri"/>
                <w:color w:val="000000" w:themeColor="text1"/>
              </w:rPr>
              <w:t>no disponen de un apartado donde se publiquen explícitamente los resultados del Fondo.</w:t>
            </w:r>
          </w:p>
          <w:p w14:paraId="28810BF5" w14:textId="7B868EFD" w:rsidR="00697C46" w:rsidRPr="004D0549" w:rsidRDefault="00697C46" w:rsidP="004D0549">
            <w:pPr>
              <w:pStyle w:val="Prrafodelista"/>
              <w:numPr>
                <w:ilvl w:val="0"/>
                <w:numId w:val="30"/>
              </w:numPr>
              <w:spacing w:before="0"/>
              <w:ind w:left="153" w:hanging="153"/>
              <w:rPr>
                <w:rFonts w:eastAsia="Calibri" w:cs="Calibri"/>
                <w:color w:val="000000" w:themeColor="text1"/>
              </w:rPr>
            </w:pPr>
            <w:r w:rsidRPr="004D0549">
              <w:rPr>
                <w:rFonts w:eastAsia="Calibri" w:cs="Calibri"/>
                <w:color w:val="000000" w:themeColor="text1"/>
              </w:rPr>
              <w:t>No obstante que se han llevado a cabo ejercicios de evaluaciones externas al FAFEF, aún se hace necesario que éstas abunden más en el desempeño obtenido por el Fondo, ya que todas las evaluaciones practicadas han sido del corte metodológico de Consistencia y Resultados y de Desempeño.</w:t>
            </w:r>
          </w:p>
        </w:tc>
        <w:tc>
          <w:tcPr>
            <w:tcW w:w="4800" w:type="dxa"/>
            <w:tcBorders>
              <w:top w:val="single" w:sz="4" w:space="0" w:color="FFFFFF" w:themeColor="background1"/>
            </w:tcBorders>
            <w:shd w:val="clear" w:color="auto" w:fill="F2F2F2" w:themeFill="background1" w:themeFillShade="F2"/>
          </w:tcPr>
          <w:p w14:paraId="1FBD851F" w14:textId="1451A39E" w:rsidR="00846515" w:rsidRPr="004D0549" w:rsidRDefault="00846515" w:rsidP="002E0702">
            <w:pPr>
              <w:pStyle w:val="Prrafodelista"/>
              <w:numPr>
                <w:ilvl w:val="0"/>
                <w:numId w:val="30"/>
              </w:numPr>
              <w:spacing w:before="0" w:after="0"/>
              <w:ind w:left="153" w:hanging="153"/>
              <w:contextualSpacing w:val="0"/>
              <w:rPr>
                <w:rFonts w:eastAsia="Calibri" w:cs="Calibri"/>
                <w:color w:val="000000" w:themeColor="text1"/>
              </w:rPr>
            </w:pPr>
            <w:r w:rsidRPr="004D0549">
              <w:rPr>
                <w:rFonts w:eastAsia="Calibri" w:cs="Calibri"/>
                <w:color w:val="000000" w:themeColor="text1"/>
              </w:rPr>
              <w:lastRenderedPageBreak/>
              <w:t>Eventos catastróficos (como la pandemia provocada por el COVID-19) que podrían disminuir los recursos disponibles para la operación del Fondo mismo y de Pp estatales.</w:t>
            </w:r>
          </w:p>
          <w:p w14:paraId="44A8BD4B" w14:textId="5A20EF71" w:rsidR="00846515" w:rsidRPr="004D0549" w:rsidRDefault="00846515" w:rsidP="002E0702">
            <w:pPr>
              <w:pStyle w:val="Prrafodelista"/>
              <w:numPr>
                <w:ilvl w:val="0"/>
                <w:numId w:val="30"/>
              </w:numPr>
              <w:spacing w:before="0" w:after="0"/>
              <w:ind w:left="153" w:hanging="153"/>
              <w:contextualSpacing w:val="0"/>
              <w:rPr>
                <w:rFonts w:eastAsia="Calibri" w:cs="Calibri"/>
                <w:color w:val="000000" w:themeColor="text1"/>
              </w:rPr>
            </w:pPr>
            <w:r w:rsidRPr="004D0549">
              <w:rPr>
                <w:rFonts w:eastAsia="Calibri" w:cs="Calibri"/>
                <w:color w:val="000000" w:themeColor="text1"/>
              </w:rPr>
              <w:t>Cambios legislativos en materia de federalismo fiscal podrían afectar la operación</w:t>
            </w:r>
            <w:r w:rsidR="00B0045E" w:rsidRPr="004D0549">
              <w:rPr>
                <w:rFonts w:eastAsia="Calibri" w:cs="Calibri"/>
                <w:color w:val="000000" w:themeColor="text1"/>
              </w:rPr>
              <w:t xml:space="preserve"> o la existencia</w:t>
            </w:r>
            <w:r w:rsidRPr="004D0549">
              <w:rPr>
                <w:rFonts w:eastAsia="Calibri" w:cs="Calibri"/>
                <w:color w:val="000000" w:themeColor="text1"/>
              </w:rPr>
              <w:t xml:space="preserve"> del Fondo.</w:t>
            </w:r>
          </w:p>
          <w:p w14:paraId="262144DA" w14:textId="1AFEAF41" w:rsidR="006930D9" w:rsidRPr="004D0549" w:rsidRDefault="006930D9" w:rsidP="00B0045E">
            <w:pPr>
              <w:pStyle w:val="Prrafodelista"/>
              <w:ind w:left="153"/>
              <w:contextualSpacing w:val="0"/>
              <w:rPr>
                <w:rFonts w:eastAsia="Calibri" w:cs="Calibri"/>
                <w:color w:val="000000" w:themeColor="text1"/>
              </w:rPr>
            </w:pPr>
          </w:p>
        </w:tc>
      </w:tr>
    </w:tbl>
    <w:p w14:paraId="5379F88E" w14:textId="77777777" w:rsidR="009B6DE7" w:rsidRDefault="009B6DE7" w:rsidP="009B6DE7">
      <w:pPr>
        <w:pStyle w:val="Prrafodelista"/>
        <w:ind w:left="153"/>
        <w:contextualSpacing w:val="0"/>
        <w:rPr>
          <w:rFonts w:ascii="Calibri" w:eastAsia="Calibri" w:hAnsi="Calibri" w:cs="Calibri"/>
          <w:sz w:val="20"/>
          <w:szCs w:val="20"/>
        </w:rPr>
        <w:sectPr w:rsidR="009B6DE7" w:rsidSect="00A201C4">
          <w:pgSz w:w="12240" w:h="15840" w:code="1"/>
          <w:pgMar w:top="1134" w:right="1134" w:bottom="1134" w:left="1134" w:header="709" w:footer="709" w:gutter="0"/>
          <w:cols w:space="708"/>
          <w:docGrid w:linePitch="360"/>
        </w:sectPr>
      </w:pPr>
    </w:p>
    <w:p w14:paraId="0A7796E2" w14:textId="623F18B9" w:rsidR="00AD05E7" w:rsidRDefault="003B5E62" w:rsidP="005244CC">
      <w:pPr>
        <w:pStyle w:val="Ttulo1"/>
      </w:pPr>
      <w:bookmarkStart w:id="119" w:name="_Toc61633652"/>
      <w:r>
        <w:lastRenderedPageBreak/>
        <w:t>XI</w:t>
      </w:r>
      <w:r w:rsidR="00AD05E7">
        <w:t xml:space="preserve">. Conclusiones y valoración de la pertinencia del </w:t>
      </w:r>
      <w:r w:rsidR="00C12379">
        <w:t>F</w:t>
      </w:r>
      <w:r w:rsidR="00AD05E7">
        <w:t>ondo en la entidad federativa</w:t>
      </w:r>
      <w:bookmarkEnd w:id="119"/>
    </w:p>
    <w:p w14:paraId="37669655" w14:textId="3EB49F5B" w:rsidR="00A67690" w:rsidRDefault="00A67690" w:rsidP="00A67690">
      <w:r w:rsidRPr="00C0759A">
        <w:rPr>
          <w:rFonts w:ascii="Calibri" w:eastAsia="Calibri" w:hAnsi="Calibri" w:cs="Times New Roman"/>
        </w:rPr>
        <w:t>Los recursos federales transferidos al Estado de Tamaulipas por medio del FAFEF, son fundamentales para fortalecer las finanzas estatales al disponer de una fuente de financiamiento para atender sus requerimientos en diversas materias, a través de los Programas presupuestales a los que se destinan parte de estos recursos</w:t>
      </w:r>
      <w:r>
        <w:rPr>
          <w:rFonts w:ascii="Calibri" w:eastAsia="Calibri" w:hAnsi="Calibri" w:cs="Times New Roman"/>
        </w:rPr>
        <w:t xml:space="preserve">. En el </w:t>
      </w:r>
      <w:r w:rsidR="00763A17">
        <w:rPr>
          <w:rFonts w:ascii="Calibri" w:eastAsia="Calibri" w:hAnsi="Calibri" w:cs="Times New Roman"/>
        </w:rPr>
        <w:t>E</w:t>
      </w:r>
      <w:r>
        <w:rPr>
          <w:rFonts w:ascii="Calibri" w:eastAsia="Calibri" w:hAnsi="Calibri" w:cs="Times New Roman"/>
        </w:rPr>
        <w:t>stado de Tamaulipas, en el ejercicio 2018, el Ramo 33 representó un 42% del gasto federalizado ejercido canalizado a la entidad</w:t>
      </w:r>
      <w:r w:rsidR="005F1C92">
        <w:rPr>
          <w:rFonts w:ascii="Calibri" w:eastAsia="Calibri" w:hAnsi="Calibri" w:cs="Times New Roman"/>
        </w:rPr>
        <w:t xml:space="preserve"> federativa</w:t>
      </w:r>
      <w:r>
        <w:rPr>
          <w:rFonts w:ascii="Calibri" w:eastAsia="Calibri" w:hAnsi="Calibri" w:cs="Times New Roman"/>
        </w:rPr>
        <w:t>. El FAFEF representa el 5.10% de las aportaciones federales del Ramo 33.</w:t>
      </w:r>
    </w:p>
    <w:p w14:paraId="75A214F1" w14:textId="1ED9272E" w:rsidR="00A67690" w:rsidRDefault="00A67690" w:rsidP="00A67690">
      <w:r>
        <w:t xml:space="preserve">El FAFEF en el Estado de Tamaulipas ha contribuido al fortalecimiento de las finanzas estatales, logrando durante el periodo 2014-2018 </w:t>
      </w:r>
      <w:r w:rsidRPr="002B3391">
        <w:t>una tasa de crecimiento promedio de 4.75%</w:t>
      </w:r>
      <w:r>
        <w:t>; a est</w:t>
      </w:r>
      <w:r w:rsidR="001371CD">
        <w:t>e Estado</w:t>
      </w:r>
      <w:r w:rsidR="003A167D">
        <w:t xml:space="preserve"> </w:t>
      </w:r>
      <w:r>
        <w:t xml:space="preserve">se le han asignado en este mismo periodo un promedio de 2.67% del </w:t>
      </w:r>
      <w:r w:rsidRPr="002B3391">
        <w:t>presupuesto total del FAFEF a nivel federal</w:t>
      </w:r>
      <w:r>
        <w:t>,</w:t>
      </w:r>
      <w:r w:rsidRPr="00B82E13">
        <w:t xml:space="preserve"> </w:t>
      </w:r>
      <w:r>
        <w:t xml:space="preserve">ubicando a esta entidad </w:t>
      </w:r>
      <w:r w:rsidR="0083225E">
        <w:t xml:space="preserve">federativa </w:t>
      </w:r>
      <w:r>
        <w:t xml:space="preserve">como la número 14 en relación con los montos que recibe de este Fondo y a su vez </w:t>
      </w:r>
      <w:r w:rsidR="0083225E">
        <w:t>est</w:t>
      </w:r>
      <w:r>
        <w:t>os recursos contribuyen con el 2.15% del presupuesto total de la entidad</w:t>
      </w:r>
      <w:r w:rsidR="0083225E">
        <w:t xml:space="preserve"> federativa</w:t>
      </w:r>
      <w:r>
        <w:t xml:space="preserve">. En el periodo 2014-2018, los recursos del FAFEF en la </w:t>
      </w:r>
      <w:r w:rsidR="00325A79">
        <w:t>e</w:t>
      </w:r>
      <w:r w:rsidR="00BC7AC5">
        <w:t xml:space="preserve">ntidad </w:t>
      </w:r>
      <w:r w:rsidR="00325A79">
        <w:t>f</w:t>
      </w:r>
      <w:r w:rsidR="00BC7AC5">
        <w:t>ederativa</w:t>
      </w:r>
      <w:r>
        <w:t xml:space="preserve"> se han destinado esencialmente al saneamiento financiero a través de la amortización de la deuda pública, durante el periodo 2014-2016 el cien por ciento de los recursos del Fondo se han destinado a este rubro, en el que el monto del Fondo ha representado el 93, 87 y 80% del total de las amortizaciones a la deuda pagas en los ejercicios 2014, 2015 y 2016, respectivamente. </w:t>
      </w:r>
    </w:p>
    <w:p w14:paraId="660A5397" w14:textId="13BCDD91" w:rsidR="00A67690" w:rsidRDefault="00A67690" w:rsidP="00A67690">
      <w:r>
        <w:t>A partir del ejercicio 2017 se comienza a diversificar el destino de los recursos del Fondo destinando un 46.65% a la inversión en proyectos de infraestructura física y lo demás al saneamiento financiero, contribuyendo en este ejercicio con un 13.4% del pago total de las amortizaciones a la deuda pública.</w:t>
      </w:r>
    </w:p>
    <w:p w14:paraId="3535B361" w14:textId="77777777" w:rsidR="00A67690" w:rsidRDefault="00A67690" w:rsidP="00A67690">
      <w:r>
        <w:t>Durante 2018, en Tamaulipas, los recursos del Fondo se destinaron para financiar proyectos de Infraestructura física (78.90 %), saneamiento financiero (13.30%), modernización de sistemas de recaudación (4.10%), y para apoyos a la educación (3.70%).</w:t>
      </w:r>
    </w:p>
    <w:p w14:paraId="682F5CD0" w14:textId="0FBA508B" w:rsidR="00A67690" w:rsidRDefault="00A67690" w:rsidP="00A67690">
      <w:r>
        <w:t>Estas cifras dan cuenta de la importancia que reviste el Fondo para el equilibrio de las Finanzas públicas</w:t>
      </w:r>
      <w:r w:rsidR="0083225E">
        <w:t xml:space="preserve"> de Tamaulipas</w:t>
      </w:r>
      <w:r>
        <w:t xml:space="preserve">, ya que, en lo concerniente al saneamiento financiero, representa una importante garantía de pago para el refinanciamiento o reestructuración de la deuda pública. Asimismo, en relación al financiamiento a proyectos de inversión en infraestructura física, en 2018 el FAFEF represento el 36% de los recursos asignados a los 14 proyectos que ejercieron recursos del Fondo; en el rubro de apoyo a la educación el FAFEF contribuyó con el 49% de los recursos ejercidos a través del Programa con mis útiles a la escuela. </w:t>
      </w:r>
    </w:p>
    <w:p w14:paraId="7C0889D3" w14:textId="191DEE47" w:rsidR="00A67690" w:rsidRDefault="00A67690" w:rsidP="00A67690">
      <w:pPr>
        <w:rPr>
          <w:rFonts w:cstheme="minorHAnsi"/>
          <w:bCs/>
        </w:rPr>
      </w:pPr>
      <w:r>
        <w:rPr>
          <w:rFonts w:cstheme="minorHAnsi"/>
          <w:bCs/>
        </w:rPr>
        <w:t>L</w:t>
      </w:r>
      <w:r w:rsidRPr="003E7042">
        <w:rPr>
          <w:rFonts w:cstheme="minorHAnsi"/>
          <w:bCs/>
        </w:rPr>
        <w:t xml:space="preserve">a flexibilidad permitida </w:t>
      </w:r>
      <w:r>
        <w:rPr>
          <w:rFonts w:cstheme="minorHAnsi"/>
          <w:bCs/>
        </w:rPr>
        <w:t xml:space="preserve">en el </w:t>
      </w:r>
      <w:r w:rsidR="00A01B73">
        <w:rPr>
          <w:rFonts w:cstheme="minorHAnsi"/>
          <w:bCs/>
        </w:rPr>
        <w:t>A</w:t>
      </w:r>
      <w:r>
        <w:rPr>
          <w:rFonts w:cstheme="minorHAnsi"/>
          <w:bCs/>
        </w:rPr>
        <w:t>rtículo 47 de la LCF para el uso de los recursos del</w:t>
      </w:r>
      <w:r w:rsidRPr="003E7042">
        <w:rPr>
          <w:rFonts w:cstheme="minorHAnsi"/>
          <w:bCs/>
        </w:rPr>
        <w:t xml:space="preserve"> Fondo </w:t>
      </w:r>
      <w:r>
        <w:rPr>
          <w:rFonts w:cstheme="minorHAnsi"/>
          <w:bCs/>
        </w:rPr>
        <w:t xml:space="preserve">en las entidades federativas, contribuye a que el FAFEF se vea </w:t>
      </w:r>
      <w:r w:rsidRPr="003E7042">
        <w:rPr>
          <w:rFonts w:cstheme="minorHAnsi"/>
          <w:bCs/>
        </w:rPr>
        <w:t xml:space="preserve">como una fuente de financiamiento para hacer frente a necesidades de recursos financieros y no se esté explorando todo su potencial en términos de lo que se podría financiar con los 9 rubros, en acciones más estratégicas de desarrollo </w:t>
      </w:r>
      <w:r w:rsidR="0083225E">
        <w:rPr>
          <w:rFonts w:cstheme="minorHAnsi"/>
          <w:bCs/>
        </w:rPr>
        <w:t>del Estado de Tamaulipas</w:t>
      </w:r>
      <w:r w:rsidRPr="003E7042">
        <w:rPr>
          <w:rFonts w:cstheme="minorHAnsi"/>
          <w:bCs/>
        </w:rPr>
        <w:t xml:space="preserve">. </w:t>
      </w:r>
    </w:p>
    <w:p w14:paraId="6E9C63ED" w14:textId="78C11845" w:rsidR="00A67690" w:rsidRDefault="00A67690" w:rsidP="00A67690">
      <w:pPr>
        <w:rPr>
          <w:rFonts w:cstheme="minorHAnsi"/>
          <w:bCs/>
        </w:rPr>
      </w:pPr>
      <w:r>
        <w:rPr>
          <w:rFonts w:cstheme="minorHAnsi"/>
          <w:bCs/>
        </w:rPr>
        <w:t xml:space="preserve">Considerando la amplitud de los rubros de gasto contemplados en la LCF el </w:t>
      </w:r>
      <w:r w:rsidRPr="003E7042">
        <w:rPr>
          <w:rFonts w:cstheme="minorHAnsi"/>
          <w:bCs/>
        </w:rPr>
        <w:t xml:space="preserve">Fondo debería asumirse como un instrumento de política que, si bien es flexible, tiene la arquitectura para detonar acciones de planeación, programación y presupuestación enfocadas a la obtención de resultados estratégicos. </w:t>
      </w:r>
      <w:r>
        <w:rPr>
          <w:rFonts w:cstheme="minorHAnsi"/>
          <w:bCs/>
        </w:rPr>
        <w:t>Es muy probable que</w:t>
      </w:r>
      <w:r w:rsidRPr="003E7042">
        <w:rPr>
          <w:rFonts w:cstheme="minorHAnsi"/>
          <w:bCs/>
        </w:rPr>
        <w:t xml:space="preserve"> la asignación de recursos esté supeditada a la inercia y el ejercicio histórico y</w:t>
      </w:r>
      <w:r>
        <w:rPr>
          <w:rFonts w:cstheme="minorHAnsi"/>
          <w:bCs/>
        </w:rPr>
        <w:t xml:space="preserve"> </w:t>
      </w:r>
      <w:r w:rsidRPr="003E7042">
        <w:rPr>
          <w:rFonts w:cstheme="minorHAnsi"/>
          <w:bCs/>
        </w:rPr>
        <w:t xml:space="preserve">es </w:t>
      </w:r>
      <w:r w:rsidRPr="009E0E90">
        <w:rPr>
          <w:rFonts w:cstheme="minorHAnsi"/>
          <w:bCs/>
        </w:rPr>
        <w:t>necesario,</w:t>
      </w:r>
      <w:r w:rsidRPr="003E7042">
        <w:rPr>
          <w:rFonts w:cstheme="minorHAnsi"/>
          <w:bCs/>
        </w:rPr>
        <w:t xml:space="preserve"> por </w:t>
      </w:r>
      <w:r>
        <w:rPr>
          <w:rFonts w:cstheme="minorHAnsi"/>
          <w:bCs/>
        </w:rPr>
        <w:t xml:space="preserve">lo </w:t>
      </w:r>
      <w:r w:rsidRPr="003E7042">
        <w:rPr>
          <w:rFonts w:cstheme="minorHAnsi"/>
          <w:bCs/>
        </w:rPr>
        <w:t xml:space="preserve">tanto, </w:t>
      </w:r>
      <w:r>
        <w:rPr>
          <w:rFonts w:cstheme="minorHAnsi"/>
          <w:bCs/>
        </w:rPr>
        <w:t xml:space="preserve">mejorar el </w:t>
      </w:r>
      <w:r w:rsidRPr="003E7042">
        <w:rPr>
          <w:rFonts w:cstheme="minorHAnsi"/>
          <w:bCs/>
        </w:rPr>
        <w:t>diagn</w:t>
      </w:r>
      <w:r>
        <w:rPr>
          <w:rFonts w:cstheme="minorHAnsi"/>
          <w:bCs/>
        </w:rPr>
        <w:t>ó</w:t>
      </w:r>
      <w:r w:rsidRPr="003E7042">
        <w:rPr>
          <w:rFonts w:cstheme="minorHAnsi"/>
          <w:bCs/>
        </w:rPr>
        <w:t xml:space="preserve">stico </w:t>
      </w:r>
      <w:r>
        <w:rPr>
          <w:rFonts w:cstheme="minorHAnsi"/>
          <w:bCs/>
        </w:rPr>
        <w:t xml:space="preserve">que la entidad </w:t>
      </w:r>
      <w:r w:rsidR="00D44D74">
        <w:rPr>
          <w:rFonts w:cstheme="minorHAnsi"/>
          <w:bCs/>
        </w:rPr>
        <w:t xml:space="preserve">federativa </w:t>
      </w:r>
      <w:r>
        <w:rPr>
          <w:rFonts w:cstheme="minorHAnsi"/>
          <w:bCs/>
        </w:rPr>
        <w:t>ha desarrollado para el Fondo</w:t>
      </w:r>
      <w:r w:rsidRPr="003E7042">
        <w:rPr>
          <w:rFonts w:cstheme="minorHAnsi"/>
          <w:bCs/>
        </w:rPr>
        <w:t xml:space="preserve">, </w:t>
      </w:r>
      <w:r>
        <w:rPr>
          <w:rFonts w:cstheme="minorHAnsi"/>
          <w:bCs/>
        </w:rPr>
        <w:t xml:space="preserve">basándose en la </w:t>
      </w:r>
      <w:r w:rsidRPr="003E7042">
        <w:rPr>
          <w:rFonts w:cstheme="minorHAnsi"/>
          <w:bCs/>
        </w:rPr>
        <w:t>M</w:t>
      </w:r>
      <w:r>
        <w:rPr>
          <w:rFonts w:cstheme="minorHAnsi"/>
          <w:bCs/>
        </w:rPr>
        <w:t xml:space="preserve">etodología de </w:t>
      </w:r>
      <w:r w:rsidRPr="003E7042">
        <w:rPr>
          <w:rFonts w:cstheme="minorHAnsi"/>
          <w:bCs/>
        </w:rPr>
        <w:t>M</w:t>
      </w:r>
      <w:r>
        <w:rPr>
          <w:rFonts w:cstheme="minorHAnsi"/>
          <w:bCs/>
        </w:rPr>
        <w:t xml:space="preserve">arco </w:t>
      </w:r>
      <w:r w:rsidRPr="003E7042">
        <w:rPr>
          <w:rFonts w:cstheme="minorHAnsi"/>
          <w:bCs/>
        </w:rPr>
        <w:t>L</w:t>
      </w:r>
      <w:r>
        <w:rPr>
          <w:rFonts w:cstheme="minorHAnsi"/>
          <w:bCs/>
        </w:rPr>
        <w:t xml:space="preserve">ógico. Este diagnóstico debe contemplar el a análisis de las problemáticas que pueden ser atendidas con los recursos del Fondo, en el marco de la LCF. Un diagnóstico preciso, arrojará luz para saber </w:t>
      </w:r>
      <w:r w:rsidRPr="003E7042">
        <w:rPr>
          <w:rFonts w:cstheme="minorHAnsi"/>
          <w:bCs/>
        </w:rPr>
        <w:t xml:space="preserve">si la actual asignación </w:t>
      </w:r>
      <w:r>
        <w:rPr>
          <w:rFonts w:cstheme="minorHAnsi"/>
          <w:bCs/>
        </w:rPr>
        <w:t xml:space="preserve">de recursos </w:t>
      </w:r>
      <w:r w:rsidRPr="003E7042">
        <w:rPr>
          <w:rFonts w:cstheme="minorHAnsi"/>
          <w:bCs/>
        </w:rPr>
        <w:t>por</w:t>
      </w:r>
      <w:r>
        <w:rPr>
          <w:rFonts w:cstheme="minorHAnsi"/>
          <w:bCs/>
        </w:rPr>
        <w:t xml:space="preserve"> cada</w:t>
      </w:r>
      <w:r w:rsidRPr="003E7042">
        <w:rPr>
          <w:rFonts w:cstheme="minorHAnsi"/>
          <w:bCs/>
        </w:rPr>
        <w:t xml:space="preserve"> rubro es adecuada o no, y si lo es, se contaría con elementos de diagnóstico documentados y sistematizados para argumentar esa situación. </w:t>
      </w:r>
    </w:p>
    <w:p w14:paraId="00B27A1B" w14:textId="101D3712" w:rsidR="00A67690" w:rsidRDefault="00A67690" w:rsidP="00A67690">
      <w:pPr>
        <w:rPr>
          <w:rFonts w:cstheme="minorHAnsi"/>
          <w:bCs/>
        </w:rPr>
      </w:pPr>
      <w:r>
        <w:rPr>
          <w:rFonts w:cstheme="minorHAnsi"/>
          <w:bCs/>
        </w:rPr>
        <w:t xml:space="preserve">El FAFEF en </w:t>
      </w:r>
      <w:r w:rsidR="00D44D74">
        <w:rPr>
          <w:rFonts w:cstheme="minorHAnsi"/>
          <w:bCs/>
        </w:rPr>
        <w:t>Tamaulipas</w:t>
      </w:r>
      <w:r>
        <w:rPr>
          <w:rFonts w:cstheme="minorHAnsi"/>
          <w:bCs/>
        </w:rPr>
        <w:t xml:space="preserve"> también carece de u</w:t>
      </w:r>
      <w:r w:rsidRPr="003E7042">
        <w:rPr>
          <w:rFonts w:cstheme="minorHAnsi"/>
          <w:bCs/>
        </w:rPr>
        <w:t>n</w:t>
      </w:r>
      <w:r>
        <w:rPr>
          <w:rFonts w:cstheme="minorHAnsi"/>
          <w:bCs/>
        </w:rPr>
        <w:t xml:space="preserve"> plan</w:t>
      </w:r>
      <w:r w:rsidRPr="003E7042">
        <w:rPr>
          <w:rFonts w:cstheme="minorHAnsi"/>
          <w:bCs/>
        </w:rPr>
        <w:t xml:space="preserve"> estratégico de mediano y largo plazos, que para un instrumento de esta magnitud debe existir, porque además, al ser un Fondo cuya existencia depende de una Ley </w:t>
      </w:r>
      <w:r w:rsidRPr="003E7042">
        <w:rPr>
          <w:rFonts w:cstheme="minorHAnsi"/>
          <w:bCs/>
        </w:rPr>
        <w:lastRenderedPageBreak/>
        <w:t xml:space="preserve">y no de unas reglas de operación anuales, </w:t>
      </w:r>
      <w:r>
        <w:rPr>
          <w:rFonts w:cstheme="minorHAnsi"/>
          <w:bCs/>
        </w:rPr>
        <w:t>se</w:t>
      </w:r>
      <w:r w:rsidRPr="003E7042">
        <w:rPr>
          <w:rFonts w:cstheme="minorHAnsi"/>
          <w:bCs/>
        </w:rPr>
        <w:t xml:space="preserve"> amplía</w:t>
      </w:r>
      <w:r>
        <w:rPr>
          <w:rFonts w:cstheme="minorHAnsi"/>
          <w:bCs/>
        </w:rPr>
        <w:t>n</w:t>
      </w:r>
      <w:r w:rsidRPr="003E7042">
        <w:rPr>
          <w:rFonts w:cstheme="minorHAnsi"/>
          <w:bCs/>
        </w:rPr>
        <w:t xml:space="preserve"> </w:t>
      </w:r>
      <w:r>
        <w:rPr>
          <w:rFonts w:cstheme="minorHAnsi"/>
          <w:bCs/>
        </w:rPr>
        <w:t>las</w:t>
      </w:r>
      <w:r w:rsidRPr="003E7042">
        <w:rPr>
          <w:rFonts w:cstheme="minorHAnsi"/>
          <w:bCs/>
        </w:rPr>
        <w:t xml:space="preserve"> posibilidades de supervivencia a los cambios de gobierno,</w:t>
      </w:r>
      <w:r>
        <w:rPr>
          <w:rFonts w:cstheme="minorHAnsi"/>
          <w:bCs/>
        </w:rPr>
        <w:t xml:space="preserve"> y considerando la fórmula para la distribución de los recursos del FAFEF federal, se puede realizar una proyección, al menos en el mediano plazo, de los probables ingresos de esta fuente. D</w:t>
      </w:r>
      <w:r w:rsidRPr="003E7042">
        <w:rPr>
          <w:rFonts w:cstheme="minorHAnsi"/>
          <w:bCs/>
        </w:rPr>
        <w:t>ebiera por tanto tener un marco de planeación mucho más amplio</w:t>
      </w:r>
      <w:r>
        <w:rPr>
          <w:rFonts w:cstheme="minorHAnsi"/>
          <w:bCs/>
        </w:rPr>
        <w:t xml:space="preserve"> (al menos sexenal)</w:t>
      </w:r>
      <w:r w:rsidRPr="003E7042">
        <w:rPr>
          <w:rFonts w:cstheme="minorHAnsi"/>
          <w:bCs/>
        </w:rPr>
        <w:t xml:space="preserve"> para orientar la asignación anual de recursos y saber en el mediano plazo como podría detonar el desarrollo y los objetivos de la planeación estatal asentados en el PED y programas estratégicos sectoriales.</w:t>
      </w:r>
      <w:r>
        <w:rPr>
          <w:rFonts w:cstheme="minorHAnsi"/>
          <w:bCs/>
        </w:rPr>
        <w:t xml:space="preserve"> Cómo se ha establecido en el documento </w:t>
      </w:r>
      <w:r>
        <w:t>u</w:t>
      </w:r>
      <w:r w:rsidRPr="009A3209">
        <w:t xml:space="preserve">na forma de poder integrar las problemáticas detectadas en los Pp es mediante la elaboración de varias MIR (en cascada) considerando la integralidad, y definiendo el árbol de problemas, el árbol de objetivos, la aportación del Fondo a los objetivos del PED 2016-2022, la identificación, caracterización y cuantificación de la población potencial y objetivo y su frecuencia de actualización, para cada uno de los rubros de gasto permitidos en la LCF que han sido y serán prioritarios en el </w:t>
      </w:r>
      <w:r w:rsidR="00AB5696">
        <w:t>E</w:t>
      </w:r>
      <w:r w:rsidRPr="009A3209">
        <w:t>stado de Tamaulipas.</w:t>
      </w:r>
    </w:p>
    <w:p w14:paraId="5A030CCA" w14:textId="358F1661" w:rsidR="00A67690" w:rsidRDefault="00A67690" w:rsidP="00A67690">
      <w:r>
        <w:rPr>
          <w:rFonts w:cstheme="minorHAnsi"/>
          <w:bCs/>
        </w:rPr>
        <w:t>Analizando al FAFEF con base en las etapas del ciclo presupuestario las etapas de planeación, programación y presupuestación, en la entidad</w:t>
      </w:r>
      <w:r w:rsidR="00D85F83">
        <w:rPr>
          <w:rFonts w:cstheme="minorHAnsi"/>
          <w:bCs/>
        </w:rPr>
        <w:t xml:space="preserve"> federativa</w:t>
      </w:r>
      <w:r>
        <w:rPr>
          <w:rFonts w:cstheme="minorHAnsi"/>
          <w:bCs/>
        </w:rPr>
        <w:t xml:space="preserve">, actualmente se desarrollan mediante las deliberaciones y resoluciones del Grupo de Trabajo de la Subsecretaría de Egresos, dependiente de la Secretaría de Finanzas, el cual con base en el análisis de los resultados de la evaluaciones que se realizan al Fondo, los resultados de auditorías, Plan Estatal de Desarrollo, Ley de ingresos estatal y Presupuesto de Egresos, determina el destino de los recursos, selecciona los Programas presupuestarios de la estructura programática estatal y asigna el presupuesto a cada Pp. Si bien </w:t>
      </w:r>
      <w:r>
        <w:t xml:space="preserve">la creación del Grupo de </w:t>
      </w:r>
      <w:r w:rsidRPr="00714D22">
        <w:t>Trabajo representa una estrategia adecuada para determinar prioridades de gasto en el ejercicio de los recursos del Fondo, lo cual a su vez se documenta en las minutas de reunión de dicho grupo es necesaria la institucionalización de estas etapas, a través de la elaboración del Plan Estratégico, abordado en el párrafo anterior</w:t>
      </w:r>
      <w:r w:rsidR="00621D53" w:rsidRPr="00714D22">
        <w:t>, así como i</w:t>
      </w:r>
      <w:r w:rsidR="00621D53" w:rsidRPr="00714D22">
        <w:rPr>
          <w:rFonts w:ascii="Calibri" w:eastAsia="Calibri" w:hAnsi="Calibri" w:cs="Times New Roman"/>
        </w:rPr>
        <w:t xml:space="preserve">nstitucionalizar el proceso de asignación de recursos del Fondo como parte del proceso de integración del Proyecto de Presupuesto de Egresos de la </w:t>
      </w:r>
      <w:r w:rsidR="00D85F83">
        <w:rPr>
          <w:rFonts w:ascii="Calibri" w:eastAsia="Calibri" w:hAnsi="Calibri" w:cs="Times New Roman"/>
        </w:rPr>
        <w:t>E</w:t>
      </w:r>
      <w:r w:rsidR="00621D53" w:rsidRPr="00714D22">
        <w:rPr>
          <w:rFonts w:ascii="Calibri" w:eastAsia="Calibri" w:hAnsi="Calibri" w:cs="Times New Roman"/>
        </w:rPr>
        <w:t xml:space="preserve">ntidad (PPE), se recomienda señalar en algún anexo o en el propio proyecto de Decreto, los rubros de gasto a los que se orientará el FAFEF conforme a las necesidades más apremiantes de la </w:t>
      </w:r>
      <w:r w:rsidR="00325A79">
        <w:rPr>
          <w:rFonts w:ascii="Calibri" w:eastAsia="Calibri" w:hAnsi="Calibri" w:cs="Times New Roman"/>
        </w:rPr>
        <w:t>e</w:t>
      </w:r>
      <w:r w:rsidR="00621D53" w:rsidRPr="00714D22">
        <w:rPr>
          <w:rFonts w:ascii="Calibri" w:eastAsia="Calibri" w:hAnsi="Calibri" w:cs="Times New Roman"/>
        </w:rPr>
        <w:t>ntidad</w:t>
      </w:r>
      <w:r w:rsidR="00D85F83">
        <w:rPr>
          <w:rFonts w:ascii="Calibri" w:eastAsia="Calibri" w:hAnsi="Calibri" w:cs="Times New Roman"/>
        </w:rPr>
        <w:t xml:space="preserve"> federativa</w:t>
      </w:r>
      <w:r w:rsidR="00621D53" w:rsidRPr="00714D22">
        <w:rPr>
          <w:rFonts w:ascii="Calibri" w:eastAsia="Calibri" w:hAnsi="Calibri" w:cs="Times New Roman"/>
        </w:rPr>
        <w:t>. Lo anterior involucra de manera directa al Congreso del Estado, así como la participación del Grupo de Trabajo, en la decisión de destino de los recursos del Fondo asegurando que estos se destinen efectivamente a las necesidades más apremiantes del Estado</w:t>
      </w:r>
      <w:r w:rsidRPr="00714D22">
        <w:t>.</w:t>
      </w:r>
    </w:p>
    <w:p w14:paraId="420E76F4" w14:textId="77777777" w:rsidR="00A67690" w:rsidRDefault="00A67690" w:rsidP="00A67690">
      <w:r>
        <w:t>Actualmente, para el desarrollo de la fase de ejercicio y control, es la misma Secretaría de Finanzas quien se encarga de la administración de los recursos del Fondo, las instancias ejecutoras se encargan de la contratación o adquisición de las obras o acciones, el seguimiento a la ejecución de las mismas, estas dependencias o entidades ejecutoras del recurso del FAFEF, realizan la captura de la información (recibos de pago y/o traspasos) de las obras que ya se encuentran contratadas para posteriormente ingresar dichos documentos a la DPCH y proceder a la fiscalización y posterior trámite de pago. Asimismo, verifican las erogaciones correspondientes, a través de la consulta de los estados de cuenta bancarios. Estas actividades se enmarcan en los manuales de organización y procedimientos de cada una de las instancias ejecutoras. En lo que respecta al saneamiento financiero estos son ejercidos en su totalidad por la Secretaría de Finanzas de conformidad con los establecido en la Ley de Deuda Pública Estatal y Municipal de Tamaulipas.</w:t>
      </w:r>
    </w:p>
    <w:p w14:paraId="3FF63E37" w14:textId="702EC1F3" w:rsidR="00A67690" w:rsidRDefault="00A67690" w:rsidP="00A67690">
      <w:pPr>
        <w:rPr>
          <w:rFonts w:cstheme="minorHAnsi"/>
          <w:bCs/>
        </w:rPr>
      </w:pPr>
      <w:r>
        <w:t xml:space="preserve">En esta fase se identificó que, si bien existe un marco normativo que regula las distintas actividades que se realizan para el ejercicio de los recursos, estos procesos se encuentran dispersos y no están homologados para el ejercicio del Fondo, esta deficiencia puede atenderse con la </w:t>
      </w:r>
      <w:r w:rsidRPr="00187BCC">
        <w:rPr>
          <w:rFonts w:cstheme="minorHAnsi"/>
          <w:bCs/>
        </w:rPr>
        <w:t>elabora</w:t>
      </w:r>
      <w:r>
        <w:rPr>
          <w:rFonts w:cstheme="minorHAnsi"/>
          <w:bCs/>
        </w:rPr>
        <w:t>ción de</w:t>
      </w:r>
      <w:r w:rsidRPr="00187BCC">
        <w:rPr>
          <w:rFonts w:cstheme="minorHAnsi"/>
          <w:bCs/>
        </w:rPr>
        <w:t xml:space="preserve"> un manual de procedimientos o lineamientos que regulen el funcionamiento del Fondo, en donde se determine un mecanismo para contar con información que permita identificar periódicamente las necesidades que pueden atenderse con recursos del Fondo, las dificultades (oportunidades y amenazas) que enfrenta en la operación cada política pública asociada a los rubros de gasto y el cumplimiento de los objetivos y metas a alcanzar; así como las estrategias para implementarlas y alcance de las mismas, asignar responsables; seguimiento de los procesos y diagramas de flujo. Con ello</w:t>
      </w:r>
      <w:r w:rsidR="002F7B3A">
        <w:rPr>
          <w:rFonts w:cstheme="minorHAnsi"/>
          <w:bCs/>
        </w:rPr>
        <w:t>, el Estado de Tamaulipas,</w:t>
      </w:r>
      <w:r w:rsidRPr="00187BCC">
        <w:rPr>
          <w:rFonts w:cstheme="minorHAnsi"/>
          <w:bCs/>
        </w:rPr>
        <w:t xml:space="preserve"> contará con una guía para la operación de los recursos del FAFEF que actué bajo los mismos criterios</w:t>
      </w:r>
      <w:r>
        <w:rPr>
          <w:rFonts w:cstheme="minorHAnsi"/>
          <w:bCs/>
        </w:rPr>
        <w:t>.</w:t>
      </w:r>
    </w:p>
    <w:p w14:paraId="64BD9A12" w14:textId="7D8EB45D" w:rsidR="00A67690" w:rsidRDefault="00A67690" w:rsidP="00A67690">
      <w:pPr>
        <w:rPr>
          <w:rFonts w:cstheme="minorHAnsi"/>
          <w:bCs/>
        </w:rPr>
      </w:pPr>
      <w:r>
        <w:rPr>
          <w:rFonts w:cstheme="minorHAnsi"/>
          <w:bCs/>
        </w:rPr>
        <w:lastRenderedPageBreak/>
        <w:t>Referente a la etapa de seguimiento</w:t>
      </w:r>
      <w:r w:rsidR="004516E6">
        <w:rPr>
          <w:rFonts w:cstheme="minorHAnsi"/>
          <w:bCs/>
        </w:rPr>
        <w:t xml:space="preserve"> </w:t>
      </w:r>
      <w:r>
        <w:rPr>
          <w:rFonts w:cstheme="minorHAnsi"/>
          <w:bCs/>
        </w:rPr>
        <w:t>desde el ámbito federal</w:t>
      </w:r>
      <w:r w:rsidR="004516E6">
        <w:rPr>
          <w:rFonts w:cstheme="minorHAnsi"/>
          <w:bCs/>
        </w:rPr>
        <w:t>,</w:t>
      </w:r>
      <w:r>
        <w:rPr>
          <w:rFonts w:cstheme="minorHAnsi"/>
          <w:bCs/>
        </w:rPr>
        <w:t xml:space="preserve"> se realiza conforme a lo establecido en el </w:t>
      </w:r>
      <w:r w:rsidRPr="003A7B6D">
        <w:rPr>
          <w:rFonts w:cstheme="minorHAnsi"/>
          <w:bCs/>
        </w:rPr>
        <w:t>Artículo</w:t>
      </w:r>
      <w:r>
        <w:rPr>
          <w:rFonts w:cstheme="minorHAnsi"/>
          <w:bCs/>
        </w:rPr>
        <w:t xml:space="preserve"> 85 de la Ley Federal de Presupuesto y Responsabilidad Hacendaria a través de la aplicación del Sistema de Seguimiento de los Recursos Federales Transferidos</w:t>
      </w:r>
      <w:r>
        <w:t xml:space="preserve"> (SRFT) y comprende la c</w:t>
      </w:r>
      <w:r w:rsidRPr="00D36BDE">
        <w:t xml:space="preserve">aptura trimestral del origen y destino de los </w:t>
      </w:r>
      <w:r>
        <w:t>mismos</w:t>
      </w:r>
      <w:r w:rsidRPr="00D36BDE">
        <w:t xml:space="preserve"> en sus </w:t>
      </w:r>
      <w:r>
        <w:t>cuatro</w:t>
      </w:r>
      <w:r w:rsidRPr="00D36BDE">
        <w:t xml:space="preserve"> módulos (Destino del Gasto, Ejercicio del Gasto, Indicadores y Evaluaciones)</w:t>
      </w:r>
      <w:r>
        <w:t xml:space="preserve">. A través de este sistema las instancias ejecutoras capturan y validan la información del destino, ejercicio del gasto e indicadores, de manera trimestral y la SF es la encargada de validar dicha información. Este proceso obedece los </w:t>
      </w:r>
      <w:r w:rsidRPr="00E47BBF">
        <w:t>Lineamientos para informar sobre los recursos federales transferidos a las entidades federativas, municipios y demarcaciones territoriales del Distrito Federal,</w:t>
      </w:r>
      <w:r>
        <w:t xml:space="preserve"> y sobre todo busca integrar información homologada para monitorear el ejercicio de la totalidad de los Recursos Federales Transferidos, entre ellos el FAFEF. Sin embargo, los indicadores que se reportan a través de este sistema, no siempre permiten a la </w:t>
      </w:r>
      <w:r w:rsidR="00325A79">
        <w:t>e</w:t>
      </w:r>
      <w:r w:rsidR="00BC7AC5">
        <w:t xml:space="preserve">ntidad </w:t>
      </w:r>
      <w:r w:rsidR="00325A79">
        <w:t>f</w:t>
      </w:r>
      <w:r w:rsidR="00BC7AC5">
        <w:t>ederativa</w:t>
      </w:r>
      <w:r>
        <w:t xml:space="preserve"> usarla como insumo en la toma de decisiones específicas sobre los recursos del Fondo. En este contexto a partir del ejercicio 2019 </w:t>
      </w:r>
      <w:r w:rsidRPr="000620B1">
        <w:rPr>
          <w:rFonts w:cstheme="minorHAnsi"/>
        </w:rPr>
        <w:t>en el ámbito estatal, los resultados observados se documentan también a través de los indicadores de desempeño de los Pp que reciben recursos del FAFEF como parte de su presupuesto y que forman parte de la estructura programática estatal, lo cual se reporta a través del SIMIR. Es decir, una vez que se asignan recursos del Fondo a los Pp, cada uno cuenta con indicadores y metas a través de sus MIR/FID, de acuerdo con lo establecido en los Criterios para implantar la estrategia del PbR en Tamaulipas, así como los Lineamientos MIR para registro de avances en metas y resultados</w:t>
      </w:r>
    </w:p>
    <w:p w14:paraId="58CC996D" w14:textId="4865CA3F" w:rsidR="00A67690" w:rsidRDefault="0051413F" w:rsidP="00A67690">
      <w:pPr>
        <w:rPr>
          <w:rFonts w:cstheme="minorHAnsi"/>
          <w:bCs/>
        </w:rPr>
      </w:pPr>
      <w:bookmarkStart w:id="120" w:name="_Hlk53127924"/>
      <w:r>
        <w:rPr>
          <w:rFonts w:cstheme="minorHAnsi"/>
          <w:bCs/>
        </w:rPr>
        <w:t xml:space="preserve">En los concerniente </w:t>
      </w:r>
      <w:r w:rsidR="00A67690">
        <w:rPr>
          <w:rFonts w:cstheme="minorHAnsi"/>
          <w:bCs/>
        </w:rPr>
        <w:t>a las evaluaciones externas, debe señalarse, que, no obstante que se han llevado a cabo tres evaluaciones externas de tipo Consistencia y Resultados al FAFEF en la entidad</w:t>
      </w:r>
      <w:r w:rsidR="002E28E8">
        <w:rPr>
          <w:rFonts w:cstheme="minorHAnsi"/>
          <w:bCs/>
        </w:rPr>
        <w:t xml:space="preserve"> federativa</w:t>
      </w:r>
      <w:r w:rsidR="00A67690">
        <w:rPr>
          <w:rFonts w:cstheme="minorHAnsi"/>
          <w:bCs/>
        </w:rPr>
        <w:t xml:space="preserve"> y una Estratégica sobre Planeación, Programación, Monitoreo y Evolución, aún se hace necesario que éstas abunden más en el desempeño obtenido por el Fondo, ya que todas las evaluaciones practicadas han sido del corte metodológico de Consistencia y Resultados. Para ello se recomienda que se efectúe una evaluación Específica de Desempeño, en donde se analice el FAFEF a través de los Pp que reciben recursos de éste, en donde se determine el origen y destino del financiamiento de los Pp, el comportamiento del presupuesto en el tiempo, se revise el proceso de planificación para el cumplimiento de los objetivos del Fondo y de los Pp, se elabore un reporte sobre los principales resultados de la operación de cada uno de los Pp en términos de eficacia y eficiencia, se obtenga la evolución en el tiempo de la cobertura de los Pp</w:t>
      </w:r>
      <w:r w:rsidR="00826CDE">
        <w:rPr>
          <w:rFonts w:cstheme="minorHAnsi"/>
          <w:bCs/>
        </w:rPr>
        <w:t xml:space="preserve"> </w:t>
      </w:r>
      <w:r w:rsidR="00A67690">
        <w:rPr>
          <w:rFonts w:cstheme="minorHAnsi"/>
          <w:bCs/>
        </w:rPr>
        <w:t>y se elabore el avance y evolución de los indicadores de resultados que se encuentran establecidos en la MIR.</w:t>
      </w:r>
      <w:r w:rsidR="00826CDE">
        <w:rPr>
          <w:rFonts w:cstheme="minorHAnsi"/>
          <w:bCs/>
        </w:rPr>
        <w:t xml:space="preserve"> </w:t>
      </w:r>
    </w:p>
    <w:bookmarkEnd w:id="120"/>
    <w:p w14:paraId="6EBDC168" w14:textId="128A2F4D" w:rsidR="00A67690" w:rsidRDefault="00A67690" w:rsidP="00A67690">
      <w:r>
        <w:t xml:space="preserve">En relación a la complementariedad o coincidencias con otros programas implementados por el gobierno de la </w:t>
      </w:r>
      <w:r w:rsidR="00325A79">
        <w:t>e</w:t>
      </w:r>
      <w:r w:rsidR="00BC7AC5">
        <w:t xml:space="preserve">ntidad </w:t>
      </w:r>
      <w:r w:rsidR="00325A79">
        <w:t>f</w:t>
      </w:r>
      <w:r w:rsidR="00BC7AC5">
        <w:t>ederativa</w:t>
      </w:r>
      <w:r>
        <w:t xml:space="preserve"> se identificó que el FAFEF por su amplio rango de rubros de gasto puede complementarse con otros Fondos del Ramo 33, sobre todo los dirigidos a atender la infraestructura de tipo social, educativa y de servicios urbanos. Las acciones de complementariedad han permitido que los recursos del Fondo sean fortalecidos en aras de brindar mayor atención de las necesidades de la entidad</w:t>
      </w:r>
      <w:r w:rsidR="002E28E8">
        <w:t xml:space="preserve"> federativa</w:t>
      </w:r>
      <w:r>
        <w:t xml:space="preserve">, ya que se ha logrado desarrollar un mayor número de obras y también se ha utilizado el aprendizaje técnico de los Pp con los cuales establece sinergias de apoyo. </w:t>
      </w:r>
    </w:p>
    <w:p w14:paraId="3883845A" w14:textId="77777777" w:rsidR="00111BFB" w:rsidRPr="00111BFB" w:rsidRDefault="00111BFB" w:rsidP="00111BFB"/>
    <w:p w14:paraId="5E1E977A" w14:textId="77777777" w:rsidR="00111BFB" w:rsidRDefault="00111BFB" w:rsidP="006D3FF1">
      <w:pPr>
        <w:sectPr w:rsidR="00111BFB" w:rsidSect="00A201C4">
          <w:pgSz w:w="12240" w:h="15840" w:code="1"/>
          <w:pgMar w:top="1134" w:right="1134" w:bottom="1134" w:left="1134" w:header="709" w:footer="709" w:gutter="0"/>
          <w:cols w:space="708"/>
          <w:docGrid w:linePitch="360"/>
        </w:sectPr>
      </w:pPr>
    </w:p>
    <w:p w14:paraId="36FD28F0" w14:textId="2429D3A8" w:rsidR="00237C08" w:rsidRDefault="003B5E62" w:rsidP="007F7C75">
      <w:pPr>
        <w:pStyle w:val="Ttulo1"/>
        <w:ind w:left="360"/>
      </w:pPr>
      <w:bookmarkStart w:id="121" w:name="_Toc61633653"/>
      <w:r>
        <w:lastRenderedPageBreak/>
        <w:t>X</w:t>
      </w:r>
      <w:r w:rsidR="00AD05E7">
        <w:t xml:space="preserve">II. </w:t>
      </w:r>
      <w:r w:rsidR="00237C08" w:rsidRPr="004A18C8">
        <w:t>Bibliografía</w:t>
      </w:r>
      <w:bookmarkStart w:id="122" w:name="_Hlk53577102"/>
      <w:bookmarkEnd w:id="117"/>
      <w:bookmarkEnd w:id="121"/>
    </w:p>
    <w:p w14:paraId="63CDBEE3" w14:textId="77777777" w:rsidR="00BC288A" w:rsidRPr="00D76A52" w:rsidRDefault="00BC288A" w:rsidP="00CC3866">
      <w:pPr>
        <w:pStyle w:val="Prrafodelista"/>
        <w:numPr>
          <w:ilvl w:val="0"/>
          <w:numId w:val="37"/>
        </w:numPr>
        <w:contextualSpacing w:val="0"/>
      </w:pPr>
      <w:bookmarkStart w:id="123" w:name="_Hlk53597823"/>
      <w:bookmarkEnd w:id="122"/>
      <w:r w:rsidRPr="00D75CC0">
        <w:rPr>
          <w:rFonts w:eastAsia="Times New Roman" w:cs="Times New Roman"/>
          <w:lang w:eastAsia="es-MX"/>
        </w:rPr>
        <w:t>Auditoría Superior de la Federación (ASF)</w:t>
      </w:r>
      <w:r>
        <w:rPr>
          <w:rFonts w:eastAsia="Times New Roman" w:cs="Times New Roman"/>
          <w:lang w:eastAsia="es-MX"/>
        </w:rPr>
        <w:t xml:space="preserve">. 2018. </w:t>
      </w:r>
      <w:r>
        <w:t>Auditoría Combinada de Cumplimiento y Desempeño: 2018-A-28000-21-1410-2019 1410-DS-GF. Recuperado de</w:t>
      </w:r>
      <w:r>
        <w:rPr>
          <w:rFonts w:eastAsia="Times New Roman" w:cs="Times New Roman"/>
          <w:lang w:eastAsia="es-MX"/>
        </w:rPr>
        <w:t xml:space="preserve"> </w:t>
      </w:r>
      <w:hyperlink r:id="rId22" w:history="1">
        <w:r w:rsidRPr="005E0CC0">
          <w:rPr>
            <w:rStyle w:val="Hipervnculo"/>
            <w:rFonts w:eastAsia="Times New Roman" w:cs="Times New Roman"/>
            <w:lang w:eastAsia="es-MX"/>
          </w:rPr>
          <w:t>https://www.asf.gob.mx/Trans/Informes/IR2018a/Documentos/Auditorias/2018_1410_a.pdf</w:t>
        </w:r>
      </w:hyperlink>
      <w:r>
        <w:rPr>
          <w:rFonts w:eastAsia="Times New Roman" w:cs="Times New Roman"/>
          <w:lang w:eastAsia="es-MX"/>
        </w:rPr>
        <w:t>.</w:t>
      </w:r>
    </w:p>
    <w:p w14:paraId="6720E773" w14:textId="77777777" w:rsidR="00BC288A" w:rsidRPr="006351BF" w:rsidRDefault="00BC288A" w:rsidP="00CC3866">
      <w:pPr>
        <w:pStyle w:val="Prrafodelista"/>
        <w:numPr>
          <w:ilvl w:val="0"/>
          <w:numId w:val="37"/>
        </w:numPr>
        <w:contextualSpacing w:val="0"/>
      </w:pPr>
      <w:r w:rsidRPr="006351BF">
        <w:t>CONEVAL, Metodologías de evaluación de los fondos que integran el ramo general 33</w:t>
      </w:r>
    </w:p>
    <w:p w14:paraId="745C1093" w14:textId="77777777" w:rsidR="00BC288A" w:rsidRPr="006351BF" w:rsidRDefault="00BC288A" w:rsidP="00CC3866">
      <w:pPr>
        <w:pStyle w:val="Prrafodelista"/>
        <w:numPr>
          <w:ilvl w:val="0"/>
          <w:numId w:val="37"/>
        </w:numPr>
        <w:contextualSpacing w:val="0"/>
      </w:pPr>
      <w:r w:rsidRPr="006351BF">
        <w:t>CONEVAL. Términos de Referencia de la Evaluación de Consistencia y Resultados. Enero de 2018.</w:t>
      </w:r>
    </w:p>
    <w:p w14:paraId="0AF4C387" w14:textId="77777777" w:rsidR="00BC288A" w:rsidRDefault="00BC288A" w:rsidP="00CC3866">
      <w:pPr>
        <w:pStyle w:val="Prrafodelista"/>
        <w:numPr>
          <w:ilvl w:val="0"/>
          <w:numId w:val="37"/>
        </w:numPr>
        <w:contextualSpacing w:val="0"/>
      </w:pPr>
      <w:r w:rsidRPr="009659FD">
        <w:t>Diario Oficial de la Federación</w:t>
      </w:r>
      <w:r w:rsidRPr="00FE0978">
        <w:t xml:space="preserve"> </w:t>
      </w:r>
      <w:r>
        <w:t>(</w:t>
      </w:r>
      <w:r w:rsidRPr="00FE0978">
        <w:t>DOF</w:t>
      </w:r>
      <w:r>
        <w:t xml:space="preserve">). </w:t>
      </w:r>
      <w:r w:rsidRPr="00D76A52">
        <w:t>ACUERDO por el que se da a conocer a los Gobiernos de las Entidades Federativas la Distribución y Calendarización para la Ministración durante el Ejercicio Fiscal 2014, de los Recursos Correspondientes a los Ramos Generales 28 Participaciones a Entidades Federativas y Municipios, y 33 Aportaciones Federales para Entidades Federativas y Municipios.</w:t>
      </w:r>
      <w:r>
        <w:t xml:space="preserve"> Recuperado de: </w:t>
      </w:r>
      <w:hyperlink r:id="rId23" w:history="1">
        <w:r w:rsidRPr="005E0CC0">
          <w:rPr>
            <w:rStyle w:val="Hipervnculo"/>
          </w:rPr>
          <w:t>https://www.dof.gob.mx/nota_detalle.php?codigo=5327835&amp;fecha=24/12/2013</w:t>
        </w:r>
      </w:hyperlink>
    </w:p>
    <w:p w14:paraId="6AFDC9B6" w14:textId="77777777" w:rsidR="00BC288A" w:rsidRDefault="00BC288A" w:rsidP="00CC3866">
      <w:pPr>
        <w:pStyle w:val="Prrafodelista"/>
        <w:numPr>
          <w:ilvl w:val="0"/>
          <w:numId w:val="37"/>
        </w:numPr>
        <w:contextualSpacing w:val="0"/>
      </w:pPr>
      <w:r w:rsidRPr="009659FD">
        <w:t>Diario Oficial de la Federación</w:t>
      </w:r>
      <w:r w:rsidRPr="00FE0978">
        <w:t xml:space="preserve"> </w:t>
      </w:r>
      <w:r>
        <w:t>(</w:t>
      </w:r>
      <w:r w:rsidRPr="00FE0978">
        <w:t>DOF</w:t>
      </w:r>
      <w:r>
        <w:t>)</w:t>
      </w:r>
      <w:r w:rsidRPr="00FE0978">
        <w:t xml:space="preserve">. </w:t>
      </w:r>
      <w:r w:rsidRPr="00D86221">
        <w:t>ACUERDO por el que se da a conocer a los gobiernos de las entidades federativas la distribución y calendarización para la ministración durante el ejercicio fiscal 2015, de los recursos correspondientes a los Ramos Generales 28 Participaciones a Entidades Federativas y Municipios, y 33 Aportaciones Federales para Entidades Federativas y Municipios.</w:t>
      </w:r>
      <w:r>
        <w:t xml:space="preserve"> Recuperado de: </w:t>
      </w:r>
      <w:hyperlink r:id="rId24" w:history="1">
        <w:r w:rsidRPr="005E0CC0">
          <w:rPr>
            <w:rStyle w:val="Hipervnculo"/>
          </w:rPr>
          <w:t>http://www.dof.gob.mx/nota_detalle.php?codigo=5376981&amp;fecha=23/12/2014</w:t>
        </w:r>
      </w:hyperlink>
    </w:p>
    <w:p w14:paraId="253049BF" w14:textId="77777777" w:rsidR="00BC288A" w:rsidRDefault="00BC288A" w:rsidP="00CC3866">
      <w:pPr>
        <w:pStyle w:val="Prrafodelista"/>
        <w:numPr>
          <w:ilvl w:val="0"/>
          <w:numId w:val="37"/>
        </w:numPr>
        <w:contextualSpacing w:val="0"/>
      </w:pPr>
      <w:r w:rsidRPr="009659FD">
        <w:t>Diario Oficial de la Federación</w:t>
      </w:r>
      <w:r w:rsidRPr="00FE0978">
        <w:t xml:space="preserve"> </w:t>
      </w:r>
      <w:r>
        <w:t>(</w:t>
      </w:r>
      <w:r w:rsidRPr="00FE0978">
        <w:t>DOF</w:t>
      </w:r>
      <w:r>
        <w:t>)</w:t>
      </w:r>
      <w:r w:rsidRPr="00FE0978">
        <w:t xml:space="preserve">. </w:t>
      </w:r>
      <w:r w:rsidRPr="00525FB4">
        <w:t>ACUERDO por el que se da a conocer a los gobiernos de las entidades federativas la distribución y calendarización para la ministración durante el ejercicio fiscal 2016, de los recursos correspondientes a los Ramos Generales 28 Participaciones a Entidades Federativas y Municipios, y 33 Aportaciones Federales para Entidades Federativas y Municipios</w:t>
      </w:r>
      <w:r w:rsidRPr="00D86221">
        <w:t>.</w:t>
      </w:r>
      <w:r>
        <w:t xml:space="preserve"> Recuperado de: </w:t>
      </w:r>
      <w:hyperlink r:id="rId25" w:history="1">
        <w:r w:rsidRPr="005E0CC0">
          <w:rPr>
            <w:rStyle w:val="Hipervnculo"/>
          </w:rPr>
          <w:t>http://dof.gob.mx/nota_detalle.php?codigo=5420652&amp;fecha=18/12/2015</w:t>
        </w:r>
      </w:hyperlink>
      <w:r>
        <w:t>.</w:t>
      </w:r>
    </w:p>
    <w:p w14:paraId="4889FD54" w14:textId="77777777" w:rsidR="00BC288A" w:rsidRDefault="00BC288A" w:rsidP="00CC3866">
      <w:pPr>
        <w:pStyle w:val="Prrafodelista"/>
        <w:numPr>
          <w:ilvl w:val="0"/>
          <w:numId w:val="37"/>
        </w:numPr>
        <w:contextualSpacing w:val="0"/>
      </w:pPr>
      <w:r w:rsidRPr="009659FD">
        <w:t>Diario Oficial de la Federación</w:t>
      </w:r>
      <w:r w:rsidRPr="00FE0978">
        <w:t xml:space="preserve"> </w:t>
      </w:r>
      <w:r>
        <w:t>(</w:t>
      </w:r>
      <w:r w:rsidRPr="00FE0978">
        <w:t>DOF</w:t>
      </w:r>
      <w:r>
        <w:t>).</w:t>
      </w:r>
      <w:r w:rsidRPr="00525FB4">
        <w:t xml:space="preserve"> ACUERDO por el que se da a conocer a los Gobiernos de las Entidades Federativas la Distribución y Calendarización para la Ministración durante el Ejercicio Fiscal 2017, de los Recursos Correspondientes a los Ramos Generales 28 Participaciones a Entidades Federativas y Municipios, y 33 Aportaciones Federales para Entidades Federativas y Municipios.</w:t>
      </w:r>
      <w:r>
        <w:t xml:space="preserve"> Recuperado de: </w:t>
      </w:r>
      <w:hyperlink r:id="rId26" w:history="1">
        <w:r w:rsidRPr="005E0CC0">
          <w:rPr>
            <w:rStyle w:val="Hipervnculo"/>
          </w:rPr>
          <w:t>http://www.dof.gob.mx/nota_detalle.php?codigo=5466319&amp;fecha=21/12/2016</w:t>
        </w:r>
      </w:hyperlink>
    </w:p>
    <w:p w14:paraId="70C84A4B" w14:textId="77777777" w:rsidR="00BC288A" w:rsidRDefault="00BC288A" w:rsidP="00CC3866">
      <w:pPr>
        <w:pStyle w:val="Prrafodelista"/>
        <w:numPr>
          <w:ilvl w:val="0"/>
          <w:numId w:val="37"/>
        </w:numPr>
        <w:contextualSpacing w:val="0"/>
      </w:pPr>
      <w:r w:rsidRPr="009659FD">
        <w:t>Diario Oficial de la Federación</w:t>
      </w:r>
      <w:r w:rsidRPr="00FE0978">
        <w:t xml:space="preserve"> </w:t>
      </w:r>
      <w:r>
        <w:t>(</w:t>
      </w:r>
      <w:r w:rsidRPr="00FE0978">
        <w:t>DOF</w:t>
      </w:r>
      <w:r>
        <w:t>).</w:t>
      </w:r>
      <w:r w:rsidRPr="00761AE7">
        <w:t xml:space="preserve"> ACUERDO por el que se da a conocer a los Gobiernos de las Entidades Federativas la Distribución y Calendarización para la Ministración durante el Ejercicio Fiscal 2018, de los Recursos Correspondientes a los Ramos Generales 28 Participaciones a Entidades Federativas y Municipios, y 33 Aportaciones Federales para Entidades Federativas y Municipios.</w:t>
      </w:r>
      <w:r>
        <w:t xml:space="preserve"> Recuperado de: </w:t>
      </w:r>
      <w:hyperlink r:id="rId27" w:history="1">
        <w:r w:rsidRPr="005E0CC0">
          <w:rPr>
            <w:rStyle w:val="Hipervnculo"/>
          </w:rPr>
          <w:t>https://www.dof.gob.mx/nota_detalle.php?codigo=5508435&amp;fecha=20/12/2017</w:t>
        </w:r>
      </w:hyperlink>
      <w:r>
        <w:t>.</w:t>
      </w:r>
    </w:p>
    <w:p w14:paraId="4ED703B9" w14:textId="76E91A9E" w:rsidR="00BC288A" w:rsidRDefault="00BC288A" w:rsidP="00CC3866">
      <w:pPr>
        <w:pStyle w:val="Prrafodelista"/>
        <w:numPr>
          <w:ilvl w:val="0"/>
          <w:numId w:val="37"/>
        </w:numPr>
        <w:contextualSpacing w:val="0"/>
      </w:pPr>
      <w:r w:rsidRPr="009659FD">
        <w:t>Diario Oficial de la Federación (DOF). LINEAMIENTOS para informar sobre los recursos federales transferidos a las entidades federativas, municipios y demarcaciones territoriales del Distrito Federal, y de operación de los recursos del Ramo General 33. 25 de abril del 2013.</w:t>
      </w:r>
      <w:r w:rsidR="00826CDE">
        <w:t xml:space="preserve"> </w:t>
      </w:r>
      <w:r>
        <w:t xml:space="preserve">Recuperado de: </w:t>
      </w:r>
      <w:hyperlink r:id="rId28" w:history="1">
        <w:r w:rsidRPr="005E0CC0">
          <w:rPr>
            <w:rStyle w:val="Hipervnculo"/>
          </w:rPr>
          <w:t>https://dof.gob.mx/nota_detalle.php?codigo=5297066&amp;fecha=25/04/2013</w:t>
        </w:r>
      </w:hyperlink>
      <w:r>
        <w:t>.</w:t>
      </w:r>
    </w:p>
    <w:p w14:paraId="29B6C060" w14:textId="77777777" w:rsidR="00BC288A" w:rsidRDefault="00BC288A" w:rsidP="00CC3866">
      <w:pPr>
        <w:pStyle w:val="Prrafodelista"/>
        <w:numPr>
          <w:ilvl w:val="0"/>
          <w:numId w:val="37"/>
        </w:numPr>
        <w:contextualSpacing w:val="0"/>
      </w:pPr>
      <w:r>
        <w:t xml:space="preserve">Gobierno del Estado de Tamaulipas. </w:t>
      </w:r>
      <w:r w:rsidRPr="003F3C2F">
        <w:t>Ejercicio y destino de los recursos federales (sfu) histórico</w:t>
      </w:r>
      <w:r>
        <w:t xml:space="preserve">. Disponible para su consulta </w:t>
      </w:r>
      <w:proofErr w:type="gramStart"/>
      <w:r>
        <w:t>en :</w:t>
      </w:r>
      <w:proofErr w:type="gramEnd"/>
      <w:r>
        <w:t xml:space="preserve"> </w:t>
      </w:r>
      <w:hyperlink r:id="rId29" w:history="1">
        <w:r w:rsidRPr="005E0CC0">
          <w:rPr>
            <w:rStyle w:val="Hipervnculo"/>
          </w:rPr>
          <w:t>https://transparencia.tamaulipas.gob.mx/informacion-publica/tema/recursos-federales/ejercicio-y-destino-de-los-recursos-federales-sfu-historico/</w:t>
        </w:r>
      </w:hyperlink>
    </w:p>
    <w:p w14:paraId="62FEF97E" w14:textId="77777777" w:rsidR="00BC288A" w:rsidRDefault="00BC288A" w:rsidP="00CC3866">
      <w:pPr>
        <w:pStyle w:val="Prrafodelista"/>
        <w:numPr>
          <w:ilvl w:val="0"/>
          <w:numId w:val="37"/>
        </w:numPr>
        <w:contextualSpacing w:val="0"/>
      </w:pPr>
      <w:r>
        <w:t xml:space="preserve">Gobierno del Estado de Tamaulipas. </w:t>
      </w:r>
      <w:r w:rsidRPr="00052424">
        <w:t>Información histórica de las obligaciones pagadas o garantizadas con fondos federales</w:t>
      </w:r>
      <w:r>
        <w:t xml:space="preserve">. Recuperado de: </w:t>
      </w:r>
      <w:hyperlink r:id="rId30" w:history="1">
        <w:r w:rsidRPr="005E0CC0">
          <w:rPr>
            <w:rStyle w:val="Hipervnculo"/>
          </w:rPr>
          <w:t>https://transparencia.tamaulipas.gob.mx/armonizacion_contable/obligaciones_f_f/info2013/</w:t>
        </w:r>
      </w:hyperlink>
      <w:r>
        <w:t>.</w:t>
      </w:r>
    </w:p>
    <w:p w14:paraId="6AB62FB6" w14:textId="77777777" w:rsidR="00BC288A" w:rsidRDefault="00BC288A" w:rsidP="00CC3866">
      <w:pPr>
        <w:pStyle w:val="Prrafodelista"/>
        <w:numPr>
          <w:ilvl w:val="0"/>
          <w:numId w:val="37"/>
        </w:numPr>
        <w:contextualSpacing w:val="0"/>
      </w:pPr>
      <w:r>
        <w:lastRenderedPageBreak/>
        <w:t xml:space="preserve">Gobierno del Estado de Tamaulipas. Prontuario de Manuales. Disponible para su consulta en: </w:t>
      </w:r>
      <w:hyperlink r:id="rId31" w:history="1">
        <w:r w:rsidRPr="005E0CC0">
          <w:rPr>
            <w:rStyle w:val="Hipervnculo"/>
          </w:rPr>
          <w:t>https://transparencia.tamaulipas.gob.mx/prontuario/estatal/manuales/</w:t>
        </w:r>
      </w:hyperlink>
      <w:r>
        <w:t>.</w:t>
      </w:r>
    </w:p>
    <w:p w14:paraId="6A514A42" w14:textId="41990882" w:rsidR="00BC288A" w:rsidRDefault="00BC288A" w:rsidP="00CC3866">
      <w:pPr>
        <w:pStyle w:val="Prrafodelista"/>
        <w:numPr>
          <w:ilvl w:val="0"/>
          <w:numId w:val="37"/>
        </w:numPr>
        <w:contextualSpacing w:val="0"/>
      </w:pPr>
      <w:r w:rsidRPr="00052424">
        <w:t>ILPES-CEPAL. 2011. Formulación de Programas con la Metodología del Marco Lógico</w:t>
      </w:r>
      <w:r w:rsidR="00826CDE">
        <w:t xml:space="preserve"> </w:t>
      </w:r>
      <w:r>
        <w:t xml:space="preserve">Recuperado de: </w:t>
      </w:r>
      <w:hyperlink r:id="rId32" w:history="1">
        <w:r w:rsidRPr="005E0CC0">
          <w:rPr>
            <w:rStyle w:val="Hipervnculo"/>
          </w:rPr>
          <w:t>https://repositorio.cepal.org/bitstream/handle/11362/5507/1/S1100211_es.pdf</w:t>
        </w:r>
      </w:hyperlink>
      <w:r>
        <w:t>.</w:t>
      </w:r>
    </w:p>
    <w:p w14:paraId="4B9AAA74" w14:textId="77777777" w:rsidR="00BC288A" w:rsidRDefault="00BC288A" w:rsidP="00CC3866">
      <w:pPr>
        <w:pStyle w:val="Prrafodelista"/>
        <w:numPr>
          <w:ilvl w:val="0"/>
          <w:numId w:val="37"/>
        </w:numPr>
        <w:contextualSpacing w:val="0"/>
      </w:pPr>
      <w:r>
        <w:t xml:space="preserve">INAFED. </w:t>
      </w:r>
      <w:r w:rsidRPr="009659FD">
        <w:t>Instituto Nacional para el Federalismo y el Desarrollo Municipal</w:t>
      </w:r>
      <w:r>
        <w:t xml:space="preserve">. </w:t>
      </w:r>
      <w:r w:rsidRPr="009659FD">
        <w:t>¿Qué es la Recaudación Federal Participable?</w:t>
      </w:r>
      <w:r>
        <w:t xml:space="preserve"> Recuperado de </w:t>
      </w:r>
      <w:hyperlink r:id="rId33" w:history="1">
        <w:r w:rsidRPr="005E0CC0">
          <w:rPr>
            <w:rStyle w:val="Hipervnculo"/>
          </w:rPr>
          <w:t>https://www.gob.mx/inafed/articulos/que-es-la-recaudacion-federal-participable-rfp</w:t>
        </w:r>
      </w:hyperlink>
      <w:r>
        <w:t>.</w:t>
      </w:r>
    </w:p>
    <w:p w14:paraId="078A143D" w14:textId="77777777" w:rsidR="00BC288A" w:rsidRDefault="00BC288A" w:rsidP="00CC3866">
      <w:pPr>
        <w:pStyle w:val="Prrafodelista"/>
        <w:numPr>
          <w:ilvl w:val="0"/>
          <w:numId w:val="37"/>
        </w:numPr>
        <w:contextualSpacing w:val="0"/>
      </w:pPr>
      <w:r w:rsidRPr="006A2406">
        <w:rPr>
          <w:rFonts w:eastAsia="Times New Roman" w:cs="Times New Roman"/>
          <w:lang w:eastAsia="es-MX"/>
        </w:rPr>
        <w:t>Ley</w:t>
      </w:r>
      <w:r w:rsidRPr="006A2406">
        <w:t xml:space="preserve"> de Coordinación Fiscal. Publicada en el Diario Oficial de la Federación, del 27 de diciembre de 1978 (última reforma del 30 de enero del 2018). Recuperado de </w:t>
      </w:r>
      <w:hyperlink r:id="rId34" w:history="1">
        <w:r w:rsidRPr="005E0CC0">
          <w:rPr>
            <w:rStyle w:val="Hipervnculo"/>
          </w:rPr>
          <w:t>http://www.diputados.gob.mx/LeyesBiblio/pdf/31_300118.pdf</w:t>
        </w:r>
      </w:hyperlink>
      <w:r>
        <w:t>.</w:t>
      </w:r>
    </w:p>
    <w:p w14:paraId="57371172" w14:textId="77777777" w:rsidR="00BC288A" w:rsidRDefault="00BC288A" w:rsidP="00CC3866">
      <w:pPr>
        <w:pStyle w:val="Prrafodelista"/>
        <w:numPr>
          <w:ilvl w:val="0"/>
          <w:numId w:val="37"/>
        </w:numPr>
        <w:contextualSpacing w:val="0"/>
      </w:pPr>
      <w:r>
        <w:t xml:space="preserve">Periódico Oficial del Gobierno del Estado de Tamaulipas. ACUERDO por el que se emite el Mecanismo de Seguimiento a los Aspectos Susceptibles de Mejora derivados de las Evaluaciones del Desempeño a Programas Presupuestarios. Recuperado de: </w:t>
      </w:r>
      <w:hyperlink r:id="rId35" w:history="1">
        <w:r w:rsidRPr="005E0CC0">
          <w:rPr>
            <w:rStyle w:val="Hipervnculo"/>
          </w:rPr>
          <w:t>http://po.tamaulipas.gob.mx/wp-content/uploads/2018/12/cxliii-150-131218F-ANEXO.pdf</w:t>
        </w:r>
      </w:hyperlink>
      <w:r>
        <w:t>.</w:t>
      </w:r>
    </w:p>
    <w:p w14:paraId="76A51F79" w14:textId="77777777" w:rsidR="00BC288A" w:rsidRDefault="00BC288A" w:rsidP="00CC3866">
      <w:pPr>
        <w:pStyle w:val="Prrafodelista"/>
        <w:numPr>
          <w:ilvl w:val="0"/>
          <w:numId w:val="37"/>
        </w:numPr>
        <w:contextualSpacing w:val="0"/>
      </w:pPr>
      <w:r>
        <w:t xml:space="preserve">Periódico Oficial del Gobierno del Estado de Tamaulipas. Ley de Deuda Pública Estatal y Municipal de Tamaulipas. Promulgada el 22 de diciembre de 1995, última reforma 20 de septiembre de 2016. Recuperada de: </w:t>
      </w:r>
      <w:hyperlink r:id="rId36" w:history="1">
        <w:r w:rsidRPr="005E0CC0">
          <w:rPr>
            <w:rStyle w:val="Hipervnculo"/>
          </w:rPr>
          <w:t>http://po.tamaulipas.gob.mx/wp-content/uploads/2016/09/Ley_Deuda_Publica.pdf</w:t>
        </w:r>
      </w:hyperlink>
      <w:r>
        <w:t>.</w:t>
      </w:r>
    </w:p>
    <w:p w14:paraId="37B555BA" w14:textId="77777777" w:rsidR="00BC288A" w:rsidRDefault="00BC288A" w:rsidP="00CC3866">
      <w:pPr>
        <w:pStyle w:val="Prrafodelista"/>
        <w:numPr>
          <w:ilvl w:val="0"/>
          <w:numId w:val="37"/>
        </w:numPr>
        <w:contextualSpacing w:val="0"/>
      </w:pPr>
      <w:r>
        <w:t xml:space="preserve">Periódico Oficial del Gobierno del Estado de Tamaulipas. LINEAMIENTOS Generales para la elaboración de Reglas de Operación de los Programas Presupuestarios y Modificaciones a las ya existentes. Recuperado de: </w:t>
      </w:r>
      <w:hyperlink r:id="rId37" w:history="1">
        <w:r w:rsidRPr="005E0CC0">
          <w:rPr>
            <w:rStyle w:val="Hipervnculo"/>
          </w:rPr>
          <w:t>http://po.tamaulipas.gob.mx/wp-content/uploads/2018/11/cxliii-Ext.No_.12-291018F.pdf</w:t>
        </w:r>
      </w:hyperlink>
      <w:r>
        <w:t>.</w:t>
      </w:r>
    </w:p>
    <w:p w14:paraId="42A68248" w14:textId="77777777" w:rsidR="00BC288A" w:rsidRDefault="00BC288A" w:rsidP="00CC3866">
      <w:pPr>
        <w:pStyle w:val="Prrafodelista"/>
        <w:numPr>
          <w:ilvl w:val="0"/>
          <w:numId w:val="37"/>
        </w:numPr>
        <w:contextualSpacing w:val="0"/>
      </w:pPr>
      <w:r>
        <w:t xml:space="preserve">Secretaría de finanzas del gobierno del Estado de Tamaulipas, </w:t>
      </w:r>
      <w:r w:rsidRPr="00316DE1">
        <w:t>Grupo Empresarial Treviño Cortez SA. De CV</w:t>
      </w:r>
      <w:r>
        <w:t>. 2019. Evaluación Estratégica sobre Planeación, Programación, Monitoreo y Evaluación del Fondo de Aportaciones para el Fortalecimiento de las Entidades Federativas (FAFEF) en el Estado de Tamaulipas, ejercicio fiscal 2018.</w:t>
      </w:r>
    </w:p>
    <w:p w14:paraId="08E0E977" w14:textId="77777777" w:rsidR="00BC288A" w:rsidRDefault="00BC288A" w:rsidP="00CC3866">
      <w:pPr>
        <w:pStyle w:val="Prrafodelista"/>
        <w:numPr>
          <w:ilvl w:val="0"/>
          <w:numId w:val="37"/>
        </w:numPr>
        <w:contextualSpacing w:val="0"/>
      </w:pPr>
      <w:r>
        <w:t>Secretaría de finanzas del gobierno del Estado de Tamaulipas, NAWI S.A.de C.V. 2017. Informe Final de Evaluación de Consistencia y Resultados al Fondo de Aportaciones para el Fortalecimiento de Entidades Federativas (FAFEF), ejercicio 2016.</w:t>
      </w:r>
    </w:p>
    <w:p w14:paraId="37691D86" w14:textId="77777777" w:rsidR="00BC288A" w:rsidRDefault="00BC288A" w:rsidP="00CC3866">
      <w:pPr>
        <w:pStyle w:val="Prrafodelista"/>
        <w:numPr>
          <w:ilvl w:val="0"/>
          <w:numId w:val="37"/>
        </w:numPr>
        <w:contextualSpacing w:val="0"/>
      </w:pPr>
      <w:r>
        <w:t>Secretaría de finanzas del gobierno del Estado de Tamaulipas, Universidad Autónoma de Tamaulipas. 2015. Informe final de la evaluación de Consistencia y Resultados de los programas financiados con el Fondo de Aportaciones para el Fortalecimiento de Entidades Federativas (FAFEF) ejercicio 2014.</w:t>
      </w:r>
    </w:p>
    <w:p w14:paraId="569E665C" w14:textId="77777777" w:rsidR="00BC288A" w:rsidRDefault="00BC288A" w:rsidP="00CC3866">
      <w:pPr>
        <w:pStyle w:val="Prrafodelista"/>
        <w:numPr>
          <w:ilvl w:val="0"/>
          <w:numId w:val="37"/>
        </w:numPr>
        <w:contextualSpacing w:val="0"/>
      </w:pPr>
      <w:r>
        <w:t>Secretaría de finanzas del gobierno del Estado de Tamaulipas, Universidad Autónoma de Tamaulipas. 2016. Informe final de la evaluación de Consistencia y Resultados de los programas financiados con el Fondo de Aportaciones para el Fortalecimiento de Entidades Federativas (FAFEF) ejercicio 2015.</w:t>
      </w:r>
    </w:p>
    <w:p w14:paraId="15C9B89B" w14:textId="38A7581C" w:rsidR="00BC288A" w:rsidRDefault="00BC288A" w:rsidP="00CC3866">
      <w:pPr>
        <w:pStyle w:val="Prrafodelista"/>
        <w:numPr>
          <w:ilvl w:val="0"/>
          <w:numId w:val="37"/>
        </w:numPr>
        <w:contextualSpacing w:val="0"/>
      </w:pPr>
      <w:r>
        <w:t xml:space="preserve">SHCP. </w:t>
      </w:r>
      <w:r w:rsidRPr="006351BF">
        <w:t>Guía para el Diseño de la Matriz de Indicadores para Resultados.</w:t>
      </w:r>
      <w:r w:rsidR="00826CDE">
        <w:t xml:space="preserve">     </w:t>
      </w:r>
      <w:r w:rsidRPr="006351BF">
        <w:t xml:space="preserve">Disponible en </w:t>
      </w:r>
      <w:hyperlink r:id="rId38" w:history="1">
        <w:r w:rsidRPr="005E0CC0">
          <w:rPr>
            <w:rStyle w:val="Hipervnculo"/>
          </w:rPr>
          <w:t>http://www.gob.mx/shcp/documentos/guia-para-el-diseno-de-la-matriz-de-indicadores-para-resultados</w:t>
        </w:r>
      </w:hyperlink>
      <w:r w:rsidRPr="006351BF">
        <w:t xml:space="preserve">. </w:t>
      </w:r>
    </w:p>
    <w:p w14:paraId="76BBDC56" w14:textId="77777777" w:rsidR="00BC288A" w:rsidRDefault="00BC288A" w:rsidP="00CC3866">
      <w:pPr>
        <w:pStyle w:val="Prrafodelista"/>
        <w:numPr>
          <w:ilvl w:val="0"/>
          <w:numId w:val="37"/>
        </w:numPr>
        <w:contextualSpacing w:val="0"/>
      </w:pPr>
      <w:r w:rsidRPr="007373AB">
        <w:t>4.</w:t>
      </w:r>
      <w:r w:rsidRPr="007373AB">
        <w:tab/>
        <w:t xml:space="preserve">Guía de Criterios para el Reporte del Ejercicio, Destino y Resultados de los Recursos Federales Transferidos, disponible en </w:t>
      </w:r>
      <w:hyperlink r:id="rId39" w:history="1">
        <w:r w:rsidRPr="005E0CC0">
          <w:rPr>
            <w:rStyle w:val="Hipervnculo"/>
          </w:rPr>
          <w:t>https://www.transparenciapresupuestaria.gob.mx/work/models/PTP/Capacitacion/Resources/files/guia_criterios.pdf</w:t>
        </w:r>
      </w:hyperlink>
      <w:r>
        <w:t>.</w:t>
      </w:r>
    </w:p>
    <w:p w14:paraId="2000BAC4" w14:textId="77777777" w:rsidR="00BC288A" w:rsidRDefault="00BC288A" w:rsidP="00CC3866">
      <w:pPr>
        <w:pStyle w:val="Prrafodelista"/>
        <w:numPr>
          <w:ilvl w:val="0"/>
          <w:numId w:val="37"/>
        </w:numPr>
        <w:contextualSpacing w:val="0"/>
      </w:pPr>
      <w:r w:rsidRPr="00AA3B13">
        <w:rPr>
          <w:rFonts w:eastAsia="Times New Roman" w:cs="Times New Roman"/>
          <w:szCs w:val="24"/>
          <w:lang w:eastAsia="es-MX"/>
        </w:rPr>
        <w:t xml:space="preserve">Ley General de Contabilidad Gubernamental. Nueva Ley publicada en el Diario Oficial de la Federación el 31 de diciembre de 2008 </w:t>
      </w:r>
      <w:r>
        <w:rPr>
          <w:rFonts w:eastAsia="Times New Roman" w:cs="Times New Roman"/>
          <w:szCs w:val="24"/>
          <w:lang w:eastAsia="es-MX"/>
        </w:rPr>
        <w:t xml:space="preserve">recuperado de: </w:t>
      </w:r>
      <w:r w:rsidRPr="00AA3B13">
        <w:rPr>
          <w:rStyle w:val="Hipervnculo"/>
          <w:lang w:eastAsia="es-MX"/>
        </w:rPr>
        <w:t>http://www.diputados.gob.mx/LeyesBiblio/pdf/LGCG_300118.pdf</w:t>
      </w:r>
    </w:p>
    <w:p w14:paraId="5709BDDB" w14:textId="77777777" w:rsidR="00BC288A" w:rsidRPr="00FB4C7D" w:rsidRDefault="00BC288A" w:rsidP="00CC3866">
      <w:pPr>
        <w:pStyle w:val="Prrafodelista"/>
        <w:numPr>
          <w:ilvl w:val="0"/>
          <w:numId w:val="37"/>
        </w:numPr>
        <w:contextualSpacing w:val="0"/>
      </w:pPr>
      <w:r w:rsidRPr="00FB4C7D">
        <w:lastRenderedPageBreak/>
        <w:t>Ortegón, E., J.F. Pacheco, y A. Prieto. (2015). Metodología del marco lógico para la planificación, el seguimiento y la evaluación de proyectos y programas. Naciones Unidas (UN). CEPAL. Santiago de Chile.</w:t>
      </w:r>
    </w:p>
    <w:p w14:paraId="2BC54D6E" w14:textId="77777777" w:rsidR="00BC288A" w:rsidRPr="00FB4C7D" w:rsidRDefault="00BC288A" w:rsidP="00CC3866">
      <w:pPr>
        <w:pStyle w:val="Prrafodelista"/>
        <w:numPr>
          <w:ilvl w:val="0"/>
          <w:numId w:val="37"/>
        </w:numPr>
        <w:contextualSpacing w:val="0"/>
      </w:pPr>
      <w:r w:rsidRPr="00FB4C7D">
        <w:t>CONEVAL. 2018. Estudio sobre el proceso de descentralización en México 1997-2017. https://www.coneval.org.mx/Evaluacion/IEPSM/Documents/Estudio_descentralizacion_1997_2017.pdf</w:t>
      </w:r>
    </w:p>
    <w:p w14:paraId="4B384AC1" w14:textId="77777777" w:rsidR="00BC288A" w:rsidRDefault="00BC288A" w:rsidP="00CC3866">
      <w:pPr>
        <w:pStyle w:val="Prrafodelista"/>
        <w:numPr>
          <w:ilvl w:val="0"/>
          <w:numId w:val="37"/>
        </w:numPr>
        <w:contextualSpacing w:val="0"/>
      </w:pPr>
      <w:r>
        <w:t xml:space="preserve">Gobierno del Estado de Tamaulipas. </w:t>
      </w:r>
      <w:r w:rsidRPr="00A45953">
        <w:t>Informe de recursos federales</w:t>
      </w:r>
      <w:r>
        <w:t xml:space="preserve">. Disponible para su consulta en: </w:t>
      </w:r>
      <w:hyperlink r:id="rId40" w:history="1">
        <w:r w:rsidRPr="005E0CC0">
          <w:rPr>
            <w:rStyle w:val="Hipervnculo"/>
          </w:rPr>
          <w:t>http://finanzas.tamaulipas.gob.mx/reportes-financieros/informe-de-recursos-federales.php</w:t>
        </w:r>
      </w:hyperlink>
      <w:r>
        <w:t>.</w:t>
      </w:r>
    </w:p>
    <w:p w14:paraId="4998A721" w14:textId="77777777" w:rsidR="00BC288A" w:rsidRDefault="00BC288A" w:rsidP="00CC3866">
      <w:pPr>
        <w:pStyle w:val="Prrafodelista"/>
        <w:numPr>
          <w:ilvl w:val="0"/>
          <w:numId w:val="37"/>
        </w:numPr>
        <w:contextualSpacing w:val="0"/>
      </w:pPr>
      <w:r>
        <w:t xml:space="preserve">Plan Estatal de Desarrollo 2016-2022. (2017). Gobierno del Estado de Tamaulipas, Cd. Victoria, Tamaulipas. Recuperado en </w:t>
      </w:r>
      <w:hyperlink r:id="rId41" w:history="1">
        <w:r w:rsidRPr="005E0CC0">
          <w:rPr>
            <w:rStyle w:val="Hipervnculo"/>
          </w:rPr>
          <w:t>https://www.tamaulipas.gob.mx/planestatal/</w:t>
        </w:r>
      </w:hyperlink>
      <w:r>
        <w:t>.</w:t>
      </w:r>
    </w:p>
    <w:p w14:paraId="00506EBD" w14:textId="580D5274" w:rsidR="00BC288A" w:rsidRDefault="00BC288A" w:rsidP="00CC3866">
      <w:pPr>
        <w:pStyle w:val="Prrafodelista"/>
        <w:numPr>
          <w:ilvl w:val="0"/>
          <w:numId w:val="37"/>
        </w:numPr>
        <w:contextualSpacing w:val="0"/>
      </w:pPr>
      <w:r>
        <w:t>Plan Anual de Trabajo del FAFEF 2018. recuperado en:</w:t>
      </w:r>
      <w:r w:rsidR="00826CDE">
        <w:t xml:space="preserve">  </w:t>
      </w:r>
      <w:hyperlink r:id="rId42" w:history="1">
        <w:r w:rsidRPr="005E0CC0">
          <w:rPr>
            <w:rStyle w:val="Hipervnculo"/>
          </w:rPr>
          <w:t>https://www.transparenciapresupuestaria.gob.mx/work/models/PTP/SED/Documentos/Modelo_TdR_SHCP_FAFEF_2018.docx</w:t>
        </w:r>
      </w:hyperlink>
      <w:r>
        <w:t>.</w:t>
      </w:r>
    </w:p>
    <w:p w14:paraId="28B502A8" w14:textId="77777777" w:rsidR="00BC288A" w:rsidRDefault="00BC288A" w:rsidP="00CC3866">
      <w:pPr>
        <w:pStyle w:val="Prrafodelista"/>
        <w:numPr>
          <w:ilvl w:val="0"/>
          <w:numId w:val="37"/>
        </w:numPr>
        <w:contextualSpacing w:val="0"/>
      </w:pPr>
      <w:r>
        <w:t xml:space="preserve">Programa Anual de Evaluación de los Programas Federales y de los Fondos de Aportaciones Federales para el Ejercicio Fiscal 2018, recuperado en: </w:t>
      </w:r>
      <w:hyperlink r:id="rId43" w:history="1">
        <w:r w:rsidRPr="005E0CC0">
          <w:rPr>
            <w:rStyle w:val="Hipervnculo"/>
          </w:rPr>
          <w:t>https://www.coneval.org.mx/Evaluacion/NME/Documents/PAE_2018.pdf</w:t>
        </w:r>
      </w:hyperlink>
      <w:r>
        <w:t>.</w:t>
      </w:r>
      <w:bookmarkEnd w:id="123"/>
    </w:p>
    <w:p w14:paraId="7A66F629" w14:textId="77777777" w:rsidR="00BC288A" w:rsidRDefault="00BC288A" w:rsidP="00BC288A">
      <w:pPr>
        <w:rPr>
          <w:lang w:val="es-ES"/>
        </w:rPr>
      </w:pPr>
    </w:p>
    <w:p w14:paraId="6AD1E563" w14:textId="0394B16B" w:rsidR="00BC288A" w:rsidRPr="00BC288A" w:rsidRDefault="00BC288A" w:rsidP="00BC288A">
      <w:pPr>
        <w:rPr>
          <w:lang w:val="es-ES"/>
        </w:rPr>
        <w:sectPr w:rsidR="00BC288A" w:rsidRPr="00BC288A" w:rsidSect="00A201C4">
          <w:pgSz w:w="12240" w:h="15840" w:code="1"/>
          <w:pgMar w:top="1134" w:right="1134" w:bottom="1134" w:left="1134" w:header="709" w:footer="709" w:gutter="0"/>
          <w:cols w:space="708"/>
          <w:docGrid w:linePitch="360"/>
        </w:sectPr>
      </w:pPr>
    </w:p>
    <w:p w14:paraId="6BB106A9" w14:textId="5263B741" w:rsidR="00EE2253" w:rsidRDefault="00A36951" w:rsidP="005244CC">
      <w:pPr>
        <w:pStyle w:val="Ttulo1"/>
        <w:rPr>
          <w:sz w:val="44"/>
        </w:rPr>
        <w:sectPr w:rsidR="00EE2253" w:rsidSect="00434FC0">
          <w:pgSz w:w="12240" w:h="15840" w:code="1"/>
          <w:pgMar w:top="1134" w:right="1134" w:bottom="1134" w:left="1134" w:header="709" w:footer="709" w:gutter="0"/>
          <w:cols w:space="708"/>
          <w:vAlign w:val="center"/>
          <w:docGrid w:linePitch="360"/>
        </w:sectPr>
      </w:pPr>
      <w:r>
        <w:rPr>
          <w:sz w:val="44"/>
        </w:rPr>
        <w:lastRenderedPageBreak/>
        <w:t xml:space="preserve"> </w:t>
      </w:r>
      <w:bookmarkStart w:id="124" w:name="_Toc55411204"/>
      <w:bookmarkStart w:id="125" w:name="_Toc61633654"/>
      <w:r w:rsidR="003B5E62">
        <w:rPr>
          <w:sz w:val="44"/>
        </w:rPr>
        <w:t>X</w:t>
      </w:r>
      <w:r w:rsidR="00AD05E7">
        <w:rPr>
          <w:sz w:val="44"/>
        </w:rPr>
        <w:t xml:space="preserve">III. </w:t>
      </w:r>
      <w:r w:rsidR="009D5909" w:rsidRPr="00F972E3">
        <w:rPr>
          <w:sz w:val="44"/>
        </w:rPr>
        <w:t>Anexos</w:t>
      </w:r>
      <w:bookmarkEnd w:id="124"/>
      <w:bookmarkEnd w:id="125"/>
    </w:p>
    <w:p w14:paraId="01EC9CB1" w14:textId="3D68A1E6" w:rsidR="00EE2253" w:rsidRPr="001A2A2D" w:rsidRDefault="00EE2253" w:rsidP="005B684A">
      <w:pPr>
        <w:pStyle w:val="Anexo"/>
        <w:rPr>
          <w:rStyle w:val="Ttulo2Car"/>
          <w:bCs w:val="0"/>
          <w:i w:val="0"/>
          <w:iCs/>
          <w:sz w:val="22"/>
          <w:szCs w:val="22"/>
        </w:rPr>
      </w:pPr>
      <w:bookmarkStart w:id="126" w:name="_Toc47933867"/>
      <w:bookmarkStart w:id="127" w:name="_Toc51291527"/>
      <w:bookmarkStart w:id="128" w:name="_Toc55411205"/>
      <w:bookmarkStart w:id="129" w:name="_Toc55580099"/>
      <w:bookmarkStart w:id="130" w:name="_Toc56496629"/>
      <w:bookmarkStart w:id="131" w:name="_Toc61633655"/>
      <w:r w:rsidRPr="001A2A2D">
        <w:lastRenderedPageBreak/>
        <w:t xml:space="preserve">Anexo 1. </w:t>
      </w:r>
      <w:r w:rsidRPr="004037E6">
        <w:rPr>
          <w:rStyle w:val="Ttulo2Car"/>
          <w:b/>
          <w:i w:val="0"/>
          <w:iCs/>
          <w:sz w:val="22"/>
          <w:szCs w:val="22"/>
        </w:rPr>
        <w:t>Indicadores</w:t>
      </w:r>
      <w:bookmarkEnd w:id="126"/>
      <w:bookmarkEnd w:id="127"/>
      <w:bookmarkEnd w:id="128"/>
      <w:bookmarkEnd w:id="129"/>
      <w:bookmarkEnd w:id="130"/>
      <w:bookmarkEnd w:id="131"/>
    </w:p>
    <w:tbl>
      <w:tblPr>
        <w:tblW w:w="4786" w:type="pct"/>
        <w:tblCellMar>
          <w:left w:w="70" w:type="dxa"/>
          <w:right w:w="70" w:type="dxa"/>
        </w:tblCellMar>
        <w:tblLook w:val="04A0" w:firstRow="1" w:lastRow="0" w:firstColumn="1" w:lastColumn="0" w:noHBand="0" w:noVBand="1"/>
      </w:tblPr>
      <w:tblGrid>
        <w:gridCol w:w="1678"/>
        <w:gridCol w:w="2552"/>
        <w:gridCol w:w="1557"/>
        <w:gridCol w:w="1147"/>
        <w:gridCol w:w="1845"/>
        <w:gridCol w:w="4193"/>
      </w:tblGrid>
      <w:tr w:rsidR="0016168F" w:rsidRPr="005B19FB" w14:paraId="6CEC8DFE" w14:textId="77777777" w:rsidTr="00E02D01">
        <w:trPr>
          <w:trHeight w:val="450"/>
        </w:trPr>
        <w:tc>
          <w:tcPr>
            <w:tcW w:w="647"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0FB3CD58"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Nivel de Objetivo</w:t>
            </w:r>
          </w:p>
        </w:tc>
        <w:tc>
          <w:tcPr>
            <w:tcW w:w="984"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7FD961B0"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Nombre del Indicador</w:t>
            </w:r>
          </w:p>
        </w:tc>
        <w:tc>
          <w:tcPr>
            <w:tcW w:w="600"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51858A08"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Frecuencia de medición</w:t>
            </w:r>
          </w:p>
        </w:tc>
        <w:tc>
          <w:tcPr>
            <w:tcW w:w="442"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0B0D40BB"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Unidad de medida</w:t>
            </w:r>
          </w:p>
        </w:tc>
        <w:tc>
          <w:tcPr>
            <w:tcW w:w="711"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16790806"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Dependencia responsable del seguimiento</w:t>
            </w:r>
          </w:p>
        </w:tc>
        <w:tc>
          <w:tcPr>
            <w:tcW w:w="1616" w:type="pct"/>
            <w:vMerge w:val="restart"/>
            <w:tcBorders>
              <w:top w:val="single" w:sz="8" w:space="0" w:color="auto"/>
              <w:left w:val="single" w:sz="8" w:space="0" w:color="auto"/>
              <w:bottom w:val="single" w:sz="8" w:space="0" w:color="000000"/>
              <w:right w:val="single" w:sz="8" w:space="0" w:color="auto"/>
            </w:tcBorders>
            <w:shd w:val="clear" w:color="auto" w:fill="9CC2E5"/>
            <w:vAlign w:val="center"/>
            <w:hideMark/>
          </w:tcPr>
          <w:p w14:paraId="3C358999" w14:textId="77777777" w:rsidR="0016168F" w:rsidRPr="005B19FB" w:rsidRDefault="0016168F" w:rsidP="00770EEF">
            <w:pPr>
              <w:spacing w:before="0" w:after="0"/>
              <w:jc w:val="center"/>
              <w:rPr>
                <w:rFonts w:eastAsia="Times New Roman" w:cs="Times New Roman"/>
                <w:b/>
                <w:bCs/>
                <w:color w:val="000000"/>
                <w:sz w:val="20"/>
                <w:szCs w:val="20"/>
                <w:lang w:eastAsia="es-MX"/>
              </w:rPr>
            </w:pPr>
            <w:r w:rsidRPr="005B19FB">
              <w:rPr>
                <w:rFonts w:eastAsia="Times New Roman" w:cs="Times New Roman"/>
                <w:b/>
                <w:bCs/>
                <w:color w:val="000000"/>
                <w:sz w:val="20"/>
                <w:szCs w:val="20"/>
                <w:lang w:eastAsia="es-MX"/>
              </w:rPr>
              <w:t>Medios de verificación (fuentes de información)</w:t>
            </w:r>
          </w:p>
        </w:tc>
      </w:tr>
      <w:tr w:rsidR="0016168F" w:rsidRPr="005B19FB" w14:paraId="41F518F6" w14:textId="77777777" w:rsidTr="00E02D01">
        <w:trPr>
          <w:trHeight w:val="450"/>
        </w:trPr>
        <w:tc>
          <w:tcPr>
            <w:tcW w:w="647"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4A103A31" w14:textId="77777777" w:rsidR="0016168F" w:rsidRPr="005B19FB" w:rsidRDefault="0016168F" w:rsidP="005B19FB">
            <w:pPr>
              <w:spacing w:before="0" w:after="0"/>
              <w:jc w:val="left"/>
              <w:rPr>
                <w:rFonts w:eastAsia="Times New Roman" w:cs="Times New Roman"/>
                <w:b/>
                <w:bCs/>
                <w:color w:val="000000"/>
                <w:sz w:val="20"/>
                <w:szCs w:val="20"/>
                <w:lang w:eastAsia="es-MX"/>
              </w:rPr>
            </w:pPr>
          </w:p>
        </w:tc>
        <w:tc>
          <w:tcPr>
            <w:tcW w:w="984"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6B953972" w14:textId="77777777" w:rsidR="0016168F" w:rsidRPr="005B19FB" w:rsidRDefault="0016168F" w:rsidP="005B19FB">
            <w:pPr>
              <w:spacing w:before="0" w:after="0"/>
              <w:jc w:val="left"/>
              <w:rPr>
                <w:rFonts w:eastAsia="Times New Roman" w:cs="Times New Roman"/>
                <w:b/>
                <w:bCs/>
                <w:color w:val="000000"/>
                <w:sz w:val="20"/>
                <w:szCs w:val="20"/>
                <w:lang w:eastAsia="es-MX"/>
              </w:rPr>
            </w:pPr>
          </w:p>
        </w:tc>
        <w:tc>
          <w:tcPr>
            <w:tcW w:w="600"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56C9CDD6" w14:textId="77777777" w:rsidR="0016168F" w:rsidRPr="005B19FB" w:rsidRDefault="0016168F" w:rsidP="005B19FB">
            <w:pPr>
              <w:spacing w:before="0" w:after="0"/>
              <w:jc w:val="left"/>
              <w:rPr>
                <w:rFonts w:eastAsia="Times New Roman" w:cs="Times New Roman"/>
                <w:b/>
                <w:bCs/>
                <w:color w:val="000000"/>
                <w:sz w:val="20"/>
                <w:szCs w:val="20"/>
                <w:lang w:eastAsia="es-MX"/>
              </w:rPr>
            </w:pPr>
          </w:p>
        </w:tc>
        <w:tc>
          <w:tcPr>
            <w:tcW w:w="442"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16EA7BA9" w14:textId="77777777" w:rsidR="0016168F" w:rsidRPr="005B19FB" w:rsidRDefault="0016168F" w:rsidP="005B19FB">
            <w:pPr>
              <w:spacing w:before="0" w:after="0"/>
              <w:jc w:val="left"/>
              <w:rPr>
                <w:rFonts w:eastAsia="Times New Roman" w:cs="Times New Roman"/>
                <w:b/>
                <w:bCs/>
                <w:color w:val="000000"/>
                <w:sz w:val="20"/>
                <w:szCs w:val="20"/>
                <w:lang w:eastAsia="es-MX"/>
              </w:rPr>
            </w:pPr>
          </w:p>
        </w:tc>
        <w:tc>
          <w:tcPr>
            <w:tcW w:w="711"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3C96D1F8" w14:textId="77777777" w:rsidR="0016168F" w:rsidRPr="005B19FB" w:rsidRDefault="0016168F" w:rsidP="005B19FB">
            <w:pPr>
              <w:spacing w:before="0" w:after="0"/>
              <w:jc w:val="left"/>
              <w:rPr>
                <w:rFonts w:eastAsia="Times New Roman" w:cs="Times New Roman"/>
                <w:b/>
                <w:bCs/>
                <w:color w:val="000000"/>
                <w:sz w:val="20"/>
                <w:szCs w:val="20"/>
                <w:lang w:eastAsia="es-MX"/>
              </w:rPr>
            </w:pPr>
          </w:p>
        </w:tc>
        <w:tc>
          <w:tcPr>
            <w:tcW w:w="1616" w:type="pct"/>
            <w:vMerge/>
            <w:tcBorders>
              <w:top w:val="single" w:sz="8" w:space="0" w:color="auto"/>
              <w:left w:val="single" w:sz="8" w:space="0" w:color="auto"/>
              <w:bottom w:val="single" w:sz="8" w:space="0" w:color="000000"/>
              <w:right w:val="single" w:sz="8" w:space="0" w:color="auto"/>
            </w:tcBorders>
            <w:shd w:val="clear" w:color="auto" w:fill="9CC2E5"/>
            <w:vAlign w:val="center"/>
            <w:hideMark/>
          </w:tcPr>
          <w:p w14:paraId="0101ED31" w14:textId="77777777" w:rsidR="0016168F" w:rsidRPr="005B19FB" w:rsidRDefault="0016168F" w:rsidP="005B19FB">
            <w:pPr>
              <w:spacing w:before="0" w:after="0"/>
              <w:jc w:val="left"/>
              <w:rPr>
                <w:rFonts w:eastAsia="Times New Roman" w:cs="Times New Roman"/>
                <w:b/>
                <w:bCs/>
                <w:color w:val="000000"/>
                <w:sz w:val="20"/>
                <w:szCs w:val="20"/>
                <w:lang w:eastAsia="es-MX"/>
              </w:rPr>
            </w:pPr>
          </w:p>
        </w:tc>
      </w:tr>
      <w:tr w:rsidR="00F9764B" w:rsidRPr="005B19FB" w14:paraId="6E87E6A8" w14:textId="77777777" w:rsidTr="00F9764B">
        <w:trPr>
          <w:trHeight w:val="20"/>
        </w:trPr>
        <w:tc>
          <w:tcPr>
            <w:tcW w:w="5000" w:type="pct"/>
            <w:gridSpan w:val="6"/>
            <w:tcBorders>
              <w:top w:val="nil"/>
              <w:left w:val="single" w:sz="8" w:space="0" w:color="auto"/>
              <w:bottom w:val="single" w:sz="8" w:space="0" w:color="auto"/>
              <w:right w:val="single" w:sz="8" w:space="0" w:color="000000"/>
            </w:tcBorders>
            <w:shd w:val="clear" w:color="auto" w:fill="D0CECE" w:themeFill="background2" w:themeFillShade="E6"/>
            <w:vAlign w:val="center"/>
            <w:hideMark/>
          </w:tcPr>
          <w:p w14:paraId="32352504" w14:textId="73A45105" w:rsidR="00F9764B" w:rsidRPr="007D560F" w:rsidRDefault="00F9764B" w:rsidP="00F9764B">
            <w:pPr>
              <w:spacing w:before="0" w:after="0"/>
              <w:jc w:val="center"/>
              <w:rPr>
                <w:rFonts w:eastAsia="Times New Roman" w:cstheme="minorHAnsi"/>
                <w:b/>
                <w:bCs/>
                <w:color w:val="000000"/>
                <w:sz w:val="20"/>
                <w:szCs w:val="20"/>
                <w:lang w:eastAsia="es-MX"/>
              </w:rPr>
            </w:pPr>
            <w:r w:rsidRPr="007D560F">
              <w:rPr>
                <w:rFonts w:eastAsia="Times New Roman" w:cstheme="minorHAnsi"/>
                <w:b/>
                <w:bCs/>
                <w:color w:val="000000"/>
                <w:sz w:val="20"/>
                <w:szCs w:val="20"/>
                <w:lang w:eastAsia="es-MX"/>
              </w:rPr>
              <w:t>Indicadores MIR del FAFEF para el ámbito federal</w:t>
            </w:r>
          </w:p>
          <w:p w14:paraId="03870999" w14:textId="3BD9DAC7" w:rsidR="00F9764B" w:rsidRPr="005B19FB" w:rsidRDefault="00F9764B" w:rsidP="00F9764B">
            <w:pPr>
              <w:spacing w:before="0" w:after="0"/>
              <w:jc w:val="center"/>
              <w:rPr>
                <w:rFonts w:eastAsia="Times New Roman" w:cs="Times New Roman"/>
                <w:b/>
                <w:bCs/>
                <w:color w:val="000000"/>
                <w:sz w:val="20"/>
                <w:szCs w:val="20"/>
                <w:lang w:eastAsia="es-MX"/>
              </w:rPr>
            </w:pPr>
            <w:r w:rsidRPr="007D560F">
              <w:rPr>
                <w:rFonts w:cstheme="minorHAnsi"/>
                <w:b/>
                <w:bCs/>
                <w:sz w:val="20"/>
                <w:szCs w:val="20"/>
              </w:rPr>
              <w:t>I012 Fondo de Aportaciones para el Fortalecimiento de las Entidades Federativas</w:t>
            </w:r>
          </w:p>
        </w:tc>
      </w:tr>
      <w:tr w:rsidR="00F9764B" w:rsidRPr="005B19FB" w14:paraId="397F7234" w14:textId="77777777" w:rsidTr="00E02D01">
        <w:trPr>
          <w:trHeight w:val="20"/>
        </w:trPr>
        <w:tc>
          <w:tcPr>
            <w:tcW w:w="647" w:type="pct"/>
            <w:tcBorders>
              <w:top w:val="nil"/>
              <w:left w:val="single" w:sz="8" w:space="0" w:color="auto"/>
              <w:bottom w:val="single" w:sz="8" w:space="0" w:color="auto"/>
              <w:right w:val="single" w:sz="8" w:space="0" w:color="auto"/>
            </w:tcBorders>
            <w:shd w:val="clear" w:color="auto" w:fill="auto"/>
            <w:vAlign w:val="center"/>
            <w:hideMark/>
          </w:tcPr>
          <w:p w14:paraId="6EA89E15" w14:textId="77777777" w:rsidR="00F9764B" w:rsidRPr="00521B00" w:rsidRDefault="00F9764B" w:rsidP="00F9764B">
            <w:pPr>
              <w:spacing w:before="0" w:after="0"/>
              <w:jc w:val="center"/>
              <w:rPr>
                <w:rFonts w:eastAsia="Times New Roman" w:cs="Times New Roman"/>
                <w:color w:val="000000"/>
                <w:sz w:val="20"/>
                <w:szCs w:val="20"/>
                <w:lang w:eastAsia="es-MX"/>
              </w:rPr>
            </w:pPr>
            <w:r w:rsidRPr="00521B00">
              <w:rPr>
                <w:rFonts w:eastAsia="Times New Roman" w:cs="Times New Roman"/>
                <w:color w:val="000000"/>
                <w:sz w:val="20"/>
                <w:szCs w:val="20"/>
                <w:lang w:eastAsia="es-MX"/>
              </w:rPr>
              <w:t>Fin</w:t>
            </w:r>
          </w:p>
        </w:tc>
        <w:tc>
          <w:tcPr>
            <w:tcW w:w="984" w:type="pct"/>
            <w:tcBorders>
              <w:top w:val="nil"/>
              <w:left w:val="nil"/>
              <w:bottom w:val="single" w:sz="8" w:space="0" w:color="auto"/>
              <w:right w:val="single" w:sz="8" w:space="0" w:color="auto"/>
            </w:tcBorders>
            <w:shd w:val="clear" w:color="auto" w:fill="auto"/>
            <w:vAlign w:val="center"/>
            <w:hideMark/>
          </w:tcPr>
          <w:p w14:paraId="55C590ED"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Índice de Impacto de Deuda Pública</w:t>
            </w:r>
          </w:p>
        </w:tc>
        <w:tc>
          <w:tcPr>
            <w:tcW w:w="600" w:type="pct"/>
            <w:tcBorders>
              <w:top w:val="nil"/>
              <w:left w:val="nil"/>
              <w:bottom w:val="single" w:sz="8" w:space="0" w:color="auto"/>
              <w:right w:val="single" w:sz="8" w:space="0" w:color="auto"/>
            </w:tcBorders>
            <w:shd w:val="clear" w:color="auto" w:fill="auto"/>
            <w:vAlign w:val="center"/>
            <w:hideMark/>
          </w:tcPr>
          <w:p w14:paraId="1755B356"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Trimestral</w:t>
            </w:r>
          </w:p>
        </w:tc>
        <w:tc>
          <w:tcPr>
            <w:tcW w:w="442" w:type="pct"/>
            <w:tcBorders>
              <w:top w:val="nil"/>
              <w:left w:val="nil"/>
              <w:bottom w:val="single" w:sz="8" w:space="0" w:color="auto"/>
              <w:right w:val="single" w:sz="8" w:space="0" w:color="auto"/>
            </w:tcBorders>
            <w:shd w:val="clear" w:color="auto" w:fill="auto"/>
            <w:vAlign w:val="center"/>
            <w:hideMark/>
          </w:tcPr>
          <w:p w14:paraId="4DCD988C"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w:t>
            </w:r>
          </w:p>
        </w:tc>
        <w:tc>
          <w:tcPr>
            <w:tcW w:w="711" w:type="pct"/>
            <w:vMerge w:val="restart"/>
            <w:tcBorders>
              <w:top w:val="nil"/>
              <w:left w:val="single" w:sz="8" w:space="0" w:color="auto"/>
              <w:bottom w:val="single" w:sz="8" w:space="0" w:color="000000"/>
              <w:right w:val="single" w:sz="8" w:space="0" w:color="auto"/>
            </w:tcBorders>
            <w:shd w:val="clear" w:color="auto" w:fill="auto"/>
            <w:vAlign w:val="center"/>
            <w:hideMark/>
          </w:tcPr>
          <w:p w14:paraId="63621670"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themeColor="text1"/>
                <w:sz w:val="20"/>
                <w:szCs w:val="20"/>
                <w:lang w:eastAsia="es-MX"/>
              </w:rPr>
              <w:t xml:space="preserve">Secretaría de Obras Públicas (Dirección de Planeación), Secretaría de Finanzas (Dirección de Contabilidad, DPCH, DUI, Dirección de Pagos), Secretaría de Administración (Subsecretaría de Innovación y Tecnologías) y Secretaría de Educación (Dirección de Administración y Recursos Financieros) </w:t>
            </w:r>
          </w:p>
        </w:tc>
        <w:tc>
          <w:tcPr>
            <w:tcW w:w="1616" w:type="pct"/>
            <w:tcBorders>
              <w:top w:val="nil"/>
              <w:left w:val="nil"/>
              <w:bottom w:val="nil"/>
              <w:right w:val="single" w:sz="8" w:space="0" w:color="auto"/>
            </w:tcBorders>
            <w:shd w:val="clear" w:color="auto" w:fill="auto"/>
            <w:vAlign w:val="center"/>
            <w:hideMark/>
          </w:tcPr>
          <w:p w14:paraId="4503AFE3"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themeColor="text1"/>
                <w:sz w:val="20"/>
                <w:szCs w:val="20"/>
                <w:lang w:eastAsia="es-MX"/>
              </w:rPr>
              <w:t>Informes trimestrales y definitivo por ejercicio fiscal</w:t>
            </w:r>
          </w:p>
        </w:tc>
      </w:tr>
      <w:tr w:rsidR="00F9764B" w:rsidRPr="005B19FB" w14:paraId="0F17A5E3" w14:textId="77777777" w:rsidTr="00E02D01">
        <w:trPr>
          <w:trHeight w:val="20"/>
        </w:trPr>
        <w:tc>
          <w:tcPr>
            <w:tcW w:w="647" w:type="pct"/>
            <w:vMerge w:val="restart"/>
            <w:tcBorders>
              <w:top w:val="nil"/>
              <w:left w:val="single" w:sz="8" w:space="0" w:color="auto"/>
              <w:bottom w:val="single" w:sz="8" w:space="0" w:color="000000"/>
              <w:right w:val="single" w:sz="8" w:space="0" w:color="auto"/>
            </w:tcBorders>
            <w:shd w:val="clear" w:color="auto" w:fill="auto"/>
            <w:vAlign w:val="center"/>
            <w:hideMark/>
          </w:tcPr>
          <w:p w14:paraId="694D0D74" w14:textId="77777777" w:rsidR="00F9764B" w:rsidRPr="00521B00" w:rsidRDefault="00F9764B" w:rsidP="00F9764B">
            <w:pPr>
              <w:spacing w:before="0" w:after="0"/>
              <w:jc w:val="center"/>
              <w:rPr>
                <w:rFonts w:eastAsia="Times New Roman" w:cs="Times New Roman"/>
                <w:color w:val="000000"/>
                <w:sz w:val="20"/>
                <w:szCs w:val="20"/>
                <w:lang w:eastAsia="es-MX"/>
              </w:rPr>
            </w:pPr>
            <w:r w:rsidRPr="00521B00">
              <w:rPr>
                <w:rFonts w:eastAsia="Times New Roman" w:cs="Times New Roman"/>
                <w:color w:val="000000"/>
                <w:sz w:val="20"/>
                <w:szCs w:val="20"/>
                <w:lang w:eastAsia="es-MX"/>
              </w:rPr>
              <w:t>Propósito</w:t>
            </w:r>
          </w:p>
        </w:tc>
        <w:tc>
          <w:tcPr>
            <w:tcW w:w="984" w:type="pct"/>
            <w:tcBorders>
              <w:top w:val="nil"/>
              <w:left w:val="nil"/>
              <w:bottom w:val="single" w:sz="8" w:space="0" w:color="auto"/>
              <w:right w:val="single" w:sz="8" w:space="0" w:color="auto"/>
            </w:tcBorders>
            <w:shd w:val="clear" w:color="auto" w:fill="auto"/>
            <w:vAlign w:val="center"/>
            <w:hideMark/>
          </w:tcPr>
          <w:p w14:paraId="4C0A0FCE"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Índice de Fortalecimiento Financiero</w:t>
            </w:r>
          </w:p>
        </w:tc>
        <w:tc>
          <w:tcPr>
            <w:tcW w:w="600" w:type="pct"/>
            <w:tcBorders>
              <w:top w:val="nil"/>
              <w:left w:val="nil"/>
              <w:bottom w:val="single" w:sz="8" w:space="0" w:color="auto"/>
              <w:right w:val="single" w:sz="8" w:space="0" w:color="auto"/>
            </w:tcBorders>
            <w:shd w:val="clear" w:color="auto" w:fill="auto"/>
            <w:vAlign w:val="center"/>
            <w:hideMark/>
          </w:tcPr>
          <w:p w14:paraId="390D248F"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Trimestral</w:t>
            </w:r>
          </w:p>
        </w:tc>
        <w:tc>
          <w:tcPr>
            <w:tcW w:w="442" w:type="pct"/>
            <w:tcBorders>
              <w:top w:val="nil"/>
              <w:left w:val="nil"/>
              <w:bottom w:val="single" w:sz="8" w:space="0" w:color="auto"/>
              <w:right w:val="single" w:sz="8" w:space="0" w:color="auto"/>
            </w:tcBorders>
            <w:shd w:val="clear" w:color="auto" w:fill="auto"/>
            <w:vAlign w:val="center"/>
            <w:hideMark/>
          </w:tcPr>
          <w:p w14:paraId="484049CE"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w:t>
            </w:r>
          </w:p>
        </w:tc>
        <w:tc>
          <w:tcPr>
            <w:tcW w:w="711" w:type="pct"/>
            <w:vMerge/>
            <w:tcBorders>
              <w:top w:val="nil"/>
              <w:left w:val="single" w:sz="8" w:space="0" w:color="auto"/>
              <w:bottom w:val="single" w:sz="8" w:space="0" w:color="000000"/>
              <w:right w:val="single" w:sz="8" w:space="0" w:color="auto"/>
            </w:tcBorders>
            <w:vAlign w:val="center"/>
            <w:hideMark/>
          </w:tcPr>
          <w:p w14:paraId="655C4517" w14:textId="77777777" w:rsidR="00F9764B" w:rsidRPr="005B19FB" w:rsidRDefault="00F9764B" w:rsidP="00F9764B">
            <w:pPr>
              <w:spacing w:before="0" w:after="0"/>
              <w:rPr>
                <w:rFonts w:eastAsia="Times New Roman" w:cs="Times New Roman"/>
                <w:color w:val="000000"/>
                <w:sz w:val="20"/>
                <w:szCs w:val="20"/>
                <w:lang w:eastAsia="es-MX"/>
              </w:rPr>
            </w:pPr>
          </w:p>
        </w:tc>
        <w:tc>
          <w:tcPr>
            <w:tcW w:w="1616" w:type="pct"/>
            <w:tcBorders>
              <w:top w:val="nil"/>
              <w:left w:val="nil"/>
              <w:bottom w:val="nil"/>
              <w:right w:val="single" w:sz="8" w:space="0" w:color="auto"/>
            </w:tcBorders>
            <w:shd w:val="clear" w:color="auto" w:fill="auto"/>
            <w:vAlign w:val="center"/>
            <w:hideMark/>
          </w:tcPr>
          <w:p w14:paraId="1FD37AB8" w14:textId="43CB5A9C"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themeColor="text1"/>
                <w:sz w:val="20"/>
                <w:szCs w:val="20"/>
                <w:lang w:eastAsia="es-MX"/>
              </w:rPr>
              <w:t>Gobierno del Estado de Tamaulipas</w:t>
            </w:r>
          </w:p>
        </w:tc>
      </w:tr>
      <w:tr w:rsidR="00F9764B" w:rsidRPr="005B19FB" w14:paraId="3BF63D37" w14:textId="77777777" w:rsidTr="00E02D01">
        <w:trPr>
          <w:trHeight w:val="20"/>
        </w:trPr>
        <w:tc>
          <w:tcPr>
            <w:tcW w:w="647" w:type="pct"/>
            <w:vMerge/>
            <w:tcBorders>
              <w:top w:val="nil"/>
              <w:left w:val="single" w:sz="8" w:space="0" w:color="auto"/>
              <w:bottom w:val="single" w:sz="8" w:space="0" w:color="000000"/>
              <w:right w:val="single" w:sz="8" w:space="0" w:color="auto"/>
            </w:tcBorders>
            <w:vAlign w:val="center"/>
            <w:hideMark/>
          </w:tcPr>
          <w:p w14:paraId="19439C0E" w14:textId="77777777" w:rsidR="00F9764B" w:rsidRPr="00521B00" w:rsidRDefault="00F9764B" w:rsidP="00F9764B">
            <w:pPr>
              <w:spacing w:before="0" w:after="0"/>
              <w:jc w:val="center"/>
              <w:rPr>
                <w:rFonts w:eastAsia="Times New Roman" w:cs="Times New Roman"/>
                <w:color w:val="000000"/>
                <w:sz w:val="20"/>
                <w:szCs w:val="20"/>
                <w:lang w:eastAsia="es-MX"/>
              </w:rPr>
            </w:pPr>
          </w:p>
        </w:tc>
        <w:tc>
          <w:tcPr>
            <w:tcW w:w="984" w:type="pct"/>
            <w:tcBorders>
              <w:top w:val="nil"/>
              <w:left w:val="nil"/>
              <w:bottom w:val="single" w:sz="8" w:space="0" w:color="auto"/>
              <w:right w:val="single" w:sz="8" w:space="0" w:color="auto"/>
            </w:tcBorders>
            <w:shd w:val="clear" w:color="auto" w:fill="auto"/>
            <w:vAlign w:val="center"/>
            <w:hideMark/>
          </w:tcPr>
          <w:p w14:paraId="51C68D77"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Índice de Impulso al Gasto de Inversión</w:t>
            </w:r>
          </w:p>
        </w:tc>
        <w:tc>
          <w:tcPr>
            <w:tcW w:w="600" w:type="pct"/>
            <w:tcBorders>
              <w:top w:val="nil"/>
              <w:left w:val="nil"/>
              <w:bottom w:val="single" w:sz="8" w:space="0" w:color="auto"/>
              <w:right w:val="single" w:sz="8" w:space="0" w:color="auto"/>
            </w:tcBorders>
            <w:shd w:val="clear" w:color="auto" w:fill="auto"/>
            <w:vAlign w:val="center"/>
            <w:hideMark/>
          </w:tcPr>
          <w:p w14:paraId="492DF9E7"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Trimestral</w:t>
            </w:r>
          </w:p>
        </w:tc>
        <w:tc>
          <w:tcPr>
            <w:tcW w:w="442" w:type="pct"/>
            <w:tcBorders>
              <w:top w:val="nil"/>
              <w:left w:val="nil"/>
              <w:bottom w:val="single" w:sz="8" w:space="0" w:color="auto"/>
              <w:right w:val="single" w:sz="8" w:space="0" w:color="auto"/>
            </w:tcBorders>
            <w:shd w:val="clear" w:color="auto" w:fill="auto"/>
            <w:vAlign w:val="center"/>
            <w:hideMark/>
          </w:tcPr>
          <w:p w14:paraId="03D8ED6F"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w:t>
            </w:r>
          </w:p>
        </w:tc>
        <w:tc>
          <w:tcPr>
            <w:tcW w:w="711" w:type="pct"/>
            <w:vMerge/>
            <w:tcBorders>
              <w:top w:val="nil"/>
              <w:left w:val="single" w:sz="8" w:space="0" w:color="auto"/>
              <w:bottom w:val="single" w:sz="8" w:space="0" w:color="000000"/>
              <w:right w:val="single" w:sz="8" w:space="0" w:color="auto"/>
            </w:tcBorders>
            <w:vAlign w:val="center"/>
            <w:hideMark/>
          </w:tcPr>
          <w:p w14:paraId="34197EFC" w14:textId="77777777" w:rsidR="00F9764B" w:rsidRPr="005B19FB" w:rsidRDefault="00F9764B" w:rsidP="00F9764B">
            <w:pPr>
              <w:spacing w:before="0" w:after="0"/>
              <w:rPr>
                <w:rFonts w:eastAsia="Times New Roman" w:cs="Times New Roman"/>
                <w:color w:val="000000"/>
                <w:sz w:val="20"/>
                <w:szCs w:val="20"/>
                <w:lang w:eastAsia="es-MX"/>
              </w:rPr>
            </w:pPr>
          </w:p>
        </w:tc>
        <w:tc>
          <w:tcPr>
            <w:tcW w:w="1616" w:type="pct"/>
            <w:tcBorders>
              <w:top w:val="nil"/>
              <w:left w:val="nil"/>
              <w:bottom w:val="nil"/>
              <w:right w:val="single" w:sz="8" w:space="0" w:color="auto"/>
            </w:tcBorders>
            <w:shd w:val="clear" w:color="auto" w:fill="auto"/>
            <w:vAlign w:val="center"/>
            <w:hideMark/>
          </w:tcPr>
          <w:p w14:paraId="51296436"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 </w:t>
            </w:r>
          </w:p>
        </w:tc>
      </w:tr>
      <w:tr w:rsidR="00F9764B" w:rsidRPr="005B19FB" w14:paraId="0543D51D" w14:textId="77777777" w:rsidTr="00E02D01">
        <w:trPr>
          <w:trHeight w:val="20"/>
        </w:trPr>
        <w:tc>
          <w:tcPr>
            <w:tcW w:w="647" w:type="pct"/>
            <w:tcBorders>
              <w:top w:val="nil"/>
              <w:left w:val="single" w:sz="8" w:space="0" w:color="auto"/>
              <w:bottom w:val="single" w:sz="8" w:space="0" w:color="auto"/>
              <w:right w:val="single" w:sz="8" w:space="0" w:color="auto"/>
            </w:tcBorders>
            <w:shd w:val="clear" w:color="auto" w:fill="auto"/>
            <w:vAlign w:val="center"/>
            <w:hideMark/>
          </w:tcPr>
          <w:p w14:paraId="70973966" w14:textId="77777777" w:rsidR="00F9764B" w:rsidRPr="00521B00" w:rsidRDefault="00F9764B" w:rsidP="00F9764B">
            <w:pPr>
              <w:spacing w:before="0" w:after="0"/>
              <w:jc w:val="center"/>
              <w:rPr>
                <w:rFonts w:eastAsia="Times New Roman" w:cs="Times New Roman"/>
                <w:color w:val="000000"/>
                <w:sz w:val="20"/>
                <w:szCs w:val="20"/>
                <w:lang w:eastAsia="es-MX"/>
              </w:rPr>
            </w:pPr>
            <w:r w:rsidRPr="00521B00">
              <w:rPr>
                <w:rFonts w:eastAsia="Times New Roman" w:cs="Times New Roman"/>
                <w:color w:val="000000"/>
                <w:sz w:val="20"/>
                <w:szCs w:val="20"/>
                <w:lang w:eastAsia="es-MX"/>
              </w:rPr>
              <w:t>Componentes</w:t>
            </w:r>
          </w:p>
        </w:tc>
        <w:tc>
          <w:tcPr>
            <w:tcW w:w="984" w:type="pct"/>
            <w:tcBorders>
              <w:top w:val="nil"/>
              <w:left w:val="nil"/>
              <w:bottom w:val="single" w:sz="8" w:space="0" w:color="auto"/>
              <w:right w:val="single" w:sz="8" w:space="0" w:color="auto"/>
            </w:tcBorders>
            <w:shd w:val="clear" w:color="auto" w:fill="auto"/>
            <w:vAlign w:val="center"/>
            <w:hideMark/>
          </w:tcPr>
          <w:p w14:paraId="7481F6C3"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 de avance en las metas</w:t>
            </w:r>
          </w:p>
        </w:tc>
        <w:tc>
          <w:tcPr>
            <w:tcW w:w="600" w:type="pct"/>
            <w:tcBorders>
              <w:top w:val="nil"/>
              <w:left w:val="nil"/>
              <w:bottom w:val="single" w:sz="8" w:space="0" w:color="auto"/>
              <w:right w:val="single" w:sz="8" w:space="0" w:color="auto"/>
            </w:tcBorders>
            <w:shd w:val="clear" w:color="auto" w:fill="auto"/>
            <w:vAlign w:val="center"/>
            <w:hideMark/>
          </w:tcPr>
          <w:p w14:paraId="38E488A8"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Trimestral</w:t>
            </w:r>
          </w:p>
        </w:tc>
        <w:tc>
          <w:tcPr>
            <w:tcW w:w="442" w:type="pct"/>
            <w:tcBorders>
              <w:top w:val="nil"/>
              <w:left w:val="nil"/>
              <w:bottom w:val="single" w:sz="8" w:space="0" w:color="auto"/>
              <w:right w:val="single" w:sz="8" w:space="0" w:color="auto"/>
            </w:tcBorders>
            <w:shd w:val="clear" w:color="auto" w:fill="auto"/>
            <w:vAlign w:val="center"/>
            <w:hideMark/>
          </w:tcPr>
          <w:p w14:paraId="325B6B93"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w:t>
            </w:r>
          </w:p>
        </w:tc>
        <w:tc>
          <w:tcPr>
            <w:tcW w:w="711" w:type="pct"/>
            <w:vMerge/>
            <w:tcBorders>
              <w:top w:val="nil"/>
              <w:left w:val="single" w:sz="8" w:space="0" w:color="auto"/>
              <w:bottom w:val="single" w:sz="8" w:space="0" w:color="000000"/>
              <w:right w:val="single" w:sz="8" w:space="0" w:color="auto"/>
            </w:tcBorders>
            <w:vAlign w:val="center"/>
            <w:hideMark/>
          </w:tcPr>
          <w:p w14:paraId="783AB85F" w14:textId="77777777" w:rsidR="00F9764B" w:rsidRPr="005B19FB" w:rsidRDefault="00F9764B" w:rsidP="00F9764B">
            <w:pPr>
              <w:spacing w:before="0" w:after="0"/>
              <w:rPr>
                <w:rFonts w:eastAsia="Times New Roman" w:cs="Times New Roman"/>
                <w:color w:val="000000"/>
                <w:sz w:val="20"/>
                <w:szCs w:val="20"/>
                <w:lang w:eastAsia="es-MX"/>
              </w:rPr>
            </w:pPr>
          </w:p>
        </w:tc>
        <w:tc>
          <w:tcPr>
            <w:tcW w:w="1616" w:type="pct"/>
            <w:tcBorders>
              <w:top w:val="nil"/>
              <w:left w:val="nil"/>
              <w:bottom w:val="nil"/>
              <w:right w:val="single" w:sz="8" w:space="0" w:color="auto"/>
            </w:tcBorders>
            <w:shd w:val="clear" w:color="auto" w:fill="auto"/>
            <w:vAlign w:val="center"/>
            <w:hideMark/>
          </w:tcPr>
          <w:p w14:paraId="7FC009C5"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 </w:t>
            </w:r>
          </w:p>
        </w:tc>
      </w:tr>
      <w:tr w:rsidR="00F9764B" w:rsidRPr="005B19FB" w14:paraId="71AA45C2" w14:textId="77777777" w:rsidTr="00E02D01">
        <w:trPr>
          <w:trHeight w:val="20"/>
        </w:trPr>
        <w:tc>
          <w:tcPr>
            <w:tcW w:w="647" w:type="pct"/>
            <w:tcBorders>
              <w:top w:val="nil"/>
              <w:left w:val="single" w:sz="8" w:space="0" w:color="auto"/>
              <w:bottom w:val="single" w:sz="8" w:space="0" w:color="auto"/>
              <w:right w:val="single" w:sz="8" w:space="0" w:color="auto"/>
            </w:tcBorders>
            <w:shd w:val="clear" w:color="auto" w:fill="auto"/>
            <w:vAlign w:val="center"/>
            <w:hideMark/>
          </w:tcPr>
          <w:p w14:paraId="16536778" w14:textId="77777777" w:rsidR="00F9764B" w:rsidRPr="00521B00" w:rsidRDefault="00F9764B" w:rsidP="00F9764B">
            <w:pPr>
              <w:spacing w:before="0" w:after="0"/>
              <w:jc w:val="center"/>
              <w:rPr>
                <w:rFonts w:eastAsia="Times New Roman" w:cs="Times New Roman"/>
                <w:color w:val="000000"/>
                <w:sz w:val="20"/>
                <w:szCs w:val="20"/>
                <w:lang w:eastAsia="es-MX"/>
              </w:rPr>
            </w:pPr>
            <w:r w:rsidRPr="00521B00">
              <w:rPr>
                <w:rFonts w:eastAsia="Times New Roman" w:cs="Times New Roman"/>
                <w:color w:val="000000"/>
                <w:sz w:val="20"/>
                <w:szCs w:val="20"/>
                <w:lang w:eastAsia="es-MX"/>
              </w:rPr>
              <w:t>Actividades</w:t>
            </w:r>
          </w:p>
        </w:tc>
        <w:tc>
          <w:tcPr>
            <w:tcW w:w="984" w:type="pct"/>
            <w:tcBorders>
              <w:top w:val="nil"/>
              <w:left w:val="nil"/>
              <w:bottom w:val="single" w:sz="8" w:space="0" w:color="auto"/>
              <w:right w:val="single" w:sz="8" w:space="0" w:color="auto"/>
            </w:tcBorders>
            <w:shd w:val="clear" w:color="auto" w:fill="auto"/>
            <w:vAlign w:val="center"/>
            <w:hideMark/>
          </w:tcPr>
          <w:p w14:paraId="18B52756" w14:textId="77777777" w:rsidR="00F9764B" w:rsidRPr="005B19FB" w:rsidRDefault="00F9764B" w:rsidP="00F9764B">
            <w:pPr>
              <w:spacing w:before="0" w:after="0"/>
              <w:rPr>
                <w:rFonts w:eastAsia="Times New Roman" w:cs="Times New Roman"/>
                <w:color w:val="000000"/>
                <w:sz w:val="20"/>
                <w:szCs w:val="20"/>
                <w:lang w:eastAsia="es-MX"/>
              </w:rPr>
            </w:pPr>
            <w:r w:rsidRPr="005B19FB">
              <w:rPr>
                <w:rFonts w:eastAsia="Times New Roman" w:cs="Times New Roman"/>
                <w:color w:val="000000"/>
                <w:sz w:val="20"/>
                <w:szCs w:val="20"/>
                <w:lang w:eastAsia="es-MX"/>
              </w:rPr>
              <w:t>Índice en el Ejercicio de Recursos</w:t>
            </w:r>
          </w:p>
        </w:tc>
        <w:tc>
          <w:tcPr>
            <w:tcW w:w="600" w:type="pct"/>
            <w:tcBorders>
              <w:top w:val="nil"/>
              <w:left w:val="nil"/>
              <w:bottom w:val="single" w:sz="8" w:space="0" w:color="auto"/>
              <w:right w:val="single" w:sz="8" w:space="0" w:color="auto"/>
            </w:tcBorders>
            <w:shd w:val="clear" w:color="auto" w:fill="auto"/>
            <w:vAlign w:val="center"/>
            <w:hideMark/>
          </w:tcPr>
          <w:p w14:paraId="78B2BF51"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Trimestral</w:t>
            </w:r>
          </w:p>
        </w:tc>
        <w:tc>
          <w:tcPr>
            <w:tcW w:w="442" w:type="pct"/>
            <w:tcBorders>
              <w:top w:val="nil"/>
              <w:left w:val="nil"/>
              <w:bottom w:val="single" w:sz="8" w:space="0" w:color="auto"/>
              <w:right w:val="single" w:sz="8" w:space="0" w:color="auto"/>
            </w:tcBorders>
            <w:shd w:val="clear" w:color="auto" w:fill="auto"/>
            <w:vAlign w:val="center"/>
            <w:hideMark/>
          </w:tcPr>
          <w:p w14:paraId="7C6285A7" w14:textId="77777777" w:rsidR="00F9764B" w:rsidRPr="005B19FB" w:rsidRDefault="00F9764B" w:rsidP="00F9764B">
            <w:pPr>
              <w:spacing w:before="0" w:after="0"/>
              <w:jc w:val="center"/>
              <w:rPr>
                <w:rFonts w:eastAsia="Times New Roman" w:cs="Times New Roman"/>
                <w:color w:val="000000"/>
                <w:sz w:val="20"/>
                <w:szCs w:val="20"/>
                <w:lang w:eastAsia="es-MX"/>
              </w:rPr>
            </w:pPr>
            <w:r w:rsidRPr="005B19FB">
              <w:rPr>
                <w:rFonts w:eastAsia="Times New Roman" w:cs="Times New Roman"/>
                <w:color w:val="000000"/>
                <w:sz w:val="20"/>
                <w:szCs w:val="20"/>
                <w:lang w:eastAsia="es-MX"/>
              </w:rPr>
              <w:t>Porcentaje</w:t>
            </w:r>
          </w:p>
        </w:tc>
        <w:tc>
          <w:tcPr>
            <w:tcW w:w="711" w:type="pct"/>
            <w:vMerge/>
            <w:tcBorders>
              <w:top w:val="nil"/>
              <w:left w:val="single" w:sz="8" w:space="0" w:color="auto"/>
              <w:bottom w:val="single" w:sz="8" w:space="0" w:color="000000"/>
              <w:right w:val="single" w:sz="8" w:space="0" w:color="auto"/>
            </w:tcBorders>
            <w:vAlign w:val="center"/>
            <w:hideMark/>
          </w:tcPr>
          <w:p w14:paraId="6AAE41FD" w14:textId="77777777" w:rsidR="00F9764B" w:rsidRPr="005B19FB" w:rsidRDefault="00F9764B" w:rsidP="00F9764B">
            <w:pPr>
              <w:spacing w:before="0" w:after="0"/>
              <w:jc w:val="left"/>
              <w:rPr>
                <w:rFonts w:eastAsia="Times New Roman" w:cs="Times New Roman"/>
                <w:color w:val="000000"/>
                <w:sz w:val="20"/>
                <w:szCs w:val="20"/>
                <w:lang w:eastAsia="es-MX"/>
              </w:rPr>
            </w:pPr>
          </w:p>
        </w:tc>
        <w:tc>
          <w:tcPr>
            <w:tcW w:w="1616" w:type="pct"/>
            <w:tcBorders>
              <w:top w:val="nil"/>
              <w:left w:val="nil"/>
              <w:bottom w:val="single" w:sz="8" w:space="0" w:color="auto"/>
              <w:right w:val="single" w:sz="8" w:space="0" w:color="auto"/>
            </w:tcBorders>
            <w:shd w:val="clear" w:color="auto" w:fill="auto"/>
            <w:vAlign w:val="center"/>
            <w:hideMark/>
          </w:tcPr>
          <w:p w14:paraId="3A267D86" w14:textId="77777777" w:rsidR="00F9764B" w:rsidRPr="005B19FB" w:rsidRDefault="00F9764B" w:rsidP="00F9764B">
            <w:pPr>
              <w:spacing w:before="0" w:after="0"/>
              <w:jc w:val="left"/>
              <w:rPr>
                <w:rFonts w:eastAsia="Times New Roman" w:cs="Times New Roman"/>
                <w:color w:val="000000"/>
                <w:sz w:val="20"/>
                <w:szCs w:val="20"/>
                <w:lang w:eastAsia="es-MX"/>
              </w:rPr>
            </w:pPr>
            <w:r w:rsidRPr="005B19FB">
              <w:rPr>
                <w:rFonts w:eastAsia="Times New Roman" w:cs="Times New Roman"/>
                <w:color w:val="000000"/>
                <w:sz w:val="20"/>
                <w:szCs w:val="20"/>
                <w:lang w:eastAsia="es-MX"/>
              </w:rPr>
              <w:t> </w:t>
            </w:r>
          </w:p>
        </w:tc>
      </w:tr>
    </w:tbl>
    <w:p w14:paraId="7C440765" w14:textId="730EE37F" w:rsidR="0016168F" w:rsidRDefault="00935535" w:rsidP="00935535">
      <w:pPr>
        <w:pStyle w:val="Fuente"/>
      </w:pPr>
      <w:r>
        <w:t>Fuente: MIR federal del FAFEF 2018, utilizada en Tamaulipas.</w:t>
      </w:r>
    </w:p>
    <w:p w14:paraId="25473918" w14:textId="66FCE5FB" w:rsidR="0016168F" w:rsidRDefault="0016168F" w:rsidP="0016168F"/>
    <w:p w14:paraId="09EF74B1" w14:textId="77777777" w:rsidR="00EE615F" w:rsidRDefault="00EE615F" w:rsidP="0016168F"/>
    <w:p w14:paraId="40EBD76D" w14:textId="77777777" w:rsidR="0016168F" w:rsidRPr="0016168F" w:rsidRDefault="0016168F" w:rsidP="0016168F"/>
    <w:p w14:paraId="7E504E8B" w14:textId="77777777" w:rsidR="007E0B8B" w:rsidRDefault="007E0B8B">
      <w:pPr>
        <w:spacing w:before="0" w:after="160" w:line="259" w:lineRule="auto"/>
        <w:jc w:val="left"/>
        <w:rPr>
          <w:b/>
          <w:iCs/>
        </w:rPr>
      </w:pPr>
      <w:bookmarkStart w:id="132" w:name="_Toc47933868"/>
      <w:bookmarkStart w:id="133" w:name="_Toc51291528"/>
      <w:bookmarkStart w:id="134" w:name="_Toc55411206"/>
      <w:bookmarkStart w:id="135" w:name="_Toc55580100"/>
      <w:r>
        <w:br w:type="page"/>
      </w:r>
    </w:p>
    <w:p w14:paraId="37B04789" w14:textId="628AB50B" w:rsidR="00EE2253" w:rsidRPr="004037E6" w:rsidRDefault="00EE2253" w:rsidP="005B684A">
      <w:pPr>
        <w:pStyle w:val="Anexo"/>
      </w:pPr>
      <w:bookmarkStart w:id="136" w:name="_Toc56496630"/>
      <w:bookmarkStart w:id="137" w:name="_Toc61633656"/>
      <w:r w:rsidRPr="004037E6">
        <w:lastRenderedPageBreak/>
        <w:t>Anexo 2. Metas del Fondo</w:t>
      </w:r>
      <w:bookmarkEnd w:id="132"/>
      <w:bookmarkEnd w:id="133"/>
      <w:bookmarkEnd w:id="134"/>
      <w:bookmarkEnd w:id="135"/>
      <w:bookmarkEnd w:id="136"/>
      <w:bookmarkEnd w:id="137"/>
    </w:p>
    <w:p w14:paraId="17351FD7" w14:textId="7F2352CF" w:rsidR="00753266" w:rsidRDefault="00B96A63" w:rsidP="005B684A">
      <w:pPr>
        <w:pStyle w:val="Anexo"/>
      </w:pPr>
      <w:bookmarkStart w:id="138" w:name="_Toc56496599"/>
      <w:bookmarkStart w:id="139" w:name="_Toc56496631"/>
      <w:bookmarkStart w:id="140" w:name="_Toc61633657"/>
      <w:r>
        <w:t>“</w:t>
      </w:r>
      <w:r w:rsidR="00753266" w:rsidRPr="00753266">
        <w:t>Resultados de los indicadores estratégicos y de gestión del FAFEF</w:t>
      </w:r>
      <w:r>
        <w:t>”</w:t>
      </w:r>
      <w:bookmarkEnd w:id="138"/>
      <w:bookmarkEnd w:id="139"/>
      <w:bookmarkEnd w:id="140"/>
    </w:p>
    <w:p w14:paraId="1393B451" w14:textId="089834FA" w:rsidR="00753266" w:rsidRPr="00753266" w:rsidRDefault="00753266" w:rsidP="00AD566A">
      <w:pPr>
        <w:jc w:val="left"/>
        <w:rPr>
          <w:b/>
          <w:bCs/>
        </w:rPr>
      </w:pPr>
      <w:r>
        <w:rPr>
          <w:b/>
          <w:bCs/>
        </w:rPr>
        <w:t>Ejercicio 2018-2017</w:t>
      </w:r>
    </w:p>
    <w:tbl>
      <w:tblPr>
        <w:tblW w:w="5000" w:type="pct"/>
        <w:tblCellMar>
          <w:left w:w="70" w:type="dxa"/>
          <w:right w:w="70" w:type="dxa"/>
        </w:tblCellMar>
        <w:tblLook w:val="04A0" w:firstRow="1" w:lastRow="0" w:firstColumn="1" w:lastColumn="0" w:noHBand="0" w:noVBand="1"/>
      </w:tblPr>
      <w:tblGrid>
        <w:gridCol w:w="1277"/>
        <w:gridCol w:w="1900"/>
        <w:gridCol w:w="1159"/>
        <w:gridCol w:w="967"/>
        <w:gridCol w:w="1401"/>
        <w:gridCol w:w="1159"/>
        <w:gridCol w:w="1321"/>
        <w:gridCol w:w="1401"/>
        <w:gridCol w:w="2967"/>
      </w:tblGrid>
      <w:tr w:rsidR="002472A4" w:rsidRPr="00A20133" w14:paraId="14612F43" w14:textId="77777777" w:rsidTr="002472A4">
        <w:trPr>
          <w:trHeight w:val="1729"/>
        </w:trPr>
        <w:tc>
          <w:tcPr>
            <w:tcW w:w="479" w:type="pct"/>
            <w:tcBorders>
              <w:top w:val="single" w:sz="8" w:space="0" w:color="auto"/>
              <w:left w:val="single" w:sz="8" w:space="0" w:color="auto"/>
              <w:bottom w:val="single" w:sz="8" w:space="0" w:color="000000"/>
              <w:right w:val="single" w:sz="8" w:space="0" w:color="auto"/>
            </w:tcBorders>
            <w:shd w:val="clear" w:color="auto" w:fill="9CC2E5"/>
            <w:vAlign w:val="center"/>
            <w:hideMark/>
          </w:tcPr>
          <w:p w14:paraId="32B3702B" w14:textId="77777777" w:rsidR="002472A4" w:rsidRPr="00A20133" w:rsidRDefault="002472A4" w:rsidP="002472A4">
            <w:pPr>
              <w:spacing w:before="0" w:after="0"/>
              <w:jc w:val="center"/>
              <w:rPr>
                <w:rFonts w:eastAsia="Times New Roman" w:cs="Times New Roman"/>
                <w:b/>
                <w:bCs/>
                <w:color w:val="000000"/>
                <w:sz w:val="20"/>
                <w:szCs w:val="20"/>
                <w:lang w:eastAsia="es-MX"/>
              </w:rPr>
            </w:pPr>
            <w:r w:rsidRPr="00A20133">
              <w:rPr>
                <w:rFonts w:eastAsia="Times New Roman" w:cs="Times New Roman"/>
                <w:b/>
                <w:bCs/>
                <w:color w:val="000000"/>
                <w:sz w:val="20"/>
                <w:szCs w:val="20"/>
                <w:lang w:eastAsia="es-MX"/>
              </w:rPr>
              <w:t>Nivel de Objetivo</w:t>
            </w:r>
          </w:p>
        </w:tc>
        <w:tc>
          <w:tcPr>
            <w:tcW w:w="770" w:type="pct"/>
            <w:tcBorders>
              <w:top w:val="single" w:sz="8" w:space="0" w:color="auto"/>
              <w:left w:val="single" w:sz="8" w:space="0" w:color="auto"/>
              <w:bottom w:val="single" w:sz="8" w:space="0" w:color="000000"/>
              <w:right w:val="single" w:sz="8" w:space="0" w:color="auto"/>
            </w:tcBorders>
            <w:shd w:val="clear" w:color="auto" w:fill="9CC2E5"/>
            <w:vAlign w:val="center"/>
            <w:hideMark/>
          </w:tcPr>
          <w:p w14:paraId="28E30188" w14:textId="77777777" w:rsidR="002472A4" w:rsidRPr="00A20133" w:rsidRDefault="002472A4" w:rsidP="002472A4">
            <w:pPr>
              <w:spacing w:before="0" w:after="0"/>
              <w:jc w:val="center"/>
              <w:rPr>
                <w:rFonts w:eastAsia="Times New Roman" w:cs="Times New Roman"/>
                <w:b/>
                <w:bCs/>
                <w:color w:val="000000"/>
                <w:sz w:val="20"/>
                <w:szCs w:val="20"/>
                <w:lang w:eastAsia="es-MX"/>
              </w:rPr>
            </w:pPr>
            <w:r w:rsidRPr="00A20133">
              <w:rPr>
                <w:rFonts w:eastAsia="Times New Roman" w:cs="Times New Roman"/>
                <w:b/>
                <w:bCs/>
                <w:color w:val="000000"/>
                <w:sz w:val="20"/>
                <w:szCs w:val="20"/>
                <w:lang w:eastAsia="es-MX"/>
              </w:rPr>
              <w:t>Nombre del Indicador</w:t>
            </w:r>
          </w:p>
        </w:tc>
        <w:tc>
          <w:tcPr>
            <w:tcW w:w="428" w:type="pct"/>
            <w:tcBorders>
              <w:top w:val="single" w:sz="8" w:space="0" w:color="auto"/>
              <w:left w:val="nil"/>
              <w:bottom w:val="single" w:sz="4" w:space="0" w:color="auto"/>
              <w:right w:val="single" w:sz="8" w:space="0" w:color="auto"/>
            </w:tcBorders>
            <w:shd w:val="clear" w:color="auto" w:fill="9CC2E5"/>
            <w:vAlign w:val="center"/>
            <w:hideMark/>
          </w:tcPr>
          <w:p w14:paraId="27BE8511" w14:textId="633DA3AC"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Meta programada en (ejercicio fiscal evaluado)</w:t>
            </w:r>
          </w:p>
        </w:tc>
        <w:tc>
          <w:tcPr>
            <w:tcW w:w="360" w:type="pct"/>
            <w:tcBorders>
              <w:top w:val="single" w:sz="8" w:space="0" w:color="auto"/>
              <w:left w:val="nil"/>
              <w:bottom w:val="single" w:sz="4" w:space="0" w:color="auto"/>
              <w:right w:val="single" w:sz="8" w:space="0" w:color="auto"/>
            </w:tcBorders>
            <w:shd w:val="clear" w:color="auto" w:fill="9CC2E5"/>
            <w:vAlign w:val="center"/>
            <w:hideMark/>
          </w:tcPr>
          <w:p w14:paraId="53039BAA" w14:textId="3EB71027"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Avance en (ejercicio fiscal evaluado)</w:t>
            </w:r>
          </w:p>
        </w:tc>
        <w:tc>
          <w:tcPr>
            <w:tcW w:w="522" w:type="pct"/>
            <w:tcBorders>
              <w:top w:val="single" w:sz="8" w:space="0" w:color="auto"/>
              <w:left w:val="nil"/>
              <w:bottom w:val="single" w:sz="4" w:space="0" w:color="auto"/>
              <w:right w:val="single" w:sz="8" w:space="0" w:color="auto"/>
            </w:tcBorders>
            <w:shd w:val="clear" w:color="auto" w:fill="9CC2E5"/>
            <w:vAlign w:val="center"/>
            <w:hideMark/>
          </w:tcPr>
          <w:p w14:paraId="4C77B554" w14:textId="08B5FC19"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Avance con respecto a la meta en [ejercicio fiscal evaluado] (Avance/Meta)</w:t>
            </w:r>
          </w:p>
        </w:tc>
        <w:tc>
          <w:tcPr>
            <w:tcW w:w="471" w:type="pct"/>
            <w:tcBorders>
              <w:top w:val="single" w:sz="8" w:space="0" w:color="auto"/>
              <w:left w:val="single" w:sz="8" w:space="0" w:color="auto"/>
              <w:bottom w:val="single" w:sz="4" w:space="0" w:color="auto"/>
              <w:right w:val="single" w:sz="8" w:space="0" w:color="auto"/>
            </w:tcBorders>
            <w:shd w:val="clear" w:color="auto" w:fill="9CC2E5"/>
            <w:vAlign w:val="center"/>
            <w:hideMark/>
          </w:tcPr>
          <w:p w14:paraId="277438ED" w14:textId="14DFDDAE"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Meta programada para el ejercicio anterior</w:t>
            </w:r>
          </w:p>
        </w:tc>
        <w:tc>
          <w:tcPr>
            <w:tcW w:w="627" w:type="pct"/>
            <w:tcBorders>
              <w:top w:val="single" w:sz="8" w:space="0" w:color="auto"/>
              <w:left w:val="single" w:sz="8" w:space="0" w:color="auto"/>
              <w:bottom w:val="single" w:sz="4" w:space="0" w:color="auto"/>
              <w:right w:val="single" w:sz="8" w:space="0" w:color="auto"/>
            </w:tcBorders>
            <w:shd w:val="clear" w:color="auto" w:fill="9CC2E5"/>
            <w:vAlign w:val="center"/>
            <w:hideMark/>
          </w:tcPr>
          <w:p w14:paraId="30B894AB" w14:textId="4660A6AE"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Avance en ejercicio anterior</w:t>
            </w:r>
          </w:p>
        </w:tc>
        <w:tc>
          <w:tcPr>
            <w:tcW w:w="210" w:type="pct"/>
            <w:tcBorders>
              <w:top w:val="single" w:sz="8" w:space="0" w:color="auto"/>
              <w:left w:val="single" w:sz="8" w:space="0" w:color="auto"/>
              <w:bottom w:val="single" w:sz="4" w:space="0" w:color="auto"/>
              <w:right w:val="single" w:sz="8" w:space="0" w:color="auto"/>
            </w:tcBorders>
            <w:shd w:val="clear" w:color="auto" w:fill="9CC2E5"/>
            <w:vAlign w:val="center"/>
            <w:hideMark/>
          </w:tcPr>
          <w:p w14:paraId="342C4348" w14:textId="3427C689" w:rsidR="002472A4" w:rsidRPr="00A20133" w:rsidRDefault="002472A4" w:rsidP="002472A4">
            <w:pPr>
              <w:spacing w:before="0" w:after="0"/>
              <w:jc w:val="center"/>
              <w:rPr>
                <w:rFonts w:eastAsia="Times New Roman" w:cs="Times New Roman"/>
                <w:b/>
                <w:bCs/>
                <w:color w:val="000000"/>
                <w:sz w:val="20"/>
                <w:szCs w:val="20"/>
                <w:lang w:eastAsia="es-MX"/>
              </w:rPr>
            </w:pPr>
            <w:r w:rsidRPr="00995B05">
              <w:rPr>
                <w:rFonts w:eastAsia="Times New Roman" w:cstheme="minorHAnsi"/>
                <w:b/>
                <w:bCs/>
                <w:sz w:val="20"/>
                <w:szCs w:val="20"/>
                <w:lang w:eastAsia="es-MX"/>
              </w:rPr>
              <w:t>Avance con respecto a la meta en ejercicio anterior (Avance/Meta)</w:t>
            </w:r>
          </w:p>
        </w:tc>
        <w:tc>
          <w:tcPr>
            <w:tcW w:w="1133" w:type="pct"/>
            <w:tcBorders>
              <w:top w:val="single" w:sz="8" w:space="0" w:color="auto"/>
              <w:left w:val="single" w:sz="8" w:space="0" w:color="auto"/>
              <w:bottom w:val="single" w:sz="8" w:space="0" w:color="000000"/>
              <w:right w:val="single" w:sz="8" w:space="0" w:color="auto"/>
            </w:tcBorders>
            <w:shd w:val="clear" w:color="auto" w:fill="9CC2E5"/>
            <w:vAlign w:val="center"/>
            <w:hideMark/>
          </w:tcPr>
          <w:p w14:paraId="211DEEDC" w14:textId="77777777" w:rsidR="002472A4" w:rsidRPr="00A20133" w:rsidRDefault="002472A4" w:rsidP="002472A4">
            <w:pPr>
              <w:spacing w:before="0" w:after="0"/>
              <w:jc w:val="center"/>
              <w:rPr>
                <w:rFonts w:eastAsia="Times New Roman" w:cs="Times New Roman"/>
                <w:b/>
                <w:bCs/>
                <w:color w:val="000000"/>
                <w:sz w:val="20"/>
                <w:szCs w:val="20"/>
                <w:lang w:eastAsia="es-MX"/>
              </w:rPr>
            </w:pPr>
            <w:r w:rsidRPr="00A20133">
              <w:rPr>
                <w:rFonts w:eastAsia="Times New Roman" w:cs="Times New Roman"/>
                <w:b/>
                <w:bCs/>
                <w:color w:val="000000"/>
                <w:sz w:val="20"/>
                <w:szCs w:val="20"/>
                <w:lang w:eastAsia="es-MX"/>
              </w:rPr>
              <w:t>Justificación del avance con respecto a la meta (explicar por qué se cumplieron o no las metas)</w:t>
            </w:r>
          </w:p>
        </w:tc>
      </w:tr>
      <w:tr w:rsidR="00AD1318" w:rsidRPr="00A20133" w14:paraId="06C79C76" w14:textId="77777777" w:rsidTr="002472A4">
        <w:trPr>
          <w:trHeight w:val="330"/>
        </w:trPr>
        <w:tc>
          <w:tcPr>
            <w:tcW w:w="5000" w:type="pct"/>
            <w:gridSpan w:val="9"/>
            <w:tcBorders>
              <w:top w:val="nil"/>
              <w:left w:val="single" w:sz="8" w:space="0" w:color="auto"/>
              <w:bottom w:val="single" w:sz="8" w:space="0" w:color="auto"/>
              <w:right w:val="single" w:sz="8" w:space="0" w:color="auto"/>
            </w:tcBorders>
            <w:shd w:val="clear" w:color="auto" w:fill="D0CECE" w:themeFill="background2" w:themeFillShade="E6"/>
            <w:vAlign w:val="center"/>
            <w:hideMark/>
          </w:tcPr>
          <w:p w14:paraId="32EF34D8" w14:textId="2F74B11A" w:rsidR="00AD1318" w:rsidRDefault="00AD1318" w:rsidP="00AD1318">
            <w:pPr>
              <w:spacing w:before="0" w:after="0"/>
              <w:jc w:val="center"/>
              <w:rPr>
                <w:rFonts w:eastAsia="Times New Roman" w:cstheme="minorHAnsi"/>
                <w:b/>
                <w:bCs/>
                <w:color w:val="000000"/>
                <w:sz w:val="20"/>
                <w:szCs w:val="20"/>
                <w:lang w:eastAsia="es-MX"/>
              </w:rPr>
            </w:pPr>
            <w:r w:rsidRPr="00995B05">
              <w:rPr>
                <w:rFonts w:eastAsia="Times New Roman" w:cstheme="minorHAnsi"/>
                <w:b/>
                <w:bCs/>
                <w:color w:val="000000"/>
                <w:sz w:val="20"/>
                <w:szCs w:val="20"/>
                <w:lang w:eastAsia="es-MX"/>
              </w:rPr>
              <w:t>Indicadores de la MIR del FAFEF para el ámbito federal</w:t>
            </w:r>
          </w:p>
          <w:p w14:paraId="109387A6" w14:textId="49A08E02" w:rsidR="00AD1318" w:rsidRPr="00A20133" w:rsidRDefault="00AD1318" w:rsidP="00AD1318">
            <w:pPr>
              <w:spacing w:before="0" w:after="0"/>
              <w:jc w:val="center"/>
              <w:rPr>
                <w:rFonts w:eastAsia="Times New Roman" w:cs="Times New Roman"/>
                <w:b/>
                <w:bCs/>
                <w:color w:val="000000"/>
                <w:sz w:val="20"/>
                <w:szCs w:val="20"/>
                <w:lang w:eastAsia="es-MX"/>
              </w:rPr>
            </w:pPr>
            <w:r w:rsidRPr="007D560F">
              <w:rPr>
                <w:rFonts w:cstheme="minorHAnsi"/>
                <w:b/>
                <w:bCs/>
                <w:sz w:val="20"/>
                <w:szCs w:val="20"/>
              </w:rPr>
              <w:t>I012 Fondo de Aportaciones para el Fortalecimiento de las Entidades Federativas</w:t>
            </w:r>
            <w:r>
              <w:rPr>
                <w:rFonts w:cstheme="minorHAnsi"/>
                <w:b/>
                <w:bCs/>
                <w:sz w:val="20"/>
                <w:szCs w:val="20"/>
              </w:rPr>
              <w:t xml:space="preserve"> (FAFEF)</w:t>
            </w:r>
          </w:p>
        </w:tc>
      </w:tr>
      <w:tr w:rsidR="002472A4" w:rsidRPr="00A20133" w14:paraId="3BDE5512" w14:textId="77777777" w:rsidTr="002472A4">
        <w:trPr>
          <w:trHeight w:val="912"/>
        </w:trPr>
        <w:tc>
          <w:tcPr>
            <w:tcW w:w="479" w:type="pct"/>
            <w:tcBorders>
              <w:top w:val="nil"/>
              <w:left w:val="single" w:sz="8" w:space="0" w:color="auto"/>
              <w:bottom w:val="single" w:sz="8" w:space="0" w:color="auto"/>
              <w:right w:val="single" w:sz="8" w:space="0" w:color="auto"/>
            </w:tcBorders>
            <w:shd w:val="clear" w:color="auto" w:fill="auto"/>
            <w:vAlign w:val="center"/>
            <w:hideMark/>
          </w:tcPr>
          <w:p w14:paraId="32CA1FD7" w14:textId="77777777" w:rsidR="0016168F" w:rsidRPr="00E02D01" w:rsidRDefault="0016168F" w:rsidP="00E02D01">
            <w:pPr>
              <w:spacing w:before="0" w:after="0"/>
              <w:jc w:val="center"/>
              <w:rPr>
                <w:rFonts w:eastAsia="Times New Roman" w:cs="Times New Roman"/>
                <w:color w:val="000000"/>
                <w:sz w:val="20"/>
                <w:szCs w:val="20"/>
                <w:lang w:eastAsia="es-MX"/>
              </w:rPr>
            </w:pPr>
            <w:r w:rsidRPr="00E02D01">
              <w:rPr>
                <w:rFonts w:eastAsia="Times New Roman" w:cs="Times New Roman"/>
                <w:color w:val="000000"/>
                <w:sz w:val="20"/>
                <w:szCs w:val="20"/>
                <w:lang w:eastAsia="es-MX"/>
              </w:rPr>
              <w:t>Fin</w:t>
            </w:r>
          </w:p>
        </w:tc>
        <w:tc>
          <w:tcPr>
            <w:tcW w:w="770" w:type="pct"/>
            <w:tcBorders>
              <w:top w:val="nil"/>
              <w:left w:val="nil"/>
              <w:bottom w:val="single" w:sz="8" w:space="0" w:color="auto"/>
              <w:right w:val="single" w:sz="8" w:space="0" w:color="auto"/>
            </w:tcBorders>
            <w:shd w:val="clear" w:color="auto" w:fill="auto"/>
            <w:vAlign w:val="center"/>
            <w:hideMark/>
          </w:tcPr>
          <w:p w14:paraId="0F344972" w14:textId="77777777" w:rsidR="0016168F" w:rsidRPr="00A20133" w:rsidRDefault="0016168F" w:rsidP="005B19FB">
            <w:pPr>
              <w:spacing w:before="0" w:after="0"/>
              <w:rPr>
                <w:rFonts w:eastAsia="Times New Roman" w:cs="Times New Roman"/>
                <w:color w:val="000000"/>
                <w:sz w:val="20"/>
                <w:szCs w:val="20"/>
                <w:lang w:eastAsia="es-MX"/>
              </w:rPr>
            </w:pPr>
            <w:r w:rsidRPr="00A20133">
              <w:rPr>
                <w:rFonts w:eastAsia="Times New Roman" w:cs="Times New Roman"/>
                <w:color w:val="000000"/>
                <w:sz w:val="20"/>
                <w:szCs w:val="20"/>
                <w:lang w:eastAsia="es-MX"/>
              </w:rPr>
              <w:t>Índice de Impacto de Deuda Pública</w:t>
            </w:r>
          </w:p>
        </w:tc>
        <w:tc>
          <w:tcPr>
            <w:tcW w:w="428" w:type="pct"/>
            <w:tcBorders>
              <w:top w:val="nil"/>
              <w:left w:val="nil"/>
              <w:bottom w:val="single" w:sz="8" w:space="0" w:color="auto"/>
              <w:right w:val="single" w:sz="8" w:space="0" w:color="auto"/>
            </w:tcBorders>
            <w:shd w:val="clear" w:color="auto" w:fill="auto"/>
            <w:vAlign w:val="center"/>
            <w:hideMark/>
          </w:tcPr>
          <w:p w14:paraId="63F25D70"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0.3</w:t>
            </w:r>
          </w:p>
        </w:tc>
        <w:tc>
          <w:tcPr>
            <w:tcW w:w="360" w:type="pct"/>
            <w:tcBorders>
              <w:top w:val="nil"/>
              <w:left w:val="nil"/>
              <w:bottom w:val="single" w:sz="8" w:space="0" w:color="auto"/>
              <w:right w:val="single" w:sz="8" w:space="0" w:color="auto"/>
            </w:tcBorders>
            <w:shd w:val="clear" w:color="auto" w:fill="auto"/>
            <w:vAlign w:val="center"/>
            <w:hideMark/>
          </w:tcPr>
          <w:p w14:paraId="63F76AAA"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19</w:t>
            </w:r>
          </w:p>
        </w:tc>
        <w:tc>
          <w:tcPr>
            <w:tcW w:w="522" w:type="pct"/>
            <w:tcBorders>
              <w:top w:val="nil"/>
              <w:left w:val="nil"/>
              <w:bottom w:val="single" w:sz="8" w:space="0" w:color="auto"/>
              <w:right w:val="single" w:sz="8" w:space="0" w:color="auto"/>
            </w:tcBorders>
            <w:shd w:val="clear" w:color="auto" w:fill="auto"/>
            <w:vAlign w:val="center"/>
            <w:hideMark/>
          </w:tcPr>
          <w:p w14:paraId="25C3DD2B"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1.58</w:t>
            </w:r>
          </w:p>
        </w:tc>
        <w:tc>
          <w:tcPr>
            <w:tcW w:w="471" w:type="pct"/>
            <w:tcBorders>
              <w:top w:val="nil"/>
              <w:left w:val="nil"/>
              <w:bottom w:val="single" w:sz="8" w:space="0" w:color="auto"/>
              <w:right w:val="single" w:sz="8" w:space="0" w:color="auto"/>
            </w:tcBorders>
            <w:shd w:val="clear" w:color="auto" w:fill="auto"/>
            <w:vAlign w:val="center"/>
            <w:hideMark/>
          </w:tcPr>
          <w:p w14:paraId="66087331"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0.302</w:t>
            </w:r>
          </w:p>
        </w:tc>
        <w:tc>
          <w:tcPr>
            <w:tcW w:w="627" w:type="pct"/>
            <w:tcBorders>
              <w:top w:val="nil"/>
              <w:left w:val="nil"/>
              <w:bottom w:val="single" w:sz="8" w:space="0" w:color="auto"/>
              <w:right w:val="single" w:sz="8" w:space="0" w:color="auto"/>
            </w:tcBorders>
            <w:shd w:val="clear" w:color="auto" w:fill="auto"/>
            <w:vAlign w:val="center"/>
            <w:hideMark/>
          </w:tcPr>
          <w:p w14:paraId="6D37FDF5"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0.244</w:t>
            </w:r>
          </w:p>
        </w:tc>
        <w:tc>
          <w:tcPr>
            <w:tcW w:w="210" w:type="pct"/>
            <w:tcBorders>
              <w:top w:val="nil"/>
              <w:left w:val="nil"/>
              <w:bottom w:val="single" w:sz="8" w:space="0" w:color="auto"/>
              <w:right w:val="single" w:sz="8" w:space="0" w:color="auto"/>
            </w:tcBorders>
            <w:shd w:val="clear" w:color="auto" w:fill="auto"/>
            <w:vAlign w:val="center"/>
            <w:hideMark/>
          </w:tcPr>
          <w:p w14:paraId="18169412"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80.79</w:t>
            </w:r>
          </w:p>
        </w:tc>
        <w:tc>
          <w:tcPr>
            <w:tcW w:w="1133" w:type="pct"/>
            <w:vMerge w:val="restart"/>
            <w:tcBorders>
              <w:top w:val="nil"/>
              <w:left w:val="single" w:sz="8" w:space="0" w:color="auto"/>
              <w:bottom w:val="single" w:sz="8" w:space="0" w:color="000000"/>
              <w:right w:val="single" w:sz="8" w:space="0" w:color="auto"/>
            </w:tcBorders>
            <w:shd w:val="clear" w:color="auto" w:fill="auto"/>
            <w:vAlign w:val="center"/>
            <w:hideMark/>
          </w:tcPr>
          <w:p w14:paraId="353B37F4" w14:textId="77777777" w:rsidR="0016168F" w:rsidRPr="00A20133" w:rsidRDefault="0016168F" w:rsidP="00AD1318">
            <w:pPr>
              <w:spacing w:before="0" w:after="0"/>
              <w:rPr>
                <w:rFonts w:eastAsia="Times New Roman" w:cs="Times New Roman"/>
                <w:color w:val="000000"/>
                <w:sz w:val="20"/>
                <w:szCs w:val="20"/>
                <w:lang w:eastAsia="es-MX"/>
              </w:rPr>
            </w:pPr>
            <w:r w:rsidRPr="00A20133">
              <w:rPr>
                <w:rFonts w:eastAsia="Times New Roman" w:cs="Times New Roman"/>
                <w:color w:val="000000" w:themeColor="text1"/>
                <w:sz w:val="20"/>
                <w:szCs w:val="20"/>
                <w:lang w:eastAsia="es-MX"/>
              </w:rPr>
              <w:t>No se justificó el avance con respecto a la meta</w:t>
            </w:r>
          </w:p>
        </w:tc>
      </w:tr>
      <w:tr w:rsidR="002472A4" w:rsidRPr="00A20133" w14:paraId="2A4986F1" w14:textId="77777777" w:rsidTr="002472A4">
        <w:trPr>
          <w:trHeight w:val="1035"/>
        </w:trPr>
        <w:tc>
          <w:tcPr>
            <w:tcW w:w="479" w:type="pct"/>
            <w:vMerge w:val="restart"/>
            <w:tcBorders>
              <w:top w:val="nil"/>
              <w:left w:val="single" w:sz="8" w:space="0" w:color="auto"/>
              <w:bottom w:val="single" w:sz="8" w:space="0" w:color="000000"/>
              <w:right w:val="single" w:sz="8" w:space="0" w:color="auto"/>
            </w:tcBorders>
            <w:shd w:val="clear" w:color="auto" w:fill="auto"/>
            <w:vAlign w:val="center"/>
            <w:hideMark/>
          </w:tcPr>
          <w:p w14:paraId="5B726DAD" w14:textId="77777777" w:rsidR="0016168F" w:rsidRPr="00E02D01" w:rsidRDefault="0016168F" w:rsidP="00E02D01">
            <w:pPr>
              <w:spacing w:before="0" w:after="0"/>
              <w:jc w:val="center"/>
              <w:rPr>
                <w:rFonts w:eastAsia="Times New Roman" w:cs="Times New Roman"/>
                <w:color w:val="000000"/>
                <w:sz w:val="20"/>
                <w:szCs w:val="20"/>
                <w:lang w:eastAsia="es-MX"/>
              </w:rPr>
            </w:pPr>
            <w:r w:rsidRPr="00E02D01">
              <w:rPr>
                <w:rFonts w:eastAsia="Times New Roman" w:cs="Times New Roman"/>
                <w:color w:val="000000"/>
                <w:sz w:val="20"/>
                <w:szCs w:val="20"/>
                <w:lang w:eastAsia="es-MX"/>
              </w:rPr>
              <w:t>Propósito</w:t>
            </w:r>
          </w:p>
        </w:tc>
        <w:tc>
          <w:tcPr>
            <w:tcW w:w="770" w:type="pct"/>
            <w:tcBorders>
              <w:top w:val="nil"/>
              <w:left w:val="nil"/>
              <w:bottom w:val="single" w:sz="8" w:space="0" w:color="auto"/>
              <w:right w:val="single" w:sz="8" w:space="0" w:color="auto"/>
            </w:tcBorders>
            <w:shd w:val="clear" w:color="auto" w:fill="auto"/>
            <w:vAlign w:val="center"/>
            <w:hideMark/>
          </w:tcPr>
          <w:p w14:paraId="4FE67364" w14:textId="77777777" w:rsidR="0016168F" w:rsidRPr="00A20133" w:rsidRDefault="0016168F" w:rsidP="005B19FB">
            <w:pPr>
              <w:spacing w:before="0" w:after="0"/>
              <w:rPr>
                <w:rFonts w:eastAsia="Times New Roman" w:cs="Times New Roman"/>
                <w:color w:val="000000"/>
                <w:sz w:val="20"/>
                <w:szCs w:val="20"/>
                <w:lang w:eastAsia="es-MX"/>
              </w:rPr>
            </w:pPr>
            <w:r w:rsidRPr="00A20133">
              <w:rPr>
                <w:rFonts w:eastAsia="Times New Roman" w:cs="Times New Roman"/>
                <w:color w:val="000000"/>
                <w:sz w:val="20"/>
                <w:szCs w:val="20"/>
                <w:lang w:eastAsia="es-MX"/>
              </w:rPr>
              <w:t>Índice de Fortalecimiento Financiero</w:t>
            </w:r>
          </w:p>
        </w:tc>
        <w:tc>
          <w:tcPr>
            <w:tcW w:w="428" w:type="pct"/>
            <w:tcBorders>
              <w:top w:val="nil"/>
              <w:left w:val="nil"/>
              <w:bottom w:val="single" w:sz="8" w:space="0" w:color="auto"/>
              <w:right w:val="single" w:sz="8" w:space="0" w:color="auto"/>
            </w:tcBorders>
            <w:shd w:val="clear" w:color="auto" w:fill="auto"/>
            <w:vAlign w:val="center"/>
            <w:hideMark/>
          </w:tcPr>
          <w:p w14:paraId="56E5B298"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0.1</w:t>
            </w:r>
          </w:p>
        </w:tc>
        <w:tc>
          <w:tcPr>
            <w:tcW w:w="360" w:type="pct"/>
            <w:tcBorders>
              <w:top w:val="nil"/>
              <w:left w:val="nil"/>
              <w:bottom w:val="single" w:sz="8" w:space="0" w:color="auto"/>
              <w:right w:val="single" w:sz="8" w:space="0" w:color="auto"/>
            </w:tcBorders>
            <w:shd w:val="clear" w:color="auto" w:fill="auto"/>
            <w:vAlign w:val="center"/>
            <w:hideMark/>
          </w:tcPr>
          <w:p w14:paraId="4501674E"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11.1</w:t>
            </w:r>
          </w:p>
        </w:tc>
        <w:tc>
          <w:tcPr>
            <w:tcW w:w="522" w:type="pct"/>
            <w:tcBorders>
              <w:top w:val="nil"/>
              <w:left w:val="nil"/>
              <w:bottom w:val="single" w:sz="8" w:space="0" w:color="auto"/>
              <w:right w:val="single" w:sz="8" w:space="0" w:color="auto"/>
            </w:tcBorders>
            <w:shd w:val="clear" w:color="auto" w:fill="auto"/>
            <w:vAlign w:val="center"/>
            <w:hideMark/>
          </w:tcPr>
          <w:p w14:paraId="61E4FF5D"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11,100</w:t>
            </w:r>
          </w:p>
        </w:tc>
        <w:tc>
          <w:tcPr>
            <w:tcW w:w="471" w:type="pct"/>
            <w:tcBorders>
              <w:top w:val="nil"/>
              <w:left w:val="nil"/>
              <w:bottom w:val="single" w:sz="8" w:space="0" w:color="auto"/>
              <w:right w:val="single" w:sz="8" w:space="0" w:color="auto"/>
            </w:tcBorders>
            <w:shd w:val="clear" w:color="auto" w:fill="auto"/>
            <w:vAlign w:val="center"/>
            <w:hideMark/>
          </w:tcPr>
          <w:p w14:paraId="29257F6F"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0.1309</w:t>
            </w:r>
          </w:p>
        </w:tc>
        <w:tc>
          <w:tcPr>
            <w:tcW w:w="627" w:type="pct"/>
            <w:tcBorders>
              <w:top w:val="nil"/>
              <w:left w:val="nil"/>
              <w:bottom w:val="single" w:sz="8" w:space="0" w:color="auto"/>
              <w:right w:val="single" w:sz="8" w:space="0" w:color="auto"/>
            </w:tcBorders>
            <w:shd w:val="clear" w:color="auto" w:fill="auto"/>
            <w:vAlign w:val="center"/>
            <w:hideMark/>
          </w:tcPr>
          <w:p w14:paraId="1E968757"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0.14</w:t>
            </w:r>
          </w:p>
        </w:tc>
        <w:tc>
          <w:tcPr>
            <w:tcW w:w="210" w:type="pct"/>
            <w:tcBorders>
              <w:top w:val="nil"/>
              <w:left w:val="nil"/>
              <w:bottom w:val="single" w:sz="8" w:space="0" w:color="auto"/>
              <w:right w:val="single" w:sz="8" w:space="0" w:color="auto"/>
            </w:tcBorders>
            <w:shd w:val="clear" w:color="auto" w:fill="auto"/>
            <w:vAlign w:val="center"/>
            <w:hideMark/>
          </w:tcPr>
          <w:p w14:paraId="0FD2C90F"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106.95</w:t>
            </w:r>
          </w:p>
        </w:tc>
        <w:tc>
          <w:tcPr>
            <w:tcW w:w="1133" w:type="pct"/>
            <w:vMerge/>
            <w:tcBorders>
              <w:top w:val="nil"/>
              <w:left w:val="single" w:sz="8" w:space="0" w:color="auto"/>
              <w:bottom w:val="single" w:sz="8" w:space="0" w:color="000000"/>
              <w:right w:val="single" w:sz="8" w:space="0" w:color="auto"/>
            </w:tcBorders>
            <w:vAlign w:val="center"/>
            <w:hideMark/>
          </w:tcPr>
          <w:p w14:paraId="2477FD9F" w14:textId="77777777" w:rsidR="0016168F" w:rsidRPr="00A20133" w:rsidRDefault="0016168F" w:rsidP="005B19FB">
            <w:pPr>
              <w:spacing w:before="0" w:after="0"/>
              <w:jc w:val="left"/>
              <w:rPr>
                <w:rFonts w:eastAsia="Times New Roman" w:cs="Times New Roman"/>
                <w:color w:val="000000"/>
                <w:sz w:val="20"/>
                <w:szCs w:val="20"/>
                <w:lang w:eastAsia="es-MX"/>
              </w:rPr>
            </w:pPr>
          </w:p>
        </w:tc>
      </w:tr>
      <w:tr w:rsidR="002472A4" w:rsidRPr="00A20133" w14:paraId="0F4A93B8" w14:textId="77777777" w:rsidTr="002472A4">
        <w:trPr>
          <w:trHeight w:val="629"/>
        </w:trPr>
        <w:tc>
          <w:tcPr>
            <w:tcW w:w="479" w:type="pct"/>
            <w:vMerge/>
            <w:tcBorders>
              <w:top w:val="nil"/>
              <w:left w:val="single" w:sz="8" w:space="0" w:color="auto"/>
              <w:bottom w:val="single" w:sz="8" w:space="0" w:color="000000"/>
              <w:right w:val="single" w:sz="8" w:space="0" w:color="auto"/>
            </w:tcBorders>
            <w:vAlign w:val="center"/>
            <w:hideMark/>
          </w:tcPr>
          <w:p w14:paraId="61CA9EA5" w14:textId="77777777" w:rsidR="0016168F" w:rsidRPr="00E02D01" w:rsidRDefault="0016168F" w:rsidP="00E02D01">
            <w:pPr>
              <w:spacing w:before="0" w:after="0"/>
              <w:jc w:val="center"/>
              <w:rPr>
                <w:rFonts w:eastAsia="Times New Roman" w:cs="Times New Roman"/>
                <w:color w:val="000000"/>
                <w:sz w:val="20"/>
                <w:szCs w:val="20"/>
                <w:lang w:eastAsia="es-MX"/>
              </w:rPr>
            </w:pPr>
          </w:p>
        </w:tc>
        <w:tc>
          <w:tcPr>
            <w:tcW w:w="770" w:type="pct"/>
            <w:tcBorders>
              <w:top w:val="nil"/>
              <w:left w:val="nil"/>
              <w:bottom w:val="single" w:sz="8" w:space="0" w:color="auto"/>
              <w:right w:val="single" w:sz="8" w:space="0" w:color="auto"/>
            </w:tcBorders>
            <w:shd w:val="clear" w:color="auto" w:fill="auto"/>
            <w:vAlign w:val="center"/>
            <w:hideMark/>
          </w:tcPr>
          <w:p w14:paraId="35350AA4" w14:textId="77777777" w:rsidR="0016168F" w:rsidRPr="00A20133" w:rsidRDefault="0016168F" w:rsidP="005B19FB">
            <w:pPr>
              <w:spacing w:before="0" w:after="0"/>
              <w:rPr>
                <w:rFonts w:eastAsia="Times New Roman" w:cs="Times New Roman"/>
                <w:color w:val="000000"/>
                <w:sz w:val="20"/>
                <w:szCs w:val="20"/>
                <w:lang w:eastAsia="es-MX"/>
              </w:rPr>
            </w:pPr>
            <w:r w:rsidRPr="00A20133">
              <w:rPr>
                <w:rFonts w:eastAsia="Times New Roman" w:cs="Times New Roman"/>
                <w:color w:val="000000"/>
                <w:sz w:val="20"/>
                <w:szCs w:val="20"/>
                <w:lang w:eastAsia="es-MX"/>
              </w:rPr>
              <w:t>Índice de Impulso al Gasto de Inversión</w:t>
            </w:r>
          </w:p>
        </w:tc>
        <w:tc>
          <w:tcPr>
            <w:tcW w:w="428" w:type="pct"/>
            <w:tcBorders>
              <w:top w:val="nil"/>
              <w:left w:val="nil"/>
              <w:bottom w:val="single" w:sz="8" w:space="0" w:color="auto"/>
              <w:right w:val="single" w:sz="8" w:space="0" w:color="auto"/>
            </w:tcBorders>
            <w:shd w:val="clear" w:color="auto" w:fill="auto"/>
            <w:vAlign w:val="center"/>
            <w:hideMark/>
          </w:tcPr>
          <w:p w14:paraId="4EE6023B"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w:t>
            </w:r>
          </w:p>
        </w:tc>
        <w:tc>
          <w:tcPr>
            <w:tcW w:w="360" w:type="pct"/>
            <w:tcBorders>
              <w:top w:val="nil"/>
              <w:left w:val="nil"/>
              <w:bottom w:val="single" w:sz="8" w:space="0" w:color="auto"/>
              <w:right w:val="single" w:sz="8" w:space="0" w:color="auto"/>
            </w:tcBorders>
            <w:shd w:val="clear" w:color="auto" w:fill="auto"/>
            <w:vAlign w:val="center"/>
            <w:hideMark/>
          </w:tcPr>
          <w:p w14:paraId="68F0644D"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1.4</w:t>
            </w:r>
          </w:p>
        </w:tc>
        <w:tc>
          <w:tcPr>
            <w:tcW w:w="522" w:type="pct"/>
            <w:tcBorders>
              <w:top w:val="nil"/>
              <w:left w:val="nil"/>
              <w:bottom w:val="single" w:sz="8" w:space="0" w:color="auto"/>
              <w:right w:val="single" w:sz="8" w:space="0" w:color="auto"/>
            </w:tcBorders>
            <w:shd w:val="clear" w:color="auto" w:fill="auto"/>
            <w:vAlign w:val="center"/>
            <w:hideMark/>
          </w:tcPr>
          <w:p w14:paraId="6944DA20"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N.D.</w:t>
            </w:r>
          </w:p>
        </w:tc>
        <w:tc>
          <w:tcPr>
            <w:tcW w:w="471" w:type="pct"/>
            <w:tcBorders>
              <w:top w:val="nil"/>
              <w:left w:val="nil"/>
              <w:bottom w:val="single" w:sz="8" w:space="0" w:color="auto"/>
              <w:right w:val="single" w:sz="8" w:space="0" w:color="auto"/>
            </w:tcBorders>
            <w:shd w:val="clear" w:color="auto" w:fill="auto"/>
            <w:vAlign w:val="center"/>
            <w:hideMark/>
          </w:tcPr>
          <w:p w14:paraId="1170FD02"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100</w:t>
            </w:r>
          </w:p>
        </w:tc>
        <w:tc>
          <w:tcPr>
            <w:tcW w:w="627" w:type="pct"/>
            <w:tcBorders>
              <w:top w:val="nil"/>
              <w:left w:val="nil"/>
              <w:bottom w:val="single" w:sz="8" w:space="0" w:color="auto"/>
              <w:right w:val="single" w:sz="8" w:space="0" w:color="auto"/>
            </w:tcBorders>
            <w:shd w:val="clear" w:color="auto" w:fill="auto"/>
            <w:vAlign w:val="center"/>
            <w:hideMark/>
          </w:tcPr>
          <w:p w14:paraId="36A6E11C"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0.2</w:t>
            </w:r>
          </w:p>
        </w:tc>
        <w:tc>
          <w:tcPr>
            <w:tcW w:w="210" w:type="pct"/>
            <w:tcBorders>
              <w:top w:val="nil"/>
              <w:left w:val="nil"/>
              <w:bottom w:val="single" w:sz="8" w:space="0" w:color="auto"/>
              <w:right w:val="single" w:sz="8" w:space="0" w:color="auto"/>
            </w:tcBorders>
            <w:shd w:val="clear" w:color="auto" w:fill="auto"/>
            <w:vAlign w:val="center"/>
            <w:hideMark/>
          </w:tcPr>
          <w:p w14:paraId="3B16CF88"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0.2</w:t>
            </w:r>
          </w:p>
        </w:tc>
        <w:tc>
          <w:tcPr>
            <w:tcW w:w="1133" w:type="pct"/>
            <w:vMerge/>
            <w:tcBorders>
              <w:top w:val="nil"/>
              <w:left w:val="single" w:sz="8" w:space="0" w:color="auto"/>
              <w:bottom w:val="single" w:sz="8" w:space="0" w:color="000000"/>
              <w:right w:val="single" w:sz="8" w:space="0" w:color="auto"/>
            </w:tcBorders>
            <w:vAlign w:val="center"/>
            <w:hideMark/>
          </w:tcPr>
          <w:p w14:paraId="75245E82" w14:textId="77777777" w:rsidR="0016168F" w:rsidRPr="00A20133" w:rsidRDefault="0016168F" w:rsidP="005B19FB">
            <w:pPr>
              <w:spacing w:before="0" w:after="0"/>
              <w:jc w:val="left"/>
              <w:rPr>
                <w:rFonts w:eastAsia="Times New Roman" w:cs="Times New Roman"/>
                <w:color w:val="000000"/>
                <w:sz w:val="20"/>
                <w:szCs w:val="20"/>
                <w:lang w:eastAsia="es-MX"/>
              </w:rPr>
            </w:pPr>
          </w:p>
        </w:tc>
      </w:tr>
      <w:tr w:rsidR="002472A4" w:rsidRPr="00A20133" w14:paraId="6F164AD4" w14:textId="77777777" w:rsidTr="002472A4">
        <w:trPr>
          <w:trHeight w:val="780"/>
        </w:trPr>
        <w:tc>
          <w:tcPr>
            <w:tcW w:w="479" w:type="pct"/>
            <w:tcBorders>
              <w:top w:val="nil"/>
              <w:left w:val="single" w:sz="8" w:space="0" w:color="auto"/>
              <w:bottom w:val="single" w:sz="8" w:space="0" w:color="auto"/>
              <w:right w:val="single" w:sz="8" w:space="0" w:color="auto"/>
            </w:tcBorders>
            <w:shd w:val="clear" w:color="auto" w:fill="auto"/>
            <w:vAlign w:val="center"/>
            <w:hideMark/>
          </w:tcPr>
          <w:p w14:paraId="3B11C24D" w14:textId="77777777" w:rsidR="0016168F" w:rsidRPr="00E02D01" w:rsidRDefault="0016168F" w:rsidP="00E02D01">
            <w:pPr>
              <w:spacing w:before="0" w:after="0"/>
              <w:jc w:val="center"/>
              <w:rPr>
                <w:rFonts w:eastAsia="Times New Roman" w:cs="Times New Roman"/>
                <w:color w:val="000000"/>
                <w:sz w:val="20"/>
                <w:szCs w:val="20"/>
                <w:lang w:eastAsia="es-MX"/>
              </w:rPr>
            </w:pPr>
            <w:r w:rsidRPr="00E02D01">
              <w:rPr>
                <w:rFonts w:eastAsia="Times New Roman" w:cs="Times New Roman"/>
                <w:color w:val="000000"/>
                <w:sz w:val="20"/>
                <w:szCs w:val="20"/>
                <w:lang w:eastAsia="es-MX"/>
              </w:rPr>
              <w:t>Componentes</w:t>
            </w:r>
          </w:p>
        </w:tc>
        <w:tc>
          <w:tcPr>
            <w:tcW w:w="770" w:type="pct"/>
            <w:tcBorders>
              <w:top w:val="nil"/>
              <w:left w:val="nil"/>
              <w:bottom w:val="single" w:sz="8" w:space="0" w:color="auto"/>
              <w:right w:val="single" w:sz="8" w:space="0" w:color="auto"/>
            </w:tcBorders>
            <w:shd w:val="clear" w:color="auto" w:fill="auto"/>
            <w:vAlign w:val="center"/>
            <w:hideMark/>
          </w:tcPr>
          <w:p w14:paraId="3357D040" w14:textId="77777777" w:rsidR="0016168F" w:rsidRPr="00A20133" w:rsidRDefault="0016168F" w:rsidP="005B19FB">
            <w:pPr>
              <w:spacing w:before="0" w:after="0"/>
              <w:rPr>
                <w:rFonts w:eastAsia="Times New Roman" w:cs="Times New Roman"/>
                <w:color w:val="000000"/>
                <w:sz w:val="20"/>
                <w:szCs w:val="20"/>
                <w:lang w:eastAsia="es-MX"/>
              </w:rPr>
            </w:pPr>
            <w:r w:rsidRPr="00A20133">
              <w:rPr>
                <w:rFonts w:eastAsia="Times New Roman" w:cs="Times New Roman"/>
                <w:color w:val="000000"/>
                <w:sz w:val="20"/>
                <w:szCs w:val="20"/>
                <w:lang w:eastAsia="es-MX"/>
              </w:rPr>
              <w:t>Porcentaje de avance en las metas</w:t>
            </w:r>
          </w:p>
        </w:tc>
        <w:tc>
          <w:tcPr>
            <w:tcW w:w="428" w:type="pct"/>
            <w:tcBorders>
              <w:top w:val="nil"/>
              <w:left w:val="nil"/>
              <w:bottom w:val="single" w:sz="8" w:space="0" w:color="auto"/>
              <w:right w:val="single" w:sz="8" w:space="0" w:color="auto"/>
            </w:tcBorders>
            <w:shd w:val="clear" w:color="auto" w:fill="auto"/>
            <w:vAlign w:val="center"/>
            <w:hideMark/>
          </w:tcPr>
          <w:p w14:paraId="4ADCFDA4"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w:t>
            </w:r>
          </w:p>
        </w:tc>
        <w:tc>
          <w:tcPr>
            <w:tcW w:w="360" w:type="pct"/>
            <w:tcBorders>
              <w:top w:val="nil"/>
              <w:left w:val="nil"/>
              <w:bottom w:val="single" w:sz="8" w:space="0" w:color="auto"/>
              <w:right w:val="single" w:sz="8" w:space="0" w:color="auto"/>
            </w:tcBorders>
            <w:shd w:val="clear" w:color="auto" w:fill="auto"/>
            <w:vAlign w:val="center"/>
            <w:hideMark/>
          </w:tcPr>
          <w:p w14:paraId="1AFB66FB"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95</w:t>
            </w:r>
          </w:p>
        </w:tc>
        <w:tc>
          <w:tcPr>
            <w:tcW w:w="522" w:type="pct"/>
            <w:tcBorders>
              <w:top w:val="nil"/>
              <w:left w:val="nil"/>
              <w:bottom w:val="single" w:sz="8" w:space="0" w:color="auto"/>
              <w:right w:val="single" w:sz="8" w:space="0" w:color="auto"/>
            </w:tcBorders>
            <w:shd w:val="clear" w:color="auto" w:fill="auto"/>
            <w:vAlign w:val="center"/>
            <w:hideMark/>
          </w:tcPr>
          <w:p w14:paraId="39AA5BF6"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9,500</w:t>
            </w:r>
          </w:p>
        </w:tc>
        <w:tc>
          <w:tcPr>
            <w:tcW w:w="471" w:type="pct"/>
            <w:tcBorders>
              <w:top w:val="nil"/>
              <w:left w:val="nil"/>
              <w:bottom w:val="single" w:sz="8" w:space="0" w:color="auto"/>
              <w:right w:val="single" w:sz="8" w:space="0" w:color="auto"/>
            </w:tcBorders>
            <w:shd w:val="clear" w:color="auto" w:fill="auto"/>
            <w:vAlign w:val="center"/>
            <w:hideMark/>
          </w:tcPr>
          <w:p w14:paraId="5796CFB9"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w:t>
            </w:r>
          </w:p>
        </w:tc>
        <w:tc>
          <w:tcPr>
            <w:tcW w:w="627" w:type="pct"/>
            <w:tcBorders>
              <w:top w:val="nil"/>
              <w:left w:val="nil"/>
              <w:bottom w:val="single" w:sz="8" w:space="0" w:color="auto"/>
              <w:right w:val="single" w:sz="8" w:space="0" w:color="auto"/>
            </w:tcBorders>
            <w:shd w:val="clear" w:color="auto" w:fill="auto"/>
            <w:vAlign w:val="center"/>
            <w:hideMark/>
          </w:tcPr>
          <w:p w14:paraId="4FABC080"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0.611</w:t>
            </w:r>
          </w:p>
        </w:tc>
        <w:tc>
          <w:tcPr>
            <w:tcW w:w="210" w:type="pct"/>
            <w:tcBorders>
              <w:top w:val="nil"/>
              <w:left w:val="nil"/>
              <w:bottom w:val="single" w:sz="8" w:space="0" w:color="auto"/>
              <w:right w:val="single" w:sz="8" w:space="0" w:color="auto"/>
            </w:tcBorders>
            <w:shd w:val="clear" w:color="auto" w:fill="auto"/>
            <w:vAlign w:val="center"/>
            <w:hideMark/>
          </w:tcPr>
          <w:p w14:paraId="0B04D59B"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61.1</w:t>
            </w:r>
          </w:p>
        </w:tc>
        <w:tc>
          <w:tcPr>
            <w:tcW w:w="1133" w:type="pct"/>
            <w:vMerge/>
            <w:tcBorders>
              <w:top w:val="nil"/>
              <w:left w:val="single" w:sz="8" w:space="0" w:color="auto"/>
              <w:bottom w:val="single" w:sz="8" w:space="0" w:color="000000"/>
              <w:right w:val="single" w:sz="8" w:space="0" w:color="auto"/>
            </w:tcBorders>
            <w:vAlign w:val="center"/>
            <w:hideMark/>
          </w:tcPr>
          <w:p w14:paraId="53834C63" w14:textId="77777777" w:rsidR="0016168F" w:rsidRPr="00A20133" w:rsidRDefault="0016168F" w:rsidP="005B19FB">
            <w:pPr>
              <w:spacing w:before="0" w:after="0"/>
              <w:jc w:val="left"/>
              <w:rPr>
                <w:rFonts w:eastAsia="Times New Roman" w:cs="Times New Roman"/>
                <w:color w:val="000000"/>
                <w:sz w:val="20"/>
                <w:szCs w:val="20"/>
                <w:lang w:eastAsia="es-MX"/>
              </w:rPr>
            </w:pPr>
          </w:p>
        </w:tc>
      </w:tr>
      <w:tr w:rsidR="002472A4" w:rsidRPr="00A20133" w14:paraId="75CE4D0B" w14:textId="77777777" w:rsidTr="002472A4">
        <w:trPr>
          <w:trHeight w:val="780"/>
        </w:trPr>
        <w:tc>
          <w:tcPr>
            <w:tcW w:w="479" w:type="pct"/>
            <w:tcBorders>
              <w:top w:val="nil"/>
              <w:left w:val="single" w:sz="8" w:space="0" w:color="auto"/>
              <w:bottom w:val="single" w:sz="8" w:space="0" w:color="auto"/>
              <w:right w:val="single" w:sz="8" w:space="0" w:color="auto"/>
            </w:tcBorders>
            <w:shd w:val="clear" w:color="auto" w:fill="auto"/>
            <w:vAlign w:val="center"/>
            <w:hideMark/>
          </w:tcPr>
          <w:p w14:paraId="45419130" w14:textId="77777777" w:rsidR="0016168F" w:rsidRPr="00E02D01" w:rsidRDefault="0016168F" w:rsidP="00E02D01">
            <w:pPr>
              <w:spacing w:before="0" w:after="0"/>
              <w:jc w:val="center"/>
              <w:rPr>
                <w:rFonts w:eastAsia="Times New Roman" w:cs="Times New Roman"/>
                <w:color w:val="000000"/>
                <w:sz w:val="20"/>
                <w:szCs w:val="20"/>
                <w:lang w:eastAsia="es-MX"/>
              </w:rPr>
            </w:pPr>
            <w:r w:rsidRPr="00E02D01">
              <w:rPr>
                <w:rFonts w:eastAsia="Times New Roman" w:cs="Times New Roman"/>
                <w:color w:val="000000"/>
                <w:sz w:val="20"/>
                <w:szCs w:val="20"/>
                <w:lang w:eastAsia="es-MX"/>
              </w:rPr>
              <w:t>Actividades</w:t>
            </w:r>
          </w:p>
        </w:tc>
        <w:tc>
          <w:tcPr>
            <w:tcW w:w="770" w:type="pct"/>
            <w:tcBorders>
              <w:top w:val="nil"/>
              <w:left w:val="nil"/>
              <w:bottom w:val="single" w:sz="8" w:space="0" w:color="auto"/>
              <w:right w:val="single" w:sz="8" w:space="0" w:color="auto"/>
            </w:tcBorders>
            <w:shd w:val="clear" w:color="auto" w:fill="auto"/>
            <w:vAlign w:val="center"/>
            <w:hideMark/>
          </w:tcPr>
          <w:p w14:paraId="7F6BC71C" w14:textId="77777777" w:rsidR="0016168F" w:rsidRPr="00A20133" w:rsidRDefault="0016168F" w:rsidP="005B19FB">
            <w:pPr>
              <w:spacing w:before="0" w:after="0"/>
              <w:rPr>
                <w:rFonts w:eastAsia="Times New Roman" w:cs="Times New Roman"/>
                <w:color w:val="000000"/>
                <w:sz w:val="20"/>
                <w:szCs w:val="20"/>
                <w:lang w:eastAsia="es-MX"/>
              </w:rPr>
            </w:pPr>
            <w:r w:rsidRPr="00A20133">
              <w:rPr>
                <w:rFonts w:eastAsia="Times New Roman" w:cs="Times New Roman"/>
                <w:color w:val="000000"/>
                <w:sz w:val="20"/>
                <w:szCs w:val="20"/>
                <w:lang w:eastAsia="es-MX"/>
              </w:rPr>
              <w:t>Índice en el Ejercicio de Recursos</w:t>
            </w:r>
          </w:p>
        </w:tc>
        <w:tc>
          <w:tcPr>
            <w:tcW w:w="428" w:type="pct"/>
            <w:tcBorders>
              <w:top w:val="nil"/>
              <w:left w:val="nil"/>
              <w:bottom w:val="single" w:sz="8" w:space="0" w:color="auto"/>
              <w:right w:val="single" w:sz="8" w:space="0" w:color="auto"/>
            </w:tcBorders>
            <w:shd w:val="clear" w:color="auto" w:fill="auto"/>
            <w:vAlign w:val="center"/>
            <w:hideMark/>
          </w:tcPr>
          <w:p w14:paraId="64C273DB"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100</w:t>
            </w:r>
          </w:p>
        </w:tc>
        <w:tc>
          <w:tcPr>
            <w:tcW w:w="360" w:type="pct"/>
            <w:tcBorders>
              <w:top w:val="nil"/>
              <w:left w:val="nil"/>
              <w:bottom w:val="single" w:sz="8" w:space="0" w:color="auto"/>
              <w:right w:val="single" w:sz="8" w:space="0" w:color="auto"/>
            </w:tcBorders>
            <w:shd w:val="clear" w:color="auto" w:fill="auto"/>
            <w:vAlign w:val="center"/>
            <w:hideMark/>
          </w:tcPr>
          <w:p w14:paraId="12E38DF9"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96</w:t>
            </w:r>
          </w:p>
        </w:tc>
        <w:tc>
          <w:tcPr>
            <w:tcW w:w="522" w:type="pct"/>
            <w:tcBorders>
              <w:top w:val="nil"/>
              <w:left w:val="nil"/>
              <w:bottom w:val="single" w:sz="8" w:space="0" w:color="auto"/>
              <w:right w:val="single" w:sz="8" w:space="0" w:color="auto"/>
            </w:tcBorders>
            <w:shd w:val="clear" w:color="auto" w:fill="auto"/>
            <w:vAlign w:val="center"/>
            <w:hideMark/>
          </w:tcPr>
          <w:p w14:paraId="3ECA5523"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96</w:t>
            </w:r>
          </w:p>
        </w:tc>
        <w:tc>
          <w:tcPr>
            <w:tcW w:w="471" w:type="pct"/>
            <w:tcBorders>
              <w:top w:val="nil"/>
              <w:left w:val="nil"/>
              <w:bottom w:val="single" w:sz="8" w:space="0" w:color="auto"/>
              <w:right w:val="single" w:sz="8" w:space="0" w:color="auto"/>
            </w:tcBorders>
            <w:shd w:val="clear" w:color="auto" w:fill="auto"/>
            <w:vAlign w:val="center"/>
            <w:hideMark/>
          </w:tcPr>
          <w:p w14:paraId="7330E4B9"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100</w:t>
            </w:r>
          </w:p>
        </w:tc>
        <w:tc>
          <w:tcPr>
            <w:tcW w:w="627" w:type="pct"/>
            <w:tcBorders>
              <w:top w:val="nil"/>
              <w:left w:val="nil"/>
              <w:bottom w:val="single" w:sz="8" w:space="0" w:color="auto"/>
              <w:right w:val="single" w:sz="8" w:space="0" w:color="auto"/>
            </w:tcBorders>
            <w:shd w:val="clear" w:color="auto" w:fill="auto"/>
            <w:vAlign w:val="center"/>
            <w:hideMark/>
          </w:tcPr>
          <w:p w14:paraId="35C37236"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61.1</w:t>
            </w:r>
          </w:p>
        </w:tc>
        <w:tc>
          <w:tcPr>
            <w:tcW w:w="210" w:type="pct"/>
            <w:tcBorders>
              <w:top w:val="nil"/>
              <w:left w:val="nil"/>
              <w:bottom w:val="single" w:sz="8" w:space="0" w:color="auto"/>
              <w:right w:val="single" w:sz="8" w:space="0" w:color="auto"/>
            </w:tcBorders>
            <w:shd w:val="clear" w:color="auto" w:fill="auto"/>
            <w:vAlign w:val="center"/>
            <w:hideMark/>
          </w:tcPr>
          <w:p w14:paraId="260155C3" w14:textId="77777777" w:rsidR="0016168F" w:rsidRPr="00A20133" w:rsidRDefault="0016168F" w:rsidP="00AD1318">
            <w:pPr>
              <w:spacing w:before="0" w:after="0"/>
              <w:jc w:val="center"/>
              <w:rPr>
                <w:rFonts w:eastAsia="Times New Roman" w:cs="Times New Roman"/>
                <w:color w:val="000000"/>
                <w:sz w:val="20"/>
                <w:szCs w:val="20"/>
                <w:lang w:eastAsia="es-MX"/>
              </w:rPr>
            </w:pPr>
            <w:r w:rsidRPr="00A20133">
              <w:rPr>
                <w:rFonts w:eastAsia="Times New Roman" w:cs="Times New Roman"/>
                <w:color w:val="000000"/>
                <w:sz w:val="20"/>
                <w:szCs w:val="20"/>
                <w:lang w:eastAsia="es-MX"/>
              </w:rPr>
              <w:t>61.1</w:t>
            </w:r>
          </w:p>
        </w:tc>
        <w:tc>
          <w:tcPr>
            <w:tcW w:w="1133" w:type="pct"/>
            <w:vMerge/>
            <w:tcBorders>
              <w:top w:val="nil"/>
              <w:left w:val="single" w:sz="8" w:space="0" w:color="auto"/>
              <w:bottom w:val="single" w:sz="8" w:space="0" w:color="000000"/>
              <w:right w:val="single" w:sz="8" w:space="0" w:color="auto"/>
            </w:tcBorders>
            <w:vAlign w:val="center"/>
            <w:hideMark/>
          </w:tcPr>
          <w:p w14:paraId="1C43F302" w14:textId="77777777" w:rsidR="0016168F" w:rsidRPr="00A20133" w:rsidRDefault="0016168F" w:rsidP="005B19FB">
            <w:pPr>
              <w:spacing w:before="0" w:after="0"/>
              <w:jc w:val="left"/>
              <w:rPr>
                <w:rFonts w:eastAsia="Times New Roman" w:cs="Times New Roman"/>
                <w:color w:val="000000"/>
                <w:sz w:val="20"/>
                <w:szCs w:val="20"/>
                <w:lang w:eastAsia="es-MX"/>
              </w:rPr>
            </w:pPr>
          </w:p>
        </w:tc>
      </w:tr>
    </w:tbl>
    <w:p w14:paraId="51B9153A" w14:textId="721B4256" w:rsidR="00AA301D" w:rsidRDefault="004B44E8" w:rsidP="008C6202">
      <w:pPr>
        <w:pStyle w:val="Fuente"/>
      </w:pPr>
      <w:bookmarkStart w:id="141" w:name="_Hlk55307860"/>
      <w:r>
        <w:t>Fuente: Elaboración propia con datos del portal de transparencia del estado de Tamaulipas. E</w:t>
      </w:r>
      <w:r w:rsidRPr="004B44E8">
        <w:t>jercicio y destino de los recursos federales (SFU) histórico</w:t>
      </w:r>
      <w:bookmarkEnd w:id="141"/>
      <w:r>
        <w:rPr>
          <w:rStyle w:val="Refdenotaalpie"/>
        </w:rPr>
        <w:footnoteReference w:id="23"/>
      </w:r>
      <w:r>
        <w:t>.</w:t>
      </w:r>
    </w:p>
    <w:p w14:paraId="18C3AF6C" w14:textId="086914E5" w:rsidR="00935535" w:rsidRDefault="00935535" w:rsidP="0016168F">
      <w:pPr>
        <w:sectPr w:rsidR="00935535" w:rsidSect="00434FC0">
          <w:headerReference w:type="default" r:id="rId44"/>
          <w:footerReference w:type="default" r:id="rId45"/>
          <w:pgSz w:w="15840" w:h="12240" w:orient="landscape" w:code="1"/>
          <w:pgMar w:top="1134" w:right="1134" w:bottom="1134" w:left="1134" w:header="709" w:footer="709" w:gutter="0"/>
          <w:cols w:space="708"/>
          <w:docGrid w:linePitch="360"/>
        </w:sectPr>
      </w:pPr>
    </w:p>
    <w:p w14:paraId="379EC8A5" w14:textId="056932A9" w:rsidR="00EE2253" w:rsidRPr="007160A9" w:rsidRDefault="00EE2253" w:rsidP="005B684A">
      <w:pPr>
        <w:pStyle w:val="Anexo"/>
      </w:pPr>
      <w:bookmarkStart w:id="142" w:name="_Toc47933869"/>
      <w:bookmarkStart w:id="143" w:name="_Toc51291529"/>
      <w:bookmarkStart w:id="144" w:name="_Toc55411207"/>
      <w:bookmarkStart w:id="145" w:name="_Toc55580101"/>
      <w:bookmarkStart w:id="146" w:name="_Toc56496632"/>
      <w:bookmarkStart w:id="147" w:name="_Toc61633658"/>
      <w:r w:rsidRPr="007160A9">
        <w:lastRenderedPageBreak/>
        <w:t>Anexo 3</w:t>
      </w:r>
      <w:r w:rsidR="00021938" w:rsidRPr="007160A9">
        <w:t>.</w:t>
      </w:r>
      <w:r w:rsidRPr="007160A9">
        <w:t xml:space="preserve"> Propuesta de mejora de la Matriz de Indicadores para Resultados.</w:t>
      </w:r>
      <w:bookmarkEnd w:id="142"/>
      <w:bookmarkEnd w:id="143"/>
      <w:bookmarkEnd w:id="144"/>
      <w:bookmarkEnd w:id="145"/>
      <w:bookmarkEnd w:id="146"/>
      <w:bookmarkEnd w:id="147"/>
    </w:p>
    <w:p w14:paraId="4A9E80F0" w14:textId="73022518" w:rsidR="00B11F24" w:rsidRDefault="003D3F9A">
      <w:pPr>
        <w:spacing w:before="0" w:after="160" w:line="259" w:lineRule="auto"/>
        <w:jc w:val="left"/>
        <w:rPr>
          <w:rFonts w:ascii="Arial" w:eastAsia="Calibri" w:hAnsi="Arial" w:cs="Arial"/>
          <w:bCs/>
          <w:sz w:val="20"/>
          <w:szCs w:val="20"/>
        </w:rPr>
      </w:pPr>
      <w:r w:rsidRPr="00AA2C65">
        <w:rPr>
          <w:rFonts w:ascii="Calibri" w:eastAsia="Calibri" w:hAnsi="Calibri" w:cs="Calibri"/>
          <w:bCs/>
        </w:rPr>
        <w:t xml:space="preserve">Para el ejercicio fiscal 2018 (y en la actualidad) el Estado no cuenta con una MIR estatal del FAFEF y, por lo tanto, no existen indicadores a nivel de Propósito, de Componente y de Actividades para compararse o relacionarse con los indicadores de la MIR federal del FAFEF, solamente se cuenta con los indicadores de los resultados de las MIR de los Pp financiados con recursos del FAFEF. Por lo que se sugiere a la </w:t>
      </w:r>
      <w:r>
        <w:rPr>
          <w:rFonts w:ascii="Calibri" w:eastAsia="Calibri" w:hAnsi="Calibri" w:cs="Calibri"/>
          <w:bCs/>
        </w:rPr>
        <w:t>entidad federativa</w:t>
      </w:r>
      <w:r w:rsidRPr="00AA2C65">
        <w:rPr>
          <w:rFonts w:ascii="Calibri" w:eastAsia="Calibri" w:hAnsi="Calibri" w:cs="Calibri"/>
          <w:bCs/>
        </w:rPr>
        <w:t xml:space="preserve"> elaborar una MIR estatal del FAFEF en la que se considere vincular los indicadores de las MIR de los Pp con la MIR FAFEF estatal y la MIR FAFEF para el ámbito federal, para ello puede realizarse una MIR en cascada o sencillamente indicadores para cada rubro de gasto y su vinculación con otros instrumentos del Estado.</w:t>
      </w:r>
      <w:r w:rsidR="00B11F24">
        <w:rPr>
          <w:rFonts w:ascii="Arial" w:eastAsia="Calibri" w:hAnsi="Arial" w:cs="Arial"/>
          <w:bCs/>
          <w:sz w:val="20"/>
          <w:szCs w:val="20"/>
        </w:rPr>
        <w:br w:type="page"/>
      </w:r>
    </w:p>
    <w:p w14:paraId="26F0D09C" w14:textId="536A97EF" w:rsidR="00EE2253" w:rsidRPr="00B81E48" w:rsidRDefault="00EE2253" w:rsidP="005B684A">
      <w:pPr>
        <w:pStyle w:val="Anexo"/>
      </w:pPr>
      <w:bookmarkStart w:id="148" w:name="_Toc47933870"/>
      <w:bookmarkStart w:id="149" w:name="_Toc51291530"/>
      <w:bookmarkStart w:id="150" w:name="_Toc55411208"/>
      <w:bookmarkStart w:id="151" w:name="_Toc55580102"/>
      <w:bookmarkStart w:id="152" w:name="_Toc56496633"/>
      <w:bookmarkStart w:id="153" w:name="_Toc61633659"/>
      <w:r w:rsidRPr="00B81E48">
        <w:lastRenderedPageBreak/>
        <w:t>Anexo 4</w:t>
      </w:r>
      <w:r w:rsidR="00021938">
        <w:t>.</w:t>
      </w:r>
      <w:r w:rsidRPr="00B81E48">
        <w:t xml:space="preserve"> Evolución de la Cobertura.</w:t>
      </w:r>
      <w:bookmarkEnd w:id="148"/>
      <w:bookmarkEnd w:id="149"/>
      <w:bookmarkEnd w:id="150"/>
      <w:bookmarkEnd w:id="151"/>
      <w:bookmarkEnd w:id="152"/>
      <w:bookmarkEnd w:id="153"/>
    </w:p>
    <w:p w14:paraId="4CF90265" w14:textId="77777777" w:rsidR="0043585F" w:rsidRPr="0043585F" w:rsidRDefault="0043585F" w:rsidP="0043585F">
      <w:pPr>
        <w:spacing w:before="0" w:after="0"/>
        <w:rPr>
          <w:rFonts w:cstheme="minorHAnsi"/>
          <w:sz w:val="20"/>
          <w:szCs w:val="20"/>
        </w:rPr>
      </w:pPr>
      <w:r w:rsidRPr="0043585F">
        <w:rPr>
          <w:rFonts w:cstheme="minorHAnsi"/>
          <w:sz w:val="20"/>
          <w:szCs w:val="20"/>
        </w:rPr>
        <w:t xml:space="preserve">Nombre del Fondo: </w:t>
      </w:r>
      <w:r w:rsidRPr="0043585F">
        <w:rPr>
          <w:rFonts w:cstheme="minorHAnsi"/>
          <w:b/>
          <w:bCs/>
          <w:sz w:val="20"/>
          <w:szCs w:val="20"/>
        </w:rPr>
        <w:t>Fondo de Aportaciones para el Fortalecimiento de las Entidades Federativas (FAFEF)</w:t>
      </w:r>
    </w:p>
    <w:p w14:paraId="421DE7A9" w14:textId="77777777" w:rsidR="00DD3564" w:rsidRPr="00187BC7" w:rsidRDefault="00DD3564" w:rsidP="00DD3564">
      <w:pPr>
        <w:autoSpaceDE w:val="0"/>
        <w:autoSpaceDN w:val="0"/>
        <w:adjustRightInd w:val="0"/>
        <w:snapToGrid w:val="0"/>
        <w:spacing w:before="0" w:after="0"/>
        <w:rPr>
          <w:rFonts w:cs="Arial"/>
          <w:b/>
          <w:sz w:val="20"/>
          <w:szCs w:val="21"/>
        </w:rPr>
      </w:pPr>
      <w:r w:rsidRPr="00187BC7">
        <w:rPr>
          <w:rFonts w:cs="Arial"/>
          <w:bCs/>
          <w:sz w:val="20"/>
          <w:szCs w:val="21"/>
        </w:rPr>
        <w:t xml:space="preserve">Modalidad: </w:t>
      </w:r>
      <w:r w:rsidRPr="00187BC7">
        <w:rPr>
          <w:rFonts w:cs="Arial"/>
          <w:b/>
          <w:sz w:val="20"/>
          <w:szCs w:val="21"/>
        </w:rPr>
        <w:t>I-Gasto federalizado</w:t>
      </w:r>
    </w:p>
    <w:p w14:paraId="07DDBA21" w14:textId="047F6F01" w:rsidR="0043585F" w:rsidRPr="0043585F" w:rsidRDefault="0043585F" w:rsidP="0043585F">
      <w:pPr>
        <w:spacing w:before="0" w:after="0"/>
        <w:rPr>
          <w:rFonts w:cstheme="minorHAnsi"/>
          <w:sz w:val="20"/>
          <w:szCs w:val="20"/>
        </w:rPr>
      </w:pPr>
      <w:r w:rsidRPr="0043585F">
        <w:rPr>
          <w:rFonts w:cstheme="minorHAnsi"/>
          <w:sz w:val="20"/>
          <w:szCs w:val="20"/>
        </w:rPr>
        <w:t>Clave(s) presupuestaria(s):</w:t>
      </w:r>
      <w:r w:rsidRPr="0043585F">
        <w:rPr>
          <w:rFonts w:cstheme="minorHAnsi"/>
          <w:b/>
          <w:bCs/>
          <w:sz w:val="20"/>
          <w:szCs w:val="20"/>
        </w:rPr>
        <w:t xml:space="preserve"> I012</w:t>
      </w:r>
    </w:p>
    <w:p w14:paraId="603A4ADE" w14:textId="77777777" w:rsidR="0043585F" w:rsidRPr="0043585F" w:rsidRDefault="0043585F" w:rsidP="0043585F">
      <w:pPr>
        <w:spacing w:before="0" w:after="0"/>
        <w:rPr>
          <w:rFonts w:cstheme="minorHAnsi"/>
          <w:sz w:val="20"/>
          <w:szCs w:val="20"/>
        </w:rPr>
      </w:pPr>
      <w:r w:rsidRPr="0043585F">
        <w:rPr>
          <w:rFonts w:cstheme="minorHAnsi"/>
          <w:sz w:val="20"/>
          <w:szCs w:val="20"/>
        </w:rPr>
        <w:t xml:space="preserve">Entidad Federativa: </w:t>
      </w:r>
      <w:r w:rsidRPr="0043585F">
        <w:rPr>
          <w:rFonts w:cstheme="minorHAnsi"/>
          <w:b/>
          <w:bCs/>
          <w:sz w:val="20"/>
          <w:szCs w:val="20"/>
        </w:rPr>
        <w:t>Tamaulipas</w:t>
      </w:r>
    </w:p>
    <w:p w14:paraId="37572068" w14:textId="77777777" w:rsidR="0043585F" w:rsidRPr="0043585F" w:rsidRDefault="0043585F" w:rsidP="0043585F">
      <w:pPr>
        <w:spacing w:before="0" w:after="0"/>
        <w:rPr>
          <w:rFonts w:cstheme="minorHAnsi"/>
          <w:sz w:val="20"/>
          <w:szCs w:val="20"/>
        </w:rPr>
      </w:pPr>
      <w:r w:rsidRPr="0043585F">
        <w:rPr>
          <w:rFonts w:cstheme="minorHAnsi"/>
          <w:sz w:val="20"/>
          <w:szCs w:val="20"/>
        </w:rPr>
        <w:t xml:space="preserve">Dependencia Coordinadora: </w:t>
      </w:r>
      <w:r w:rsidRPr="0043585F">
        <w:rPr>
          <w:rFonts w:cstheme="minorHAnsi"/>
          <w:b/>
          <w:bCs/>
          <w:sz w:val="20"/>
          <w:szCs w:val="20"/>
        </w:rPr>
        <w:t>Dirección General de Programación y Presupuesto “A” (DGPyP “A”)</w:t>
      </w:r>
    </w:p>
    <w:p w14:paraId="248315FE" w14:textId="5E816FD4" w:rsidR="0043585F" w:rsidRPr="0043585F" w:rsidRDefault="0043585F" w:rsidP="0043585F">
      <w:pPr>
        <w:spacing w:before="0" w:after="0"/>
        <w:rPr>
          <w:rFonts w:cstheme="minorHAnsi"/>
          <w:b/>
          <w:bCs/>
          <w:sz w:val="20"/>
          <w:szCs w:val="20"/>
        </w:rPr>
      </w:pPr>
      <w:r w:rsidRPr="0043585F">
        <w:rPr>
          <w:rFonts w:cstheme="minorHAnsi"/>
          <w:sz w:val="20"/>
          <w:szCs w:val="20"/>
        </w:rPr>
        <w:t xml:space="preserve">Unidad(es) Responsable(s) o Ejecutora(s): </w:t>
      </w:r>
      <w:r w:rsidRPr="0043585F">
        <w:rPr>
          <w:rFonts w:cstheme="minorHAnsi"/>
          <w:b/>
          <w:bCs/>
          <w:sz w:val="20"/>
          <w:szCs w:val="20"/>
        </w:rPr>
        <w:t>Secretaría de Finanzas de Tamaulipas</w:t>
      </w:r>
    </w:p>
    <w:p w14:paraId="53EF6D71" w14:textId="77777777" w:rsidR="0043585F" w:rsidRPr="0043585F" w:rsidRDefault="0043585F" w:rsidP="0043585F">
      <w:pPr>
        <w:spacing w:before="0" w:after="0"/>
        <w:rPr>
          <w:rFonts w:cstheme="minorHAnsi"/>
          <w:sz w:val="20"/>
          <w:szCs w:val="20"/>
        </w:rPr>
      </w:pPr>
      <w:r w:rsidRPr="0043585F">
        <w:rPr>
          <w:rFonts w:cstheme="minorHAnsi"/>
          <w:sz w:val="20"/>
          <w:szCs w:val="20"/>
        </w:rPr>
        <w:t xml:space="preserve">Tipo de Evaluación: </w:t>
      </w:r>
      <w:r w:rsidRPr="0043585F">
        <w:rPr>
          <w:rFonts w:cstheme="minorHAnsi"/>
          <w:b/>
          <w:bCs/>
          <w:sz w:val="20"/>
          <w:szCs w:val="20"/>
        </w:rPr>
        <w:t>Estratégica</w:t>
      </w:r>
      <w:r w:rsidRPr="0043585F">
        <w:rPr>
          <w:rFonts w:cstheme="minorHAnsi"/>
          <w:sz w:val="20"/>
          <w:szCs w:val="20"/>
        </w:rPr>
        <w:t xml:space="preserve"> </w:t>
      </w:r>
    </w:p>
    <w:p w14:paraId="6D91D0CE" w14:textId="23465C6C" w:rsidR="0043585F" w:rsidRPr="0043585F" w:rsidRDefault="0043585F" w:rsidP="0043585F">
      <w:pPr>
        <w:spacing w:before="0" w:after="240"/>
        <w:rPr>
          <w:rFonts w:cstheme="minorHAnsi"/>
          <w:sz w:val="20"/>
          <w:szCs w:val="20"/>
        </w:rPr>
      </w:pPr>
      <w:r w:rsidRPr="0043585F">
        <w:rPr>
          <w:rFonts w:cstheme="minorHAnsi"/>
          <w:sz w:val="20"/>
          <w:szCs w:val="20"/>
        </w:rPr>
        <w:t xml:space="preserve">Año de la Evaluación: </w:t>
      </w:r>
      <w:r w:rsidRPr="0043585F">
        <w:rPr>
          <w:rFonts w:cstheme="minorHAnsi"/>
          <w:b/>
          <w:bCs/>
          <w:sz w:val="20"/>
          <w:szCs w:val="20"/>
        </w:rPr>
        <w:t>2018</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3123"/>
        <w:gridCol w:w="1703"/>
        <w:gridCol w:w="1703"/>
        <w:gridCol w:w="1703"/>
        <w:gridCol w:w="1703"/>
        <w:gridCol w:w="1521"/>
      </w:tblGrid>
      <w:tr w:rsidR="00CF0ADC" w:rsidRPr="000400B9" w14:paraId="1B65ECE0" w14:textId="77777777" w:rsidTr="00DD3564">
        <w:trPr>
          <w:trHeight w:val="248"/>
          <w:tblHeader/>
          <w:jc w:val="center"/>
        </w:trPr>
        <w:tc>
          <w:tcPr>
            <w:tcW w:w="781" w:type="pct"/>
            <w:tcBorders>
              <w:top w:val="single" w:sz="4" w:space="0" w:color="auto"/>
              <w:left w:val="single" w:sz="4" w:space="0" w:color="auto"/>
              <w:bottom w:val="single" w:sz="4" w:space="0" w:color="auto"/>
              <w:right w:val="single" w:sz="4" w:space="0" w:color="auto"/>
            </w:tcBorders>
            <w:shd w:val="clear" w:color="auto" w:fill="9CC2E5"/>
            <w:vAlign w:val="center"/>
            <w:hideMark/>
          </w:tcPr>
          <w:p w14:paraId="2258FEF0"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 xml:space="preserve">Población </w:t>
            </w:r>
          </w:p>
        </w:tc>
        <w:tc>
          <w:tcPr>
            <w:tcW w:w="1150" w:type="pct"/>
            <w:tcBorders>
              <w:top w:val="single" w:sz="4" w:space="0" w:color="auto"/>
              <w:left w:val="single" w:sz="4" w:space="0" w:color="auto"/>
              <w:right w:val="single" w:sz="4" w:space="0" w:color="auto"/>
            </w:tcBorders>
            <w:shd w:val="clear" w:color="auto" w:fill="9CC2E5"/>
            <w:vAlign w:val="center"/>
          </w:tcPr>
          <w:p w14:paraId="4B38F89B" w14:textId="0486553F"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Unidad de Medida</w:t>
            </w:r>
          </w:p>
        </w:tc>
        <w:tc>
          <w:tcPr>
            <w:tcW w:w="627" w:type="pct"/>
            <w:tcBorders>
              <w:top w:val="single" w:sz="4" w:space="0" w:color="auto"/>
              <w:left w:val="single" w:sz="4" w:space="0" w:color="auto"/>
              <w:right w:val="single" w:sz="4" w:space="0" w:color="auto"/>
            </w:tcBorders>
            <w:shd w:val="clear" w:color="auto" w:fill="9CC2E5"/>
          </w:tcPr>
          <w:p w14:paraId="63A62DB8"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Año 2014</w:t>
            </w:r>
          </w:p>
        </w:tc>
        <w:tc>
          <w:tcPr>
            <w:tcW w:w="627" w:type="pct"/>
            <w:tcBorders>
              <w:top w:val="single" w:sz="4" w:space="0" w:color="auto"/>
              <w:left w:val="single" w:sz="4" w:space="0" w:color="auto"/>
              <w:right w:val="single" w:sz="4" w:space="0" w:color="auto"/>
            </w:tcBorders>
            <w:shd w:val="clear" w:color="auto" w:fill="9CC2E5"/>
          </w:tcPr>
          <w:p w14:paraId="7934DCC2"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Año 2015</w:t>
            </w:r>
          </w:p>
        </w:tc>
        <w:tc>
          <w:tcPr>
            <w:tcW w:w="627" w:type="pct"/>
            <w:tcBorders>
              <w:top w:val="single" w:sz="4" w:space="0" w:color="auto"/>
              <w:left w:val="single" w:sz="4" w:space="0" w:color="auto"/>
              <w:bottom w:val="single" w:sz="4" w:space="0" w:color="auto"/>
              <w:right w:val="single" w:sz="4" w:space="0" w:color="auto"/>
            </w:tcBorders>
            <w:shd w:val="clear" w:color="auto" w:fill="9CC2E5"/>
            <w:vAlign w:val="center"/>
          </w:tcPr>
          <w:p w14:paraId="7C05F469"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Año 2016</w:t>
            </w:r>
          </w:p>
        </w:tc>
        <w:tc>
          <w:tcPr>
            <w:tcW w:w="627" w:type="pct"/>
            <w:tcBorders>
              <w:top w:val="single" w:sz="4" w:space="0" w:color="auto"/>
              <w:left w:val="single" w:sz="4" w:space="0" w:color="auto"/>
              <w:bottom w:val="single" w:sz="4" w:space="0" w:color="auto"/>
              <w:right w:val="single" w:sz="4" w:space="0" w:color="auto"/>
            </w:tcBorders>
            <w:shd w:val="clear" w:color="auto" w:fill="9CC2E5"/>
            <w:vAlign w:val="center"/>
          </w:tcPr>
          <w:p w14:paraId="0B7E5CC1"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Año 2017</w:t>
            </w:r>
          </w:p>
        </w:tc>
        <w:tc>
          <w:tcPr>
            <w:tcW w:w="560" w:type="pct"/>
            <w:tcBorders>
              <w:top w:val="single" w:sz="4" w:space="0" w:color="auto"/>
              <w:left w:val="single" w:sz="4" w:space="0" w:color="auto"/>
              <w:bottom w:val="single" w:sz="4" w:space="0" w:color="auto"/>
              <w:right w:val="single" w:sz="4" w:space="0" w:color="auto"/>
            </w:tcBorders>
            <w:shd w:val="clear" w:color="auto" w:fill="9CC2E5"/>
            <w:vAlign w:val="center"/>
          </w:tcPr>
          <w:p w14:paraId="09B90E4A" w14:textId="77777777" w:rsidR="00CF0ADC" w:rsidRPr="000400B9" w:rsidRDefault="00CF0ADC" w:rsidP="001C568B">
            <w:pPr>
              <w:spacing w:before="60" w:after="60"/>
              <w:jc w:val="center"/>
              <w:rPr>
                <w:rFonts w:eastAsia="Times New Roman" w:cs="Arial"/>
                <w:b/>
                <w:bCs/>
                <w:color w:val="000000"/>
                <w:sz w:val="20"/>
                <w:szCs w:val="20"/>
                <w:lang w:eastAsia="es-MX"/>
              </w:rPr>
            </w:pPr>
            <w:r w:rsidRPr="000400B9">
              <w:rPr>
                <w:rFonts w:eastAsia="Times New Roman" w:cs="Arial"/>
                <w:b/>
                <w:bCs/>
                <w:color w:val="000000"/>
                <w:sz w:val="20"/>
                <w:szCs w:val="20"/>
                <w:lang w:eastAsia="es-MX"/>
              </w:rPr>
              <w:t>Año 2018</w:t>
            </w:r>
          </w:p>
        </w:tc>
      </w:tr>
      <w:tr w:rsidR="00CF0ADC" w:rsidRPr="000400B9" w14:paraId="27006686" w14:textId="77777777" w:rsidTr="00DD3564">
        <w:trPr>
          <w:trHeight w:val="260"/>
          <w:jc w:val="center"/>
        </w:trPr>
        <w:tc>
          <w:tcPr>
            <w:tcW w:w="781" w:type="pct"/>
            <w:tcBorders>
              <w:top w:val="single" w:sz="4" w:space="0" w:color="auto"/>
              <w:left w:val="single" w:sz="4" w:space="0" w:color="auto"/>
              <w:bottom w:val="single" w:sz="4" w:space="0" w:color="auto"/>
              <w:right w:val="single" w:sz="4" w:space="0" w:color="auto"/>
            </w:tcBorders>
            <w:vAlign w:val="center"/>
          </w:tcPr>
          <w:p w14:paraId="303D057F" w14:textId="77777777" w:rsidR="00CF0ADC" w:rsidRPr="000400B9" w:rsidRDefault="00CF0ADC" w:rsidP="001C568B">
            <w:pPr>
              <w:spacing w:before="60" w:after="60"/>
              <w:jc w:val="left"/>
              <w:rPr>
                <w:rFonts w:eastAsia="Times New Roman" w:cs="Arial"/>
                <w:b/>
                <w:bCs/>
                <w:color w:val="000000"/>
                <w:sz w:val="20"/>
                <w:szCs w:val="20"/>
                <w:lang w:eastAsia="es-MX"/>
              </w:rPr>
            </w:pPr>
            <w:r w:rsidRPr="000400B9">
              <w:rPr>
                <w:rFonts w:eastAsia="Times New Roman" w:cs="Arial"/>
                <w:b/>
                <w:bCs/>
                <w:color w:val="000000"/>
                <w:sz w:val="20"/>
                <w:szCs w:val="20"/>
                <w:lang w:eastAsia="es-MX"/>
              </w:rPr>
              <w:t>Potencial (P)</w:t>
            </w:r>
          </w:p>
        </w:tc>
        <w:tc>
          <w:tcPr>
            <w:tcW w:w="1150" w:type="pct"/>
            <w:tcBorders>
              <w:top w:val="single" w:sz="4" w:space="0" w:color="auto"/>
              <w:left w:val="single" w:sz="4" w:space="0" w:color="auto"/>
              <w:bottom w:val="single" w:sz="4" w:space="0" w:color="auto"/>
              <w:right w:val="single" w:sz="4" w:space="0" w:color="auto"/>
            </w:tcBorders>
            <w:vAlign w:val="center"/>
          </w:tcPr>
          <w:p w14:paraId="3008B4DA"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590ECF42"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2831FC6E"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20ADDF8E"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49660B06" w14:textId="77777777" w:rsidR="00CF0ADC" w:rsidRPr="000400B9" w:rsidRDefault="00CF0ADC" w:rsidP="001C568B">
            <w:pPr>
              <w:spacing w:before="60" w:after="60"/>
              <w:jc w:val="center"/>
              <w:rPr>
                <w:rFonts w:eastAsia="Times New Roman" w:cs="Arial"/>
                <w:color w:val="000000"/>
                <w:sz w:val="20"/>
                <w:szCs w:val="20"/>
                <w:lang w:eastAsia="es-MX"/>
              </w:rPr>
            </w:pPr>
          </w:p>
        </w:tc>
        <w:tc>
          <w:tcPr>
            <w:tcW w:w="560" w:type="pct"/>
          </w:tcPr>
          <w:p w14:paraId="6AC1C71C" w14:textId="77777777" w:rsidR="00CF0ADC" w:rsidRPr="000400B9" w:rsidRDefault="00CF0ADC" w:rsidP="001C568B">
            <w:pPr>
              <w:spacing w:before="60" w:after="60"/>
              <w:jc w:val="center"/>
              <w:rPr>
                <w:rFonts w:eastAsia="MS Mincho" w:cs="Arial"/>
                <w:kern w:val="2"/>
                <w:sz w:val="20"/>
                <w:szCs w:val="20"/>
                <w:lang w:eastAsia="ja-JP"/>
              </w:rPr>
            </w:pPr>
          </w:p>
        </w:tc>
      </w:tr>
      <w:tr w:rsidR="00CF0ADC" w:rsidRPr="000400B9" w14:paraId="0ED4D577" w14:textId="77777777" w:rsidTr="00DD3564">
        <w:trPr>
          <w:trHeight w:val="260"/>
          <w:jc w:val="center"/>
        </w:trPr>
        <w:tc>
          <w:tcPr>
            <w:tcW w:w="781" w:type="pct"/>
            <w:tcBorders>
              <w:top w:val="single" w:sz="4" w:space="0" w:color="auto"/>
              <w:left w:val="single" w:sz="4" w:space="0" w:color="auto"/>
              <w:bottom w:val="single" w:sz="4" w:space="0" w:color="auto"/>
              <w:right w:val="single" w:sz="4" w:space="0" w:color="auto"/>
            </w:tcBorders>
            <w:vAlign w:val="center"/>
          </w:tcPr>
          <w:p w14:paraId="5569E4FE" w14:textId="77777777" w:rsidR="00CF0ADC" w:rsidRPr="000400B9" w:rsidRDefault="00CF0ADC" w:rsidP="001C568B">
            <w:pPr>
              <w:spacing w:before="60" w:after="60"/>
              <w:jc w:val="left"/>
              <w:rPr>
                <w:rFonts w:eastAsia="Times New Roman" w:cs="Arial"/>
                <w:b/>
                <w:bCs/>
                <w:color w:val="000000"/>
                <w:sz w:val="20"/>
                <w:szCs w:val="20"/>
                <w:lang w:eastAsia="es-MX"/>
              </w:rPr>
            </w:pPr>
            <w:r w:rsidRPr="000400B9">
              <w:rPr>
                <w:rFonts w:eastAsia="Times New Roman" w:cs="Arial"/>
                <w:b/>
                <w:bCs/>
                <w:color w:val="000000"/>
                <w:sz w:val="20"/>
                <w:szCs w:val="20"/>
                <w:lang w:eastAsia="es-MX"/>
              </w:rPr>
              <w:t>Objetivo (O)</w:t>
            </w:r>
          </w:p>
        </w:tc>
        <w:tc>
          <w:tcPr>
            <w:tcW w:w="1150" w:type="pct"/>
            <w:tcBorders>
              <w:top w:val="single" w:sz="4" w:space="0" w:color="auto"/>
              <w:left w:val="single" w:sz="4" w:space="0" w:color="auto"/>
              <w:bottom w:val="single" w:sz="4" w:space="0" w:color="auto"/>
              <w:right w:val="single" w:sz="4" w:space="0" w:color="auto"/>
            </w:tcBorders>
            <w:vAlign w:val="center"/>
          </w:tcPr>
          <w:p w14:paraId="5A82B498"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635720A1"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208BB288"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2A4CD06B"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5FE45782" w14:textId="77777777" w:rsidR="00CF0ADC" w:rsidRPr="000400B9" w:rsidRDefault="00CF0ADC" w:rsidP="001C568B">
            <w:pPr>
              <w:spacing w:before="60" w:after="60"/>
              <w:jc w:val="center"/>
              <w:rPr>
                <w:rFonts w:eastAsia="Times New Roman" w:cs="Arial"/>
                <w:color w:val="000000"/>
                <w:sz w:val="20"/>
                <w:szCs w:val="20"/>
                <w:lang w:eastAsia="es-MX"/>
              </w:rPr>
            </w:pPr>
          </w:p>
        </w:tc>
        <w:tc>
          <w:tcPr>
            <w:tcW w:w="560" w:type="pct"/>
          </w:tcPr>
          <w:p w14:paraId="55FE10BC" w14:textId="77777777" w:rsidR="00CF0ADC" w:rsidRPr="000400B9" w:rsidRDefault="00CF0ADC" w:rsidP="001C568B">
            <w:pPr>
              <w:spacing w:before="60" w:after="60"/>
              <w:jc w:val="center"/>
              <w:rPr>
                <w:rFonts w:eastAsia="MS Mincho" w:cs="Arial"/>
                <w:kern w:val="2"/>
                <w:sz w:val="20"/>
                <w:szCs w:val="20"/>
                <w:lang w:eastAsia="ja-JP"/>
              </w:rPr>
            </w:pPr>
          </w:p>
        </w:tc>
      </w:tr>
      <w:tr w:rsidR="00CF0ADC" w:rsidRPr="000400B9" w14:paraId="311284AA" w14:textId="77777777" w:rsidTr="00DD3564">
        <w:trPr>
          <w:trHeight w:val="260"/>
          <w:jc w:val="center"/>
        </w:trPr>
        <w:tc>
          <w:tcPr>
            <w:tcW w:w="781" w:type="pct"/>
            <w:tcBorders>
              <w:top w:val="single" w:sz="4" w:space="0" w:color="auto"/>
              <w:left w:val="single" w:sz="4" w:space="0" w:color="auto"/>
              <w:bottom w:val="single" w:sz="4" w:space="0" w:color="auto"/>
              <w:right w:val="single" w:sz="4" w:space="0" w:color="auto"/>
            </w:tcBorders>
            <w:vAlign w:val="center"/>
          </w:tcPr>
          <w:p w14:paraId="160DEF8E" w14:textId="0AB360AB" w:rsidR="00CF0ADC" w:rsidRPr="000400B9" w:rsidRDefault="00CF0ADC" w:rsidP="001C568B">
            <w:pPr>
              <w:spacing w:before="60" w:after="60"/>
              <w:jc w:val="left"/>
              <w:rPr>
                <w:rFonts w:eastAsia="Times New Roman" w:cs="Arial"/>
                <w:b/>
                <w:bCs/>
                <w:color w:val="000000"/>
                <w:sz w:val="20"/>
                <w:szCs w:val="20"/>
                <w:lang w:eastAsia="es-MX"/>
              </w:rPr>
            </w:pPr>
            <w:r w:rsidRPr="000400B9">
              <w:rPr>
                <w:rFonts w:eastAsia="Times New Roman" w:cs="Arial"/>
                <w:b/>
                <w:bCs/>
                <w:color w:val="000000"/>
                <w:sz w:val="20"/>
                <w:szCs w:val="20"/>
                <w:lang w:eastAsia="es-MX"/>
              </w:rPr>
              <w:t>Atendida (A)</w:t>
            </w:r>
            <w:r w:rsidRPr="000400B9">
              <w:rPr>
                <w:rStyle w:val="Refdenotaalpie"/>
                <w:rFonts w:eastAsia="Times New Roman" w:cs="Arial"/>
                <w:b/>
                <w:bCs/>
                <w:color w:val="000000"/>
                <w:sz w:val="20"/>
                <w:szCs w:val="20"/>
                <w:lang w:eastAsia="es-MX"/>
              </w:rPr>
              <w:footnoteReference w:id="24"/>
            </w:r>
          </w:p>
        </w:tc>
        <w:tc>
          <w:tcPr>
            <w:tcW w:w="1150" w:type="pct"/>
            <w:tcBorders>
              <w:top w:val="single" w:sz="4" w:space="0" w:color="auto"/>
              <w:left w:val="single" w:sz="4" w:space="0" w:color="auto"/>
              <w:bottom w:val="single" w:sz="4" w:space="0" w:color="auto"/>
              <w:right w:val="single" w:sz="4" w:space="0" w:color="auto"/>
            </w:tcBorders>
            <w:vAlign w:val="center"/>
          </w:tcPr>
          <w:p w14:paraId="2FABCC57"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6CCAF075"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shd w:val="clear" w:color="auto" w:fill="auto"/>
          </w:tcPr>
          <w:p w14:paraId="4077A3F4"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48D98D66"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Pr>
          <w:p w14:paraId="5D126003" w14:textId="77777777" w:rsidR="00CF0ADC" w:rsidRPr="000400B9" w:rsidRDefault="00CF0ADC" w:rsidP="001C568B">
            <w:pPr>
              <w:spacing w:before="60" w:after="60"/>
              <w:jc w:val="center"/>
              <w:rPr>
                <w:rFonts w:eastAsia="Times New Roman" w:cs="Arial"/>
                <w:color w:val="000000"/>
                <w:sz w:val="20"/>
                <w:szCs w:val="20"/>
                <w:lang w:eastAsia="es-MX"/>
              </w:rPr>
            </w:pPr>
          </w:p>
        </w:tc>
        <w:tc>
          <w:tcPr>
            <w:tcW w:w="560" w:type="pct"/>
          </w:tcPr>
          <w:p w14:paraId="24FA4AC1" w14:textId="77777777" w:rsidR="00CF0ADC" w:rsidRPr="000400B9" w:rsidRDefault="00CF0ADC" w:rsidP="001C568B">
            <w:pPr>
              <w:spacing w:before="60" w:after="60"/>
              <w:jc w:val="center"/>
              <w:rPr>
                <w:rFonts w:eastAsia="Times New Roman" w:cs="Arial"/>
                <w:color w:val="000000"/>
                <w:sz w:val="20"/>
                <w:szCs w:val="20"/>
                <w:lang w:eastAsia="es-MX"/>
              </w:rPr>
            </w:pPr>
          </w:p>
        </w:tc>
      </w:tr>
      <w:tr w:rsidR="00CF0ADC" w:rsidRPr="000400B9" w14:paraId="25657A1A" w14:textId="77777777" w:rsidTr="00DD3564">
        <w:trPr>
          <w:trHeight w:val="260"/>
          <w:jc w:val="center"/>
        </w:trPr>
        <w:tc>
          <w:tcPr>
            <w:tcW w:w="781" w:type="pct"/>
            <w:tcBorders>
              <w:top w:val="single" w:sz="4" w:space="0" w:color="auto"/>
              <w:left w:val="single" w:sz="4" w:space="0" w:color="auto"/>
              <w:bottom w:val="single" w:sz="4" w:space="0" w:color="auto"/>
              <w:right w:val="single" w:sz="4" w:space="0" w:color="auto"/>
            </w:tcBorders>
            <w:vAlign w:val="center"/>
          </w:tcPr>
          <w:p w14:paraId="2E782A3A" w14:textId="77777777" w:rsidR="00CF0ADC" w:rsidRPr="000400B9" w:rsidRDefault="00CF0ADC" w:rsidP="001C568B">
            <w:pPr>
              <w:spacing w:before="60" w:after="60"/>
              <w:jc w:val="left"/>
              <w:rPr>
                <w:rFonts w:eastAsia="Times New Roman" w:cs="Arial"/>
                <w:b/>
                <w:bCs/>
                <w:color w:val="000000"/>
                <w:sz w:val="20"/>
                <w:szCs w:val="20"/>
                <w:lang w:eastAsia="es-MX"/>
              </w:rPr>
            </w:pPr>
            <w:r w:rsidRPr="000400B9">
              <w:rPr>
                <w:rFonts w:eastAsia="Times New Roman" w:cs="Arial"/>
                <w:b/>
                <w:bCs/>
                <w:color w:val="000000"/>
                <w:sz w:val="20"/>
                <w:szCs w:val="20"/>
                <w:lang w:eastAsia="es-MX"/>
              </w:rPr>
              <w:t>(A/O) x 100</w:t>
            </w:r>
          </w:p>
        </w:tc>
        <w:tc>
          <w:tcPr>
            <w:tcW w:w="1150" w:type="pct"/>
            <w:tcBorders>
              <w:top w:val="single" w:sz="4" w:space="0" w:color="auto"/>
              <w:left w:val="single" w:sz="4" w:space="0" w:color="auto"/>
              <w:bottom w:val="single" w:sz="4" w:space="0" w:color="auto"/>
              <w:right w:val="single" w:sz="4" w:space="0" w:color="auto"/>
            </w:tcBorders>
            <w:vAlign w:val="center"/>
          </w:tcPr>
          <w:p w14:paraId="52F8BCF3"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Borders>
              <w:top w:val="single" w:sz="4" w:space="0" w:color="auto"/>
              <w:left w:val="single" w:sz="4" w:space="0" w:color="auto"/>
              <w:bottom w:val="single" w:sz="4" w:space="0" w:color="auto"/>
              <w:right w:val="single" w:sz="4" w:space="0" w:color="auto"/>
            </w:tcBorders>
          </w:tcPr>
          <w:p w14:paraId="2B7593DD"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Borders>
              <w:top w:val="single" w:sz="4" w:space="0" w:color="auto"/>
              <w:left w:val="single" w:sz="4" w:space="0" w:color="auto"/>
              <w:bottom w:val="single" w:sz="4" w:space="0" w:color="auto"/>
              <w:right w:val="single" w:sz="4" w:space="0" w:color="auto"/>
            </w:tcBorders>
          </w:tcPr>
          <w:p w14:paraId="58B65A1A"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Borders>
              <w:top w:val="single" w:sz="4" w:space="0" w:color="auto"/>
              <w:left w:val="single" w:sz="4" w:space="0" w:color="auto"/>
              <w:bottom w:val="single" w:sz="4" w:space="0" w:color="auto"/>
              <w:right w:val="single" w:sz="4" w:space="0" w:color="auto"/>
            </w:tcBorders>
            <w:vAlign w:val="center"/>
          </w:tcPr>
          <w:p w14:paraId="66AB88F6" w14:textId="77777777" w:rsidR="00CF0ADC" w:rsidRPr="000400B9" w:rsidRDefault="00CF0ADC" w:rsidP="001C568B">
            <w:pPr>
              <w:spacing w:before="60" w:after="60"/>
              <w:jc w:val="center"/>
              <w:rPr>
                <w:rFonts w:eastAsia="Times New Roman" w:cs="Arial"/>
                <w:color w:val="000000"/>
                <w:sz w:val="20"/>
                <w:szCs w:val="20"/>
                <w:lang w:eastAsia="es-MX"/>
              </w:rPr>
            </w:pPr>
          </w:p>
        </w:tc>
        <w:tc>
          <w:tcPr>
            <w:tcW w:w="627" w:type="pct"/>
            <w:tcBorders>
              <w:top w:val="single" w:sz="4" w:space="0" w:color="auto"/>
              <w:left w:val="single" w:sz="4" w:space="0" w:color="auto"/>
              <w:bottom w:val="single" w:sz="4" w:space="0" w:color="auto"/>
              <w:right w:val="single" w:sz="4" w:space="0" w:color="auto"/>
            </w:tcBorders>
          </w:tcPr>
          <w:p w14:paraId="5DB22653" w14:textId="77777777" w:rsidR="00CF0ADC" w:rsidRPr="000400B9" w:rsidRDefault="00CF0ADC" w:rsidP="001C568B">
            <w:pPr>
              <w:spacing w:before="60" w:after="60"/>
              <w:jc w:val="center"/>
              <w:rPr>
                <w:rFonts w:eastAsia="Times New Roman" w:cs="Arial"/>
                <w:color w:val="000000"/>
                <w:sz w:val="20"/>
                <w:szCs w:val="20"/>
                <w:lang w:eastAsia="es-MX"/>
              </w:rPr>
            </w:pPr>
          </w:p>
        </w:tc>
        <w:tc>
          <w:tcPr>
            <w:tcW w:w="560" w:type="pct"/>
            <w:tcBorders>
              <w:top w:val="single" w:sz="4" w:space="0" w:color="auto"/>
              <w:left w:val="single" w:sz="4" w:space="0" w:color="auto"/>
              <w:bottom w:val="single" w:sz="4" w:space="0" w:color="auto"/>
              <w:right w:val="single" w:sz="4" w:space="0" w:color="auto"/>
            </w:tcBorders>
          </w:tcPr>
          <w:p w14:paraId="167519A5" w14:textId="77777777" w:rsidR="00CF0ADC" w:rsidRPr="000400B9" w:rsidRDefault="00CF0ADC" w:rsidP="001C568B">
            <w:pPr>
              <w:spacing w:before="60" w:after="60"/>
              <w:jc w:val="center"/>
              <w:rPr>
                <w:rFonts w:eastAsia="Times New Roman" w:cs="Arial"/>
                <w:color w:val="000000"/>
                <w:sz w:val="20"/>
                <w:szCs w:val="20"/>
                <w:lang w:eastAsia="es-MX"/>
              </w:rPr>
            </w:pPr>
          </w:p>
        </w:tc>
      </w:tr>
    </w:tbl>
    <w:p w14:paraId="6E18AA8D" w14:textId="4761692C" w:rsidR="0063026B" w:rsidRPr="0063026B" w:rsidRDefault="0063026B" w:rsidP="0063026B">
      <w:pPr>
        <w:rPr>
          <w:rFonts w:cstheme="minorHAnsi"/>
        </w:rPr>
      </w:pPr>
      <w:r w:rsidRPr="0063026B">
        <w:rPr>
          <w:rFonts w:cstheme="minorHAnsi"/>
        </w:rPr>
        <w:t>No se identificó información en la que se defina la población potencial, objetivo y atendida con la aplicación de los recursos del FAFEF en la entidad</w:t>
      </w:r>
      <w:r w:rsidR="00290C1F">
        <w:rPr>
          <w:rFonts w:cstheme="minorHAnsi"/>
        </w:rPr>
        <w:t xml:space="preserve"> federativa</w:t>
      </w:r>
      <w:r w:rsidRPr="0063026B">
        <w:rPr>
          <w:rFonts w:cstheme="minorHAnsi"/>
        </w:rPr>
        <w:t>.</w:t>
      </w:r>
    </w:p>
    <w:p w14:paraId="7095A66A" w14:textId="6A4FAFA0" w:rsidR="00446F84" w:rsidRDefault="0063026B" w:rsidP="0063026B">
      <w:pPr>
        <w:rPr>
          <w:rFonts w:cstheme="minorHAnsi"/>
        </w:rPr>
      </w:pPr>
      <w:r w:rsidRPr="0063026B">
        <w:rPr>
          <w:rFonts w:cstheme="minorHAnsi"/>
        </w:rPr>
        <w:t>En el documento del Diagnóstico se expresa que “no aplica la identificación, caracterización, cuantificación y frecuencia de actualización de la población potencial u objetivo directamente relacionada con el FAFEF, ya que al ser su objetivo fortalecer los presupuestos de las entidades federativas, a las regiones que las conforman, así como contribuir a su saneamiento financiero, la población potencial del Fondo en Tamaulipas, se determina en función de la que tengan definida, en su caso, los Pp de la estructura programática estatal, a través de los cuales se priorice en cada ejercicio fiscal la utilización de dichos recursos”</w:t>
      </w:r>
      <w:r w:rsidR="00260902">
        <w:rPr>
          <w:rFonts w:cstheme="minorHAnsi"/>
        </w:rPr>
        <w:t xml:space="preserve">, </w:t>
      </w:r>
      <w:r w:rsidRPr="0063026B">
        <w:rPr>
          <w:rFonts w:cstheme="minorHAnsi"/>
        </w:rPr>
        <w:t xml:space="preserve">Al respecto, en el Periódico Oficial </w:t>
      </w:r>
      <w:r w:rsidR="00290C1F">
        <w:rPr>
          <w:rFonts w:cstheme="minorHAnsi"/>
        </w:rPr>
        <w:t>del Estado de Tamaulipas</w:t>
      </w:r>
      <w:r w:rsidRPr="0063026B">
        <w:rPr>
          <w:rFonts w:cstheme="minorHAnsi"/>
        </w:rPr>
        <w:t>, se publicaron los Lineamientos Generales para la elaboración de Reglas de Operación de los Pp y Modificaciones a las ya existentes, en aquellos casos que reciben recursos del FAFEF. En estos Lineamientos Generales, se establece la obligatoriedad de determinar la población objetivo de los programas, así como la definición de los Titulares de Derecho (beneficiarios), destacando que, como parte del proceso de selección, la instancia responsable de la operación de cada Pp debe recabar información socioeconómica de los posibles beneficiarios</w:t>
      </w:r>
      <w:r w:rsidR="004E08FF">
        <w:rPr>
          <w:rFonts w:cstheme="minorHAnsi"/>
        </w:rPr>
        <w:t>, sin embargo, estos lineamientos fueron publicados en octubre de 2018 y se comenzaron a aplicar en el ejercicio 2019</w:t>
      </w:r>
      <w:r w:rsidRPr="0063026B">
        <w:rPr>
          <w:rFonts w:cstheme="minorHAnsi"/>
        </w:rPr>
        <w:t>.</w:t>
      </w:r>
    </w:p>
    <w:p w14:paraId="79EEDFE6" w14:textId="424A76F8" w:rsidR="004E08FF" w:rsidRDefault="004E08FF" w:rsidP="0063026B">
      <w:pPr>
        <w:rPr>
          <w:rFonts w:cstheme="minorHAnsi"/>
        </w:rPr>
      </w:pPr>
      <w:r w:rsidRPr="00260902">
        <w:rPr>
          <w:rFonts w:cstheme="minorHAnsi"/>
        </w:rPr>
        <w:t>Considerando lo anterior, no se cuenta con información que permita valorar la evolución de la cobertura del FAFEF en la entidad</w:t>
      </w:r>
      <w:r w:rsidR="00BD00C8" w:rsidRPr="00260902">
        <w:rPr>
          <w:rFonts w:cstheme="minorHAnsi"/>
        </w:rPr>
        <w:t xml:space="preserve"> federativa</w:t>
      </w:r>
      <w:r w:rsidRPr="00260902">
        <w:rPr>
          <w:rFonts w:cstheme="minorHAnsi"/>
        </w:rPr>
        <w:t>, por cada rubro de gasto o por cada Pp que recibe financiamiento del Fondo.</w:t>
      </w:r>
    </w:p>
    <w:p w14:paraId="67B6FF39" w14:textId="381E3548" w:rsidR="004E08FF" w:rsidRDefault="004E08FF" w:rsidP="0063026B">
      <w:pPr>
        <w:rPr>
          <w:rFonts w:cstheme="minorHAnsi"/>
        </w:rPr>
        <w:sectPr w:rsidR="004E08FF" w:rsidSect="000D7786">
          <w:headerReference w:type="default" r:id="rId46"/>
          <w:pgSz w:w="15840" w:h="12240" w:orient="landscape" w:code="1"/>
          <w:pgMar w:top="1134" w:right="1134" w:bottom="1134" w:left="1134" w:header="425" w:footer="709" w:gutter="0"/>
          <w:cols w:space="708"/>
          <w:docGrid w:linePitch="360"/>
        </w:sectPr>
      </w:pPr>
    </w:p>
    <w:p w14:paraId="667FD973" w14:textId="17019704" w:rsidR="00336174" w:rsidRPr="00852754" w:rsidRDefault="0063026B" w:rsidP="00D57CE4">
      <w:pPr>
        <w:pStyle w:val="Anexo"/>
      </w:pPr>
      <w:bookmarkStart w:id="154" w:name="_Toc47933871"/>
      <w:bookmarkStart w:id="155" w:name="_Toc51291531"/>
      <w:bookmarkStart w:id="156" w:name="_Toc55411209"/>
      <w:bookmarkStart w:id="157" w:name="_Toc55580103"/>
      <w:bookmarkStart w:id="158" w:name="_Toc56496634"/>
      <w:bookmarkStart w:id="159" w:name="_Toc61633660"/>
      <w:r w:rsidRPr="00852754">
        <w:lastRenderedPageBreak/>
        <w:t>Anexo 5.</w:t>
      </w:r>
      <w:r w:rsidR="00826CDE">
        <w:t xml:space="preserve"> </w:t>
      </w:r>
      <w:r w:rsidRPr="00852754">
        <w:t>Diagramas de flujo de la coordinación del Fondo</w:t>
      </w:r>
      <w:bookmarkEnd w:id="154"/>
      <w:bookmarkEnd w:id="155"/>
      <w:bookmarkEnd w:id="156"/>
      <w:bookmarkEnd w:id="157"/>
      <w:bookmarkEnd w:id="158"/>
      <w:bookmarkEnd w:id="159"/>
    </w:p>
    <w:p w14:paraId="7F9230A8" w14:textId="77777777" w:rsidR="007A4B33" w:rsidRPr="00E108D0" w:rsidRDefault="007A4B33" w:rsidP="007A4B33">
      <w:pPr>
        <w:spacing w:after="360"/>
        <w:jc w:val="center"/>
        <w:rPr>
          <w:b/>
          <w:bCs/>
        </w:rPr>
      </w:pPr>
      <w:bookmarkStart w:id="160" w:name="_Hlk55385860"/>
      <w:r w:rsidRPr="00E108D0">
        <w:rPr>
          <w:b/>
          <w:bCs/>
        </w:rPr>
        <w:t>a) Diagrama de Alto Nivel (Diagrama PEPSU)</w:t>
      </w:r>
      <w:r w:rsidRPr="00E108D0">
        <w:rPr>
          <w:b/>
          <w:bCs/>
          <w:vertAlign w:val="superscript"/>
        </w:rPr>
        <w:t>1</w:t>
      </w:r>
    </w:p>
    <w:bookmarkEnd w:id="160"/>
    <w:tbl>
      <w:tblPr>
        <w:tblW w:w="50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6"/>
        <w:gridCol w:w="2092"/>
        <w:gridCol w:w="2551"/>
        <w:gridCol w:w="3686"/>
        <w:gridCol w:w="2691"/>
        <w:gridCol w:w="2268"/>
      </w:tblGrid>
      <w:tr w:rsidR="0046168C" w:rsidRPr="00A77E38" w14:paraId="2EE56A59" w14:textId="77777777" w:rsidTr="00336174">
        <w:trPr>
          <w:trHeight w:val="136"/>
          <w:tblHeader/>
        </w:trPr>
        <w:tc>
          <w:tcPr>
            <w:tcW w:w="166" w:type="pct"/>
            <w:tcBorders>
              <w:top w:val="single" w:sz="4" w:space="0" w:color="auto"/>
              <w:left w:val="single" w:sz="4" w:space="0" w:color="auto"/>
              <w:bottom w:val="single" w:sz="4" w:space="0" w:color="auto"/>
              <w:right w:val="single" w:sz="4" w:space="0" w:color="auto"/>
            </w:tcBorders>
            <w:shd w:val="clear" w:color="auto" w:fill="9CC2E5"/>
          </w:tcPr>
          <w:p w14:paraId="3F4416D7" w14:textId="77777777" w:rsidR="0046168C" w:rsidRPr="00A77E38" w:rsidRDefault="0046168C" w:rsidP="00C933C0">
            <w:pPr>
              <w:spacing w:before="0" w:after="0"/>
              <w:jc w:val="center"/>
              <w:rPr>
                <w:rFonts w:eastAsia="Times New Roman" w:cstheme="minorHAnsi"/>
                <w:b/>
                <w:bCs/>
                <w:sz w:val="20"/>
                <w:szCs w:val="20"/>
                <w:lang w:eastAsia="es-MX"/>
              </w:rPr>
            </w:pPr>
          </w:p>
        </w:tc>
        <w:tc>
          <w:tcPr>
            <w:tcW w:w="761" w:type="pct"/>
            <w:tcBorders>
              <w:top w:val="single" w:sz="4" w:space="0" w:color="auto"/>
              <w:left w:val="single" w:sz="4" w:space="0" w:color="auto"/>
              <w:bottom w:val="single" w:sz="4" w:space="0" w:color="auto"/>
              <w:right w:val="single" w:sz="4" w:space="0" w:color="auto"/>
            </w:tcBorders>
            <w:shd w:val="clear" w:color="auto" w:fill="9CC2E5"/>
            <w:hideMark/>
          </w:tcPr>
          <w:p w14:paraId="322D0C80" w14:textId="77777777" w:rsidR="0046168C" w:rsidRPr="00A77E38" w:rsidRDefault="0046168C" w:rsidP="00C933C0">
            <w:pPr>
              <w:spacing w:before="0" w:after="0"/>
              <w:jc w:val="center"/>
              <w:rPr>
                <w:rFonts w:eastAsia="Times New Roman" w:cstheme="minorHAnsi"/>
                <w:b/>
                <w:bCs/>
                <w:sz w:val="20"/>
                <w:szCs w:val="20"/>
                <w:lang w:eastAsia="es-MX"/>
              </w:rPr>
            </w:pPr>
            <w:r w:rsidRPr="00A77E38">
              <w:rPr>
                <w:rFonts w:eastAsia="Times New Roman" w:cstheme="minorHAnsi"/>
                <w:b/>
                <w:bCs/>
                <w:sz w:val="20"/>
                <w:szCs w:val="20"/>
                <w:lang w:eastAsia="es-MX"/>
              </w:rPr>
              <w:t>Proveedor</w:t>
            </w:r>
          </w:p>
        </w:tc>
        <w:tc>
          <w:tcPr>
            <w:tcW w:w="928" w:type="pct"/>
            <w:tcBorders>
              <w:top w:val="single" w:sz="4" w:space="0" w:color="auto"/>
              <w:left w:val="single" w:sz="4" w:space="0" w:color="auto"/>
              <w:right w:val="single" w:sz="4" w:space="0" w:color="auto"/>
            </w:tcBorders>
            <w:shd w:val="clear" w:color="auto" w:fill="9CC2E5"/>
          </w:tcPr>
          <w:p w14:paraId="05454E8A" w14:textId="77777777" w:rsidR="0046168C" w:rsidRPr="00A77E38" w:rsidRDefault="0046168C" w:rsidP="00C933C0">
            <w:pPr>
              <w:spacing w:before="0" w:after="0"/>
              <w:jc w:val="center"/>
              <w:rPr>
                <w:rFonts w:eastAsia="Times New Roman" w:cstheme="minorHAnsi"/>
                <w:b/>
                <w:bCs/>
                <w:sz w:val="20"/>
                <w:szCs w:val="20"/>
                <w:lang w:eastAsia="es-MX"/>
              </w:rPr>
            </w:pPr>
            <w:r w:rsidRPr="00A77E38">
              <w:rPr>
                <w:rFonts w:eastAsia="Times New Roman" w:cstheme="minorHAnsi"/>
                <w:b/>
                <w:bCs/>
                <w:sz w:val="20"/>
                <w:szCs w:val="20"/>
                <w:lang w:eastAsia="es-MX"/>
              </w:rPr>
              <w:t>Entrada</w:t>
            </w:r>
          </w:p>
        </w:tc>
        <w:tc>
          <w:tcPr>
            <w:tcW w:w="1341" w:type="pct"/>
            <w:tcBorders>
              <w:top w:val="single" w:sz="4" w:space="0" w:color="auto"/>
              <w:left w:val="single" w:sz="4" w:space="0" w:color="auto"/>
              <w:bottom w:val="single" w:sz="4" w:space="0" w:color="auto"/>
              <w:right w:val="single" w:sz="4" w:space="0" w:color="auto"/>
            </w:tcBorders>
            <w:shd w:val="clear" w:color="auto" w:fill="9CC2E5"/>
            <w:hideMark/>
          </w:tcPr>
          <w:p w14:paraId="4EE2B4E9" w14:textId="77777777" w:rsidR="0046168C" w:rsidRPr="00A77E38" w:rsidRDefault="0046168C" w:rsidP="00C933C0">
            <w:pPr>
              <w:spacing w:before="0" w:after="0"/>
              <w:jc w:val="center"/>
              <w:rPr>
                <w:rFonts w:eastAsia="Times New Roman" w:cstheme="minorHAnsi"/>
                <w:b/>
                <w:bCs/>
                <w:sz w:val="20"/>
                <w:szCs w:val="20"/>
                <w:lang w:eastAsia="es-MX"/>
              </w:rPr>
            </w:pPr>
            <w:r w:rsidRPr="00A77E38">
              <w:rPr>
                <w:rFonts w:eastAsia="Times New Roman" w:cstheme="minorHAnsi"/>
                <w:b/>
                <w:bCs/>
                <w:sz w:val="20"/>
                <w:szCs w:val="20"/>
                <w:lang w:eastAsia="es-MX"/>
              </w:rPr>
              <w:t>Proceso</w:t>
            </w:r>
          </w:p>
        </w:tc>
        <w:tc>
          <w:tcPr>
            <w:tcW w:w="979" w:type="pct"/>
            <w:tcBorders>
              <w:top w:val="single" w:sz="4" w:space="0" w:color="auto"/>
              <w:left w:val="single" w:sz="4" w:space="0" w:color="auto"/>
              <w:bottom w:val="single" w:sz="4" w:space="0" w:color="auto"/>
              <w:right w:val="single" w:sz="4" w:space="0" w:color="auto"/>
            </w:tcBorders>
            <w:shd w:val="clear" w:color="auto" w:fill="9CC2E5"/>
          </w:tcPr>
          <w:p w14:paraId="6A4331FF" w14:textId="77777777" w:rsidR="0046168C" w:rsidRPr="00A77E38" w:rsidRDefault="0046168C" w:rsidP="00C933C0">
            <w:pPr>
              <w:spacing w:before="0" w:after="0"/>
              <w:jc w:val="center"/>
              <w:rPr>
                <w:rFonts w:eastAsia="Times New Roman" w:cstheme="minorHAnsi"/>
                <w:b/>
                <w:bCs/>
                <w:sz w:val="20"/>
                <w:szCs w:val="20"/>
                <w:lang w:eastAsia="es-MX"/>
              </w:rPr>
            </w:pPr>
            <w:r w:rsidRPr="00A77E38">
              <w:rPr>
                <w:rFonts w:eastAsia="Times New Roman" w:cstheme="minorHAnsi"/>
                <w:b/>
                <w:bCs/>
                <w:sz w:val="20"/>
                <w:szCs w:val="20"/>
                <w:lang w:eastAsia="es-MX"/>
              </w:rPr>
              <w:t>Salida</w:t>
            </w:r>
          </w:p>
        </w:tc>
        <w:tc>
          <w:tcPr>
            <w:tcW w:w="825" w:type="pct"/>
            <w:tcBorders>
              <w:top w:val="single" w:sz="4" w:space="0" w:color="auto"/>
              <w:left w:val="single" w:sz="4" w:space="0" w:color="auto"/>
              <w:bottom w:val="single" w:sz="4" w:space="0" w:color="auto"/>
              <w:right w:val="single" w:sz="4" w:space="0" w:color="auto"/>
            </w:tcBorders>
            <w:shd w:val="clear" w:color="auto" w:fill="9CC2E5"/>
          </w:tcPr>
          <w:p w14:paraId="2EE1FE4C" w14:textId="77777777" w:rsidR="0046168C" w:rsidRPr="00A77E38" w:rsidRDefault="0046168C" w:rsidP="00C933C0">
            <w:pPr>
              <w:spacing w:before="0" w:after="0"/>
              <w:jc w:val="center"/>
              <w:rPr>
                <w:rFonts w:eastAsia="Times New Roman" w:cstheme="minorHAnsi"/>
                <w:b/>
                <w:bCs/>
                <w:sz w:val="20"/>
                <w:szCs w:val="20"/>
                <w:lang w:eastAsia="es-MX"/>
              </w:rPr>
            </w:pPr>
            <w:r w:rsidRPr="00A77E38">
              <w:rPr>
                <w:rFonts w:eastAsia="Times New Roman" w:cstheme="minorHAnsi"/>
                <w:b/>
                <w:bCs/>
                <w:sz w:val="20"/>
                <w:szCs w:val="20"/>
                <w:lang w:eastAsia="es-MX"/>
              </w:rPr>
              <w:t>Usuario</w:t>
            </w:r>
          </w:p>
        </w:tc>
      </w:tr>
      <w:tr w:rsidR="00600826" w:rsidRPr="00A77E38" w14:paraId="6E1755C5" w14:textId="77777777" w:rsidTr="00C357C0">
        <w:trPr>
          <w:trHeight w:val="1280"/>
        </w:trPr>
        <w:tc>
          <w:tcPr>
            <w:tcW w:w="166" w:type="pct"/>
            <w:vMerge w:val="restart"/>
            <w:tcBorders>
              <w:top w:val="single" w:sz="4" w:space="0" w:color="auto"/>
              <w:left w:val="single" w:sz="4" w:space="0" w:color="auto"/>
              <w:right w:val="single" w:sz="4" w:space="0" w:color="auto"/>
            </w:tcBorders>
            <w:shd w:val="clear" w:color="auto" w:fill="D9D9D9"/>
            <w:textDirection w:val="btLr"/>
          </w:tcPr>
          <w:p w14:paraId="646ABC11" w14:textId="3C4A96B2" w:rsidR="00600826" w:rsidRPr="00A77E38" w:rsidRDefault="00600826" w:rsidP="00600826">
            <w:pPr>
              <w:spacing w:before="0" w:after="0"/>
              <w:ind w:left="113" w:right="113"/>
              <w:jc w:val="center"/>
              <w:rPr>
                <w:rFonts w:eastAsia="Times New Roman" w:cstheme="minorHAnsi"/>
                <w:b/>
                <w:bCs/>
                <w:sz w:val="20"/>
                <w:szCs w:val="20"/>
                <w:lang w:eastAsia="es-MX"/>
              </w:rPr>
            </w:pPr>
            <w:r w:rsidRPr="00475392">
              <w:rPr>
                <w:rFonts w:eastAsia="Times New Roman" w:cstheme="minorHAnsi"/>
                <w:b/>
                <w:bCs/>
                <w:color w:val="808080" w:themeColor="background1" w:themeShade="80"/>
                <w:sz w:val="20"/>
                <w:szCs w:val="20"/>
                <w:lang w:eastAsia="es-MX"/>
              </w:rPr>
              <w:t>Asignación</w:t>
            </w:r>
          </w:p>
        </w:tc>
        <w:tc>
          <w:tcPr>
            <w:tcW w:w="761" w:type="pct"/>
            <w:tcBorders>
              <w:top w:val="single" w:sz="4" w:space="0" w:color="auto"/>
              <w:left w:val="single" w:sz="4" w:space="0" w:color="auto"/>
              <w:right w:val="single" w:sz="4" w:space="0" w:color="auto"/>
            </w:tcBorders>
            <w:shd w:val="clear" w:color="auto" w:fill="auto"/>
          </w:tcPr>
          <w:p w14:paraId="6DBDD527" w14:textId="7AB1E711" w:rsidR="00600826" w:rsidRPr="00A77E38" w:rsidRDefault="00600826" w:rsidP="00600826">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SHCP</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26A73879" w14:textId="15FA66AC" w:rsidR="00600826" w:rsidRPr="00A77E38" w:rsidRDefault="00600826" w:rsidP="00600826">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Programación y presupuestación del gasto público federal.</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782E44CF" w14:textId="62E85F1B" w:rsidR="00600826" w:rsidRPr="00A77E38" w:rsidRDefault="00C357C0" w:rsidP="00600826">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w:t>
            </w:r>
            <w:r w:rsidR="00600826" w:rsidRPr="00A77E38">
              <w:rPr>
                <w:rFonts w:eastAsia="Times New Roman" w:cstheme="minorHAnsi"/>
                <w:color w:val="000000"/>
                <w:sz w:val="20"/>
                <w:szCs w:val="20"/>
                <w:lang w:eastAsia="es-MX"/>
              </w:rPr>
              <w:t>rogramación y presupuestación del gasto público federal. La SHCP estima el monto de recursos del FAFEF, así como la distribución para cada entidad federativa</w:t>
            </w:r>
            <w:r w:rsidRPr="00A77E38">
              <w:rPr>
                <w:rFonts w:eastAsia="Times New Roman" w:cstheme="minorHAnsi"/>
                <w:color w:val="000000"/>
                <w:sz w:val="20"/>
                <w:szCs w:val="20"/>
                <w:lang w:eastAsia="es-MX"/>
              </w:rPr>
              <w:t>.</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2212A4A6" w14:textId="398E5ED6" w:rsidR="00600826" w:rsidRPr="00A77E38" w:rsidRDefault="00600826" w:rsidP="00600826">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Proyecto del Presupuesto de Egresos de la Federación</w:t>
            </w:r>
            <w:r w:rsidR="00C357C0" w:rsidRPr="00A77E38">
              <w:rPr>
                <w:rFonts w:eastAsia="Times New Roman" w:cstheme="minorHAnsi"/>
                <w:color w:val="000000"/>
                <w:sz w:val="20"/>
                <w:szCs w:val="20"/>
                <w:lang w:eastAsia="es-MX"/>
              </w:rPr>
              <w:t xml:space="preserve"> (PPEF)</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40433A10" w14:textId="5FDFFCBC" w:rsidR="00600826" w:rsidRPr="00A77E38" w:rsidRDefault="00C357C0" w:rsidP="00600826">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Cámara de Diputados</w:t>
            </w:r>
          </w:p>
        </w:tc>
      </w:tr>
      <w:tr w:rsidR="00C357C0" w:rsidRPr="00A77E38" w14:paraId="4D75C280" w14:textId="77777777" w:rsidTr="00D33214">
        <w:trPr>
          <w:trHeight w:val="420"/>
        </w:trPr>
        <w:tc>
          <w:tcPr>
            <w:tcW w:w="166" w:type="pct"/>
            <w:vMerge/>
            <w:tcBorders>
              <w:left w:val="single" w:sz="4" w:space="0" w:color="auto"/>
              <w:right w:val="single" w:sz="4" w:space="0" w:color="auto"/>
            </w:tcBorders>
            <w:shd w:val="clear" w:color="auto" w:fill="D9D9D9"/>
            <w:textDirection w:val="btLr"/>
          </w:tcPr>
          <w:p w14:paraId="34B528FB" w14:textId="77777777" w:rsidR="00C357C0" w:rsidRPr="00A77E38" w:rsidRDefault="00C357C0" w:rsidP="00C357C0">
            <w:pPr>
              <w:spacing w:before="0" w:after="0"/>
              <w:ind w:left="113" w:right="113"/>
              <w:jc w:val="center"/>
              <w:rPr>
                <w:rFonts w:eastAsia="Times New Roman" w:cstheme="minorHAnsi"/>
                <w:b/>
                <w:bCs/>
                <w:sz w:val="20"/>
                <w:szCs w:val="20"/>
                <w:lang w:eastAsia="es-MX"/>
              </w:rPr>
            </w:pPr>
          </w:p>
        </w:tc>
        <w:tc>
          <w:tcPr>
            <w:tcW w:w="761" w:type="pct"/>
            <w:tcBorders>
              <w:top w:val="single" w:sz="4" w:space="0" w:color="auto"/>
              <w:left w:val="single" w:sz="4" w:space="0" w:color="auto"/>
              <w:right w:val="single" w:sz="4" w:space="0" w:color="auto"/>
            </w:tcBorders>
            <w:shd w:val="clear" w:color="auto" w:fill="auto"/>
            <w:vAlign w:val="center"/>
          </w:tcPr>
          <w:p w14:paraId="24F1FAFA" w14:textId="466ADD74" w:rsidR="00C357C0" w:rsidRPr="00A77E38" w:rsidRDefault="00C357C0" w:rsidP="00C357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Cámara de Diputados</w:t>
            </w:r>
          </w:p>
        </w:tc>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14:paraId="723621D5" w14:textId="0CBE8F40" w:rsidR="00C357C0" w:rsidRPr="00A77E38" w:rsidRDefault="00C357C0" w:rsidP="00C357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PPEF</w:t>
            </w:r>
          </w:p>
        </w:tc>
        <w:tc>
          <w:tcPr>
            <w:tcW w:w="1341" w:type="pct"/>
            <w:tcBorders>
              <w:top w:val="single" w:sz="4" w:space="0" w:color="auto"/>
              <w:left w:val="single" w:sz="4" w:space="0" w:color="auto"/>
              <w:bottom w:val="single" w:sz="4" w:space="0" w:color="auto"/>
              <w:right w:val="single" w:sz="4" w:space="0" w:color="auto"/>
            </w:tcBorders>
            <w:shd w:val="clear" w:color="auto" w:fill="auto"/>
            <w:vAlign w:val="center"/>
          </w:tcPr>
          <w:p w14:paraId="21BCE07E" w14:textId="058A3124" w:rsidR="00C357C0" w:rsidRPr="00A77E38" w:rsidRDefault="00C357C0" w:rsidP="00C357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Discusión y aprobación, en su caso, del PPEF</w:t>
            </w:r>
          </w:p>
        </w:tc>
        <w:tc>
          <w:tcPr>
            <w:tcW w:w="979" w:type="pct"/>
            <w:tcBorders>
              <w:top w:val="single" w:sz="4" w:space="0" w:color="auto"/>
              <w:left w:val="single" w:sz="4" w:space="0" w:color="auto"/>
              <w:bottom w:val="single" w:sz="4" w:space="0" w:color="auto"/>
              <w:right w:val="single" w:sz="4" w:space="0" w:color="auto"/>
            </w:tcBorders>
            <w:shd w:val="clear" w:color="auto" w:fill="auto"/>
            <w:vAlign w:val="center"/>
          </w:tcPr>
          <w:p w14:paraId="65FCFBD7" w14:textId="60531E2B" w:rsidR="00C357C0" w:rsidRPr="00A77E38" w:rsidRDefault="00C357C0" w:rsidP="00C357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Presupuesto de Egresos de la Federación (PEF) con montos de FAFEF</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35565E8B" w14:textId="31A54274" w:rsidR="00C357C0" w:rsidRPr="00A77E38" w:rsidRDefault="00C357C0" w:rsidP="00C357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Secretaría de Finanzas de Tamaulipas (SF).</w:t>
            </w:r>
          </w:p>
        </w:tc>
      </w:tr>
      <w:tr w:rsidR="00881F01" w:rsidRPr="00A77E38" w14:paraId="268A8102" w14:textId="77777777" w:rsidTr="00D33214">
        <w:trPr>
          <w:trHeight w:val="420"/>
        </w:trPr>
        <w:tc>
          <w:tcPr>
            <w:tcW w:w="166" w:type="pct"/>
            <w:vMerge/>
            <w:tcBorders>
              <w:left w:val="single" w:sz="4" w:space="0" w:color="auto"/>
              <w:right w:val="single" w:sz="4" w:space="0" w:color="auto"/>
            </w:tcBorders>
            <w:shd w:val="clear" w:color="auto" w:fill="D9D9D9"/>
            <w:textDirection w:val="btLr"/>
          </w:tcPr>
          <w:p w14:paraId="4310B263" w14:textId="77777777" w:rsidR="00881F01" w:rsidRPr="00A77E38" w:rsidRDefault="00881F01" w:rsidP="00881F01">
            <w:pPr>
              <w:spacing w:before="0" w:after="0"/>
              <w:ind w:left="113" w:right="113"/>
              <w:jc w:val="center"/>
              <w:rPr>
                <w:rFonts w:eastAsia="Times New Roman" w:cstheme="minorHAnsi"/>
                <w:b/>
                <w:bCs/>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72985D19" w14:textId="20C12B41" w:rsidR="00881F01" w:rsidRPr="00A77E38" w:rsidRDefault="00881F01" w:rsidP="00881F01">
            <w:pPr>
              <w:spacing w:before="0" w:after="0"/>
              <w:rPr>
                <w:rFonts w:eastAsia="Times New Roman" w:cstheme="minorHAnsi"/>
                <w:color w:val="000000"/>
                <w:sz w:val="20"/>
                <w:szCs w:val="20"/>
                <w:lang w:eastAsia="es-MX"/>
              </w:rPr>
            </w:pPr>
            <w:r w:rsidRPr="00A77E38">
              <w:rPr>
                <w:sz w:val="20"/>
                <w:szCs w:val="20"/>
              </w:rPr>
              <w:t>SF</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5A387FD1" w14:textId="2DA51D5B" w:rsidR="00881F01" w:rsidRPr="00A77E38" w:rsidRDefault="00881F01" w:rsidP="00881F01">
            <w:pPr>
              <w:spacing w:before="0" w:after="0"/>
              <w:rPr>
                <w:rFonts w:eastAsia="Times New Roman" w:cstheme="minorHAnsi"/>
                <w:color w:val="000000"/>
                <w:sz w:val="20"/>
                <w:szCs w:val="20"/>
                <w:lang w:eastAsia="es-MX"/>
              </w:rPr>
            </w:pPr>
            <w:r w:rsidRPr="00A77E38">
              <w:rPr>
                <w:sz w:val="20"/>
                <w:szCs w:val="20"/>
              </w:rPr>
              <w:t xml:space="preserve">Monto de recursos FAFEF requerido </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448C58F5" w14:textId="14DCC08A" w:rsidR="00881F01" w:rsidRPr="00A77E38" w:rsidRDefault="00881F01" w:rsidP="00881F01">
            <w:pPr>
              <w:spacing w:before="0" w:after="0"/>
              <w:rPr>
                <w:rFonts w:eastAsia="Times New Roman" w:cstheme="minorHAnsi"/>
                <w:color w:val="000000"/>
                <w:sz w:val="20"/>
                <w:szCs w:val="20"/>
                <w:lang w:eastAsia="es-MX"/>
              </w:rPr>
            </w:pPr>
            <w:r w:rsidRPr="00A77E38">
              <w:rPr>
                <w:sz w:val="20"/>
                <w:szCs w:val="20"/>
              </w:rPr>
              <w:t>Integración del Monto FAFEF en la Iniciativa de Ley de Ingresos y Presupuesto de Egresos del Estado</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573D7549" w14:textId="73D33B75" w:rsidR="00881F01" w:rsidRPr="00A77E38" w:rsidRDefault="00881F01" w:rsidP="00881F01">
            <w:pPr>
              <w:spacing w:before="0" w:after="0"/>
              <w:rPr>
                <w:rFonts w:eastAsia="Times New Roman" w:cstheme="minorHAnsi"/>
                <w:color w:val="000000"/>
                <w:sz w:val="20"/>
                <w:szCs w:val="20"/>
                <w:lang w:eastAsia="es-MX"/>
              </w:rPr>
            </w:pPr>
            <w:r w:rsidRPr="00A77E38">
              <w:rPr>
                <w:sz w:val="20"/>
                <w:szCs w:val="20"/>
              </w:rPr>
              <w:t>Iniciativa de Ley de Ingresos y Proyecto de Presupuesto de Egresos del Estado</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6BC959E4" w14:textId="099CE2BB" w:rsidR="00881F01" w:rsidRPr="00A77E38" w:rsidRDefault="00881F01" w:rsidP="00881F01">
            <w:pPr>
              <w:spacing w:before="0" w:after="0"/>
              <w:rPr>
                <w:rFonts w:eastAsia="Times New Roman" w:cstheme="minorHAnsi"/>
                <w:color w:val="000000"/>
                <w:sz w:val="20"/>
                <w:szCs w:val="20"/>
                <w:lang w:eastAsia="es-MX"/>
              </w:rPr>
            </w:pPr>
            <w:r w:rsidRPr="00A77E38">
              <w:rPr>
                <w:sz w:val="20"/>
                <w:szCs w:val="20"/>
              </w:rPr>
              <w:t>Congreso del Estado</w:t>
            </w:r>
          </w:p>
        </w:tc>
      </w:tr>
      <w:tr w:rsidR="00A77E38" w:rsidRPr="00A77E38" w14:paraId="58EA0A06" w14:textId="77777777" w:rsidTr="00D33214">
        <w:trPr>
          <w:trHeight w:val="420"/>
        </w:trPr>
        <w:tc>
          <w:tcPr>
            <w:tcW w:w="166" w:type="pct"/>
            <w:vMerge/>
            <w:tcBorders>
              <w:left w:val="single" w:sz="4" w:space="0" w:color="auto"/>
              <w:right w:val="single" w:sz="4" w:space="0" w:color="auto"/>
            </w:tcBorders>
            <w:shd w:val="clear" w:color="auto" w:fill="D9D9D9"/>
            <w:textDirection w:val="btLr"/>
          </w:tcPr>
          <w:p w14:paraId="3BDB1893" w14:textId="77777777" w:rsidR="00A77E38" w:rsidRPr="00A77E38" w:rsidRDefault="00A77E38" w:rsidP="00A77E38">
            <w:pPr>
              <w:spacing w:before="0" w:after="0"/>
              <w:ind w:left="113" w:right="113"/>
              <w:jc w:val="center"/>
              <w:rPr>
                <w:rFonts w:eastAsia="Times New Roman" w:cstheme="minorHAnsi"/>
                <w:b/>
                <w:bCs/>
                <w:sz w:val="20"/>
                <w:szCs w:val="20"/>
                <w:lang w:eastAsia="es-MX"/>
              </w:rPr>
            </w:pPr>
          </w:p>
        </w:tc>
        <w:tc>
          <w:tcPr>
            <w:tcW w:w="761" w:type="pct"/>
            <w:tcBorders>
              <w:top w:val="single" w:sz="4" w:space="0" w:color="auto"/>
              <w:left w:val="single" w:sz="4" w:space="0" w:color="auto"/>
              <w:right w:val="single" w:sz="4" w:space="0" w:color="auto"/>
            </w:tcBorders>
            <w:shd w:val="clear" w:color="auto" w:fill="auto"/>
            <w:vAlign w:val="center"/>
          </w:tcPr>
          <w:p w14:paraId="5F4A9724" w14:textId="19C42FC2" w:rsidR="00A77E38" w:rsidRPr="00A77E38" w:rsidRDefault="00A77E38" w:rsidP="00A77E38">
            <w:pPr>
              <w:spacing w:before="0" w:after="0"/>
              <w:rPr>
                <w:sz w:val="20"/>
                <w:szCs w:val="20"/>
              </w:rPr>
            </w:pPr>
            <w:r w:rsidRPr="00A77E38">
              <w:rPr>
                <w:rFonts w:cstheme="minorHAnsi"/>
                <w:sz w:val="20"/>
                <w:szCs w:val="20"/>
              </w:rPr>
              <w:t>Congreso del Estado</w:t>
            </w:r>
          </w:p>
        </w:tc>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14:paraId="4B9534D1" w14:textId="24062C7E" w:rsidR="00A77E38" w:rsidRPr="00A77E38" w:rsidRDefault="00A77E38" w:rsidP="00A77E38">
            <w:pPr>
              <w:spacing w:before="0" w:after="0"/>
              <w:rPr>
                <w:sz w:val="20"/>
                <w:szCs w:val="20"/>
              </w:rPr>
            </w:pPr>
            <w:r w:rsidRPr="00A77E38">
              <w:rPr>
                <w:rFonts w:eastAsia="Times New Roman" w:cstheme="minorHAnsi"/>
                <w:color w:val="000000"/>
                <w:sz w:val="20"/>
                <w:szCs w:val="20"/>
                <w:lang w:eastAsia="es-MX"/>
              </w:rPr>
              <w:t>Proyecto Presupuesto de Egresos del Estado.</w:t>
            </w:r>
          </w:p>
        </w:tc>
        <w:tc>
          <w:tcPr>
            <w:tcW w:w="1341" w:type="pct"/>
            <w:tcBorders>
              <w:top w:val="single" w:sz="4" w:space="0" w:color="auto"/>
              <w:left w:val="single" w:sz="4" w:space="0" w:color="auto"/>
              <w:bottom w:val="single" w:sz="4" w:space="0" w:color="auto"/>
              <w:right w:val="single" w:sz="4" w:space="0" w:color="auto"/>
            </w:tcBorders>
            <w:shd w:val="clear" w:color="auto" w:fill="auto"/>
            <w:vAlign w:val="center"/>
          </w:tcPr>
          <w:p w14:paraId="36180F9E" w14:textId="1FF702D7" w:rsidR="00A77E38" w:rsidRPr="00A77E38" w:rsidRDefault="00A77E38" w:rsidP="00A77E38">
            <w:pPr>
              <w:spacing w:before="0" w:after="0"/>
              <w:rPr>
                <w:sz w:val="20"/>
                <w:szCs w:val="20"/>
              </w:rPr>
            </w:pPr>
            <w:r w:rsidRPr="00A77E38">
              <w:rPr>
                <w:rFonts w:eastAsia="Times New Roman" w:cstheme="minorHAnsi"/>
                <w:color w:val="000000"/>
                <w:sz w:val="20"/>
                <w:szCs w:val="20"/>
                <w:lang w:eastAsia="es-MX"/>
              </w:rPr>
              <w:t>Discusión y, en su caso, aprobación de la Ley de Ingresos y del Presupuesto de Egresos del Estado.</w:t>
            </w:r>
          </w:p>
        </w:tc>
        <w:tc>
          <w:tcPr>
            <w:tcW w:w="979" w:type="pct"/>
            <w:tcBorders>
              <w:top w:val="single" w:sz="4" w:space="0" w:color="auto"/>
              <w:left w:val="single" w:sz="4" w:space="0" w:color="auto"/>
              <w:bottom w:val="single" w:sz="4" w:space="0" w:color="auto"/>
              <w:right w:val="single" w:sz="4" w:space="0" w:color="auto"/>
            </w:tcBorders>
            <w:shd w:val="clear" w:color="auto" w:fill="auto"/>
            <w:vAlign w:val="center"/>
          </w:tcPr>
          <w:p w14:paraId="541BE422" w14:textId="6A4BC2DD" w:rsidR="00A77E38" w:rsidRPr="00A77E38" w:rsidRDefault="00A77E38" w:rsidP="00A77E38">
            <w:pPr>
              <w:spacing w:before="0" w:after="0"/>
              <w:rPr>
                <w:sz w:val="20"/>
                <w:szCs w:val="20"/>
              </w:rPr>
            </w:pPr>
            <w:r w:rsidRPr="00A77E38">
              <w:rPr>
                <w:rFonts w:eastAsia="Times New Roman" w:cstheme="minorHAnsi"/>
                <w:color w:val="000000"/>
                <w:sz w:val="20"/>
                <w:szCs w:val="20"/>
                <w:lang w:eastAsia="es-MX"/>
              </w:rPr>
              <w:t>Ley de Ingresos y Presupuesto de Egresos del Estado</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4D0BCDFC" w14:textId="6D1A9EC7" w:rsidR="00A77E38" w:rsidRPr="00A77E38" w:rsidRDefault="00A77E38" w:rsidP="00A77E38">
            <w:pPr>
              <w:spacing w:before="0" w:after="0"/>
              <w:rPr>
                <w:sz w:val="20"/>
                <w:szCs w:val="20"/>
              </w:rPr>
            </w:pPr>
            <w:r w:rsidRPr="00A77E38">
              <w:rPr>
                <w:sz w:val="20"/>
                <w:szCs w:val="20"/>
              </w:rPr>
              <w:t>SF</w:t>
            </w:r>
          </w:p>
        </w:tc>
      </w:tr>
      <w:tr w:rsidR="00600826" w:rsidRPr="00A77E38" w14:paraId="71512999" w14:textId="77777777" w:rsidTr="00D33214">
        <w:trPr>
          <w:trHeight w:val="420"/>
        </w:trPr>
        <w:tc>
          <w:tcPr>
            <w:tcW w:w="166" w:type="pct"/>
            <w:vMerge/>
            <w:tcBorders>
              <w:left w:val="single" w:sz="4" w:space="0" w:color="auto"/>
              <w:right w:val="single" w:sz="4" w:space="0" w:color="auto"/>
            </w:tcBorders>
            <w:shd w:val="clear" w:color="auto" w:fill="D9D9D9"/>
            <w:textDirection w:val="btLr"/>
          </w:tcPr>
          <w:p w14:paraId="322DAFC6" w14:textId="073FF946" w:rsidR="00600826" w:rsidRPr="00A77E38" w:rsidRDefault="00600826" w:rsidP="00C933C0">
            <w:pPr>
              <w:spacing w:before="0" w:after="0"/>
              <w:ind w:left="113" w:right="113"/>
              <w:jc w:val="center"/>
              <w:rPr>
                <w:rFonts w:eastAsia="Times New Roman" w:cstheme="minorHAnsi"/>
                <w:b/>
                <w:bCs/>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1DBD17CC"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SHCP</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7A46B0EB"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Asignación del presupuesto FAFEF</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04FE0FFA"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Publicación en el DOF de los montos y calendarización de los recursos del Fondo </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21B78CD0"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Presupuesto de Egresos de Federación que incluye los recursos del FAFEF.</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19A1DABC"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Secretaría de Finanzas de Tamaulipas (SF).</w:t>
            </w:r>
          </w:p>
        </w:tc>
      </w:tr>
      <w:tr w:rsidR="00600826" w:rsidRPr="00A77E38" w14:paraId="008B8A33" w14:textId="77777777" w:rsidTr="00336174">
        <w:trPr>
          <w:trHeight w:val="420"/>
        </w:trPr>
        <w:tc>
          <w:tcPr>
            <w:tcW w:w="166" w:type="pct"/>
            <w:vMerge/>
            <w:tcBorders>
              <w:left w:val="single" w:sz="4" w:space="0" w:color="auto"/>
              <w:right w:val="single" w:sz="4" w:space="0" w:color="auto"/>
            </w:tcBorders>
            <w:shd w:val="clear" w:color="auto" w:fill="D9D9D9"/>
          </w:tcPr>
          <w:p w14:paraId="51B5C17A" w14:textId="77777777" w:rsidR="00600826" w:rsidRPr="00A77E38" w:rsidRDefault="00600826"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44CC3891"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69A2E4F2"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Recurso FAFEF requerido para los Pp </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293602B0" w14:textId="6D52C533"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Reuniones del Grupo de Trabajo para determinar destino de gasto de los recursos.</w:t>
            </w:r>
            <w:r w:rsidR="00826CDE">
              <w:rPr>
                <w:rFonts w:eastAsia="Times New Roman" w:cstheme="minorHAnsi"/>
                <w:color w:val="000000"/>
                <w:sz w:val="20"/>
                <w:szCs w:val="20"/>
                <w:lang w:eastAsia="es-MX"/>
              </w:rPr>
              <w:t xml:space="preserve"> </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1811ED8F"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Programación y calendarización del presupuesto para los Pp. </w:t>
            </w:r>
          </w:p>
        </w:tc>
        <w:tc>
          <w:tcPr>
            <w:tcW w:w="825" w:type="pct"/>
            <w:tcBorders>
              <w:top w:val="single" w:sz="4" w:space="0" w:color="auto"/>
              <w:left w:val="single" w:sz="4" w:space="0" w:color="auto"/>
              <w:right w:val="single" w:sz="4" w:space="0" w:color="auto"/>
            </w:tcBorders>
            <w:shd w:val="clear" w:color="auto" w:fill="auto"/>
          </w:tcPr>
          <w:p w14:paraId="02D355B4" w14:textId="72B5516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 y unidades ejecutoras en la entidad</w:t>
            </w:r>
            <w:r w:rsidR="00BD00C8">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600826" w:rsidRPr="00A77E38" w14:paraId="2A642DDC" w14:textId="77777777" w:rsidTr="00336174">
        <w:trPr>
          <w:trHeight w:val="420"/>
        </w:trPr>
        <w:tc>
          <w:tcPr>
            <w:tcW w:w="166" w:type="pct"/>
            <w:vMerge/>
            <w:tcBorders>
              <w:left w:val="single" w:sz="4" w:space="0" w:color="auto"/>
              <w:right w:val="single" w:sz="4" w:space="0" w:color="auto"/>
            </w:tcBorders>
            <w:shd w:val="clear" w:color="auto" w:fill="D9D9D9"/>
          </w:tcPr>
          <w:p w14:paraId="2EF6F03E" w14:textId="77777777" w:rsidR="00600826" w:rsidRPr="00A77E38" w:rsidRDefault="00600826"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526B5077"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DGPyP A de la SHCP</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79FACC2E"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Registro de cuentas para la entrega de los recursos</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2577F095"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Solicitud de cuentas bancarias</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05553EF4"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Datos de cuentas bancarias</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325CBA4F"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r>
      <w:tr w:rsidR="00600826" w:rsidRPr="00A77E38" w14:paraId="36D189C4" w14:textId="77777777" w:rsidTr="00336174">
        <w:trPr>
          <w:trHeight w:val="420"/>
        </w:trPr>
        <w:tc>
          <w:tcPr>
            <w:tcW w:w="166" w:type="pct"/>
            <w:vMerge/>
            <w:tcBorders>
              <w:left w:val="single" w:sz="4" w:space="0" w:color="auto"/>
              <w:right w:val="single" w:sz="4" w:space="0" w:color="auto"/>
            </w:tcBorders>
            <w:shd w:val="clear" w:color="auto" w:fill="D9D9D9"/>
          </w:tcPr>
          <w:p w14:paraId="60401D7F" w14:textId="77777777" w:rsidR="00600826" w:rsidRPr="00A77E38" w:rsidRDefault="00600826"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16B88368"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F95E055"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Techo presupuestario del FAFEF </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73CBF584"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Informar sobre el techo presupuestario del FAFEF y asigna recursos a los Pp aprobados para recibir el financiamiento. </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7296C495"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Conocimiento del techo financiero con el que se contará en el ejercicio fiscal.</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1D007D3F" w14:textId="3DB24A8A"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 y unidades ejecutoras en la entidad</w:t>
            </w:r>
            <w:r w:rsidR="00BD00C8">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 xml:space="preserve">. </w:t>
            </w:r>
          </w:p>
        </w:tc>
      </w:tr>
      <w:tr w:rsidR="00600826" w:rsidRPr="00A77E38" w14:paraId="04500CBB" w14:textId="77777777" w:rsidTr="00336174">
        <w:trPr>
          <w:trHeight w:val="420"/>
        </w:trPr>
        <w:tc>
          <w:tcPr>
            <w:tcW w:w="166" w:type="pct"/>
            <w:vMerge/>
            <w:tcBorders>
              <w:left w:val="single" w:sz="4" w:space="0" w:color="auto"/>
              <w:right w:val="single" w:sz="4" w:space="0" w:color="auto"/>
            </w:tcBorders>
            <w:shd w:val="clear" w:color="auto" w:fill="D9D9D9"/>
          </w:tcPr>
          <w:p w14:paraId="1F9F00AB" w14:textId="77777777" w:rsidR="00600826" w:rsidRPr="00A77E38" w:rsidRDefault="00600826"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31E95925"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600D9CAF"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Asignación de recursos federales </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0540C0EA" w14:textId="77777777"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Aviso de disponibilidad bancaria a la unidad de inversión correspondiente a cada dependencia o entidad ejecutora de los recursos del FAFEF</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48CCEFF0" w14:textId="77777777" w:rsidR="00600826"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Programación del recurso en el Sistema de Plataforma Única y asigne un proyecto por cada obra a realizar.</w:t>
            </w:r>
          </w:p>
          <w:p w14:paraId="00727A7F" w14:textId="77777777" w:rsidR="00C05270" w:rsidRDefault="00C05270" w:rsidP="00C933C0">
            <w:pPr>
              <w:spacing w:before="0" w:after="0"/>
              <w:rPr>
                <w:rFonts w:eastAsia="Times New Roman" w:cstheme="minorHAnsi"/>
                <w:color w:val="000000"/>
                <w:sz w:val="20"/>
                <w:szCs w:val="20"/>
                <w:lang w:eastAsia="es-MX"/>
              </w:rPr>
            </w:pPr>
          </w:p>
          <w:p w14:paraId="0E9D9A81" w14:textId="77777777" w:rsidR="00C05270" w:rsidRDefault="00C05270" w:rsidP="00C933C0">
            <w:pPr>
              <w:spacing w:before="0" w:after="0"/>
              <w:rPr>
                <w:rFonts w:eastAsia="Times New Roman" w:cstheme="minorHAnsi"/>
                <w:color w:val="000000"/>
                <w:sz w:val="20"/>
                <w:szCs w:val="20"/>
                <w:lang w:eastAsia="es-MX"/>
              </w:rPr>
            </w:pPr>
          </w:p>
          <w:p w14:paraId="20359498" w14:textId="42D20884" w:rsidR="00C05270" w:rsidRPr="00A77E38" w:rsidRDefault="00C05270" w:rsidP="00C933C0">
            <w:pPr>
              <w:spacing w:before="0" w:after="0"/>
              <w:rPr>
                <w:rFonts w:eastAsia="Times New Roman" w:cstheme="minorHAnsi"/>
                <w:color w:val="000000"/>
                <w:sz w:val="20"/>
                <w:szCs w:val="20"/>
                <w:lang w:eastAsia="es-MX"/>
              </w:rPr>
            </w:pP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42925EEA" w14:textId="690C2C63" w:rsidR="00600826" w:rsidRPr="00A77E38" w:rsidRDefault="00600826"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sidR="00BD00C8">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F35992" w:rsidRPr="00A77E38" w14:paraId="7A22AFA3" w14:textId="77777777" w:rsidTr="00336174">
        <w:trPr>
          <w:trHeight w:val="420"/>
        </w:trPr>
        <w:tc>
          <w:tcPr>
            <w:tcW w:w="166" w:type="pct"/>
            <w:vMerge w:val="restart"/>
            <w:tcBorders>
              <w:top w:val="single" w:sz="4" w:space="0" w:color="auto"/>
              <w:left w:val="single" w:sz="4" w:space="0" w:color="auto"/>
              <w:right w:val="single" w:sz="4" w:space="0" w:color="auto"/>
            </w:tcBorders>
            <w:shd w:val="clear" w:color="auto" w:fill="C5E0B3" w:themeFill="accent6" w:themeFillTint="66"/>
            <w:textDirection w:val="btLr"/>
          </w:tcPr>
          <w:p w14:paraId="0E050D9F" w14:textId="77777777" w:rsidR="00F35992" w:rsidRPr="00A77E38" w:rsidRDefault="00F35992" w:rsidP="00F35992">
            <w:pPr>
              <w:spacing w:before="0" w:after="0"/>
              <w:ind w:left="209" w:right="113" w:hanging="96"/>
              <w:jc w:val="center"/>
              <w:rPr>
                <w:rFonts w:eastAsia="Times New Roman" w:cstheme="minorHAnsi"/>
                <w:b/>
                <w:bCs/>
                <w:sz w:val="20"/>
                <w:szCs w:val="20"/>
                <w:lang w:eastAsia="es-MX"/>
              </w:rPr>
            </w:pPr>
            <w:r w:rsidRPr="00C05270">
              <w:rPr>
                <w:rFonts w:eastAsia="Times New Roman" w:cstheme="minorHAnsi"/>
                <w:b/>
                <w:bCs/>
                <w:color w:val="70AD47" w:themeColor="accent6"/>
                <w:sz w:val="20"/>
                <w:szCs w:val="20"/>
                <w:lang w:eastAsia="es-MX"/>
              </w:rPr>
              <w:lastRenderedPageBreak/>
              <w:t>Ejercicio</w:t>
            </w:r>
          </w:p>
        </w:tc>
        <w:tc>
          <w:tcPr>
            <w:tcW w:w="761" w:type="pct"/>
            <w:tcBorders>
              <w:top w:val="single" w:sz="4" w:space="0" w:color="auto"/>
              <w:left w:val="single" w:sz="4" w:space="0" w:color="auto"/>
              <w:right w:val="single" w:sz="4" w:space="0" w:color="auto"/>
            </w:tcBorders>
            <w:shd w:val="clear" w:color="auto" w:fill="auto"/>
          </w:tcPr>
          <w:p w14:paraId="72E83C43"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DGPyP A de la SHCP</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525CDCAF"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Ficha de información de pagos efectuados</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4F8B19A3"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Ministración mensual de recursos conforme a calendario</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266369EB"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Dispersión o pago por parte de TESOFE</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4EE31ED5"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r>
      <w:tr w:rsidR="00F35992" w:rsidRPr="00A77E38" w14:paraId="3AA1B55F" w14:textId="77777777" w:rsidTr="00336174">
        <w:trPr>
          <w:trHeight w:val="420"/>
        </w:trPr>
        <w:tc>
          <w:tcPr>
            <w:tcW w:w="166" w:type="pct"/>
            <w:vMerge/>
            <w:tcBorders>
              <w:left w:val="single" w:sz="4" w:space="0" w:color="auto"/>
              <w:right w:val="single" w:sz="4" w:space="0" w:color="auto"/>
            </w:tcBorders>
            <w:shd w:val="clear" w:color="auto" w:fill="C5E0B3" w:themeFill="accent6" w:themeFillTint="66"/>
          </w:tcPr>
          <w:p w14:paraId="1FB8ED63" w14:textId="77777777" w:rsidR="00F35992" w:rsidRPr="00A77E38" w:rsidRDefault="00F35992"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1477BB78"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SF-DPCH</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505FAF87"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Aviso de disponibilidad bancaria</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01DDAC15"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Al recibir mensualmente el recurso la SF emite un aviso de disponibilidad bancaria a la unidad de inversión</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301F5388"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Programación del recurso en el Sistema de Plataforma Única.</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3CD46133" w14:textId="5998F1A3"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F35992" w:rsidRPr="00A77E38" w14:paraId="5A208445" w14:textId="77777777" w:rsidTr="00336174">
        <w:trPr>
          <w:trHeight w:val="420"/>
        </w:trPr>
        <w:tc>
          <w:tcPr>
            <w:tcW w:w="166" w:type="pct"/>
            <w:vMerge/>
            <w:tcBorders>
              <w:left w:val="single" w:sz="4" w:space="0" w:color="auto"/>
              <w:right w:val="single" w:sz="4" w:space="0" w:color="auto"/>
            </w:tcBorders>
            <w:shd w:val="clear" w:color="auto" w:fill="C5E0B3" w:themeFill="accent6" w:themeFillTint="66"/>
          </w:tcPr>
          <w:p w14:paraId="68B7E12A" w14:textId="77777777" w:rsidR="00F35992" w:rsidRPr="00A77E38" w:rsidRDefault="00F35992"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7145F86C"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24584437" w14:textId="77777777" w:rsidR="00F35992" w:rsidRPr="00A77E38" w:rsidRDefault="00F35992" w:rsidP="00C933C0">
            <w:pPr>
              <w:spacing w:before="0" w:after="0"/>
              <w:jc w:val="left"/>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Asignación de recursos </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693DCAEB"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cstheme="minorHAnsi"/>
                <w:sz w:val="20"/>
                <w:szCs w:val="20"/>
              </w:rPr>
              <w:t>La Secretaría de Fianzas del Estado, a través de la Subsecretaría de Egresos, asigna el recurso a los diferentes destinos del gasto.</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029E8A84"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Las unidades ejecutoras cuentan con la autorización de recursos para la ejecución de las obras y acciones.</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1734A812" w14:textId="1B732542"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F35992" w:rsidRPr="00A77E38" w14:paraId="159E7D51" w14:textId="77777777" w:rsidTr="00336174">
        <w:trPr>
          <w:trHeight w:val="420"/>
        </w:trPr>
        <w:tc>
          <w:tcPr>
            <w:tcW w:w="166" w:type="pct"/>
            <w:vMerge/>
            <w:tcBorders>
              <w:left w:val="single" w:sz="4" w:space="0" w:color="auto"/>
              <w:right w:val="single" w:sz="4" w:space="0" w:color="auto"/>
            </w:tcBorders>
            <w:shd w:val="clear" w:color="auto" w:fill="C5E0B3" w:themeFill="accent6" w:themeFillTint="66"/>
          </w:tcPr>
          <w:p w14:paraId="2C7F31B8" w14:textId="77777777" w:rsidR="00F35992" w:rsidRPr="00A77E38" w:rsidRDefault="00F35992"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shd w:val="clear" w:color="auto" w:fill="auto"/>
          </w:tcPr>
          <w:p w14:paraId="26A333D7"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de inversión ejecutoras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5E088A55"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Ejercicio y control</w:t>
            </w:r>
          </w:p>
        </w:tc>
        <w:tc>
          <w:tcPr>
            <w:tcW w:w="1341" w:type="pct"/>
            <w:tcBorders>
              <w:top w:val="single" w:sz="4" w:space="0" w:color="auto"/>
              <w:left w:val="single" w:sz="4" w:space="0" w:color="auto"/>
              <w:bottom w:val="single" w:sz="4" w:space="0" w:color="auto"/>
              <w:right w:val="single" w:sz="4" w:space="0" w:color="auto"/>
            </w:tcBorders>
            <w:shd w:val="clear" w:color="auto" w:fill="auto"/>
          </w:tcPr>
          <w:p w14:paraId="08AFC6CF"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cstheme="minorHAnsi"/>
                <w:sz w:val="20"/>
                <w:szCs w:val="20"/>
              </w:rPr>
              <w:t>Realizan la captura de la información (recibos de pago y/o traspaso s) de las obras que ya se encuentran contratadas.</w:t>
            </w:r>
          </w:p>
        </w:tc>
        <w:tc>
          <w:tcPr>
            <w:tcW w:w="979" w:type="pct"/>
            <w:tcBorders>
              <w:top w:val="single" w:sz="4" w:space="0" w:color="auto"/>
              <w:left w:val="single" w:sz="4" w:space="0" w:color="auto"/>
              <w:bottom w:val="single" w:sz="4" w:space="0" w:color="auto"/>
              <w:right w:val="single" w:sz="4" w:space="0" w:color="auto"/>
            </w:tcBorders>
            <w:shd w:val="clear" w:color="auto" w:fill="auto"/>
          </w:tcPr>
          <w:p w14:paraId="5A6AA433"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Información ingresada en el Sistema de Plataforma Única</w:t>
            </w:r>
          </w:p>
        </w:tc>
        <w:tc>
          <w:tcPr>
            <w:tcW w:w="825" w:type="pct"/>
            <w:tcBorders>
              <w:top w:val="single" w:sz="4" w:space="0" w:color="auto"/>
              <w:left w:val="single" w:sz="4" w:space="0" w:color="auto"/>
              <w:bottom w:val="single" w:sz="4" w:space="0" w:color="auto"/>
              <w:right w:val="single" w:sz="4" w:space="0" w:color="auto"/>
            </w:tcBorders>
            <w:shd w:val="clear" w:color="auto" w:fill="auto"/>
          </w:tcPr>
          <w:p w14:paraId="482A30C9" w14:textId="40453FF8"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F35992" w:rsidRPr="00A77E38" w14:paraId="4543C233" w14:textId="77777777" w:rsidTr="00336174">
        <w:trPr>
          <w:trHeight w:val="420"/>
        </w:trPr>
        <w:tc>
          <w:tcPr>
            <w:tcW w:w="166" w:type="pct"/>
            <w:vMerge/>
            <w:tcBorders>
              <w:left w:val="single" w:sz="4" w:space="0" w:color="auto"/>
              <w:right w:val="single" w:sz="4" w:space="0" w:color="auto"/>
            </w:tcBorders>
            <w:shd w:val="clear" w:color="auto" w:fill="C5E0B3" w:themeFill="accent6" w:themeFillTint="66"/>
          </w:tcPr>
          <w:p w14:paraId="7C3A4E49" w14:textId="77777777" w:rsidR="00F35992" w:rsidRPr="00A77E38" w:rsidRDefault="00F35992"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63DA39C2"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de inversión ejecutoras</w:t>
            </w:r>
          </w:p>
        </w:tc>
        <w:tc>
          <w:tcPr>
            <w:tcW w:w="928" w:type="pct"/>
            <w:tcBorders>
              <w:top w:val="single" w:sz="4" w:space="0" w:color="auto"/>
              <w:left w:val="single" w:sz="4" w:space="0" w:color="auto"/>
              <w:bottom w:val="single" w:sz="4" w:space="0" w:color="auto"/>
              <w:right w:val="single" w:sz="4" w:space="0" w:color="auto"/>
            </w:tcBorders>
          </w:tcPr>
          <w:p w14:paraId="45E6AF67"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Trámite de pago</w:t>
            </w:r>
          </w:p>
        </w:tc>
        <w:tc>
          <w:tcPr>
            <w:tcW w:w="1341" w:type="pct"/>
            <w:tcBorders>
              <w:top w:val="single" w:sz="4" w:space="0" w:color="auto"/>
              <w:left w:val="single" w:sz="4" w:space="0" w:color="auto"/>
              <w:bottom w:val="single" w:sz="4" w:space="0" w:color="auto"/>
              <w:right w:val="single" w:sz="4" w:space="0" w:color="auto"/>
            </w:tcBorders>
          </w:tcPr>
          <w:p w14:paraId="3DE3D9C9"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Ingreso de documentos (recibos de pago y/o traspasos) a la DPCH y proceder a la fiscalización y posterior trámite de pago ante la DP.</w:t>
            </w:r>
          </w:p>
        </w:tc>
        <w:tc>
          <w:tcPr>
            <w:tcW w:w="979" w:type="pct"/>
            <w:tcBorders>
              <w:top w:val="single" w:sz="4" w:space="0" w:color="auto"/>
              <w:left w:val="single" w:sz="4" w:space="0" w:color="auto"/>
              <w:bottom w:val="single" w:sz="4" w:space="0" w:color="auto"/>
              <w:right w:val="single" w:sz="4" w:space="0" w:color="auto"/>
            </w:tcBorders>
          </w:tcPr>
          <w:p w14:paraId="6926C5EA"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Recibos de pago</w:t>
            </w:r>
          </w:p>
        </w:tc>
        <w:tc>
          <w:tcPr>
            <w:tcW w:w="825" w:type="pct"/>
            <w:tcBorders>
              <w:top w:val="single" w:sz="4" w:space="0" w:color="auto"/>
              <w:left w:val="single" w:sz="4" w:space="0" w:color="auto"/>
              <w:bottom w:val="single" w:sz="4" w:space="0" w:color="auto"/>
              <w:right w:val="single" w:sz="4" w:space="0" w:color="auto"/>
            </w:tcBorders>
          </w:tcPr>
          <w:p w14:paraId="0F83904E"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DP-SF</w:t>
            </w:r>
          </w:p>
        </w:tc>
      </w:tr>
      <w:tr w:rsidR="00F35992" w:rsidRPr="00A77E38" w14:paraId="742F4700" w14:textId="77777777" w:rsidTr="00336174">
        <w:trPr>
          <w:trHeight w:val="420"/>
        </w:trPr>
        <w:tc>
          <w:tcPr>
            <w:tcW w:w="166" w:type="pct"/>
            <w:vMerge/>
            <w:tcBorders>
              <w:left w:val="single" w:sz="4" w:space="0" w:color="auto"/>
              <w:right w:val="single" w:sz="4" w:space="0" w:color="auto"/>
            </w:tcBorders>
            <w:shd w:val="clear" w:color="auto" w:fill="C5E0B3" w:themeFill="accent6" w:themeFillTint="66"/>
          </w:tcPr>
          <w:p w14:paraId="537DEB67" w14:textId="77777777" w:rsidR="00F35992" w:rsidRPr="00A77E38" w:rsidRDefault="00F35992"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20BCB632"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tcPr>
          <w:p w14:paraId="02A66599"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Aviso de disponibilidad bancaria</w:t>
            </w:r>
          </w:p>
        </w:tc>
        <w:tc>
          <w:tcPr>
            <w:tcW w:w="1341" w:type="pct"/>
            <w:tcBorders>
              <w:top w:val="single" w:sz="4" w:space="0" w:color="auto"/>
              <w:left w:val="single" w:sz="4" w:space="0" w:color="auto"/>
              <w:bottom w:val="single" w:sz="4" w:space="0" w:color="auto"/>
              <w:right w:val="single" w:sz="4" w:space="0" w:color="auto"/>
            </w:tcBorders>
          </w:tcPr>
          <w:p w14:paraId="4494525C"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Realiza los pagos comprometidos en la deuda pública, amortizaciones, intereses y comisiones. </w:t>
            </w:r>
          </w:p>
        </w:tc>
        <w:tc>
          <w:tcPr>
            <w:tcW w:w="979" w:type="pct"/>
            <w:tcBorders>
              <w:top w:val="single" w:sz="4" w:space="0" w:color="auto"/>
              <w:left w:val="single" w:sz="4" w:space="0" w:color="auto"/>
              <w:bottom w:val="single" w:sz="4" w:space="0" w:color="auto"/>
              <w:right w:val="single" w:sz="4" w:space="0" w:color="auto"/>
            </w:tcBorders>
          </w:tcPr>
          <w:p w14:paraId="09285A9C"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Informes trimestrales al congreso del Estado sobre la situación de la deuda pública.</w:t>
            </w:r>
          </w:p>
        </w:tc>
        <w:tc>
          <w:tcPr>
            <w:tcW w:w="825" w:type="pct"/>
            <w:tcBorders>
              <w:top w:val="single" w:sz="4" w:space="0" w:color="auto"/>
              <w:left w:val="single" w:sz="4" w:space="0" w:color="auto"/>
              <w:bottom w:val="single" w:sz="4" w:space="0" w:color="auto"/>
              <w:right w:val="single" w:sz="4" w:space="0" w:color="auto"/>
            </w:tcBorders>
          </w:tcPr>
          <w:p w14:paraId="6C28CC37" w14:textId="77777777" w:rsidR="00F35992" w:rsidRPr="00A77E38" w:rsidRDefault="00F35992"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Congreso del Estado y Población en General.</w:t>
            </w:r>
          </w:p>
        </w:tc>
      </w:tr>
      <w:tr w:rsidR="0046168C" w:rsidRPr="00A77E38" w14:paraId="578DCB6A" w14:textId="77777777" w:rsidTr="00336174">
        <w:trPr>
          <w:trHeight w:val="545"/>
        </w:trPr>
        <w:tc>
          <w:tcPr>
            <w:tcW w:w="166" w:type="pct"/>
            <w:vMerge w:val="restart"/>
            <w:tcBorders>
              <w:top w:val="single" w:sz="4" w:space="0" w:color="auto"/>
              <w:left w:val="single" w:sz="4" w:space="0" w:color="auto"/>
              <w:right w:val="single" w:sz="4" w:space="0" w:color="auto"/>
            </w:tcBorders>
            <w:shd w:val="clear" w:color="auto" w:fill="9CC2E5"/>
            <w:textDirection w:val="btLr"/>
          </w:tcPr>
          <w:p w14:paraId="54C3AFED" w14:textId="77777777" w:rsidR="0046168C" w:rsidRPr="00A77E38" w:rsidRDefault="0046168C" w:rsidP="00C933C0">
            <w:pPr>
              <w:spacing w:before="0" w:after="0"/>
              <w:ind w:left="113" w:right="113"/>
              <w:jc w:val="center"/>
              <w:rPr>
                <w:rFonts w:eastAsia="Times New Roman" w:cstheme="minorHAnsi"/>
                <w:b/>
                <w:bCs/>
                <w:sz w:val="20"/>
                <w:szCs w:val="20"/>
                <w:lang w:eastAsia="es-MX"/>
              </w:rPr>
            </w:pPr>
            <w:r w:rsidRPr="00700316">
              <w:rPr>
                <w:rFonts w:eastAsia="Times New Roman" w:cstheme="minorHAnsi"/>
                <w:b/>
                <w:bCs/>
                <w:color w:val="2E74B5" w:themeColor="accent1" w:themeShade="BF"/>
                <w:sz w:val="20"/>
                <w:szCs w:val="20"/>
                <w:lang w:eastAsia="es-MX"/>
              </w:rPr>
              <w:t>Seguimiento</w:t>
            </w:r>
          </w:p>
        </w:tc>
        <w:tc>
          <w:tcPr>
            <w:tcW w:w="761" w:type="pct"/>
            <w:tcBorders>
              <w:top w:val="single" w:sz="4" w:space="0" w:color="auto"/>
              <w:left w:val="single" w:sz="4" w:space="0" w:color="auto"/>
              <w:right w:val="single" w:sz="4" w:space="0" w:color="auto"/>
            </w:tcBorders>
          </w:tcPr>
          <w:p w14:paraId="72410AB6" w14:textId="77777777" w:rsidR="0046168C" w:rsidRPr="00A77E38" w:rsidRDefault="0046168C" w:rsidP="00C933C0">
            <w:pPr>
              <w:spacing w:before="0" w:after="0"/>
              <w:rPr>
                <w:rFonts w:cstheme="minorHAnsi"/>
                <w:sz w:val="20"/>
                <w:szCs w:val="20"/>
              </w:rPr>
            </w:pPr>
            <w:r w:rsidRPr="00A77E38">
              <w:rPr>
                <w:rFonts w:cstheme="minorHAnsi"/>
                <w:sz w:val="20"/>
                <w:szCs w:val="20"/>
              </w:rPr>
              <w:t>SF</w:t>
            </w:r>
          </w:p>
        </w:tc>
        <w:tc>
          <w:tcPr>
            <w:tcW w:w="928" w:type="pct"/>
            <w:tcBorders>
              <w:top w:val="single" w:sz="4" w:space="0" w:color="auto"/>
              <w:left w:val="single" w:sz="4" w:space="0" w:color="auto"/>
              <w:bottom w:val="single" w:sz="4" w:space="0" w:color="auto"/>
              <w:right w:val="single" w:sz="4" w:space="0" w:color="auto"/>
            </w:tcBorders>
          </w:tcPr>
          <w:p w14:paraId="4444CC5F" w14:textId="77777777" w:rsidR="0046168C" w:rsidRPr="00A77E38" w:rsidRDefault="0046168C" w:rsidP="00C933C0">
            <w:pPr>
              <w:spacing w:before="0" w:after="0"/>
              <w:rPr>
                <w:rFonts w:cstheme="minorHAnsi"/>
                <w:sz w:val="20"/>
                <w:szCs w:val="20"/>
              </w:rPr>
            </w:pPr>
            <w:r w:rsidRPr="00A77E38">
              <w:rPr>
                <w:rFonts w:cstheme="minorHAnsi"/>
                <w:sz w:val="20"/>
                <w:szCs w:val="20"/>
              </w:rPr>
              <w:t>Reportes mensuales de ingresos vs egresos.</w:t>
            </w:r>
          </w:p>
        </w:tc>
        <w:tc>
          <w:tcPr>
            <w:tcW w:w="1341" w:type="pct"/>
            <w:tcBorders>
              <w:top w:val="single" w:sz="4" w:space="0" w:color="auto"/>
              <w:left w:val="single" w:sz="4" w:space="0" w:color="auto"/>
              <w:bottom w:val="single" w:sz="4" w:space="0" w:color="auto"/>
              <w:right w:val="single" w:sz="4" w:space="0" w:color="auto"/>
            </w:tcBorders>
          </w:tcPr>
          <w:p w14:paraId="1E6133DA" w14:textId="77777777" w:rsidR="0046168C" w:rsidRPr="00A77E38" w:rsidRDefault="0046168C" w:rsidP="00C933C0">
            <w:pPr>
              <w:spacing w:before="0" w:after="0"/>
              <w:rPr>
                <w:rFonts w:cstheme="minorHAnsi"/>
                <w:sz w:val="20"/>
                <w:szCs w:val="20"/>
              </w:rPr>
            </w:pPr>
            <w:r w:rsidRPr="00A77E38">
              <w:rPr>
                <w:rFonts w:cstheme="minorHAnsi"/>
                <w:sz w:val="20"/>
                <w:szCs w:val="20"/>
              </w:rPr>
              <w:t>Las instancias ejecutoras consultan los reportes mensuales de los ingresos vs egresos en la cuenta bancaria en donde se encuentra recaudado el recurso, para verificar los movimientos de la misma, hasta agotar y/o reintegrar el remanente del recurso.</w:t>
            </w:r>
          </w:p>
        </w:tc>
        <w:tc>
          <w:tcPr>
            <w:tcW w:w="979" w:type="pct"/>
            <w:tcBorders>
              <w:top w:val="single" w:sz="4" w:space="0" w:color="auto"/>
              <w:left w:val="single" w:sz="4" w:space="0" w:color="auto"/>
              <w:bottom w:val="single" w:sz="4" w:space="0" w:color="auto"/>
              <w:right w:val="single" w:sz="4" w:space="0" w:color="auto"/>
            </w:tcBorders>
          </w:tcPr>
          <w:p w14:paraId="120EF5C9" w14:textId="77777777" w:rsidR="0046168C" w:rsidRPr="00A77E38" w:rsidRDefault="0046168C" w:rsidP="00C933C0">
            <w:pPr>
              <w:spacing w:before="0" w:after="0"/>
              <w:rPr>
                <w:rFonts w:cstheme="minorHAnsi"/>
                <w:sz w:val="20"/>
                <w:szCs w:val="20"/>
              </w:rPr>
            </w:pPr>
            <w:r w:rsidRPr="00A77E38">
              <w:rPr>
                <w:rFonts w:cstheme="minorHAnsi"/>
                <w:sz w:val="20"/>
                <w:szCs w:val="20"/>
              </w:rPr>
              <w:t>Verificación de movimientos en la cuenta bancaria y disponibilidad de recursos.</w:t>
            </w:r>
          </w:p>
        </w:tc>
        <w:tc>
          <w:tcPr>
            <w:tcW w:w="825" w:type="pct"/>
            <w:tcBorders>
              <w:top w:val="single" w:sz="4" w:space="0" w:color="auto"/>
              <w:left w:val="single" w:sz="4" w:space="0" w:color="auto"/>
              <w:bottom w:val="single" w:sz="4" w:space="0" w:color="auto"/>
              <w:right w:val="single" w:sz="4" w:space="0" w:color="auto"/>
            </w:tcBorders>
          </w:tcPr>
          <w:p w14:paraId="62F7CD59" w14:textId="1DE5A9B2" w:rsidR="0046168C" w:rsidRPr="00A77E38" w:rsidRDefault="0046168C" w:rsidP="00C933C0">
            <w:pPr>
              <w:spacing w:before="0" w:after="0"/>
              <w:rPr>
                <w:rFonts w:cstheme="minorHAnsi"/>
                <w:sz w:val="20"/>
                <w:szCs w:val="20"/>
              </w:rPr>
            </w:pPr>
            <w:r w:rsidRPr="00A77E38">
              <w:rPr>
                <w:rFonts w:cstheme="minorHAnsi"/>
                <w:sz w:val="20"/>
                <w:szCs w:val="20"/>
              </w:rPr>
              <w:t>Unidades ejecutoras en la entidad</w:t>
            </w:r>
            <w:r w:rsidR="002F73DD">
              <w:rPr>
                <w:rFonts w:cstheme="minorHAnsi"/>
                <w:sz w:val="20"/>
                <w:szCs w:val="20"/>
              </w:rPr>
              <w:t xml:space="preserve"> federativa</w:t>
            </w:r>
            <w:r w:rsidRPr="00A77E38">
              <w:rPr>
                <w:rFonts w:cstheme="minorHAnsi"/>
                <w:sz w:val="20"/>
                <w:szCs w:val="20"/>
              </w:rPr>
              <w:t>.</w:t>
            </w:r>
          </w:p>
        </w:tc>
      </w:tr>
      <w:tr w:rsidR="0046168C" w:rsidRPr="00A77E38" w14:paraId="6E01029C" w14:textId="77777777" w:rsidTr="00336174">
        <w:trPr>
          <w:trHeight w:val="420"/>
        </w:trPr>
        <w:tc>
          <w:tcPr>
            <w:tcW w:w="166" w:type="pct"/>
            <w:vMerge/>
            <w:tcBorders>
              <w:left w:val="single" w:sz="4" w:space="0" w:color="auto"/>
              <w:right w:val="single" w:sz="4" w:space="0" w:color="auto"/>
            </w:tcBorders>
            <w:shd w:val="clear" w:color="auto" w:fill="9CC2E5"/>
          </w:tcPr>
          <w:p w14:paraId="75C1738D"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197AE475" w14:textId="2B6F156B"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sidR="002F73DD">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c>
          <w:tcPr>
            <w:tcW w:w="928" w:type="pct"/>
            <w:tcBorders>
              <w:top w:val="single" w:sz="4" w:space="0" w:color="auto"/>
              <w:left w:val="single" w:sz="4" w:space="0" w:color="auto"/>
              <w:bottom w:val="single" w:sz="4" w:space="0" w:color="auto"/>
              <w:right w:val="single" w:sz="4" w:space="0" w:color="auto"/>
            </w:tcBorders>
          </w:tcPr>
          <w:p w14:paraId="1A9B1647"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Captura de Información sobre el ejercicio del gasto.</w:t>
            </w:r>
          </w:p>
        </w:tc>
        <w:tc>
          <w:tcPr>
            <w:tcW w:w="1341" w:type="pct"/>
            <w:tcBorders>
              <w:top w:val="single" w:sz="4" w:space="0" w:color="auto"/>
              <w:left w:val="single" w:sz="4" w:space="0" w:color="auto"/>
              <w:bottom w:val="single" w:sz="4" w:space="0" w:color="auto"/>
              <w:right w:val="single" w:sz="4" w:space="0" w:color="auto"/>
            </w:tcBorders>
          </w:tcPr>
          <w:p w14:paraId="4AB256FE"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Captura trimestral del origen y destino de los recursos en el SRFT.</w:t>
            </w:r>
          </w:p>
        </w:tc>
        <w:tc>
          <w:tcPr>
            <w:tcW w:w="979" w:type="pct"/>
            <w:tcBorders>
              <w:top w:val="single" w:sz="4" w:space="0" w:color="auto"/>
              <w:left w:val="single" w:sz="4" w:space="0" w:color="auto"/>
              <w:bottom w:val="single" w:sz="4" w:space="0" w:color="auto"/>
              <w:right w:val="single" w:sz="4" w:space="0" w:color="auto"/>
            </w:tcBorders>
          </w:tcPr>
          <w:p w14:paraId="36C026C4"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Reportes trimestrales sobre el destino del gasto, ejercicio del gasto e indicadores, para su validación.</w:t>
            </w:r>
          </w:p>
        </w:tc>
        <w:tc>
          <w:tcPr>
            <w:tcW w:w="825" w:type="pct"/>
            <w:tcBorders>
              <w:top w:val="single" w:sz="4" w:space="0" w:color="auto"/>
              <w:left w:val="single" w:sz="4" w:space="0" w:color="auto"/>
              <w:bottom w:val="single" w:sz="4" w:space="0" w:color="auto"/>
              <w:right w:val="single" w:sz="4" w:space="0" w:color="auto"/>
            </w:tcBorders>
          </w:tcPr>
          <w:p w14:paraId="049BF48A"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r>
      <w:tr w:rsidR="0046168C" w:rsidRPr="00A77E38" w14:paraId="57B2E87F" w14:textId="77777777" w:rsidTr="00336174">
        <w:trPr>
          <w:trHeight w:val="420"/>
        </w:trPr>
        <w:tc>
          <w:tcPr>
            <w:tcW w:w="166" w:type="pct"/>
            <w:vMerge/>
            <w:tcBorders>
              <w:left w:val="single" w:sz="4" w:space="0" w:color="auto"/>
              <w:right w:val="single" w:sz="4" w:space="0" w:color="auto"/>
            </w:tcBorders>
            <w:shd w:val="clear" w:color="auto" w:fill="9CC2E5"/>
          </w:tcPr>
          <w:p w14:paraId="37CE0885"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762994E1" w14:textId="77777777" w:rsidR="0046168C" w:rsidRPr="00A77E38" w:rsidRDefault="0046168C" w:rsidP="00C933C0">
            <w:pPr>
              <w:spacing w:before="0" w:after="0"/>
              <w:jc w:val="left"/>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tcPr>
          <w:p w14:paraId="34416F47"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Validación de la información</w:t>
            </w:r>
          </w:p>
        </w:tc>
        <w:tc>
          <w:tcPr>
            <w:tcW w:w="1341" w:type="pct"/>
            <w:tcBorders>
              <w:top w:val="single" w:sz="4" w:space="0" w:color="auto"/>
              <w:left w:val="single" w:sz="4" w:space="0" w:color="auto"/>
              <w:bottom w:val="single" w:sz="4" w:space="0" w:color="auto"/>
              <w:right w:val="single" w:sz="4" w:space="0" w:color="auto"/>
            </w:tcBorders>
          </w:tcPr>
          <w:p w14:paraId="4D56D43A"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La SF revisa y valida la información captura por los ejecutores del gasto en el SRFT.</w:t>
            </w:r>
          </w:p>
        </w:tc>
        <w:tc>
          <w:tcPr>
            <w:tcW w:w="979" w:type="pct"/>
            <w:tcBorders>
              <w:top w:val="single" w:sz="4" w:space="0" w:color="auto"/>
              <w:left w:val="single" w:sz="4" w:space="0" w:color="auto"/>
              <w:bottom w:val="single" w:sz="4" w:space="0" w:color="auto"/>
              <w:right w:val="single" w:sz="4" w:space="0" w:color="auto"/>
            </w:tcBorders>
          </w:tcPr>
          <w:p w14:paraId="1718A252"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Observaciones a los informes trimestrales en el SRFT o en su caso la aceptación de los mismos.</w:t>
            </w:r>
          </w:p>
        </w:tc>
        <w:tc>
          <w:tcPr>
            <w:tcW w:w="825" w:type="pct"/>
            <w:tcBorders>
              <w:top w:val="single" w:sz="4" w:space="0" w:color="auto"/>
              <w:left w:val="single" w:sz="4" w:space="0" w:color="auto"/>
              <w:bottom w:val="single" w:sz="4" w:space="0" w:color="auto"/>
              <w:right w:val="single" w:sz="4" w:space="0" w:color="auto"/>
            </w:tcBorders>
          </w:tcPr>
          <w:p w14:paraId="2717D0D3" w14:textId="06EC8D80"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Unidades ejecutoras en la entidad</w:t>
            </w:r>
            <w:r w:rsidR="00D070CC">
              <w:rPr>
                <w:rFonts w:eastAsia="Times New Roman" w:cstheme="minorHAnsi"/>
                <w:color w:val="000000"/>
                <w:sz w:val="20"/>
                <w:szCs w:val="20"/>
                <w:lang w:eastAsia="es-MX"/>
              </w:rPr>
              <w:t xml:space="preserve"> federativa</w:t>
            </w:r>
            <w:r w:rsidRPr="00A77E38">
              <w:rPr>
                <w:rFonts w:eastAsia="Times New Roman" w:cstheme="minorHAnsi"/>
                <w:color w:val="000000"/>
                <w:sz w:val="20"/>
                <w:szCs w:val="20"/>
                <w:lang w:eastAsia="es-MX"/>
              </w:rPr>
              <w:t>.</w:t>
            </w:r>
          </w:p>
        </w:tc>
      </w:tr>
      <w:tr w:rsidR="0046168C" w:rsidRPr="00A77E38" w14:paraId="05195395" w14:textId="77777777" w:rsidTr="00336174">
        <w:trPr>
          <w:trHeight w:val="420"/>
        </w:trPr>
        <w:tc>
          <w:tcPr>
            <w:tcW w:w="166" w:type="pct"/>
            <w:vMerge/>
            <w:tcBorders>
              <w:left w:val="single" w:sz="4" w:space="0" w:color="auto"/>
              <w:right w:val="single" w:sz="4" w:space="0" w:color="auto"/>
            </w:tcBorders>
            <w:shd w:val="clear" w:color="auto" w:fill="9CC2E5"/>
          </w:tcPr>
          <w:p w14:paraId="058E32AC"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bottom w:val="single" w:sz="4" w:space="0" w:color="auto"/>
              <w:right w:val="single" w:sz="4" w:space="0" w:color="auto"/>
            </w:tcBorders>
          </w:tcPr>
          <w:p w14:paraId="3B3A9E7E"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tcPr>
          <w:p w14:paraId="52DF0F7B" w14:textId="77777777" w:rsidR="0046168C" w:rsidRPr="00A77E38" w:rsidRDefault="0046168C" w:rsidP="00C933C0">
            <w:pPr>
              <w:spacing w:before="0" w:after="0"/>
              <w:jc w:val="center"/>
              <w:rPr>
                <w:rFonts w:eastAsia="Times New Roman" w:cstheme="minorHAnsi"/>
                <w:color w:val="000000"/>
                <w:sz w:val="20"/>
                <w:szCs w:val="20"/>
                <w:lang w:eastAsia="es-MX"/>
              </w:rPr>
            </w:pPr>
            <w:r w:rsidRPr="00A77E38">
              <w:rPr>
                <w:rFonts w:eastAsia="Times New Roman" w:cstheme="minorHAnsi"/>
                <w:color w:val="000000"/>
                <w:sz w:val="20"/>
                <w:szCs w:val="20"/>
                <w:lang w:eastAsia="es-MX"/>
              </w:rPr>
              <w:t>Informes trimestrales al SRFT</w:t>
            </w:r>
          </w:p>
        </w:tc>
        <w:tc>
          <w:tcPr>
            <w:tcW w:w="1341" w:type="pct"/>
            <w:tcBorders>
              <w:top w:val="single" w:sz="4" w:space="0" w:color="auto"/>
              <w:left w:val="single" w:sz="4" w:space="0" w:color="auto"/>
              <w:bottom w:val="single" w:sz="4" w:space="0" w:color="auto"/>
              <w:right w:val="single" w:sz="4" w:space="0" w:color="auto"/>
            </w:tcBorders>
          </w:tcPr>
          <w:p w14:paraId="5261B501"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Información de los reportes trimestrales validada por la SF. </w:t>
            </w:r>
          </w:p>
        </w:tc>
        <w:tc>
          <w:tcPr>
            <w:tcW w:w="979" w:type="pct"/>
            <w:tcBorders>
              <w:top w:val="single" w:sz="4" w:space="0" w:color="auto"/>
              <w:left w:val="single" w:sz="4" w:space="0" w:color="auto"/>
              <w:bottom w:val="single" w:sz="4" w:space="0" w:color="auto"/>
              <w:right w:val="single" w:sz="4" w:space="0" w:color="auto"/>
            </w:tcBorders>
          </w:tcPr>
          <w:p w14:paraId="0969C09B"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Informes validados por la SF</w:t>
            </w:r>
          </w:p>
        </w:tc>
        <w:tc>
          <w:tcPr>
            <w:tcW w:w="825" w:type="pct"/>
            <w:tcBorders>
              <w:top w:val="single" w:sz="4" w:space="0" w:color="auto"/>
              <w:left w:val="single" w:sz="4" w:space="0" w:color="auto"/>
              <w:bottom w:val="single" w:sz="4" w:space="0" w:color="auto"/>
              <w:right w:val="single" w:sz="4" w:space="0" w:color="auto"/>
            </w:tcBorders>
          </w:tcPr>
          <w:p w14:paraId="390EBA99"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DGPyP A de la SHCP</w:t>
            </w:r>
          </w:p>
        </w:tc>
      </w:tr>
      <w:tr w:rsidR="0046168C" w:rsidRPr="00A77E38" w14:paraId="3CFE0E6F" w14:textId="77777777" w:rsidTr="00336174">
        <w:trPr>
          <w:trHeight w:val="420"/>
        </w:trPr>
        <w:tc>
          <w:tcPr>
            <w:tcW w:w="166" w:type="pct"/>
            <w:vMerge/>
            <w:tcBorders>
              <w:left w:val="single" w:sz="4" w:space="0" w:color="auto"/>
              <w:right w:val="single" w:sz="4" w:space="0" w:color="auto"/>
            </w:tcBorders>
            <w:shd w:val="clear" w:color="auto" w:fill="9CC2E5"/>
          </w:tcPr>
          <w:p w14:paraId="37A81FFF"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47E03B33"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DGPyP A de la SHCP</w:t>
            </w:r>
          </w:p>
        </w:tc>
        <w:tc>
          <w:tcPr>
            <w:tcW w:w="928" w:type="pct"/>
            <w:tcBorders>
              <w:top w:val="single" w:sz="4" w:space="0" w:color="auto"/>
              <w:left w:val="single" w:sz="4" w:space="0" w:color="auto"/>
              <w:bottom w:val="single" w:sz="4" w:space="0" w:color="auto"/>
              <w:right w:val="single" w:sz="4" w:space="0" w:color="auto"/>
            </w:tcBorders>
          </w:tcPr>
          <w:p w14:paraId="004BEAE6"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Observaciones a los informes trimestrales del SRFT.</w:t>
            </w:r>
          </w:p>
        </w:tc>
        <w:tc>
          <w:tcPr>
            <w:tcW w:w="1341" w:type="pct"/>
            <w:tcBorders>
              <w:top w:val="single" w:sz="4" w:space="0" w:color="auto"/>
              <w:left w:val="single" w:sz="4" w:space="0" w:color="auto"/>
              <w:bottom w:val="single" w:sz="4" w:space="0" w:color="auto"/>
              <w:right w:val="single" w:sz="4" w:space="0" w:color="auto"/>
            </w:tcBorders>
          </w:tcPr>
          <w:p w14:paraId="7B7F2516" w14:textId="124F0520"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La DGPyP </w:t>
            </w:r>
            <w:r w:rsidR="00FE519B">
              <w:rPr>
                <w:rFonts w:eastAsia="Times New Roman" w:cstheme="minorHAnsi"/>
                <w:color w:val="000000"/>
                <w:sz w:val="20"/>
                <w:szCs w:val="20"/>
                <w:lang w:eastAsia="es-MX"/>
              </w:rPr>
              <w:t>“</w:t>
            </w:r>
            <w:r w:rsidRPr="00A77E38">
              <w:rPr>
                <w:rFonts w:eastAsia="Times New Roman" w:cstheme="minorHAnsi"/>
                <w:color w:val="000000"/>
                <w:sz w:val="20"/>
                <w:szCs w:val="20"/>
                <w:lang w:eastAsia="es-MX"/>
              </w:rPr>
              <w:t>A</w:t>
            </w:r>
            <w:r w:rsidR="00FE519B">
              <w:rPr>
                <w:rFonts w:eastAsia="Times New Roman" w:cstheme="minorHAnsi"/>
                <w:color w:val="000000"/>
                <w:sz w:val="20"/>
                <w:szCs w:val="20"/>
                <w:lang w:eastAsia="es-MX"/>
              </w:rPr>
              <w:t>”</w:t>
            </w:r>
            <w:r w:rsidRPr="00A77E38">
              <w:rPr>
                <w:rFonts w:eastAsia="Times New Roman" w:cstheme="minorHAnsi"/>
                <w:color w:val="000000"/>
                <w:sz w:val="20"/>
                <w:szCs w:val="20"/>
                <w:lang w:eastAsia="es-MX"/>
              </w:rPr>
              <w:t xml:space="preserve"> de la SHCP emite observaciones a los informes del SRFT</w:t>
            </w:r>
          </w:p>
        </w:tc>
        <w:tc>
          <w:tcPr>
            <w:tcW w:w="979" w:type="pct"/>
            <w:tcBorders>
              <w:top w:val="single" w:sz="4" w:space="0" w:color="auto"/>
              <w:left w:val="single" w:sz="4" w:space="0" w:color="auto"/>
              <w:bottom w:val="single" w:sz="4" w:space="0" w:color="auto"/>
              <w:right w:val="single" w:sz="4" w:space="0" w:color="auto"/>
            </w:tcBorders>
          </w:tcPr>
          <w:p w14:paraId="57BEAB49"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Observaciones o aceptación de los reportes trimestrales</w:t>
            </w:r>
          </w:p>
        </w:tc>
        <w:tc>
          <w:tcPr>
            <w:tcW w:w="825" w:type="pct"/>
            <w:tcBorders>
              <w:top w:val="single" w:sz="4" w:space="0" w:color="auto"/>
              <w:left w:val="single" w:sz="4" w:space="0" w:color="auto"/>
              <w:bottom w:val="single" w:sz="4" w:space="0" w:color="auto"/>
              <w:right w:val="single" w:sz="4" w:space="0" w:color="auto"/>
            </w:tcBorders>
          </w:tcPr>
          <w:p w14:paraId="48BE0621"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r>
      <w:tr w:rsidR="0046168C" w:rsidRPr="00A77E38" w14:paraId="3AB4D9A7" w14:textId="77777777" w:rsidTr="00336174">
        <w:trPr>
          <w:trHeight w:val="420"/>
        </w:trPr>
        <w:tc>
          <w:tcPr>
            <w:tcW w:w="166" w:type="pct"/>
            <w:vMerge/>
            <w:tcBorders>
              <w:left w:val="single" w:sz="4" w:space="0" w:color="auto"/>
              <w:right w:val="single" w:sz="4" w:space="0" w:color="auto"/>
            </w:tcBorders>
            <w:shd w:val="clear" w:color="auto" w:fill="9CC2E5"/>
          </w:tcPr>
          <w:p w14:paraId="797C881F"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bottom w:val="single" w:sz="4" w:space="0" w:color="auto"/>
              <w:right w:val="single" w:sz="4" w:space="0" w:color="auto"/>
            </w:tcBorders>
          </w:tcPr>
          <w:p w14:paraId="397EF843" w14:textId="77777777" w:rsidR="0046168C" w:rsidRPr="00A77E38" w:rsidRDefault="0046168C" w:rsidP="00C933C0">
            <w:pPr>
              <w:spacing w:before="0" w:after="0"/>
              <w:jc w:val="left"/>
              <w:rPr>
                <w:rFonts w:eastAsia="Times New Roman" w:cstheme="minorHAnsi"/>
                <w:color w:val="000000"/>
                <w:sz w:val="20"/>
                <w:szCs w:val="20"/>
                <w:lang w:eastAsia="es-MX"/>
              </w:rPr>
            </w:pPr>
            <w:r w:rsidRPr="00A77E38">
              <w:rPr>
                <w:rFonts w:eastAsia="Times New Roman" w:cstheme="minorHAnsi"/>
                <w:color w:val="000000"/>
                <w:sz w:val="20"/>
                <w:szCs w:val="20"/>
                <w:lang w:eastAsia="es-MX"/>
              </w:rPr>
              <w:t>SF</w:t>
            </w:r>
          </w:p>
        </w:tc>
        <w:tc>
          <w:tcPr>
            <w:tcW w:w="928" w:type="pct"/>
            <w:tcBorders>
              <w:top w:val="single" w:sz="4" w:space="0" w:color="auto"/>
              <w:left w:val="single" w:sz="4" w:space="0" w:color="auto"/>
              <w:bottom w:val="single" w:sz="4" w:space="0" w:color="auto"/>
              <w:right w:val="single" w:sz="4" w:space="0" w:color="auto"/>
            </w:tcBorders>
          </w:tcPr>
          <w:p w14:paraId="5706E480" w14:textId="77777777" w:rsidR="0046168C" w:rsidRPr="00A77E38" w:rsidRDefault="0046168C" w:rsidP="00C933C0">
            <w:pPr>
              <w:spacing w:before="0" w:after="0"/>
              <w:jc w:val="left"/>
              <w:rPr>
                <w:rFonts w:eastAsia="Times New Roman" w:cstheme="minorHAnsi"/>
                <w:color w:val="000000"/>
                <w:sz w:val="20"/>
                <w:szCs w:val="20"/>
                <w:lang w:eastAsia="es-MX"/>
              </w:rPr>
            </w:pPr>
            <w:r w:rsidRPr="00A77E38">
              <w:rPr>
                <w:rFonts w:eastAsia="Times New Roman" w:cstheme="minorHAnsi"/>
                <w:color w:val="000000"/>
                <w:sz w:val="20"/>
                <w:szCs w:val="20"/>
                <w:lang w:eastAsia="es-MX"/>
              </w:rPr>
              <w:t>Solventar observaciones</w:t>
            </w:r>
          </w:p>
        </w:tc>
        <w:tc>
          <w:tcPr>
            <w:tcW w:w="1341" w:type="pct"/>
            <w:tcBorders>
              <w:top w:val="single" w:sz="4" w:space="0" w:color="auto"/>
              <w:left w:val="single" w:sz="4" w:space="0" w:color="auto"/>
              <w:bottom w:val="single" w:sz="4" w:space="0" w:color="auto"/>
              <w:right w:val="single" w:sz="4" w:space="0" w:color="auto"/>
            </w:tcBorders>
          </w:tcPr>
          <w:p w14:paraId="3E78EB40" w14:textId="4CEF9414"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 xml:space="preserve">En caso de haberlas, la SF solventa las observaciones realizadas por la DGPyP </w:t>
            </w:r>
            <w:r w:rsidR="00FE519B">
              <w:rPr>
                <w:rFonts w:eastAsia="Times New Roman" w:cstheme="minorHAnsi"/>
                <w:color w:val="000000"/>
                <w:sz w:val="20"/>
                <w:szCs w:val="20"/>
                <w:lang w:eastAsia="es-MX"/>
              </w:rPr>
              <w:t>“</w:t>
            </w:r>
            <w:r w:rsidRPr="00A77E38">
              <w:rPr>
                <w:rFonts w:eastAsia="Times New Roman" w:cstheme="minorHAnsi"/>
                <w:color w:val="000000"/>
                <w:sz w:val="20"/>
                <w:szCs w:val="20"/>
                <w:lang w:eastAsia="es-MX"/>
              </w:rPr>
              <w:t>A</w:t>
            </w:r>
            <w:r w:rsidR="00FE519B">
              <w:rPr>
                <w:rFonts w:eastAsia="Times New Roman" w:cstheme="minorHAnsi"/>
                <w:color w:val="000000"/>
                <w:sz w:val="20"/>
                <w:szCs w:val="20"/>
                <w:lang w:eastAsia="es-MX"/>
              </w:rPr>
              <w:t>”</w:t>
            </w:r>
            <w:r w:rsidRPr="00A77E38">
              <w:rPr>
                <w:rFonts w:eastAsia="Times New Roman" w:cstheme="minorHAnsi"/>
                <w:color w:val="000000"/>
                <w:sz w:val="20"/>
                <w:szCs w:val="20"/>
                <w:lang w:eastAsia="es-MX"/>
              </w:rPr>
              <w:t xml:space="preserve"> de la SHCP a los informes trimestrales del SRFT.</w:t>
            </w:r>
          </w:p>
        </w:tc>
        <w:tc>
          <w:tcPr>
            <w:tcW w:w="979" w:type="pct"/>
            <w:tcBorders>
              <w:top w:val="single" w:sz="4" w:space="0" w:color="auto"/>
              <w:left w:val="single" w:sz="4" w:space="0" w:color="auto"/>
              <w:bottom w:val="single" w:sz="4" w:space="0" w:color="auto"/>
              <w:right w:val="single" w:sz="4" w:space="0" w:color="auto"/>
            </w:tcBorders>
          </w:tcPr>
          <w:p w14:paraId="3FE5CD8B"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Cierre del SRFT.</w:t>
            </w:r>
          </w:p>
        </w:tc>
        <w:tc>
          <w:tcPr>
            <w:tcW w:w="825" w:type="pct"/>
            <w:tcBorders>
              <w:top w:val="single" w:sz="4" w:space="0" w:color="auto"/>
              <w:left w:val="single" w:sz="4" w:space="0" w:color="auto"/>
              <w:bottom w:val="single" w:sz="4" w:space="0" w:color="auto"/>
              <w:right w:val="single" w:sz="4" w:space="0" w:color="auto"/>
            </w:tcBorders>
          </w:tcPr>
          <w:p w14:paraId="6E0B186C"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SHCP.</w:t>
            </w:r>
          </w:p>
        </w:tc>
      </w:tr>
      <w:tr w:rsidR="0046168C" w:rsidRPr="00A77E38" w14:paraId="2E032FE6" w14:textId="77777777" w:rsidTr="00336174">
        <w:trPr>
          <w:trHeight w:val="420"/>
        </w:trPr>
        <w:tc>
          <w:tcPr>
            <w:tcW w:w="166" w:type="pct"/>
            <w:tcBorders>
              <w:left w:val="single" w:sz="4" w:space="0" w:color="auto"/>
              <w:right w:val="single" w:sz="4" w:space="0" w:color="auto"/>
            </w:tcBorders>
            <w:shd w:val="clear" w:color="auto" w:fill="9CC2E5"/>
          </w:tcPr>
          <w:p w14:paraId="470E9D3B" w14:textId="77777777" w:rsidR="0046168C" w:rsidRPr="00A77E38" w:rsidRDefault="0046168C" w:rsidP="00C933C0">
            <w:pPr>
              <w:spacing w:before="0" w:after="0"/>
              <w:rPr>
                <w:rFonts w:eastAsia="Times New Roman" w:cstheme="minorHAnsi"/>
                <w:sz w:val="20"/>
                <w:szCs w:val="20"/>
                <w:lang w:eastAsia="es-MX"/>
              </w:rPr>
            </w:pPr>
          </w:p>
        </w:tc>
        <w:tc>
          <w:tcPr>
            <w:tcW w:w="761" w:type="pct"/>
            <w:tcBorders>
              <w:top w:val="single" w:sz="4" w:space="0" w:color="auto"/>
              <w:left w:val="single" w:sz="4" w:space="0" w:color="auto"/>
              <w:right w:val="single" w:sz="4" w:space="0" w:color="auto"/>
            </w:tcBorders>
          </w:tcPr>
          <w:p w14:paraId="16B2B7CE" w14:textId="77777777" w:rsidR="0046168C" w:rsidRPr="00A77E38" w:rsidRDefault="0046168C" w:rsidP="00C933C0">
            <w:pPr>
              <w:spacing w:before="0" w:after="0"/>
              <w:jc w:val="left"/>
              <w:rPr>
                <w:rFonts w:eastAsia="Times New Roman" w:cstheme="minorHAnsi"/>
                <w:color w:val="000000"/>
                <w:sz w:val="20"/>
                <w:szCs w:val="20"/>
                <w:lang w:eastAsia="es-MX"/>
              </w:rPr>
            </w:pPr>
            <w:r w:rsidRPr="00A77E38">
              <w:rPr>
                <w:rFonts w:eastAsia="Times New Roman" w:cstheme="minorHAnsi"/>
                <w:color w:val="000000"/>
                <w:sz w:val="20"/>
                <w:szCs w:val="20"/>
                <w:lang w:eastAsia="es-MX"/>
              </w:rPr>
              <w:t>SHCP</w:t>
            </w:r>
          </w:p>
        </w:tc>
        <w:tc>
          <w:tcPr>
            <w:tcW w:w="928" w:type="pct"/>
            <w:tcBorders>
              <w:top w:val="single" w:sz="4" w:space="0" w:color="auto"/>
              <w:left w:val="single" w:sz="4" w:space="0" w:color="auto"/>
              <w:bottom w:val="single" w:sz="4" w:space="0" w:color="auto"/>
              <w:right w:val="single" w:sz="4" w:space="0" w:color="auto"/>
            </w:tcBorders>
          </w:tcPr>
          <w:p w14:paraId="6142055E"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Remite los reportes trimestrales al Congreso de la Unión.</w:t>
            </w:r>
          </w:p>
        </w:tc>
        <w:tc>
          <w:tcPr>
            <w:tcW w:w="1341" w:type="pct"/>
            <w:tcBorders>
              <w:top w:val="single" w:sz="4" w:space="0" w:color="auto"/>
              <w:left w:val="single" w:sz="4" w:space="0" w:color="auto"/>
              <w:bottom w:val="single" w:sz="4" w:space="0" w:color="auto"/>
              <w:right w:val="single" w:sz="4" w:space="0" w:color="auto"/>
            </w:tcBorders>
          </w:tcPr>
          <w:p w14:paraId="3CD4D572"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Los reportes trimestrales deben remitirse al Congreso y ser publicados en la página web de la SHCP.</w:t>
            </w:r>
          </w:p>
        </w:tc>
        <w:tc>
          <w:tcPr>
            <w:tcW w:w="979" w:type="pct"/>
            <w:tcBorders>
              <w:top w:val="single" w:sz="4" w:space="0" w:color="auto"/>
              <w:left w:val="single" w:sz="4" w:space="0" w:color="auto"/>
              <w:bottom w:val="single" w:sz="4" w:space="0" w:color="auto"/>
              <w:right w:val="single" w:sz="4" w:space="0" w:color="auto"/>
            </w:tcBorders>
          </w:tcPr>
          <w:p w14:paraId="4C0D3847"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Informes trimestrales consolidados.</w:t>
            </w:r>
          </w:p>
        </w:tc>
        <w:tc>
          <w:tcPr>
            <w:tcW w:w="825" w:type="pct"/>
            <w:tcBorders>
              <w:top w:val="single" w:sz="4" w:space="0" w:color="auto"/>
              <w:left w:val="single" w:sz="4" w:space="0" w:color="auto"/>
              <w:bottom w:val="single" w:sz="4" w:space="0" w:color="auto"/>
              <w:right w:val="single" w:sz="4" w:space="0" w:color="auto"/>
            </w:tcBorders>
          </w:tcPr>
          <w:p w14:paraId="3234C8AC" w14:textId="77777777" w:rsidR="0046168C" w:rsidRPr="00A77E38" w:rsidRDefault="0046168C" w:rsidP="00C933C0">
            <w:pPr>
              <w:spacing w:before="0" w:after="0"/>
              <w:rPr>
                <w:rFonts w:eastAsia="Times New Roman" w:cstheme="minorHAnsi"/>
                <w:color w:val="000000"/>
                <w:sz w:val="20"/>
                <w:szCs w:val="20"/>
                <w:lang w:eastAsia="es-MX"/>
              </w:rPr>
            </w:pPr>
            <w:r w:rsidRPr="00A77E38">
              <w:rPr>
                <w:rFonts w:eastAsia="Times New Roman" w:cstheme="minorHAnsi"/>
                <w:color w:val="000000"/>
                <w:sz w:val="20"/>
                <w:szCs w:val="20"/>
                <w:lang w:eastAsia="es-MX"/>
              </w:rPr>
              <w:t>Congreso de la Unión y población en general.</w:t>
            </w:r>
          </w:p>
        </w:tc>
      </w:tr>
    </w:tbl>
    <w:p w14:paraId="4A8285EF" w14:textId="6CD4ED29" w:rsidR="00EE4182" w:rsidRPr="00CA45AE" w:rsidRDefault="00EE4182" w:rsidP="00B6128B">
      <w:pPr>
        <w:spacing w:before="60" w:after="240"/>
        <w:contextualSpacing/>
        <w:rPr>
          <w:rFonts w:cstheme="minorHAnsi"/>
          <w:color w:val="2E74B5" w:themeColor="accent1" w:themeShade="BF"/>
          <w:sz w:val="18"/>
          <w:szCs w:val="18"/>
          <w:u w:val="single"/>
          <w:bdr w:val="none" w:sz="0" w:space="0" w:color="auto" w:frame="1"/>
          <w:shd w:val="clear" w:color="auto" w:fill="FFFFFF"/>
        </w:rPr>
      </w:pPr>
      <w:r w:rsidRPr="00B6128B">
        <w:rPr>
          <w:sz w:val="18"/>
          <w:szCs w:val="18"/>
        </w:rPr>
        <w:t xml:space="preserve">1/ </w:t>
      </w:r>
      <w:r w:rsidR="0072611C" w:rsidRPr="00B6128B">
        <w:rPr>
          <w:sz w:val="18"/>
          <w:szCs w:val="18"/>
        </w:rPr>
        <w:t xml:space="preserve">Para la elaboración de los diagramas de alto nivel y diagrama de flujo, se utilizó la notación establecida en el documento “Guía para la Optimización, Estandarización y Mejora Continua de Procesos” publicada por la SFP en la dirección electrónica: </w:t>
      </w:r>
      <w:hyperlink r:id="rId47" w:history="1">
        <w:r w:rsidR="00D841A6" w:rsidRPr="00CA45AE">
          <w:rPr>
            <w:rFonts w:cstheme="minorHAnsi"/>
            <w:color w:val="2E74B5" w:themeColor="accent1" w:themeShade="BF"/>
            <w:sz w:val="18"/>
            <w:szCs w:val="18"/>
            <w:u w:val="single"/>
            <w:bdr w:val="none" w:sz="0" w:space="0" w:color="auto" w:frame="1"/>
            <w:shd w:val="clear" w:color="auto" w:fill="FFFFFF"/>
          </w:rPr>
          <w:t>https://www.gob.mx/cms/uploads/attachment/file/56904/Gu_a_para_la_Optimizaci_n__Estandarizaci_n_y_Mejora_Continua_de_Procesos.pdf</w:t>
        </w:r>
      </w:hyperlink>
      <w:r w:rsidR="00D841A6" w:rsidRPr="00CA45AE">
        <w:rPr>
          <w:rFonts w:cstheme="minorHAnsi"/>
          <w:color w:val="2E74B5" w:themeColor="accent1" w:themeShade="BF"/>
          <w:sz w:val="18"/>
          <w:szCs w:val="18"/>
          <w:u w:val="single"/>
          <w:bdr w:val="none" w:sz="0" w:space="0" w:color="auto" w:frame="1"/>
          <w:shd w:val="clear" w:color="auto" w:fill="FFFFFF"/>
        </w:rPr>
        <w:t>.</w:t>
      </w:r>
      <w:r w:rsidRPr="00CA45AE">
        <w:rPr>
          <w:rFonts w:cstheme="minorHAnsi"/>
          <w:color w:val="2E74B5" w:themeColor="accent1" w:themeShade="BF"/>
          <w:sz w:val="18"/>
          <w:szCs w:val="18"/>
          <w:u w:val="single"/>
          <w:bdr w:val="none" w:sz="0" w:space="0" w:color="auto" w:frame="1"/>
          <w:shd w:val="clear" w:color="auto" w:fill="FFFFFF"/>
        </w:rPr>
        <w:t xml:space="preserve"> </w:t>
      </w:r>
    </w:p>
    <w:p w14:paraId="4BA273E7" w14:textId="4268D364" w:rsidR="00EE4182" w:rsidRDefault="00EE4182" w:rsidP="00B6128B">
      <w:pPr>
        <w:spacing w:before="60" w:after="240"/>
        <w:contextualSpacing/>
      </w:pPr>
      <w:r w:rsidRPr="00451BBA">
        <w:rPr>
          <w:rFonts w:cs="Arial"/>
          <w:bCs/>
          <w:sz w:val="18"/>
          <w:szCs w:val="18"/>
        </w:rPr>
        <w:t xml:space="preserve">Fuente: </w:t>
      </w:r>
      <w:r w:rsidRPr="00451BBA">
        <w:rPr>
          <w:sz w:val="18"/>
          <w:szCs w:val="18"/>
        </w:rPr>
        <w:t>Elaboración propia con base en información</w:t>
      </w:r>
      <w:r>
        <w:rPr>
          <w:sz w:val="18"/>
          <w:szCs w:val="18"/>
        </w:rPr>
        <w:t xml:space="preserve"> proporcionada por SHCP e información </w:t>
      </w:r>
      <w:r w:rsidRPr="00451BBA">
        <w:rPr>
          <w:sz w:val="18"/>
          <w:szCs w:val="18"/>
        </w:rPr>
        <w:t>recopilada mediante la entrevista realizada a funcionarios estatales en el marco de la evaluación</w:t>
      </w:r>
      <w:r>
        <w:rPr>
          <w:sz w:val="18"/>
          <w:szCs w:val="18"/>
        </w:rPr>
        <w:t>.</w:t>
      </w:r>
    </w:p>
    <w:p w14:paraId="4B2292C9" w14:textId="0A0647D2" w:rsidR="00D841A6" w:rsidRDefault="00D841A6">
      <w:pPr>
        <w:spacing w:before="0" w:after="160" w:line="259" w:lineRule="auto"/>
        <w:jc w:val="left"/>
      </w:pPr>
      <w:r>
        <w:br w:type="page"/>
      </w:r>
    </w:p>
    <w:p w14:paraId="28C981C0" w14:textId="35A72C18" w:rsidR="00D841A6" w:rsidRDefault="00001217" w:rsidP="00D841A6">
      <w:pPr>
        <w:jc w:val="center"/>
        <w:rPr>
          <w:b/>
          <w:bCs/>
        </w:rPr>
      </w:pPr>
      <w:r>
        <w:rPr>
          <w:b/>
          <w:bCs/>
        </w:rPr>
        <w:lastRenderedPageBreak/>
        <w:t>b)</w:t>
      </w:r>
      <w:r w:rsidR="00D841A6" w:rsidRPr="007320BB">
        <w:rPr>
          <w:b/>
          <w:bCs/>
        </w:rPr>
        <w:t xml:space="preserve"> Diagrama de flujos del Fondo</w:t>
      </w:r>
    </w:p>
    <w:p w14:paraId="0E282663" w14:textId="5965AF83" w:rsidR="00D841A6" w:rsidRDefault="00D841A6" w:rsidP="00E41736">
      <w:pPr>
        <w:spacing w:before="0" w:after="360"/>
        <w:jc w:val="center"/>
        <w:rPr>
          <w:b/>
          <w:bCs/>
        </w:rPr>
      </w:pPr>
      <w:r>
        <w:rPr>
          <w:b/>
          <w:bCs/>
        </w:rPr>
        <w:t>Rubro</w:t>
      </w:r>
      <w:r w:rsidR="00342ABC">
        <w:rPr>
          <w:b/>
          <w:bCs/>
        </w:rPr>
        <w:t xml:space="preserve"> I. </w:t>
      </w:r>
      <w:r>
        <w:rPr>
          <w:b/>
          <w:bCs/>
        </w:rPr>
        <w:t xml:space="preserve">Inversión en </w:t>
      </w:r>
      <w:r w:rsidR="00001217">
        <w:rPr>
          <w:b/>
          <w:bCs/>
        </w:rPr>
        <w:t>infraestructura física</w:t>
      </w:r>
    </w:p>
    <w:p w14:paraId="78FEE17A" w14:textId="7CAF8304" w:rsidR="0097273E" w:rsidRPr="007320BB" w:rsidRDefault="0097273E" w:rsidP="00D841A6">
      <w:pPr>
        <w:jc w:val="center"/>
        <w:rPr>
          <w:b/>
          <w:bCs/>
        </w:rPr>
      </w:pPr>
      <w:r>
        <w:rPr>
          <w:noProof/>
          <w:lang w:eastAsia="es-MX"/>
        </w:rPr>
        <w:drawing>
          <wp:inline distT="0" distB="0" distL="0" distR="0" wp14:anchorId="74421BBF" wp14:editId="5C74BB4C">
            <wp:extent cx="8382000" cy="5201226"/>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315" t="20828" r="32804" b="12562"/>
                    <a:stretch/>
                  </pic:blipFill>
                  <pic:spPr bwMode="auto">
                    <a:xfrm>
                      <a:off x="0" y="0"/>
                      <a:ext cx="8401993" cy="5213632"/>
                    </a:xfrm>
                    <a:prstGeom prst="rect">
                      <a:avLst/>
                    </a:prstGeom>
                    <a:ln>
                      <a:noFill/>
                    </a:ln>
                    <a:extLst>
                      <a:ext uri="{53640926-AAD7-44D8-BBD7-CCE9431645EC}">
                        <a14:shadowObscured xmlns:a14="http://schemas.microsoft.com/office/drawing/2010/main"/>
                      </a:ext>
                    </a:extLst>
                  </pic:spPr>
                </pic:pic>
              </a:graphicData>
            </a:graphic>
          </wp:inline>
        </w:drawing>
      </w:r>
    </w:p>
    <w:p w14:paraId="1D44F082" w14:textId="77777777" w:rsidR="006756F4" w:rsidRDefault="006756F4" w:rsidP="006756F4">
      <w:r w:rsidRPr="00451BBA">
        <w:rPr>
          <w:rFonts w:cs="Arial"/>
          <w:bCs/>
          <w:sz w:val="18"/>
          <w:szCs w:val="18"/>
        </w:rPr>
        <w:t xml:space="preserve">Fuente: </w:t>
      </w:r>
      <w:r w:rsidRPr="00451BBA">
        <w:rPr>
          <w:sz w:val="18"/>
          <w:szCs w:val="18"/>
        </w:rPr>
        <w:t>Elaboración propia con base en información</w:t>
      </w:r>
      <w:r>
        <w:rPr>
          <w:sz w:val="18"/>
          <w:szCs w:val="18"/>
        </w:rPr>
        <w:t xml:space="preserve"> proporcionada por SHCP e información </w:t>
      </w:r>
      <w:r w:rsidRPr="00451BBA">
        <w:rPr>
          <w:sz w:val="18"/>
          <w:szCs w:val="18"/>
        </w:rPr>
        <w:t>recopilada mediante la entrevista realizada a funcionarios estatales en el marco de la evaluación</w:t>
      </w:r>
      <w:r>
        <w:rPr>
          <w:sz w:val="18"/>
          <w:szCs w:val="18"/>
        </w:rPr>
        <w:t>.</w:t>
      </w:r>
    </w:p>
    <w:p w14:paraId="14623CB7" w14:textId="3ABF8A40" w:rsidR="006756F4" w:rsidRDefault="006756F4" w:rsidP="004037E6">
      <w:pPr>
        <w:spacing w:after="360"/>
        <w:jc w:val="center"/>
        <w:rPr>
          <w:b/>
          <w:bCs/>
        </w:rPr>
      </w:pPr>
      <w:r>
        <w:rPr>
          <w:b/>
          <w:bCs/>
        </w:rPr>
        <w:lastRenderedPageBreak/>
        <w:t>Rubro</w:t>
      </w:r>
      <w:r w:rsidR="00342ABC">
        <w:rPr>
          <w:b/>
          <w:bCs/>
        </w:rPr>
        <w:t xml:space="preserve"> II.</w:t>
      </w:r>
      <w:r>
        <w:rPr>
          <w:b/>
          <w:bCs/>
        </w:rPr>
        <w:t xml:space="preserve"> Saneamiento </w:t>
      </w:r>
      <w:r w:rsidR="00001217">
        <w:rPr>
          <w:b/>
          <w:bCs/>
        </w:rPr>
        <w:t>financiero</w:t>
      </w:r>
    </w:p>
    <w:p w14:paraId="561BDD7B" w14:textId="3E4C3ACB" w:rsidR="00D95880" w:rsidRDefault="006756F4" w:rsidP="00575816">
      <w:pPr>
        <w:jc w:val="center"/>
      </w:pPr>
      <w:r>
        <w:rPr>
          <w:noProof/>
          <w:lang w:eastAsia="es-MX"/>
        </w:rPr>
        <w:drawing>
          <wp:inline distT="0" distB="0" distL="0" distR="0" wp14:anchorId="0D785EDB" wp14:editId="39DA5954">
            <wp:extent cx="8420100" cy="434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536" t="26919" r="18988" b="9812"/>
                    <a:stretch/>
                  </pic:blipFill>
                  <pic:spPr bwMode="auto">
                    <a:xfrm>
                      <a:off x="0" y="0"/>
                      <a:ext cx="8425936" cy="4346410"/>
                    </a:xfrm>
                    <a:prstGeom prst="rect">
                      <a:avLst/>
                    </a:prstGeom>
                    <a:ln>
                      <a:noFill/>
                    </a:ln>
                    <a:extLst>
                      <a:ext uri="{53640926-AAD7-44D8-BBD7-CCE9431645EC}">
                        <a14:shadowObscured xmlns:a14="http://schemas.microsoft.com/office/drawing/2010/main"/>
                      </a:ext>
                    </a:extLst>
                  </pic:spPr>
                </pic:pic>
              </a:graphicData>
            </a:graphic>
          </wp:inline>
        </w:drawing>
      </w:r>
    </w:p>
    <w:p w14:paraId="6A465658" w14:textId="7D984EA6" w:rsidR="00575816" w:rsidRDefault="00575816" w:rsidP="00E41736">
      <w:pPr>
        <w:spacing w:before="60" w:after="240"/>
        <w:ind w:left="142"/>
        <w:rPr>
          <w:sz w:val="18"/>
          <w:szCs w:val="18"/>
        </w:rPr>
      </w:pPr>
      <w:r w:rsidRPr="00451BBA">
        <w:rPr>
          <w:rFonts w:cs="Arial"/>
          <w:bCs/>
          <w:sz w:val="18"/>
          <w:szCs w:val="18"/>
        </w:rPr>
        <w:t xml:space="preserve">Fuente: </w:t>
      </w:r>
      <w:r w:rsidRPr="00451BBA">
        <w:rPr>
          <w:sz w:val="18"/>
          <w:szCs w:val="18"/>
        </w:rPr>
        <w:t>Elaboración propia con base en información</w:t>
      </w:r>
      <w:r>
        <w:rPr>
          <w:sz w:val="18"/>
          <w:szCs w:val="18"/>
        </w:rPr>
        <w:t xml:space="preserve"> proporcionada por SHCP e información </w:t>
      </w:r>
      <w:r w:rsidRPr="00451BBA">
        <w:rPr>
          <w:sz w:val="18"/>
          <w:szCs w:val="18"/>
        </w:rPr>
        <w:t>recopilada mediante la entrevista realizada a funcionarios estatales en el marco de la evaluación</w:t>
      </w:r>
      <w:r>
        <w:rPr>
          <w:sz w:val="18"/>
          <w:szCs w:val="18"/>
        </w:rPr>
        <w:t>.</w:t>
      </w:r>
    </w:p>
    <w:p w14:paraId="14446BDC" w14:textId="385C7DF6" w:rsidR="00446F84" w:rsidRDefault="00575816" w:rsidP="00446F84">
      <w:r>
        <w:rPr>
          <w:noProof/>
          <w:lang w:eastAsia="es-MX"/>
        </w:rPr>
        <w:lastRenderedPageBreak/>
        <w:drawing>
          <wp:inline distT="0" distB="0" distL="0" distR="0" wp14:anchorId="290C52C9" wp14:editId="7DBAEA7A">
            <wp:extent cx="5257800" cy="1853712"/>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205" t="23382" r="62312" b="55004"/>
                    <a:stretch/>
                  </pic:blipFill>
                  <pic:spPr bwMode="auto">
                    <a:xfrm>
                      <a:off x="0" y="0"/>
                      <a:ext cx="5309851" cy="1872063"/>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aconcuadrcula"/>
        <w:tblW w:w="0" w:type="auto"/>
        <w:tblLook w:val="04A0" w:firstRow="1" w:lastRow="0" w:firstColumn="1" w:lastColumn="0" w:noHBand="0" w:noVBand="1"/>
      </w:tblPr>
      <w:tblGrid>
        <w:gridCol w:w="1555"/>
        <w:gridCol w:w="6662"/>
      </w:tblGrid>
      <w:tr w:rsidR="00342ABC" w14:paraId="0957E447" w14:textId="77777777" w:rsidTr="00001217">
        <w:tc>
          <w:tcPr>
            <w:tcW w:w="1555" w:type="dxa"/>
          </w:tcPr>
          <w:p w14:paraId="43BAD5A3" w14:textId="77777777" w:rsidR="00342ABC" w:rsidRPr="001F39D4" w:rsidRDefault="00342ABC" w:rsidP="00001217">
            <w:pPr>
              <w:spacing w:before="0" w:after="0"/>
              <w:rPr>
                <w:rFonts w:ascii="Calibri" w:hAnsi="Calibri" w:cs="Calibri"/>
              </w:rPr>
            </w:pPr>
            <w:r>
              <w:rPr>
                <w:rFonts w:ascii="Calibri" w:hAnsi="Calibri" w:cs="Calibri"/>
              </w:rPr>
              <w:t>CGPE</w:t>
            </w:r>
          </w:p>
        </w:tc>
        <w:tc>
          <w:tcPr>
            <w:tcW w:w="6662" w:type="dxa"/>
          </w:tcPr>
          <w:p w14:paraId="71A2B071" w14:textId="77777777" w:rsidR="00342ABC" w:rsidRPr="001F39D4" w:rsidRDefault="00342ABC" w:rsidP="00001217">
            <w:pPr>
              <w:spacing w:before="0" w:after="0"/>
              <w:rPr>
                <w:rFonts w:ascii="Calibri" w:hAnsi="Calibri" w:cs="Calibri"/>
              </w:rPr>
            </w:pPr>
            <w:r>
              <w:rPr>
                <w:rFonts w:ascii="Calibri" w:hAnsi="Calibri" w:cs="Calibri"/>
              </w:rPr>
              <w:t>Criterios Generales de Política Económica</w:t>
            </w:r>
          </w:p>
        </w:tc>
      </w:tr>
      <w:tr w:rsidR="00342ABC" w14:paraId="0ACC75D5" w14:textId="77777777" w:rsidTr="00001217">
        <w:tc>
          <w:tcPr>
            <w:tcW w:w="1555" w:type="dxa"/>
          </w:tcPr>
          <w:p w14:paraId="7F35B7E4" w14:textId="77777777" w:rsidR="00342ABC" w:rsidRPr="001F39D4" w:rsidRDefault="00342ABC" w:rsidP="00001217">
            <w:pPr>
              <w:spacing w:before="0" w:after="0"/>
              <w:rPr>
                <w:rFonts w:ascii="Calibri" w:hAnsi="Calibri" w:cs="Calibri"/>
              </w:rPr>
            </w:pPr>
            <w:r>
              <w:rPr>
                <w:rFonts w:ascii="Calibri" w:hAnsi="Calibri" w:cs="Calibri"/>
              </w:rPr>
              <w:t>LI</w:t>
            </w:r>
          </w:p>
        </w:tc>
        <w:tc>
          <w:tcPr>
            <w:tcW w:w="6662" w:type="dxa"/>
          </w:tcPr>
          <w:p w14:paraId="4ADC91A6" w14:textId="77777777" w:rsidR="00342ABC" w:rsidRPr="001F39D4" w:rsidRDefault="00342ABC" w:rsidP="00001217">
            <w:pPr>
              <w:spacing w:before="0" w:after="0"/>
              <w:rPr>
                <w:rFonts w:ascii="Calibri" w:hAnsi="Calibri" w:cs="Calibri"/>
              </w:rPr>
            </w:pPr>
            <w:r>
              <w:rPr>
                <w:rFonts w:ascii="Calibri" w:hAnsi="Calibri" w:cs="Calibri"/>
              </w:rPr>
              <w:t>Ley de Ingresos del Estado</w:t>
            </w:r>
          </w:p>
        </w:tc>
      </w:tr>
      <w:tr w:rsidR="00342ABC" w14:paraId="02AC8F12" w14:textId="77777777" w:rsidTr="00001217">
        <w:tc>
          <w:tcPr>
            <w:tcW w:w="1555" w:type="dxa"/>
          </w:tcPr>
          <w:p w14:paraId="60D12EC4" w14:textId="77777777" w:rsidR="00342ABC" w:rsidRPr="001F39D4" w:rsidRDefault="00342ABC" w:rsidP="00001217">
            <w:pPr>
              <w:spacing w:before="0" w:after="0"/>
              <w:rPr>
                <w:rFonts w:ascii="Calibri" w:hAnsi="Calibri" w:cs="Calibri"/>
              </w:rPr>
            </w:pPr>
            <w:r>
              <w:rPr>
                <w:rFonts w:ascii="Calibri" w:hAnsi="Calibri" w:cs="Calibri"/>
              </w:rPr>
              <w:t>PEE</w:t>
            </w:r>
          </w:p>
        </w:tc>
        <w:tc>
          <w:tcPr>
            <w:tcW w:w="6662" w:type="dxa"/>
          </w:tcPr>
          <w:p w14:paraId="53FBEC7E" w14:textId="77777777" w:rsidR="00342ABC" w:rsidRPr="001F39D4" w:rsidRDefault="00342ABC" w:rsidP="00001217">
            <w:pPr>
              <w:spacing w:before="0" w:after="0"/>
              <w:rPr>
                <w:rFonts w:ascii="Calibri" w:hAnsi="Calibri" w:cs="Calibri"/>
              </w:rPr>
            </w:pPr>
            <w:r>
              <w:rPr>
                <w:rFonts w:ascii="Calibri" w:hAnsi="Calibri" w:cs="Calibri"/>
              </w:rPr>
              <w:t>Presupuesto de Egresos del Estado</w:t>
            </w:r>
          </w:p>
        </w:tc>
      </w:tr>
      <w:tr w:rsidR="00342ABC" w14:paraId="1BB36023" w14:textId="77777777" w:rsidTr="00001217">
        <w:tc>
          <w:tcPr>
            <w:tcW w:w="1555" w:type="dxa"/>
          </w:tcPr>
          <w:p w14:paraId="30F94B3B" w14:textId="77777777" w:rsidR="00342ABC" w:rsidRPr="001F39D4" w:rsidRDefault="00342ABC" w:rsidP="00001217">
            <w:pPr>
              <w:spacing w:before="0" w:after="0"/>
              <w:rPr>
                <w:rFonts w:ascii="Calibri" w:hAnsi="Calibri" w:cs="Calibri"/>
              </w:rPr>
            </w:pPr>
            <w:r>
              <w:rPr>
                <w:rFonts w:ascii="Calibri" w:hAnsi="Calibri" w:cs="Calibri"/>
              </w:rPr>
              <w:t>PEF</w:t>
            </w:r>
          </w:p>
        </w:tc>
        <w:tc>
          <w:tcPr>
            <w:tcW w:w="6662" w:type="dxa"/>
          </w:tcPr>
          <w:p w14:paraId="66C7D7EC" w14:textId="77777777" w:rsidR="00342ABC" w:rsidRPr="001F39D4" w:rsidRDefault="00342ABC" w:rsidP="00001217">
            <w:pPr>
              <w:spacing w:before="0" w:after="0"/>
              <w:rPr>
                <w:rFonts w:ascii="Calibri" w:hAnsi="Calibri" w:cs="Calibri"/>
              </w:rPr>
            </w:pPr>
            <w:r>
              <w:rPr>
                <w:rFonts w:ascii="Calibri" w:hAnsi="Calibri" w:cs="Calibri"/>
              </w:rPr>
              <w:t>Presupuesto de Egresos de la Federación</w:t>
            </w:r>
          </w:p>
        </w:tc>
      </w:tr>
      <w:tr w:rsidR="00342ABC" w14:paraId="414E652C" w14:textId="77777777" w:rsidTr="00001217">
        <w:tc>
          <w:tcPr>
            <w:tcW w:w="1555" w:type="dxa"/>
          </w:tcPr>
          <w:p w14:paraId="4B7BEBAA" w14:textId="77777777" w:rsidR="00342ABC" w:rsidRPr="001F39D4" w:rsidRDefault="00342ABC" w:rsidP="00001217">
            <w:pPr>
              <w:spacing w:before="0" w:after="0"/>
              <w:rPr>
                <w:rFonts w:ascii="Calibri" w:hAnsi="Calibri" w:cs="Calibri"/>
              </w:rPr>
            </w:pPr>
            <w:r>
              <w:rPr>
                <w:rFonts w:ascii="Calibri" w:hAnsi="Calibri" w:cs="Calibri"/>
              </w:rPr>
              <w:t>PPEF</w:t>
            </w:r>
          </w:p>
        </w:tc>
        <w:tc>
          <w:tcPr>
            <w:tcW w:w="6662" w:type="dxa"/>
          </w:tcPr>
          <w:p w14:paraId="6C0CC780" w14:textId="11FE0749" w:rsidR="00342ABC" w:rsidRPr="001F39D4" w:rsidRDefault="00342ABC" w:rsidP="00001217">
            <w:pPr>
              <w:spacing w:before="0" w:after="0"/>
              <w:rPr>
                <w:rFonts w:ascii="Calibri" w:hAnsi="Calibri" w:cs="Calibri"/>
              </w:rPr>
            </w:pPr>
            <w:r>
              <w:rPr>
                <w:rFonts w:ascii="Calibri" w:hAnsi="Calibri" w:cs="Calibri"/>
              </w:rPr>
              <w:t>Proyecto de Presupuesto de Egresos de la Federación</w:t>
            </w:r>
          </w:p>
        </w:tc>
      </w:tr>
      <w:tr w:rsidR="00342ABC" w14:paraId="0613C36A" w14:textId="77777777" w:rsidTr="00001217">
        <w:tc>
          <w:tcPr>
            <w:tcW w:w="1555" w:type="dxa"/>
          </w:tcPr>
          <w:p w14:paraId="6002E3BF" w14:textId="77777777" w:rsidR="00342ABC" w:rsidRPr="001F39D4" w:rsidRDefault="00342ABC" w:rsidP="00001217">
            <w:pPr>
              <w:spacing w:before="0" w:after="0"/>
              <w:rPr>
                <w:rFonts w:ascii="Calibri" w:hAnsi="Calibri" w:cs="Calibri"/>
              </w:rPr>
            </w:pPr>
            <w:r>
              <w:rPr>
                <w:rFonts w:ascii="Calibri" w:hAnsi="Calibri" w:cs="Calibri"/>
              </w:rPr>
              <w:t>SHCP</w:t>
            </w:r>
          </w:p>
        </w:tc>
        <w:tc>
          <w:tcPr>
            <w:tcW w:w="6662" w:type="dxa"/>
          </w:tcPr>
          <w:p w14:paraId="69E80BA6" w14:textId="77777777" w:rsidR="00342ABC" w:rsidRPr="001F39D4" w:rsidRDefault="00342ABC" w:rsidP="00001217">
            <w:pPr>
              <w:spacing w:before="0" w:after="0"/>
              <w:rPr>
                <w:rFonts w:ascii="Calibri" w:hAnsi="Calibri" w:cs="Calibri"/>
              </w:rPr>
            </w:pPr>
            <w:r>
              <w:rPr>
                <w:rFonts w:ascii="Calibri" w:hAnsi="Calibri" w:cs="Calibri"/>
              </w:rPr>
              <w:t>Secretaría de Hacienda y Crédito Público</w:t>
            </w:r>
          </w:p>
        </w:tc>
      </w:tr>
      <w:tr w:rsidR="00342ABC" w14:paraId="768AAD19" w14:textId="77777777" w:rsidTr="00001217">
        <w:tc>
          <w:tcPr>
            <w:tcW w:w="1555" w:type="dxa"/>
          </w:tcPr>
          <w:p w14:paraId="3F3C6065" w14:textId="28E7783C" w:rsidR="00342ABC" w:rsidRPr="001F39D4" w:rsidRDefault="00342ABC" w:rsidP="00001217">
            <w:pPr>
              <w:spacing w:before="0" w:after="0"/>
              <w:rPr>
                <w:rFonts w:ascii="Calibri" w:hAnsi="Calibri" w:cs="Calibri"/>
              </w:rPr>
            </w:pPr>
            <w:r w:rsidRPr="008C54FC">
              <w:t>SE</w:t>
            </w:r>
          </w:p>
        </w:tc>
        <w:tc>
          <w:tcPr>
            <w:tcW w:w="6662" w:type="dxa"/>
          </w:tcPr>
          <w:p w14:paraId="0A4AE6F3" w14:textId="52FC5E8D" w:rsidR="00342ABC" w:rsidRPr="001F39D4" w:rsidRDefault="00342ABC" w:rsidP="00001217">
            <w:pPr>
              <w:spacing w:before="0" w:after="0"/>
              <w:rPr>
                <w:rFonts w:ascii="Calibri" w:hAnsi="Calibri" w:cs="Calibri"/>
              </w:rPr>
            </w:pPr>
            <w:r>
              <w:t>Subsecretaría de Egresos de la Secretaría de Finanzas de Tamaulipas</w:t>
            </w:r>
          </w:p>
        </w:tc>
      </w:tr>
      <w:tr w:rsidR="00342ABC" w14:paraId="7631F4A7" w14:textId="77777777" w:rsidTr="00001217">
        <w:tc>
          <w:tcPr>
            <w:tcW w:w="1555" w:type="dxa"/>
          </w:tcPr>
          <w:p w14:paraId="1A94530F" w14:textId="63B4538D" w:rsidR="00342ABC" w:rsidRPr="001F39D4" w:rsidRDefault="00342ABC" w:rsidP="00001217">
            <w:pPr>
              <w:spacing w:before="0" w:after="0"/>
              <w:rPr>
                <w:rFonts w:ascii="Calibri" w:hAnsi="Calibri" w:cs="Calibri"/>
              </w:rPr>
            </w:pPr>
            <w:r w:rsidRPr="008C54FC">
              <w:t>SF</w:t>
            </w:r>
          </w:p>
        </w:tc>
        <w:tc>
          <w:tcPr>
            <w:tcW w:w="6662" w:type="dxa"/>
          </w:tcPr>
          <w:p w14:paraId="474326BD" w14:textId="17F637A5" w:rsidR="00342ABC" w:rsidRPr="001F39D4" w:rsidRDefault="00342ABC" w:rsidP="00001217">
            <w:pPr>
              <w:spacing w:before="0" w:after="0"/>
              <w:rPr>
                <w:rFonts w:ascii="Calibri" w:hAnsi="Calibri" w:cs="Calibri"/>
              </w:rPr>
            </w:pPr>
            <w:r>
              <w:t>Secretaría de Finanzas del Estado de Tamaulipas</w:t>
            </w:r>
          </w:p>
        </w:tc>
      </w:tr>
      <w:tr w:rsidR="00342ABC" w14:paraId="78E62DF9" w14:textId="77777777" w:rsidTr="00001217">
        <w:tc>
          <w:tcPr>
            <w:tcW w:w="1555" w:type="dxa"/>
          </w:tcPr>
          <w:p w14:paraId="0698F26F" w14:textId="317EAD7B" w:rsidR="00342ABC" w:rsidRPr="008C54FC" w:rsidRDefault="00342ABC" w:rsidP="00001217">
            <w:pPr>
              <w:spacing w:before="0" w:after="0"/>
            </w:pPr>
            <w:r w:rsidRPr="008C54FC">
              <w:t>SIMIR</w:t>
            </w:r>
          </w:p>
        </w:tc>
        <w:tc>
          <w:tcPr>
            <w:tcW w:w="6662" w:type="dxa"/>
          </w:tcPr>
          <w:p w14:paraId="349951DC" w14:textId="63D2239E" w:rsidR="00342ABC" w:rsidRPr="00525DB4" w:rsidRDefault="00342ABC" w:rsidP="00001217">
            <w:pPr>
              <w:spacing w:before="0" w:after="0"/>
            </w:pPr>
            <w:r w:rsidRPr="00A934FE">
              <w:t>Sistema de Monitoreo de Indicadores para Resultados</w:t>
            </w:r>
          </w:p>
        </w:tc>
      </w:tr>
      <w:tr w:rsidR="00342ABC" w14:paraId="51C6B770" w14:textId="77777777" w:rsidTr="00001217">
        <w:tc>
          <w:tcPr>
            <w:tcW w:w="1555" w:type="dxa"/>
            <w:vAlign w:val="center"/>
          </w:tcPr>
          <w:p w14:paraId="394358E5" w14:textId="4F7832A8" w:rsidR="00342ABC" w:rsidRPr="008C54FC" w:rsidRDefault="00342ABC" w:rsidP="00001217">
            <w:pPr>
              <w:spacing w:before="0" w:after="0"/>
            </w:pPr>
            <w:r w:rsidRPr="008C54FC">
              <w:t>SRFT</w:t>
            </w:r>
          </w:p>
        </w:tc>
        <w:tc>
          <w:tcPr>
            <w:tcW w:w="6662" w:type="dxa"/>
            <w:vAlign w:val="center"/>
          </w:tcPr>
          <w:p w14:paraId="67B6256D" w14:textId="513C313F" w:rsidR="00342ABC" w:rsidRPr="00A934FE" w:rsidRDefault="00342ABC" w:rsidP="00001217">
            <w:pPr>
              <w:spacing w:before="0" w:after="0"/>
            </w:pPr>
            <w:r>
              <w:t>Sistema de Reporte de Recursos Federales Transferidos</w:t>
            </w:r>
          </w:p>
        </w:tc>
      </w:tr>
      <w:tr w:rsidR="00342ABC" w14:paraId="068A45FD" w14:textId="77777777" w:rsidTr="00001217">
        <w:tc>
          <w:tcPr>
            <w:tcW w:w="1555" w:type="dxa"/>
            <w:vAlign w:val="center"/>
          </w:tcPr>
          <w:p w14:paraId="3ED2F8F8" w14:textId="01ABBECD" w:rsidR="00342ABC" w:rsidRPr="008C54FC" w:rsidRDefault="00342ABC" w:rsidP="00001217">
            <w:pPr>
              <w:spacing w:before="0" w:after="0"/>
            </w:pPr>
            <w:r w:rsidRPr="008C54FC">
              <w:t>TdR</w:t>
            </w:r>
          </w:p>
        </w:tc>
        <w:tc>
          <w:tcPr>
            <w:tcW w:w="6662" w:type="dxa"/>
            <w:vAlign w:val="center"/>
          </w:tcPr>
          <w:p w14:paraId="3EA6229A" w14:textId="34C36151" w:rsidR="00342ABC" w:rsidRDefault="00342ABC" w:rsidP="00001217">
            <w:pPr>
              <w:spacing w:before="0" w:after="0"/>
            </w:pPr>
            <w:r>
              <w:t>Términos de Referencia diseñados para la evaluación</w:t>
            </w:r>
          </w:p>
        </w:tc>
      </w:tr>
    </w:tbl>
    <w:p w14:paraId="5937328D" w14:textId="77777777" w:rsidR="008A4354" w:rsidRDefault="008A4354" w:rsidP="008A4354">
      <w:r>
        <w:t>Nota: Respecto a los rubros de e</w:t>
      </w:r>
      <w:r w:rsidRPr="00901AD6">
        <w:t>ducación</w:t>
      </w:r>
      <w:r>
        <w:t xml:space="preserve"> y m</w:t>
      </w:r>
      <w:r w:rsidRPr="00901AD6">
        <w:t>odernización de sistemas de recaudación</w:t>
      </w:r>
      <w:r>
        <w:t xml:space="preserve"> no se contó con información donde se identifiquen los procedimientos para el ejercicio de los recursos.</w:t>
      </w:r>
    </w:p>
    <w:p w14:paraId="69E21644" w14:textId="3C21012F" w:rsidR="00342ABC" w:rsidRDefault="00342ABC" w:rsidP="00446F84"/>
    <w:p w14:paraId="35EC7E5F" w14:textId="2AC1DA57" w:rsidR="00342ABC" w:rsidRDefault="00342ABC" w:rsidP="00446F84">
      <w:pPr>
        <w:sectPr w:rsidR="00342ABC" w:rsidSect="000D7786">
          <w:headerReference w:type="default" r:id="rId51"/>
          <w:pgSz w:w="15840" w:h="12240" w:orient="landscape" w:code="1"/>
          <w:pgMar w:top="1134" w:right="1134" w:bottom="1134" w:left="1134" w:header="425" w:footer="709" w:gutter="0"/>
          <w:cols w:space="708"/>
          <w:docGrid w:linePitch="360"/>
        </w:sectPr>
      </w:pPr>
    </w:p>
    <w:p w14:paraId="4DC8048D" w14:textId="54B993F6" w:rsidR="004F06E5" w:rsidRPr="004F06E5" w:rsidRDefault="00EE2253" w:rsidP="004F06E5">
      <w:pPr>
        <w:pStyle w:val="Anexo"/>
      </w:pPr>
      <w:bookmarkStart w:id="161" w:name="_Toc47933872"/>
      <w:bookmarkStart w:id="162" w:name="_Toc51291532"/>
      <w:bookmarkStart w:id="163" w:name="_Toc55411210"/>
      <w:bookmarkStart w:id="164" w:name="_Toc55580104"/>
      <w:bookmarkStart w:id="165" w:name="_Toc56496635"/>
      <w:bookmarkStart w:id="166" w:name="_Toc61633661"/>
      <w:r w:rsidRPr="00342ABC">
        <w:lastRenderedPageBreak/>
        <w:t>Anexo 6</w:t>
      </w:r>
      <w:r w:rsidR="005F1FB0" w:rsidRPr="00342ABC">
        <w:t>.</w:t>
      </w:r>
      <w:r w:rsidRPr="00342ABC">
        <w:t xml:space="preserve"> Complementariedades y coincidencias entre programas federales</w:t>
      </w:r>
      <w:bookmarkEnd w:id="161"/>
      <w:bookmarkEnd w:id="162"/>
      <w:bookmarkEnd w:id="163"/>
      <w:r w:rsidR="00342ABC" w:rsidRPr="00342ABC">
        <w:t xml:space="preserve"> y </w:t>
      </w:r>
      <w:bookmarkStart w:id="167" w:name="_Toc55411211"/>
      <w:r w:rsidR="00552229">
        <w:t>s</w:t>
      </w:r>
      <w:r w:rsidR="006A5F1B" w:rsidRPr="00342ABC">
        <w:t>inergias con políticas, programas o proyectos locales</w:t>
      </w:r>
      <w:bookmarkEnd w:id="164"/>
      <w:bookmarkEnd w:id="165"/>
      <w:bookmarkEnd w:id="167"/>
      <w:bookmarkEnd w:id="166"/>
    </w:p>
    <w:tbl>
      <w:tblPr>
        <w:tblStyle w:val="Tablaconcuadrcula"/>
        <w:tblW w:w="5174" w:type="pct"/>
        <w:tblInd w:w="-289" w:type="dxa"/>
        <w:tblLook w:val="04A0" w:firstRow="1" w:lastRow="0" w:firstColumn="1" w:lastColumn="0" w:noHBand="0" w:noVBand="1"/>
      </w:tblPr>
      <w:tblGrid>
        <w:gridCol w:w="2835"/>
        <w:gridCol w:w="2978"/>
        <w:gridCol w:w="2835"/>
        <w:gridCol w:w="1701"/>
        <w:gridCol w:w="3685"/>
      </w:tblGrid>
      <w:tr w:rsidR="000C00E1" w:rsidRPr="005B19FB" w14:paraId="52A4A969" w14:textId="77777777" w:rsidTr="00CA3DE7">
        <w:trPr>
          <w:trHeight w:val="778"/>
          <w:tblHeader/>
        </w:trPr>
        <w:tc>
          <w:tcPr>
            <w:tcW w:w="1010" w:type="pct"/>
            <w:shd w:val="clear" w:color="auto" w:fill="9CC2E5"/>
            <w:vAlign w:val="center"/>
          </w:tcPr>
          <w:p w14:paraId="302F6AED" w14:textId="77777777" w:rsidR="000C00E1" w:rsidRPr="005B19FB" w:rsidRDefault="000C00E1" w:rsidP="00EB1DD1">
            <w:pPr>
              <w:spacing w:before="0" w:after="0"/>
              <w:jc w:val="center"/>
              <w:rPr>
                <w:rFonts w:cstheme="minorHAnsi"/>
                <w:b/>
                <w:sz w:val="20"/>
                <w:szCs w:val="20"/>
              </w:rPr>
            </w:pPr>
            <w:r w:rsidRPr="005B19FB">
              <w:rPr>
                <w:rFonts w:eastAsia="Times New Roman"/>
                <w:color w:val="000000"/>
                <w:sz w:val="20"/>
                <w:szCs w:val="20"/>
                <w:lang w:eastAsia="es-MX"/>
              </w:rPr>
              <w:br w:type="page"/>
            </w:r>
            <w:r w:rsidRPr="005B19FB">
              <w:rPr>
                <w:rFonts w:cstheme="minorHAnsi"/>
                <w:b/>
                <w:sz w:val="20"/>
                <w:szCs w:val="20"/>
              </w:rPr>
              <w:t>Nombre de las políticas, programas o proyectos locales</w:t>
            </w:r>
          </w:p>
        </w:tc>
        <w:tc>
          <w:tcPr>
            <w:tcW w:w="1061" w:type="pct"/>
            <w:shd w:val="clear" w:color="auto" w:fill="9CC2E5"/>
            <w:vAlign w:val="center"/>
          </w:tcPr>
          <w:p w14:paraId="2625DE11" w14:textId="77777777" w:rsidR="000C00E1" w:rsidRPr="005B19FB" w:rsidRDefault="000C00E1" w:rsidP="00EB1DD1">
            <w:pPr>
              <w:spacing w:before="0" w:after="0"/>
              <w:jc w:val="center"/>
              <w:rPr>
                <w:rFonts w:cstheme="minorHAnsi"/>
                <w:b/>
                <w:sz w:val="20"/>
                <w:szCs w:val="20"/>
              </w:rPr>
            </w:pPr>
            <w:r w:rsidRPr="005B19FB">
              <w:rPr>
                <w:rFonts w:cstheme="minorHAnsi"/>
                <w:b/>
                <w:sz w:val="20"/>
                <w:szCs w:val="20"/>
              </w:rPr>
              <w:t>Características generales</w:t>
            </w:r>
          </w:p>
        </w:tc>
        <w:tc>
          <w:tcPr>
            <w:tcW w:w="1010" w:type="pct"/>
            <w:shd w:val="clear" w:color="auto" w:fill="9CC2E5"/>
            <w:vAlign w:val="center"/>
          </w:tcPr>
          <w:p w14:paraId="15C4EF18" w14:textId="77777777" w:rsidR="000C00E1" w:rsidRPr="005B19FB" w:rsidRDefault="000C00E1" w:rsidP="00EB1DD1">
            <w:pPr>
              <w:spacing w:before="0" w:after="0"/>
              <w:jc w:val="center"/>
              <w:rPr>
                <w:rFonts w:cstheme="minorHAnsi"/>
                <w:b/>
                <w:sz w:val="20"/>
                <w:szCs w:val="20"/>
              </w:rPr>
            </w:pPr>
            <w:r w:rsidRPr="005B19FB">
              <w:rPr>
                <w:rFonts w:cstheme="minorHAnsi"/>
                <w:b/>
                <w:sz w:val="20"/>
                <w:szCs w:val="20"/>
              </w:rPr>
              <w:t>Objetivos</w:t>
            </w:r>
          </w:p>
        </w:tc>
        <w:tc>
          <w:tcPr>
            <w:tcW w:w="606" w:type="pct"/>
            <w:shd w:val="clear" w:color="auto" w:fill="9CC2E5"/>
            <w:vAlign w:val="center"/>
          </w:tcPr>
          <w:p w14:paraId="3F15390C" w14:textId="77777777" w:rsidR="000C00E1" w:rsidRPr="005B19FB" w:rsidRDefault="000C00E1" w:rsidP="00EB1DD1">
            <w:pPr>
              <w:spacing w:before="0" w:after="0"/>
              <w:jc w:val="center"/>
              <w:rPr>
                <w:rFonts w:cstheme="minorHAnsi"/>
                <w:b/>
                <w:sz w:val="20"/>
                <w:szCs w:val="20"/>
              </w:rPr>
            </w:pPr>
            <w:r w:rsidRPr="005B19FB">
              <w:rPr>
                <w:rFonts w:cstheme="minorHAnsi"/>
                <w:b/>
                <w:sz w:val="20"/>
                <w:szCs w:val="20"/>
              </w:rPr>
              <w:t>Modalidad</w:t>
            </w:r>
          </w:p>
        </w:tc>
        <w:tc>
          <w:tcPr>
            <w:tcW w:w="1313" w:type="pct"/>
            <w:shd w:val="clear" w:color="auto" w:fill="9CC2E5"/>
            <w:vAlign w:val="center"/>
          </w:tcPr>
          <w:p w14:paraId="2C3A4638" w14:textId="77777777" w:rsidR="000C00E1" w:rsidRPr="005B19FB" w:rsidRDefault="000C00E1" w:rsidP="00EB1DD1">
            <w:pPr>
              <w:spacing w:before="0" w:after="0"/>
              <w:jc w:val="center"/>
              <w:rPr>
                <w:rFonts w:cstheme="minorHAnsi"/>
                <w:b/>
                <w:sz w:val="20"/>
                <w:szCs w:val="20"/>
              </w:rPr>
            </w:pPr>
            <w:r w:rsidRPr="005B19FB">
              <w:rPr>
                <w:rFonts w:cstheme="minorHAnsi"/>
                <w:b/>
                <w:sz w:val="20"/>
                <w:szCs w:val="20"/>
              </w:rPr>
              <w:t>Sinergias que tendría con el Fondo</w:t>
            </w:r>
          </w:p>
        </w:tc>
      </w:tr>
      <w:tr w:rsidR="00E933A1" w:rsidRPr="005B19FB" w14:paraId="37D0D01B" w14:textId="77777777" w:rsidTr="00CA3DE7">
        <w:trPr>
          <w:trHeight w:val="238"/>
        </w:trPr>
        <w:tc>
          <w:tcPr>
            <w:tcW w:w="1010" w:type="pct"/>
            <w:shd w:val="clear" w:color="auto" w:fill="auto"/>
            <w:vAlign w:val="center"/>
          </w:tcPr>
          <w:p w14:paraId="3E2222D2" w14:textId="13FD02F1" w:rsidR="00E933A1" w:rsidRPr="005B19FB" w:rsidRDefault="00E933A1" w:rsidP="00E933A1">
            <w:pPr>
              <w:spacing w:before="0" w:after="0"/>
              <w:rPr>
                <w:rFonts w:cstheme="minorHAnsi"/>
                <w:sz w:val="20"/>
                <w:szCs w:val="20"/>
              </w:rPr>
            </w:pPr>
            <w:r w:rsidRPr="00CE30DE">
              <w:rPr>
                <w:sz w:val="20"/>
                <w:szCs w:val="20"/>
              </w:rPr>
              <w:t>Desarrollo de infraestructura física educativa</w:t>
            </w:r>
          </w:p>
        </w:tc>
        <w:tc>
          <w:tcPr>
            <w:tcW w:w="1061" w:type="pct"/>
            <w:shd w:val="clear" w:color="auto" w:fill="auto"/>
            <w:vAlign w:val="center"/>
          </w:tcPr>
          <w:p w14:paraId="3E9EB904" w14:textId="1D9CE01B" w:rsidR="00E933A1" w:rsidRPr="005B19FB" w:rsidRDefault="00E933A1" w:rsidP="00E933A1">
            <w:pPr>
              <w:spacing w:before="0" w:after="0"/>
              <w:rPr>
                <w:rFonts w:cstheme="minorHAnsi"/>
                <w:sz w:val="20"/>
                <w:szCs w:val="20"/>
              </w:rPr>
            </w:pPr>
            <w:r w:rsidRPr="00E933A1">
              <w:rPr>
                <w:rFonts w:cstheme="minorHAnsi"/>
                <w:sz w:val="20"/>
                <w:szCs w:val="20"/>
              </w:rPr>
              <w:t>Obras de infraestructura física educativa</w:t>
            </w:r>
          </w:p>
        </w:tc>
        <w:tc>
          <w:tcPr>
            <w:tcW w:w="1010" w:type="pct"/>
            <w:shd w:val="clear" w:color="auto" w:fill="auto"/>
            <w:vAlign w:val="center"/>
          </w:tcPr>
          <w:p w14:paraId="6A2CA96A" w14:textId="44F62DE1" w:rsidR="00E933A1" w:rsidRPr="005B19FB" w:rsidRDefault="00E933A1" w:rsidP="00E933A1">
            <w:pPr>
              <w:spacing w:before="0" w:after="0"/>
              <w:rPr>
                <w:rFonts w:cstheme="minorHAnsi"/>
                <w:sz w:val="20"/>
                <w:szCs w:val="20"/>
              </w:rPr>
            </w:pPr>
            <w:r w:rsidRPr="00E933A1">
              <w:rPr>
                <w:rFonts w:cstheme="minorHAnsi"/>
                <w:sz w:val="20"/>
                <w:szCs w:val="20"/>
              </w:rPr>
              <w:t>Contribución con la infraestructura física educativa.</w:t>
            </w:r>
          </w:p>
        </w:tc>
        <w:tc>
          <w:tcPr>
            <w:tcW w:w="606" w:type="pct"/>
            <w:shd w:val="clear" w:color="auto" w:fill="auto"/>
            <w:vAlign w:val="center"/>
          </w:tcPr>
          <w:p w14:paraId="4E6C34FA" w14:textId="01FABECC" w:rsidR="00E933A1" w:rsidRPr="005B19FB" w:rsidRDefault="00E933A1" w:rsidP="00E933A1">
            <w:pPr>
              <w:spacing w:before="0" w:after="0"/>
              <w:jc w:val="center"/>
              <w:rPr>
                <w:rFonts w:cstheme="minorHAnsi"/>
                <w:sz w:val="20"/>
                <w:szCs w:val="20"/>
              </w:rPr>
            </w:pPr>
            <w:r>
              <w:rPr>
                <w:rFonts w:cstheme="minorHAnsi"/>
                <w:sz w:val="20"/>
                <w:szCs w:val="20"/>
              </w:rPr>
              <w:t>K</w:t>
            </w:r>
          </w:p>
        </w:tc>
        <w:tc>
          <w:tcPr>
            <w:tcW w:w="1313" w:type="pct"/>
            <w:shd w:val="clear" w:color="auto" w:fill="auto"/>
            <w:vAlign w:val="center"/>
          </w:tcPr>
          <w:p w14:paraId="2839431F" w14:textId="5F71B16F" w:rsidR="00E933A1" w:rsidRPr="005B19FB" w:rsidRDefault="00CA3DE7" w:rsidP="00E933A1">
            <w:pPr>
              <w:spacing w:before="0" w:after="0"/>
              <w:rPr>
                <w:rFonts w:cstheme="minorHAnsi"/>
                <w:sz w:val="20"/>
                <w:szCs w:val="20"/>
              </w:rPr>
            </w:pPr>
            <w:r>
              <w:rPr>
                <w:rFonts w:cstheme="minorHAnsi"/>
                <w:sz w:val="20"/>
                <w:szCs w:val="20"/>
              </w:rPr>
              <w:t>Los recursos del FAFEF complementan diferentes obras de infraestructura entre ellas la educativa, por lo que potencializan el uso de los recursos en los Pp.</w:t>
            </w:r>
          </w:p>
        </w:tc>
      </w:tr>
      <w:tr w:rsidR="00E933A1" w:rsidRPr="005B19FB" w14:paraId="4A33046E" w14:textId="77777777" w:rsidTr="00CA3DE7">
        <w:trPr>
          <w:trHeight w:val="238"/>
        </w:trPr>
        <w:tc>
          <w:tcPr>
            <w:tcW w:w="1010" w:type="pct"/>
            <w:shd w:val="clear" w:color="auto" w:fill="auto"/>
            <w:vAlign w:val="center"/>
          </w:tcPr>
          <w:p w14:paraId="60CC7F76" w14:textId="664A9228" w:rsidR="00E933A1" w:rsidRPr="005B19FB" w:rsidRDefault="00E933A1" w:rsidP="00E933A1">
            <w:pPr>
              <w:autoSpaceDE w:val="0"/>
              <w:autoSpaceDN w:val="0"/>
              <w:adjustRightInd w:val="0"/>
              <w:spacing w:before="0" w:after="0"/>
              <w:rPr>
                <w:rFonts w:cstheme="minorHAnsi"/>
                <w:sz w:val="20"/>
                <w:szCs w:val="20"/>
              </w:rPr>
            </w:pPr>
            <w:r w:rsidRPr="00EB1DD1">
              <w:rPr>
                <w:rFonts w:cstheme="minorHAnsi"/>
                <w:sz w:val="20"/>
                <w:szCs w:val="20"/>
              </w:rPr>
              <w:t>Servicios portuarios</w:t>
            </w:r>
          </w:p>
        </w:tc>
        <w:tc>
          <w:tcPr>
            <w:tcW w:w="1061" w:type="pct"/>
            <w:shd w:val="clear" w:color="auto" w:fill="auto"/>
            <w:vAlign w:val="center"/>
          </w:tcPr>
          <w:p w14:paraId="2042C209" w14:textId="264E2AAD" w:rsidR="00E933A1" w:rsidRPr="005B19FB" w:rsidRDefault="00E933A1" w:rsidP="00E933A1">
            <w:pPr>
              <w:spacing w:before="0" w:after="0"/>
              <w:rPr>
                <w:rFonts w:cstheme="minorHAnsi"/>
                <w:sz w:val="20"/>
                <w:szCs w:val="20"/>
              </w:rPr>
            </w:pPr>
            <w:r w:rsidRPr="00E933A1">
              <w:rPr>
                <w:rFonts w:cstheme="minorHAnsi"/>
                <w:sz w:val="20"/>
                <w:szCs w:val="20"/>
              </w:rPr>
              <w:t>Infraestructura y equipamiento portuario</w:t>
            </w:r>
          </w:p>
        </w:tc>
        <w:tc>
          <w:tcPr>
            <w:tcW w:w="1010" w:type="pct"/>
            <w:shd w:val="clear" w:color="auto" w:fill="auto"/>
            <w:vAlign w:val="center"/>
          </w:tcPr>
          <w:p w14:paraId="3C1AA9E3" w14:textId="55623F08" w:rsidR="00E933A1" w:rsidRPr="005B19FB" w:rsidRDefault="00E933A1" w:rsidP="00E933A1">
            <w:pPr>
              <w:autoSpaceDE w:val="0"/>
              <w:autoSpaceDN w:val="0"/>
              <w:adjustRightInd w:val="0"/>
              <w:spacing w:before="0" w:after="0"/>
              <w:rPr>
                <w:rFonts w:cstheme="minorHAnsi"/>
                <w:sz w:val="20"/>
                <w:szCs w:val="20"/>
              </w:rPr>
            </w:pPr>
            <w:r w:rsidRPr="00E933A1">
              <w:rPr>
                <w:rFonts w:cstheme="minorHAnsi"/>
                <w:sz w:val="20"/>
                <w:szCs w:val="20"/>
              </w:rPr>
              <w:t>Contribución a desarrollar la infraestructura, el equipamiento y las condiciones que contribuyan a mejorar las condiciones de competitividad del Estado.</w:t>
            </w:r>
          </w:p>
        </w:tc>
        <w:tc>
          <w:tcPr>
            <w:tcW w:w="606" w:type="pct"/>
            <w:shd w:val="clear" w:color="auto" w:fill="auto"/>
            <w:vAlign w:val="center"/>
          </w:tcPr>
          <w:p w14:paraId="65F44267" w14:textId="0B765BC6" w:rsidR="00E933A1" w:rsidRPr="005B19FB" w:rsidRDefault="00E933A1" w:rsidP="00E933A1">
            <w:pPr>
              <w:spacing w:before="0" w:after="0"/>
              <w:jc w:val="center"/>
              <w:rPr>
                <w:rFonts w:cstheme="minorHAnsi"/>
                <w:sz w:val="20"/>
                <w:szCs w:val="20"/>
              </w:rPr>
            </w:pPr>
            <w:r>
              <w:rPr>
                <w:rFonts w:cstheme="minorHAnsi"/>
                <w:sz w:val="20"/>
                <w:szCs w:val="20"/>
              </w:rPr>
              <w:t>E</w:t>
            </w:r>
          </w:p>
        </w:tc>
        <w:tc>
          <w:tcPr>
            <w:tcW w:w="1313" w:type="pct"/>
            <w:shd w:val="clear" w:color="auto" w:fill="auto"/>
            <w:vAlign w:val="center"/>
          </w:tcPr>
          <w:p w14:paraId="66A45A8F" w14:textId="3E1043D0" w:rsidR="00E933A1" w:rsidRPr="005B19FB" w:rsidRDefault="00CA3DE7" w:rsidP="00E933A1">
            <w:pPr>
              <w:spacing w:before="0" w:after="0"/>
              <w:rPr>
                <w:rFonts w:cstheme="minorHAnsi"/>
                <w:sz w:val="20"/>
                <w:szCs w:val="20"/>
              </w:rPr>
            </w:pPr>
            <w:r>
              <w:rPr>
                <w:rFonts w:cstheme="minorHAnsi"/>
                <w:sz w:val="20"/>
                <w:szCs w:val="20"/>
              </w:rPr>
              <w:t xml:space="preserve">El FAFEF contribuye a través de las </w:t>
            </w:r>
            <w:r w:rsidR="009633EC">
              <w:rPr>
                <w:rFonts w:cstheme="minorHAnsi"/>
                <w:sz w:val="20"/>
                <w:szCs w:val="20"/>
              </w:rPr>
              <w:t>acciones del</w:t>
            </w:r>
            <w:r>
              <w:rPr>
                <w:rFonts w:cstheme="minorHAnsi"/>
                <w:sz w:val="20"/>
                <w:szCs w:val="20"/>
              </w:rPr>
              <w:t xml:space="preserve"> Pp K177, en la elaboración de estudios y proyectos de construcción y mantenimiento de puertos.</w:t>
            </w:r>
          </w:p>
        </w:tc>
      </w:tr>
      <w:tr w:rsidR="000C00E1" w:rsidRPr="005B19FB" w14:paraId="0CE5EC0F" w14:textId="77777777" w:rsidTr="00CA3DE7">
        <w:trPr>
          <w:trHeight w:val="238"/>
        </w:trPr>
        <w:tc>
          <w:tcPr>
            <w:tcW w:w="1010" w:type="pct"/>
            <w:shd w:val="clear" w:color="auto" w:fill="auto"/>
            <w:vAlign w:val="center"/>
          </w:tcPr>
          <w:p w14:paraId="35098AF3" w14:textId="30B31D71" w:rsidR="000C00E1" w:rsidRPr="005B19FB" w:rsidRDefault="00EB1DD1" w:rsidP="00EB1DD1">
            <w:pPr>
              <w:autoSpaceDE w:val="0"/>
              <w:autoSpaceDN w:val="0"/>
              <w:adjustRightInd w:val="0"/>
              <w:spacing w:before="0" w:after="0"/>
              <w:rPr>
                <w:rFonts w:cstheme="minorHAnsi"/>
                <w:sz w:val="20"/>
                <w:szCs w:val="20"/>
              </w:rPr>
            </w:pPr>
            <w:r w:rsidRPr="00EB1DD1">
              <w:rPr>
                <w:rFonts w:cstheme="minorHAnsi"/>
                <w:sz w:val="20"/>
                <w:szCs w:val="20"/>
              </w:rPr>
              <w:t>Programa de aseguramiento de los servicios de agua potable, drenaje y saneamiento de la zona conurbada</w:t>
            </w:r>
          </w:p>
        </w:tc>
        <w:tc>
          <w:tcPr>
            <w:tcW w:w="1061" w:type="pct"/>
            <w:shd w:val="clear" w:color="auto" w:fill="auto"/>
            <w:vAlign w:val="center"/>
          </w:tcPr>
          <w:p w14:paraId="4A246957" w14:textId="0D81C57A" w:rsidR="000C00E1" w:rsidRPr="005B19FB" w:rsidRDefault="00E933A1" w:rsidP="00EB1DD1">
            <w:pPr>
              <w:spacing w:before="0" w:after="0"/>
              <w:rPr>
                <w:rFonts w:cstheme="minorHAnsi"/>
                <w:sz w:val="20"/>
                <w:szCs w:val="20"/>
              </w:rPr>
            </w:pPr>
            <w:r w:rsidRPr="00E933A1">
              <w:rPr>
                <w:rFonts w:cstheme="minorHAnsi"/>
                <w:sz w:val="20"/>
                <w:szCs w:val="20"/>
              </w:rPr>
              <w:t>Servicios de agua potable</w:t>
            </w:r>
          </w:p>
        </w:tc>
        <w:tc>
          <w:tcPr>
            <w:tcW w:w="1010" w:type="pct"/>
            <w:shd w:val="clear" w:color="auto" w:fill="auto"/>
            <w:vAlign w:val="center"/>
          </w:tcPr>
          <w:p w14:paraId="71E9F902" w14:textId="2269040A" w:rsidR="000C00E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Contribución a administrar de manera sustentable los recursos hídricos del Estado, mediante la suficiencia en el suministro de agua potable, alcantarillado sanitario y saneamiento.</w:t>
            </w:r>
          </w:p>
        </w:tc>
        <w:tc>
          <w:tcPr>
            <w:tcW w:w="606" w:type="pct"/>
            <w:shd w:val="clear" w:color="auto" w:fill="auto"/>
            <w:vAlign w:val="center"/>
          </w:tcPr>
          <w:p w14:paraId="3802A9BA" w14:textId="56AB6F3B" w:rsidR="000C00E1" w:rsidRPr="005B19FB" w:rsidRDefault="00E933A1" w:rsidP="00EB1DD1">
            <w:pPr>
              <w:spacing w:before="0" w:after="0"/>
              <w:jc w:val="center"/>
              <w:rPr>
                <w:rFonts w:cstheme="minorHAnsi"/>
                <w:sz w:val="20"/>
                <w:szCs w:val="20"/>
              </w:rPr>
            </w:pPr>
            <w:r>
              <w:rPr>
                <w:rFonts w:cstheme="minorHAnsi"/>
                <w:sz w:val="20"/>
                <w:szCs w:val="20"/>
              </w:rPr>
              <w:t>E</w:t>
            </w:r>
          </w:p>
        </w:tc>
        <w:tc>
          <w:tcPr>
            <w:tcW w:w="1313" w:type="pct"/>
            <w:shd w:val="clear" w:color="auto" w:fill="auto"/>
            <w:vAlign w:val="center"/>
          </w:tcPr>
          <w:p w14:paraId="593622E7" w14:textId="70D13086" w:rsidR="000C00E1" w:rsidRPr="005B19FB" w:rsidRDefault="00CA3DE7" w:rsidP="00EB1DD1">
            <w:pPr>
              <w:spacing w:before="0" w:after="0"/>
              <w:rPr>
                <w:rFonts w:cstheme="minorHAnsi"/>
                <w:sz w:val="20"/>
                <w:szCs w:val="20"/>
              </w:rPr>
            </w:pPr>
            <w:r>
              <w:rPr>
                <w:rFonts w:cstheme="minorHAnsi"/>
                <w:sz w:val="20"/>
                <w:szCs w:val="20"/>
              </w:rPr>
              <w:t>La administración de los recursos hídricos presenta sinergias con la construcción de infraestructura que financia el Fondo a través del Pp K170..</w:t>
            </w:r>
          </w:p>
        </w:tc>
      </w:tr>
      <w:tr w:rsidR="000C00E1" w:rsidRPr="005B19FB" w14:paraId="4C3959EE" w14:textId="77777777" w:rsidTr="00CA3DE7">
        <w:trPr>
          <w:trHeight w:val="53"/>
        </w:trPr>
        <w:tc>
          <w:tcPr>
            <w:tcW w:w="1010" w:type="pct"/>
            <w:shd w:val="clear" w:color="auto" w:fill="auto"/>
            <w:vAlign w:val="center"/>
          </w:tcPr>
          <w:p w14:paraId="6B9DC3C1" w14:textId="3D97D5AC" w:rsidR="000C00E1" w:rsidRPr="005B19FB" w:rsidRDefault="00EB1DD1" w:rsidP="00EB1DD1">
            <w:pPr>
              <w:autoSpaceDE w:val="0"/>
              <w:autoSpaceDN w:val="0"/>
              <w:adjustRightInd w:val="0"/>
              <w:spacing w:before="0" w:after="0"/>
              <w:rPr>
                <w:rFonts w:cstheme="minorHAnsi"/>
                <w:sz w:val="20"/>
                <w:szCs w:val="20"/>
              </w:rPr>
            </w:pPr>
            <w:r w:rsidRPr="00EB1DD1">
              <w:rPr>
                <w:rFonts w:cstheme="minorHAnsi"/>
                <w:sz w:val="20"/>
                <w:szCs w:val="20"/>
              </w:rPr>
              <w:t>Gestión del recurso agua</w:t>
            </w:r>
          </w:p>
        </w:tc>
        <w:tc>
          <w:tcPr>
            <w:tcW w:w="1061" w:type="pct"/>
            <w:shd w:val="clear" w:color="auto" w:fill="auto"/>
            <w:vAlign w:val="center"/>
          </w:tcPr>
          <w:p w14:paraId="1E6BA7D2" w14:textId="108C35F0" w:rsidR="000C00E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Acciones realizadas relativas al Programa de Abastecimiento de Agua mediante perforación de pozos</w:t>
            </w:r>
          </w:p>
        </w:tc>
        <w:tc>
          <w:tcPr>
            <w:tcW w:w="1010" w:type="pct"/>
            <w:shd w:val="clear" w:color="auto" w:fill="auto"/>
            <w:vAlign w:val="center"/>
          </w:tcPr>
          <w:p w14:paraId="2C3B59C5" w14:textId="048D3448" w:rsidR="000C00E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Contribución a administrar de manera sustentable los recursos hídricos del Estado, mediante la procuración del acceso suficiente a los servicios de agua, drenaje y tratamiento de aguas residuales, y cultura del agua</w:t>
            </w:r>
          </w:p>
        </w:tc>
        <w:tc>
          <w:tcPr>
            <w:tcW w:w="606" w:type="pct"/>
            <w:shd w:val="clear" w:color="auto" w:fill="auto"/>
            <w:vAlign w:val="center"/>
          </w:tcPr>
          <w:p w14:paraId="7BEF9A7A" w14:textId="09D71307" w:rsidR="000C00E1" w:rsidRPr="005B19FB" w:rsidRDefault="00E933A1" w:rsidP="00EB1DD1">
            <w:pPr>
              <w:autoSpaceDE w:val="0"/>
              <w:autoSpaceDN w:val="0"/>
              <w:adjustRightInd w:val="0"/>
              <w:spacing w:before="0" w:after="0"/>
              <w:jc w:val="center"/>
              <w:rPr>
                <w:rFonts w:cstheme="minorHAnsi"/>
                <w:sz w:val="20"/>
                <w:szCs w:val="20"/>
              </w:rPr>
            </w:pPr>
            <w:r>
              <w:rPr>
                <w:rFonts w:cstheme="minorHAnsi"/>
                <w:sz w:val="20"/>
                <w:szCs w:val="20"/>
              </w:rPr>
              <w:t>E</w:t>
            </w:r>
          </w:p>
        </w:tc>
        <w:tc>
          <w:tcPr>
            <w:tcW w:w="1313" w:type="pct"/>
            <w:shd w:val="clear" w:color="auto" w:fill="auto"/>
            <w:vAlign w:val="center"/>
          </w:tcPr>
          <w:p w14:paraId="23609B7A" w14:textId="20C913E6" w:rsidR="000C00E1" w:rsidRPr="005B19FB" w:rsidRDefault="009633EC" w:rsidP="00EB1DD1">
            <w:pPr>
              <w:spacing w:before="0" w:after="0"/>
              <w:rPr>
                <w:rFonts w:cstheme="minorHAnsi"/>
                <w:sz w:val="20"/>
                <w:szCs w:val="20"/>
              </w:rPr>
            </w:pPr>
            <w:r>
              <w:rPr>
                <w:rFonts w:cstheme="minorHAnsi"/>
                <w:sz w:val="20"/>
                <w:szCs w:val="20"/>
              </w:rPr>
              <w:t xml:space="preserve">El FAFEF agrega valor al PP gestión del recurso agua a través del financiamiento para la construcción de infraestructura de agua potable, alcantarillado y saneamiento </w:t>
            </w:r>
          </w:p>
        </w:tc>
      </w:tr>
      <w:tr w:rsidR="00EB1DD1" w:rsidRPr="005B19FB" w14:paraId="1BBF6FDB" w14:textId="77777777" w:rsidTr="00CA3DE7">
        <w:trPr>
          <w:trHeight w:val="53"/>
        </w:trPr>
        <w:tc>
          <w:tcPr>
            <w:tcW w:w="1010" w:type="pct"/>
            <w:shd w:val="clear" w:color="auto" w:fill="auto"/>
            <w:vAlign w:val="center"/>
          </w:tcPr>
          <w:p w14:paraId="19C5F4E4" w14:textId="6A41E74D" w:rsidR="00EB1DD1" w:rsidRPr="00EB1DD1" w:rsidRDefault="00EB1DD1" w:rsidP="00EB1DD1">
            <w:pPr>
              <w:autoSpaceDE w:val="0"/>
              <w:autoSpaceDN w:val="0"/>
              <w:adjustRightInd w:val="0"/>
              <w:spacing w:before="0" w:after="0"/>
              <w:rPr>
                <w:rFonts w:cstheme="minorHAnsi"/>
                <w:sz w:val="20"/>
                <w:szCs w:val="20"/>
              </w:rPr>
            </w:pPr>
            <w:r w:rsidRPr="00EB1DD1">
              <w:rPr>
                <w:rFonts w:cstheme="minorHAnsi"/>
                <w:sz w:val="20"/>
                <w:szCs w:val="20"/>
              </w:rPr>
              <w:t>Programa de becas del sector educativo</w:t>
            </w:r>
          </w:p>
        </w:tc>
        <w:tc>
          <w:tcPr>
            <w:tcW w:w="1061" w:type="pct"/>
            <w:shd w:val="clear" w:color="auto" w:fill="auto"/>
            <w:vAlign w:val="center"/>
          </w:tcPr>
          <w:p w14:paraId="5A50829A" w14:textId="10B2B94A" w:rsidR="00EB1DD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Apoyo económico a través del pago de becas a población objetivo.</w:t>
            </w:r>
          </w:p>
        </w:tc>
        <w:tc>
          <w:tcPr>
            <w:tcW w:w="1010" w:type="pct"/>
            <w:shd w:val="clear" w:color="auto" w:fill="auto"/>
            <w:vAlign w:val="center"/>
          </w:tcPr>
          <w:p w14:paraId="5DAF3B7D" w14:textId="57C51D7B" w:rsidR="00EB1DD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Contribución a disminuir las desigualdades sociales en los niveles. educativos del Estado de Tamaulipas.</w:t>
            </w:r>
          </w:p>
        </w:tc>
        <w:tc>
          <w:tcPr>
            <w:tcW w:w="606" w:type="pct"/>
            <w:shd w:val="clear" w:color="auto" w:fill="auto"/>
            <w:vAlign w:val="center"/>
          </w:tcPr>
          <w:p w14:paraId="268A19AE" w14:textId="1B01AD9D" w:rsidR="00EB1DD1" w:rsidRPr="005B19FB" w:rsidRDefault="00E933A1" w:rsidP="00EB1DD1">
            <w:pPr>
              <w:autoSpaceDE w:val="0"/>
              <w:autoSpaceDN w:val="0"/>
              <w:adjustRightInd w:val="0"/>
              <w:spacing w:before="0" w:after="0"/>
              <w:jc w:val="center"/>
              <w:rPr>
                <w:rFonts w:cstheme="minorHAnsi"/>
                <w:sz w:val="20"/>
                <w:szCs w:val="20"/>
              </w:rPr>
            </w:pPr>
            <w:r>
              <w:rPr>
                <w:rFonts w:cstheme="minorHAnsi"/>
                <w:sz w:val="20"/>
                <w:szCs w:val="20"/>
              </w:rPr>
              <w:t>S</w:t>
            </w:r>
          </w:p>
        </w:tc>
        <w:tc>
          <w:tcPr>
            <w:tcW w:w="1313" w:type="pct"/>
            <w:shd w:val="clear" w:color="auto" w:fill="auto"/>
            <w:vAlign w:val="center"/>
          </w:tcPr>
          <w:p w14:paraId="1B07F7F0" w14:textId="3B830BCD" w:rsidR="00EB1DD1" w:rsidRPr="005B19FB" w:rsidRDefault="009633EC" w:rsidP="00EB1DD1">
            <w:pPr>
              <w:spacing w:before="0" w:after="0"/>
              <w:rPr>
                <w:rFonts w:cstheme="minorHAnsi"/>
                <w:sz w:val="20"/>
                <w:szCs w:val="20"/>
              </w:rPr>
            </w:pPr>
            <w:r>
              <w:rPr>
                <w:rFonts w:cstheme="minorHAnsi"/>
                <w:sz w:val="20"/>
                <w:szCs w:val="20"/>
              </w:rPr>
              <w:t xml:space="preserve">A través del Pp S131 Con mis útiles a la escuela el FAFEF contribuye a disminuir las desigualdades sociales en el acceso a la educación pública. </w:t>
            </w:r>
          </w:p>
        </w:tc>
      </w:tr>
      <w:tr w:rsidR="00EB1DD1" w:rsidRPr="005B19FB" w14:paraId="679595D9" w14:textId="77777777" w:rsidTr="00CA3DE7">
        <w:trPr>
          <w:trHeight w:val="53"/>
        </w:trPr>
        <w:tc>
          <w:tcPr>
            <w:tcW w:w="1010" w:type="pct"/>
            <w:shd w:val="clear" w:color="auto" w:fill="auto"/>
            <w:vAlign w:val="center"/>
          </w:tcPr>
          <w:p w14:paraId="53599CC4" w14:textId="369F0E0D" w:rsidR="00EB1DD1" w:rsidRPr="00EB1DD1" w:rsidRDefault="00EB1DD1" w:rsidP="00EB1DD1">
            <w:pPr>
              <w:autoSpaceDE w:val="0"/>
              <w:autoSpaceDN w:val="0"/>
              <w:adjustRightInd w:val="0"/>
              <w:spacing w:before="0" w:after="0"/>
              <w:rPr>
                <w:rFonts w:cstheme="minorHAnsi"/>
                <w:sz w:val="20"/>
                <w:szCs w:val="20"/>
              </w:rPr>
            </w:pPr>
            <w:r w:rsidRPr="00EB1DD1">
              <w:rPr>
                <w:rFonts w:cstheme="minorHAnsi"/>
                <w:sz w:val="20"/>
                <w:szCs w:val="20"/>
              </w:rPr>
              <w:t>Enseñanza básica</w:t>
            </w:r>
          </w:p>
        </w:tc>
        <w:tc>
          <w:tcPr>
            <w:tcW w:w="1061" w:type="pct"/>
            <w:shd w:val="clear" w:color="auto" w:fill="auto"/>
            <w:vAlign w:val="center"/>
          </w:tcPr>
          <w:p w14:paraId="2FDFF1DB" w14:textId="4348384C" w:rsidR="00EB1DD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Servicios educativos transversales</w:t>
            </w:r>
          </w:p>
        </w:tc>
        <w:tc>
          <w:tcPr>
            <w:tcW w:w="1010" w:type="pct"/>
            <w:shd w:val="clear" w:color="auto" w:fill="auto"/>
            <w:vAlign w:val="center"/>
          </w:tcPr>
          <w:p w14:paraId="3D4E328E" w14:textId="6F33878B" w:rsidR="00EB1DD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 xml:space="preserve">Contribución a la educación básica inclusiva, de calidad, con perspectiva de género y orientada a oportunidades de aprendizaje, mediante el alto </w:t>
            </w:r>
            <w:r w:rsidRPr="00E933A1">
              <w:rPr>
                <w:rFonts w:cstheme="minorHAnsi"/>
                <w:sz w:val="20"/>
                <w:szCs w:val="20"/>
              </w:rPr>
              <w:lastRenderedPageBreak/>
              <w:t>logro educativo de los alumnos en educación básica.</w:t>
            </w:r>
          </w:p>
        </w:tc>
        <w:tc>
          <w:tcPr>
            <w:tcW w:w="606" w:type="pct"/>
            <w:shd w:val="clear" w:color="auto" w:fill="auto"/>
            <w:vAlign w:val="center"/>
          </w:tcPr>
          <w:p w14:paraId="7BF63CD0" w14:textId="2A6E311C" w:rsidR="00EB1DD1" w:rsidRPr="005B19FB" w:rsidRDefault="00E933A1" w:rsidP="00EB1DD1">
            <w:pPr>
              <w:autoSpaceDE w:val="0"/>
              <w:autoSpaceDN w:val="0"/>
              <w:adjustRightInd w:val="0"/>
              <w:spacing w:before="0" w:after="0"/>
              <w:jc w:val="center"/>
              <w:rPr>
                <w:rFonts w:cstheme="minorHAnsi"/>
                <w:sz w:val="20"/>
                <w:szCs w:val="20"/>
              </w:rPr>
            </w:pPr>
            <w:r>
              <w:rPr>
                <w:rFonts w:cstheme="minorHAnsi"/>
                <w:sz w:val="20"/>
                <w:szCs w:val="20"/>
              </w:rPr>
              <w:lastRenderedPageBreak/>
              <w:t>E</w:t>
            </w:r>
          </w:p>
        </w:tc>
        <w:tc>
          <w:tcPr>
            <w:tcW w:w="1313" w:type="pct"/>
            <w:shd w:val="clear" w:color="auto" w:fill="auto"/>
            <w:vAlign w:val="center"/>
          </w:tcPr>
          <w:p w14:paraId="3087DF7D" w14:textId="2E9EE1AA" w:rsidR="00EB1DD1" w:rsidRPr="005B19FB" w:rsidRDefault="009633EC" w:rsidP="00EB1DD1">
            <w:pPr>
              <w:spacing w:before="0" w:after="0"/>
              <w:rPr>
                <w:rFonts w:cstheme="minorHAnsi"/>
                <w:sz w:val="20"/>
                <w:szCs w:val="20"/>
              </w:rPr>
            </w:pPr>
            <w:r w:rsidRPr="009633EC">
              <w:rPr>
                <w:rFonts w:cstheme="minorHAnsi"/>
                <w:sz w:val="20"/>
                <w:szCs w:val="20"/>
              </w:rPr>
              <w:t>Los recursos del FAFEF complementan diferentes obras de infraestructura entre ellas la educativa, por lo que potencializan el uso de los recursos en los Pp</w:t>
            </w:r>
          </w:p>
        </w:tc>
      </w:tr>
      <w:tr w:rsidR="00EB1DD1" w:rsidRPr="005B19FB" w14:paraId="4F3AA3DD" w14:textId="77777777" w:rsidTr="00CA3DE7">
        <w:trPr>
          <w:trHeight w:val="53"/>
        </w:trPr>
        <w:tc>
          <w:tcPr>
            <w:tcW w:w="1010" w:type="pct"/>
            <w:shd w:val="clear" w:color="auto" w:fill="auto"/>
            <w:vAlign w:val="center"/>
          </w:tcPr>
          <w:p w14:paraId="637F1CB8" w14:textId="15BFB130" w:rsidR="00EB1DD1" w:rsidRPr="00EB1DD1" w:rsidRDefault="00EB1DD1" w:rsidP="00EB1DD1">
            <w:pPr>
              <w:autoSpaceDE w:val="0"/>
              <w:autoSpaceDN w:val="0"/>
              <w:adjustRightInd w:val="0"/>
              <w:spacing w:before="0" w:after="0"/>
              <w:rPr>
                <w:rFonts w:cstheme="minorHAnsi"/>
                <w:sz w:val="20"/>
                <w:szCs w:val="20"/>
              </w:rPr>
            </w:pPr>
            <w:r w:rsidRPr="00EB1DD1">
              <w:rPr>
                <w:rFonts w:cstheme="minorHAnsi"/>
                <w:sz w:val="20"/>
                <w:szCs w:val="20"/>
              </w:rPr>
              <w:t>Liberación de derechos de vía</w:t>
            </w:r>
          </w:p>
        </w:tc>
        <w:tc>
          <w:tcPr>
            <w:tcW w:w="1061" w:type="pct"/>
            <w:shd w:val="clear" w:color="auto" w:fill="auto"/>
            <w:vAlign w:val="center"/>
          </w:tcPr>
          <w:p w14:paraId="1E7D9CCE" w14:textId="7CF98211" w:rsidR="00EB1DD1" w:rsidRPr="005B19FB" w:rsidRDefault="00E933A1" w:rsidP="00EB1DD1">
            <w:pPr>
              <w:autoSpaceDE w:val="0"/>
              <w:autoSpaceDN w:val="0"/>
              <w:adjustRightInd w:val="0"/>
              <w:spacing w:before="0" w:after="0"/>
              <w:rPr>
                <w:rFonts w:cstheme="minorHAnsi"/>
                <w:sz w:val="20"/>
                <w:szCs w:val="20"/>
              </w:rPr>
            </w:pPr>
            <w:r>
              <w:rPr>
                <w:rFonts w:cstheme="minorHAnsi"/>
                <w:sz w:val="20"/>
                <w:szCs w:val="20"/>
              </w:rPr>
              <w:t>Gestión para la</w:t>
            </w:r>
            <w:r w:rsidRPr="00E933A1">
              <w:rPr>
                <w:rFonts w:cstheme="minorHAnsi"/>
                <w:sz w:val="20"/>
                <w:szCs w:val="20"/>
              </w:rPr>
              <w:t xml:space="preserve"> liberación de vías</w:t>
            </w:r>
          </w:p>
        </w:tc>
        <w:tc>
          <w:tcPr>
            <w:tcW w:w="1010" w:type="pct"/>
            <w:shd w:val="clear" w:color="auto" w:fill="auto"/>
            <w:vAlign w:val="center"/>
          </w:tcPr>
          <w:p w14:paraId="53F55C22" w14:textId="2CD92254" w:rsidR="00EB1DD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Contribución a la liberación de derechos de vía necesarios para la construcción de obras</w:t>
            </w:r>
          </w:p>
        </w:tc>
        <w:tc>
          <w:tcPr>
            <w:tcW w:w="606" w:type="pct"/>
            <w:shd w:val="clear" w:color="auto" w:fill="auto"/>
            <w:vAlign w:val="center"/>
          </w:tcPr>
          <w:p w14:paraId="06DC6144" w14:textId="605EC72D" w:rsidR="00EB1DD1" w:rsidRPr="005B19FB" w:rsidRDefault="00E933A1" w:rsidP="00EB1DD1">
            <w:pPr>
              <w:autoSpaceDE w:val="0"/>
              <w:autoSpaceDN w:val="0"/>
              <w:adjustRightInd w:val="0"/>
              <w:spacing w:before="0" w:after="0"/>
              <w:jc w:val="center"/>
              <w:rPr>
                <w:rFonts w:cstheme="minorHAnsi"/>
                <w:sz w:val="20"/>
                <w:szCs w:val="20"/>
              </w:rPr>
            </w:pPr>
            <w:r>
              <w:rPr>
                <w:rFonts w:cstheme="minorHAnsi"/>
                <w:sz w:val="20"/>
                <w:szCs w:val="20"/>
              </w:rPr>
              <w:t>K</w:t>
            </w:r>
          </w:p>
        </w:tc>
        <w:tc>
          <w:tcPr>
            <w:tcW w:w="1313" w:type="pct"/>
            <w:shd w:val="clear" w:color="auto" w:fill="auto"/>
            <w:vAlign w:val="center"/>
          </w:tcPr>
          <w:p w14:paraId="4F8C2A2B" w14:textId="4654AC14" w:rsidR="00EB1DD1" w:rsidRPr="005B19FB" w:rsidRDefault="009633EC" w:rsidP="00EB1DD1">
            <w:pPr>
              <w:spacing w:before="0" w:after="0"/>
              <w:rPr>
                <w:rFonts w:cstheme="minorHAnsi"/>
                <w:sz w:val="20"/>
                <w:szCs w:val="20"/>
              </w:rPr>
            </w:pPr>
            <w:r>
              <w:rPr>
                <w:rFonts w:cstheme="minorHAnsi"/>
                <w:sz w:val="20"/>
                <w:szCs w:val="20"/>
              </w:rPr>
              <w:t>Este Pp contribuye a que las obras de infraestructura que se financian con el FAFEF puedan ejecutarse sin problemas por derechos de vía.</w:t>
            </w:r>
          </w:p>
        </w:tc>
      </w:tr>
      <w:tr w:rsidR="00E933A1" w:rsidRPr="005B19FB" w14:paraId="3BCE0AE9" w14:textId="77777777" w:rsidTr="00CA3DE7">
        <w:trPr>
          <w:trHeight w:val="53"/>
        </w:trPr>
        <w:tc>
          <w:tcPr>
            <w:tcW w:w="1010" w:type="pct"/>
            <w:shd w:val="clear" w:color="auto" w:fill="auto"/>
            <w:vAlign w:val="center"/>
          </w:tcPr>
          <w:p w14:paraId="3B3F188B" w14:textId="2BE3DE6F" w:rsidR="00E933A1" w:rsidRPr="00EB1DD1" w:rsidRDefault="00E933A1" w:rsidP="00EB1DD1">
            <w:pPr>
              <w:autoSpaceDE w:val="0"/>
              <w:autoSpaceDN w:val="0"/>
              <w:adjustRightInd w:val="0"/>
              <w:spacing w:before="0" w:after="0"/>
              <w:rPr>
                <w:rFonts w:cstheme="minorHAnsi"/>
                <w:sz w:val="20"/>
                <w:szCs w:val="20"/>
              </w:rPr>
            </w:pPr>
            <w:r w:rsidRPr="00E933A1">
              <w:rPr>
                <w:rFonts w:cstheme="minorHAnsi"/>
                <w:sz w:val="20"/>
                <w:szCs w:val="20"/>
              </w:rPr>
              <w:t>Programa de Promoción Turística</w:t>
            </w:r>
          </w:p>
        </w:tc>
        <w:tc>
          <w:tcPr>
            <w:tcW w:w="1061" w:type="pct"/>
            <w:shd w:val="clear" w:color="auto" w:fill="auto"/>
            <w:vAlign w:val="center"/>
          </w:tcPr>
          <w:p w14:paraId="7E9D4F41" w14:textId="1DE7B655" w:rsidR="00E933A1" w:rsidRPr="005B19FB" w:rsidRDefault="00E933A1" w:rsidP="00EB1DD1">
            <w:pPr>
              <w:autoSpaceDE w:val="0"/>
              <w:autoSpaceDN w:val="0"/>
              <w:adjustRightInd w:val="0"/>
              <w:spacing w:before="0" w:after="0"/>
              <w:rPr>
                <w:rFonts w:cstheme="minorHAnsi"/>
                <w:sz w:val="20"/>
                <w:szCs w:val="20"/>
              </w:rPr>
            </w:pPr>
            <w:r w:rsidRPr="00E933A1">
              <w:rPr>
                <w:rFonts w:cstheme="minorHAnsi"/>
                <w:sz w:val="20"/>
                <w:szCs w:val="20"/>
              </w:rPr>
              <w:t>Realización de campañas de promoción por temporada, promoción de festividades turísticas de los municipios y Pueblos Mágicos, Ruedas de prensa, etc.</w:t>
            </w:r>
          </w:p>
        </w:tc>
        <w:tc>
          <w:tcPr>
            <w:tcW w:w="1010" w:type="pct"/>
            <w:shd w:val="clear" w:color="auto" w:fill="auto"/>
            <w:vAlign w:val="center"/>
          </w:tcPr>
          <w:p w14:paraId="73F66ABE" w14:textId="63590F61" w:rsidR="00E933A1" w:rsidRPr="00E933A1" w:rsidRDefault="00E933A1" w:rsidP="00EB1DD1">
            <w:pPr>
              <w:autoSpaceDE w:val="0"/>
              <w:autoSpaceDN w:val="0"/>
              <w:adjustRightInd w:val="0"/>
              <w:spacing w:before="0" w:after="0"/>
              <w:rPr>
                <w:rFonts w:cstheme="minorHAnsi"/>
                <w:sz w:val="20"/>
                <w:szCs w:val="20"/>
              </w:rPr>
            </w:pPr>
            <w:r w:rsidRPr="00E933A1">
              <w:rPr>
                <w:rFonts w:cstheme="minorHAnsi"/>
                <w:sz w:val="20"/>
                <w:szCs w:val="20"/>
              </w:rPr>
              <w:t>Contribución a desarrollar y promover la oferta turística del Estado</w:t>
            </w:r>
          </w:p>
        </w:tc>
        <w:tc>
          <w:tcPr>
            <w:tcW w:w="606" w:type="pct"/>
            <w:shd w:val="clear" w:color="auto" w:fill="auto"/>
            <w:vAlign w:val="center"/>
          </w:tcPr>
          <w:p w14:paraId="4F69FE39" w14:textId="2F0BF88B" w:rsidR="00E933A1" w:rsidRPr="005B19FB" w:rsidRDefault="00E933A1" w:rsidP="00EB1DD1">
            <w:pPr>
              <w:autoSpaceDE w:val="0"/>
              <w:autoSpaceDN w:val="0"/>
              <w:adjustRightInd w:val="0"/>
              <w:spacing w:before="0" w:after="0"/>
              <w:jc w:val="center"/>
              <w:rPr>
                <w:rFonts w:cstheme="minorHAnsi"/>
                <w:sz w:val="20"/>
                <w:szCs w:val="20"/>
              </w:rPr>
            </w:pPr>
            <w:r>
              <w:rPr>
                <w:rFonts w:cstheme="minorHAnsi"/>
                <w:sz w:val="20"/>
                <w:szCs w:val="20"/>
              </w:rPr>
              <w:t>F</w:t>
            </w:r>
          </w:p>
        </w:tc>
        <w:tc>
          <w:tcPr>
            <w:tcW w:w="1313" w:type="pct"/>
            <w:shd w:val="clear" w:color="auto" w:fill="auto"/>
            <w:vAlign w:val="center"/>
          </w:tcPr>
          <w:p w14:paraId="304AACA5" w14:textId="07259EA7" w:rsidR="00E933A1" w:rsidRPr="005B19FB" w:rsidRDefault="009633EC" w:rsidP="00EB1DD1">
            <w:pPr>
              <w:spacing w:before="0" w:after="0"/>
              <w:rPr>
                <w:rFonts w:cstheme="minorHAnsi"/>
                <w:sz w:val="20"/>
                <w:szCs w:val="20"/>
              </w:rPr>
            </w:pPr>
            <w:r>
              <w:rPr>
                <w:rFonts w:cstheme="minorHAnsi"/>
                <w:sz w:val="20"/>
                <w:szCs w:val="20"/>
              </w:rPr>
              <w:t xml:space="preserve">El FAFEF contribuye al impulso del turismo en la entidad a través de la construcción de infraestructura turística. </w:t>
            </w:r>
          </w:p>
        </w:tc>
      </w:tr>
      <w:tr w:rsidR="00E933A1" w:rsidRPr="005B19FB" w14:paraId="07A1E508" w14:textId="77777777" w:rsidTr="00CA3DE7">
        <w:trPr>
          <w:trHeight w:val="53"/>
        </w:trPr>
        <w:tc>
          <w:tcPr>
            <w:tcW w:w="1010" w:type="pct"/>
            <w:shd w:val="clear" w:color="auto" w:fill="auto"/>
            <w:vAlign w:val="center"/>
          </w:tcPr>
          <w:p w14:paraId="30EF35DD" w14:textId="55C40BAB" w:rsidR="00E933A1" w:rsidRPr="00EB1DD1" w:rsidRDefault="00E933A1" w:rsidP="00E933A1">
            <w:pPr>
              <w:autoSpaceDE w:val="0"/>
              <w:autoSpaceDN w:val="0"/>
              <w:adjustRightInd w:val="0"/>
              <w:spacing w:before="0" w:after="0"/>
              <w:rPr>
                <w:rFonts w:cstheme="minorHAnsi"/>
                <w:sz w:val="20"/>
                <w:szCs w:val="20"/>
              </w:rPr>
            </w:pPr>
            <w:r w:rsidRPr="00EB1DD1">
              <w:rPr>
                <w:rFonts w:cstheme="minorHAnsi"/>
                <w:sz w:val="20"/>
                <w:szCs w:val="20"/>
              </w:rPr>
              <w:t>Sistema estatal de seguridad pública</w:t>
            </w:r>
          </w:p>
        </w:tc>
        <w:tc>
          <w:tcPr>
            <w:tcW w:w="1061" w:type="pct"/>
            <w:shd w:val="clear" w:color="auto" w:fill="auto"/>
            <w:vAlign w:val="center"/>
          </w:tcPr>
          <w:p w14:paraId="63F223D8" w14:textId="31D28E11" w:rsidR="00E933A1" w:rsidRPr="005B19FB" w:rsidRDefault="00E933A1" w:rsidP="00E933A1">
            <w:pPr>
              <w:autoSpaceDE w:val="0"/>
              <w:autoSpaceDN w:val="0"/>
              <w:adjustRightInd w:val="0"/>
              <w:spacing w:before="0" w:after="0"/>
              <w:rPr>
                <w:rFonts w:cstheme="minorHAnsi"/>
                <w:sz w:val="20"/>
                <w:szCs w:val="20"/>
              </w:rPr>
            </w:pPr>
            <w:r w:rsidRPr="00CE30DE">
              <w:rPr>
                <w:sz w:val="20"/>
                <w:szCs w:val="20"/>
              </w:rPr>
              <w:t>Servicios de evaluación y certificación a los servidores de seguridad pública y procuración de justicia</w:t>
            </w:r>
          </w:p>
        </w:tc>
        <w:tc>
          <w:tcPr>
            <w:tcW w:w="1010" w:type="pct"/>
            <w:shd w:val="clear" w:color="auto" w:fill="auto"/>
            <w:vAlign w:val="center"/>
          </w:tcPr>
          <w:p w14:paraId="5B55F706" w14:textId="3DD3918F" w:rsidR="00E933A1" w:rsidRPr="005B19FB" w:rsidRDefault="00E933A1" w:rsidP="00E933A1">
            <w:pPr>
              <w:autoSpaceDE w:val="0"/>
              <w:autoSpaceDN w:val="0"/>
              <w:adjustRightInd w:val="0"/>
              <w:spacing w:before="0" w:after="0"/>
              <w:rPr>
                <w:rFonts w:cstheme="minorHAnsi"/>
                <w:sz w:val="20"/>
                <w:szCs w:val="20"/>
              </w:rPr>
            </w:pPr>
            <w:r w:rsidRPr="00E933A1">
              <w:rPr>
                <w:rFonts w:cstheme="minorHAnsi"/>
                <w:sz w:val="20"/>
                <w:szCs w:val="20"/>
              </w:rPr>
              <w:t>Contribución a reducir la incidencia de los delitos del fuero común, al mejoramiento de la profesionalización y certificación de los cuerpos policiacos.</w:t>
            </w:r>
          </w:p>
        </w:tc>
        <w:tc>
          <w:tcPr>
            <w:tcW w:w="606" w:type="pct"/>
            <w:shd w:val="clear" w:color="auto" w:fill="auto"/>
            <w:vAlign w:val="center"/>
          </w:tcPr>
          <w:p w14:paraId="0BF28E0E" w14:textId="04BE89E7" w:rsidR="00E933A1" w:rsidRPr="005B19FB" w:rsidRDefault="00CA3DE7" w:rsidP="00E933A1">
            <w:pPr>
              <w:autoSpaceDE w:val="0"/>
              <w:autoSpaceDN w:val="0"/>
              <w:adjustRightInd w:val="0"/>
              <w:spacing w:before="0" w:after="0"/>
              <w:jc w:val="center"/>
              <w:rPr>
                <w:rFonts w:cstheme="minorHAnsi"/>
                <w:sz w:val="20"/>
                <w:szCs w:val="20"/>
              </w:rPr>
            </w:pPr>
            <w:r>
              <w:rPr>
                <w:rFonts w:cstheme="minorHAnsi"/>
                <w:sz w:val="20"/>
                <w:szCs w:val="20"/>
              </w:rPr>
              <w:t>P</w:t>
            </w:r>
          </w:p>
        </w:tc>
        <w:tc>
          <w:tcPr>
            <w:tcW w:w="1313" w:type="pct"/>
            <w:shd w:val="clear" w:color="auto" w:fill="auto"/>
            <w:vAlign w:val="center"/>
          </w:tcPr>
          <w:p w14:paraId="73405FA3" w14:textId="1437E6FC" w:rsidR="00E933A1" w:rsidRPr="005B19FB" w:rsidRDefault="009633EC" w:rsidP="00E933A1">
            <w:pPr>
              <w:spacing w:before="0" w:after="0"/>
              <w:rPr>
                <w:rFonts w:cstheme="minorHAnsi"/>
                <w:sz w:val="20"/>
                <w:szCs w:val="20"/>
              </w:rPr>
            </w:pPr>
            <w:r>
              <w:rPr>
                <w:rFonts w:cstheme="minorHAnsi"/>
                <w:sz w:val="20"/>
                <w:szCs w:val="20"/>
              </w:rPr>
              <w:t xml:space="preserve">El FAFEF genera sinergias con el Sistema Estatal de Seguridad Pública a través del financiamiento de proyectos de infraestructura gubernamental de seguridad pública. </w:t>
            </w:r>
          </w:p>
        </w:tc>
      </w:tr>
      <w:tr w:rsidR="00E933A1" w:rsidRPr="005B19FB" w14:paraId="7B30FBD4" w14:textId="77777777" w:rsidTr="00CA3DE7">
        <w:trPr>
          <w:trHeight w:val="53"/>
        </w:trPr>
        <w:tc>
          <w:tcPr>
            <w:tcW w:w="1010" w:type="pct"/>
            <w:shd w:val="clear" w:color="auto" w:fill="auto"/>
            <w:vAlign w:val="center"/>
          </w:tcPr>
          <w:p w14:paraId="3D7CA00A" w14:textId="7480964C" w:rsidR="00E933A1" w:rsidRPr="00EB1DD1" w:rsidRDefault="00E933A1" w:rsidP="00E933A1">
            <w:pPr>
              <w:autoSpaceDE w:val="0"/>
              <w:autoSpaceDN w:val="0"/>
              <w:adjustRightInd w:val="0"/>
              <w:spacing w:before="0" w:after="0"/>
              <w:rPr>
                <w:rFonts w:cstheme="minorHAnsi"/>
                <w:sz w:val="20"/>
                <w:szCs w:val="20"/>
              </w:rPr>
            </w:pPr>
            <w:r w:rsidRPr="00EB1DD1">
              <w:rPr>
                <w:rFonts w:cstheme="minorHAnsi"/>
                <w:sz w:val="20"/>
                <w:szCs w:val="20"/>
              </w:rPr>
              <w:t>Servicios de salud</w:t>
            </w:r>
          </w:p>
        </w:tc>
        <w:tc>
          <w:tcPr>
            <w:tcW w:w="1061" w:type="pct"/>
            <w:shd w:val="clear" w:color="auto" w:fill="auto"/>
            <w:vAlign w:val="center"/>
          </w:tcPr>
          <w:p w14:paraId="7114629E" w14:textId="37E625AF" w:rsidR="00E933A1" w:rsidRPr="005B19FB" w:rsidRDefault="00E933A1" w:rsidP="00E933A1">
            <w:pPr>
              <w:autoSpaceDE w:val="0"/>
              <w:autoSpaceDN w:val="0"/>
              <w:adjustRightInd w:val="0"/>
              <w:spacing w:before="0" w:after="0"/>
              <w:rPr>
                <w:rFonts w:cstheme="minorHAnsi"/>
                <w:sz w:val="20"/>
                <w:szCs w:val="20"/>
              </w:rPr>
            </w:pPr>
            <w:r w:rsidRPr="00CE30DE">
              <w:rPr>
                <w:sz w:val="20"/>
                <w:szCs w:val="20"/>
              </w:rPr>
              <w:t>Servicios de promoción y protección de la salud</w:t>
            </w:r>
          </w:p>
        </w:tc>
        <w:tc>
          <w:tcPr>
            <w:tcW w:w="1010" w:type="pct"/>
            <w:shd w:val="clear" w:color="auto" w:fill="auto"/>
            <w:vAlign w:val="center"/>
          </w:tcPr>
          <w:p w14:paraId="36183013" w14:textId="672FC810" w:rsidR="00E933A1" w:rsidRPr="005B19FB" w:rsidRDefault="00E933A1" w:rsidP="00E933A1">
            <w:pPr>
              <w:autoSpaceDE w:val="0"/>
              <w:autoSpaceDN w:val="0"/>
              <w:adjustRightInd w:val="0"/>
              <w:spacing w:before="0" w:after="0"/>
              <w:rPr>
                <w:rFonts w:cstheme="minorHAnsi"/>
                <w:sz w:val="20"/>
                <w:szCs w:val="20"/>
              </w:rPr>
            </w:pPr>
            <w:r w:rsidRPr="00E933A1">
              <w:rPr>
                <w:rFonts w:cstheme="minorHAnsi"/>
                <w:sz w:val="20"/>
                <w:szCs w:val="20"/>
              </w:rPr>
              <w:t>Contribución a la disminución del riego de muerte de la población sin seguridad social.</w:t>
            </w:r>
          </w:p>
        </w:tc>
        <w:tc>
          <w:tcPr>
            <w:tcW w:w="606" w:type="pct"/>
            <w:shd w:val="clear" w:color="auto" w:fill="auto"/>
            <w:vAlign w:val="center"/>
          </w:tcPr>
          <w:p w14:paraId="58F9194D" w14:textId="1CBD1F76" w:rsidR="00E933A1" w:rsidRPr="005B19FB" w:rsidRDefault="00CA3DE7" w:rsidP="00E933A1">
            <w:pPr>
              <w:autoSpaceDE w:val="0"/>
              <w:autoSpaceDN w:val="0"/>
              <w:adjustRightInd w:val="0"/>
              <w:spacing w:before="0" w:after="0"/>
              <w:jc w:val="center"/>
              <w:rPr>
                <w:rFonts w:cstheme="minorHAnsi"/>
                <w:sz w:val="20"/>
                <w:szCs w:val="20"/>
              </w:rPr>
            </w:pPr>
            <w:r>
              <w:rPr>
                <w:rFonts w:cstheme="minorHAnsi"/>
                <w:sz w:val="20"/>
                <w:szCs w:val="20"/>
              </w:rPr>
              <w:t>E</w:t>
            </w:r>
          </w:p>
        </w:tc>
        <w:tc>
          <w:tcPr>
            <w:tcW w:w="1313" w:type="pct"/>
            <w:shd w:val="clear" w:color="auto" w:fill="auto"/>
            <w:vAlign w:val="center"/>
          </w:tcPr>
          <w:p w14:paraId="674C74FD" w14:textId="1750EA10" w:rsidR="00E933A1" w:rsidRPr="005B19FB" w:rsidRDefault="009633EC" w:rsidP="00E933A1">
            <w:pPr>
              <w:spacing w:before="0" w:after="0"/>
              <w:rPr>
                <w:rFonts w:cstheme="minorHAnsi"/>
                <w:sz w:val="20"/>
                <w:szCs w:val="20"/>
              </w:rPr>
            </w:pPr>
            <w:r>
              <w:rPr>
                <w:rFonts w:cstheme="minorHAnsi"/>
                <w:sz w:val="20"/>
                <w:szCs w:val="20"/>
              </w:rPr>
              <w:t>El FAFEF genera sinergias con los servicios de salud del Estado, ya que financia la construcción de infraestructura social de salud a través del Pp K185.</w:t>
            </w:r>
          </w:p>
        </w:tc>
      </w:tr>
      <w:tr w:rsidR="00E933A1" w:rsidRPr="005B19FB" w14:paraId="4D4867B5" w14:textId="77777777" w:rsidTr="00CA3DE7">
        <w:trPr>
          <w:trHeight w:val="53"/>
        </w:trPr>
        <w:tc>
          <w:tcPr>
            <w:tcW w:w="1010" w:type="pct"/>
            <w:shd w:val="clear" w:color="auto" w:fill="auto"/>
            <w:vAlign w:val="center"/>
          </w:tcPr>
          <w:p w14:paraId="11AA6D98" w14:textId="3A6AE312" w:rsidR="00E933A1" w:rsidRPr="00EB1DD1" w:rsidRDefault="00E933A1" w:rsidP="00E933A1">
            <w:pPr>
              <w:autoSpaceDE w:val="0"/>
              <w:autoSpaceDN w:val="0"/>
              <w:adjustRightInd w:val="0"/>
              <w:spacing w:before="0" w:after="0"/>
              <w:rPr>
                <w:rFonts w:cstheme="minorHAnsi"/>
                <w:sz w:val="20"/>
                <w:szCs w:val="20"/>
              </w:rPr>
            </w:pPr>
            <w:r w:rsidRPr="00EB1DD1">
              <w:rPr>
                <w:rFonts w:cstheme="minorHAnsi"/>
                <w:sz w:val="20"/>
                <w:szCs w:val="20"/>
              </w:rPr>
              <w:t>Otros proyectos de Infraestructura de Asistencia Social</w:t>
            </w:r>
          </w:p>
        </w:tc>
        <w:tc>
          <w:tcPr>
            <w:tcW w:w="1061" w:type="pct"/>
            <w:shd w:val="clear" w:color="auto" w:fill="auto"/>
            <w:vAlign w:val="center"/>
          </w:tcPr>
          <w:p w14:paraId="523B28C0" w14:textId="5B05A0E8" w:rsidR="00E933A1" w:rsidRPr="005B19FB" w:rsidRDefault="00E933A1" w:rsidP="00E933A1">
            <w:pPr>
              <w:autoSpaceDE w:val="0"/>
              <w:autoSpaceDN w:val="0"/>
              <w:adjustRightInd w:val="0"/>
              <w:spacing w:before="0" w:after="0"/>
              <w:rPr>
                <w:rFonts w:cstheme="minorHAnsi"/>
                <w:sz w:val="20"/>
                <w:szCs w:val="20"/>
              </w:rPr>
            </w:pPr>
            <w:r w:rsidRPr="00CE30DE">
              <w:rPr>
                <w:sz w:val="20"/>
                <w:szCs w:val="20"/>
              </w:rPr>
              <w:t>Mejoramiento y desarrollo de infraestructura, el equipamiento y mobiliario de los espacios públicos para el esparcimiento y el desarrollo de actividades físicas, recreativas y de convivencia</w:t>
            </w:r>
          </w:p>
        </w:tc>
        <w:tc>
          <w:tcPr>
            <w:tcW w:w="1010" w:type="pct"/>
            <w:shd w:val="clear" w:color="auto" w:fill="auto"/>
            <w:vAlign w:val="center"/>
          </w:tcPr>
          <w:p w14:paraId="429720FF" w14:textId="7CB96455" w:rsidR="00E933A1" w:rsidRPr="005B19FB" w:rsidRDefault="00E933A1" w:rsidP="00E933A1">
            <w:pPr>
              <w:autoSpaceDE w:val="0"/>
              <w:autoSpaceDN w:val="0"/>
              <w:adjustRightInd w:val="0"/>
              <w:spacing w:before="0" w:after="0"/>
              <w:rPr>
                <w:rFonts w:cstheme="minorHAnsi"/>
                <w:sz w:val="20"/>
                <w:szCs w:val="20"/>
              </w:rPr>
            </w:pPr>
            <w:r w:rsidRPr="00E933A1">
              <w:rPr>
                <w:rFonts w:cstheme="minorHAnsi"/>
                <w:sz w:val="20"/>
                <w:szCs w:val="20"/>
              </w:rPr>
              <w:t>Contribución a la protección de los derechos de todas y todos, que permita alcanzar el bienestar individual y familiar</w:t>
            </w:r>
          </w:p>
        </w:tc>
        <w:tc>
          <w:tcPr>
            <w:tcW w:w="606" w:type="pct"/>
            <w:shd w:val="clear" w:color="auto" w:fill="auto"/>
            <w:vAlign w:val="center"/>
          </w:tcPr>
          <w:p w14:paraId="3AD9A8E9" w14:textId="1E6CC2B8" w:rsidR="00E933A1" w:rsidRPr="005B19FB" w:rsidRDefault="00CA3DE7" w:rsidP="00E933A1">
            <w:pPr>
              <w:autoSpaceDE w:val="0"/>
              <w:autoSpaceDN w:val="0"/>
              <w:adjustRightInd w:val="0"/>
              <w:spacing w:before="0" w:after="0"/>
              <w:jc w:val="center"/>
              <w:rPr>
                <w:rFonts w:cstheme="minorHAnsi"/>
                <w:sz w:val="20"/>
                <w:szCs w:val="20"/>
              </w:rPr>
            </w:pPr>
            <w:r>
              <w:rPr>
                <w:rFonts w:cstheme="minorHAnsi"/>
                <w:sz w:val="20"/>
                <w:szCs w:val="20"/>
              </w:rPr>
              <w:t>K</w:t>
            </w:r>
          </w:p>
        </w:tc>
        <w:tc>
          <w:tcPr>
            <w:tcW w:w="1313" w:type="pct"/>
            <w:shd w:val="clear" w:color="auto" w:fill="auto"/>
            <w:vAlign w:val="center"/>
          </w:tcPr>
          <w:p w14:paraId="4B31B70E" w14:textId="6FA1A00A" w:rsidR="00E933A1" w:rsidRPr="005B19FB" w:rsidRDefault="009633EC" w:rsidP="00E933A1">
            <w:pPr>
              <w:spacing w:before="0" w:after="0"/>
              <w:rPr>
                <w:rFonts w:cstheme="minorHAnsi"/>
                <w:sz w:val="20"/>
                <w:szCs w:val="20"/>
              </w:rPr>
            </w:pPr>
            <w:r>
              <w:rPr>
                <w:rFonts w:cstheme="minorHAnsi"/>
                <w:sz w:val="20"/>
                <w:szCs w:val="20"/>
              </w:rPr>
              <w:t>A través del financiamiento de obras de infraestructura social el FAFEF y del deporte el FAFEF contribuye con otros proyectos para garantizar espacios públicos para el esparcimiento.</w:t>
            </w:r>
          </w:p>
        </w:tc>
      </w:tr>
    </w:tbl>
    <w:p w14:paraId="1169A82F" w14:textId="77777777" w:rsidR="00C3299F" w:rsidRDefault="00C3299F">
      <w:pPr>
        <w:spacing w:before="0" w:after="160" w:line="259" w:lineRule="auto"/>
        <w:jc w:val="left"/>
        <w:rPr>
          <w:b/>
          <w:bCs/>
          <w:sz w:val="24"/>
          <w:szCs w:val="24"/>
        </w:rPr>
      </w:pPr>
      <w:r>
        <w:rPr>
          <w:bCs/>
        </w:rPr>
        <w:br w:type="page"/>
      </w:r>
    </w:p>
    <w:p w14:paraId="4D3636A7" w14:textId="6D569758" w:rsidR="00EE2253" w:rsidRPr="00A20133" w:rsidRDefault="00EE2253" w:rsidP="005B684A">
      <w:pPr>
        <w:pStyle w:val="Anexo"/>
      </w:pPr>
      <w:bookmarkStart w:id="168" w:name="_Toc47933873"/>
      <w:bookmarkStart w:id="169" w:name="_Toc51291533"/>
      <w:bookmarkStart w:id="170" w:name="_Toc55411212"/>
      <w:bookmarkStart w:id="171" w:name="_Toc55580105"/>
      <w:bookmarkStart w:id="172" w:name="_Toc56496636"/>
      <w:bookmarkStart w:id="173" w:name="_Toc61633662"/>
      <w:r w:rsidRPr="00A20133">
        <w:lastRenderedPageBreak/>
        <w:t>Anexo 7</w:t>
      </w:r>
      <w:r w:rsidR="00BD3A96">
        <w:t xml:space="preserve">. </w:t>
      </w:r>
      <w:r w:rsidRPr="00A20133">
        <w:t>Valor agregado de los Programas presupuestarios al Fondo.</w:t>
      </w:r>
      <w:bookmarkEnd w:id="168"/>
      <w:bookmarkEnd w:id="169"/>
      <w:bookmarkEnd w:id="170"/>
      <w:bookmarkEnd w:id="171"/>
      <w:bookmarkEnd w:id="172"/>
      <w:bookmarkEnd w:id="173"/>
    </w:p>
    <w:tbl>
      <w:tblPr>
        <w:tblStyle w:val="Tablaconcuadrcula2"/>
        <w:tblW w:w="4984" w:type="pct"/>
        <w:tblLook w:val="04A0" w:firstRow="1" w:lastRow="0" w:firstColumn="1" w:lastColumn="0" w:noHBand="0" w:noVBand="1"/>
      </w:tblPr>
      <w:tblGrid>
        <w:gridCol w:w="2066"/>
        <w:gridCol w:w="3550"/>
        <w:gridCol w:w="1184"/>
        <w:gridCol w:w="2812"/>
        <w:gridCol w:w="3907"/>
      </w:tblGrid>
      <w:tr w:rsidR="005B62D5" w:rsidRPr="00D1156F" w14:paraId="22AB41D2" w14:textId="77777777" w:rsidTr="000D117B">
        <w:trPr>
          <w:trHeight w:val="383"/>
          <w:tblHeader/>
        </w:trPr>
        <w:tc>
          <w:tcPr>
            <w:tcW w:w="764" w:type="pct"/>
            <w:shd w:val="clear" w:color="auto" w:fill="9CC2E5"/>
            <w:vAlign w:val="center"/>
          </w:tcPr>
          <w:p w14:paraId="07B6FEDF" w14:textId="77777777" w:rsidR="005B62D5" w:rsidRPr="00D1156F" w:rsidRDefault="005B62D5" w:rsidP="000D117B">
            <w:pPr>
              <w:spacing w:before="0" w:after="0"/>
              <w:jc w:val="center"/>
              <w:rPr>
                <w:rFonts w:eastAsia="Calibri" w:cstheme="minorHAnsi"/>
                <w:b/>
                <w:iCs/>
                <w:color w:val="000000" w:themeColor="text1"/>
                <w:sz w:val="20"/>
                <w:szCs w:val="20"/>
                <w:lang w:val="es-ES"/>
              </w:rPr>
            </w:pPr>
            <w:r w:rsidRPr="00D1156F">
              <w:rPr>
                <w:rFonts w:eastAsia="Calibri" w:cstheme="minorHAnsi"/>
                <w:b/>
                <w:iCs/>
                <w:color w:val="000000" w:themeColor="text1"/>
                <w:sz w:val="20"/>
                <w:szCs w:val="20"/>
                <w:lang w:val="es-ES"/>
              </w:rPr>
              <w:t xml:space="preserve">Nombre del </w:t>
            </w:r>
            <w:proofErr w:type="spellStart"/>
            <w:r w:rsidRPr="00D1156F">
              <w:rPr>
                <w:rFonts w:eastAsia="Calibri" w:cstheme="minorHAnsi"/>
                <w:b/>
                <w:iCs/>
                <w:color w:val="000000" w:themeColor="text1"/>
                <w:sz w:val="20"/>
                <w:szCs w:val="20"/>
                <w:lang w:val="es-ES"/>
              </w:rPr>
              <w:t>Pp</w:t>
            </w:r>
            <w:proofErr w:type="spellEnd"/>
          </w:p>
        </w:tc>
        <w:tc>
          <w:tcPr>
            <w:tcW w:w="1313" w:type="pct"/>
            <w:shd w:val="clear" w:color="auto" w:fill="9CC2E5"/>
            <w:vAlign w:val="center"/>
          </w:tcPr>
          <w:p w14:paraId="125C5581" w14:textId="77777777" w:rsidR="005B62D5" w:rsidRPr="00D1156F" w:rsidRDefault="005B62D5" w:rsidP="000D117B">
            <w:pPr>
              <w:spacing w:before="0" w:after="0"/>
              <w:jc w:val="center"/>
              <w:rPr>
                <w:rFonts w:eastAsia="Calibri" w:cstheme="minorHAnsi"/>
                <w:b/>
                <w:iCs/>
                <w:color w:val="000000" w:themeColor="text1"/>
                <w:sz w:val="20"/>
                <w:szCs w:val="20"/>
                <w:lang w:val="es-ES"/>
              </w:rPr>
            </w:pPr>
            <w:r w:rsidRPr="00D1156F">
              <w:rPr>
                <w:rFonts w:eastAsia="Calibri" w:cstheme="minorHAnsi"/>
                <w:b/>
                <w:iCs/>
                <w:color w:val="000000" w:themeColor="text1"/>
                <w:sz w:val="20"/>
                <w:szCs w:val="20"/>
                <w:lang w:val="es-ES"/>
              </w:rPr>
              <w:t>Características generales</w:t>
            </w:r>
          </w:p>
        </w:tc>
        <w:tc>
          <w:tcPr>
            <w:tcW w:w="438" w:type="pct"/>
            <w:shd w:val="clear" w:color="auto" w:fill="9CC2E5"/>
            <w:vAlign w:val="center"/>
          </w:tcPr>
          <w:p w14:paraId="7B48FAF2" w14:textId="77777777" w:rsidR="005B62D5" w:rsidRPr="00D1156F" w:rsidRDefault="005B62D5" w:rsidP="000D117B">
            <w:pPr>
              <w:spacing w:before="0" w:after="0"/>
              <w:jc w:val="center"/>
              <w:rPr>
                <w:rFonts w:eastAsia="Calibri" w:cstheme="minorHAnsi"/>
                <w:b/>
                <w:iCs/>
                <w:color w:val="000000" w:themeColor="text1"/>
                <w:sz w:val="20"/>
                <w:szCs w:val="20"/>
                <w:lang w:val="es-ES"/>
              </w:rPr>
            </w:pPr>
            <w:r w:rsidRPr="00D1156F">
              <w:rPr>
                <w:rFonts w:eastAsia="Calibri" w:cstheme="minorHAnsi"/>
                <w:b/>
                <w:iCs/>
                <w:color w:val="000000" w:themeColor="text1"/>
                <w:sz w:val="20"/>
                <w:szCs w:val="20"/>
                <w:lang w:val="es-ES"/>
              </w:rPr>
              <w:t>Modalidad</w:t>
            </w:r>
          </w:p>
        </w:tc>
        <w:tc>
          <w:tcPr>
            <w:tcW w:w="1040" w:type="pct"/>
            <w:shd w:val="clear" w:color="auto" w:fill="9CC2E5"/>
            <w:vAlign w:val="center"/>
          </w:tcPr>
          <w:p w14:paraId="39D001E3" w14:textId="77777777" w:rsidR="005B62D5" w:rsidRPr="00D1156F" w:rsidRDefault="005B62D5" w:rsidP="000D117B">
            <w:pPr>
              <w:spacing w:before="0" w:after="0"/>
              <w:jc w:val="center"/>
              <w:rPr>
                <w:rFonts w:eastAsia="Calibri" w:cstheme="minorHAnsi"/>
                <w:b/>
                <w:iCs/>
                <w:color w:val="000000" w:themeColor="text1"/>
                <w:sz w:val="20"/>
                <w:szCs w:val="20"/>
                <w:lang w:val="es-ES"/>
              </w:rPr>
            </w:pPr>
            <w:r w:rsidRPr="00D1156F">
              <w:rPr>
                <w:rFonts w:eastAsia="Calibri" w:cstheme="minorHAnsi"/>
                <w:b/>
                <w:iCs/>
                <w:color w:val="000000" w:themeColor="text1"/>
                <w:sz w:val="20"/>
                <w:szCs w:val="20"/>
                <w:lang w:val="es-ES"/>
              </w:rPr>
              <w:t>Objetivos</w:t>
            </w:r>
          </w:p>
        </w:tc>
        <w:tc>
          <w:tcPr>
            <w:tcW w:w="1445" w:type="pct"/>
            <w:shd w:val="clear" w:color="auto" w:fill="9CC2E5"/>
            <w:vAlign w:val="center"/>
          </w:tcPr>
          <w:p w14:paraId="7BE5318F" w14:textId="77777777" w:rsidR="005B62D5" w:rsidRPr="00D1156F" w:rsidRDefault="005B62D5" w:rsidP="000D117B">
            <w:pPr>
              <w:spacing w:before="0" w:after="0"/>
              <w:jc w:val="center"/>
              <w:rPr>
                <w:rFonts w:eastAsia="Calibri" w:cstheme="minorHAnsi"/>
                <w:b/>
                <w:iCs/>
                <w:color w:val="000000" w:themeColor="text1"/>
                <w:sz w:val="20"/>
                <w:szCs w:val="20"/>
                <w:lang w:val="es-ES"/>
              </w:rPr>
            </w:pPr>
            <w:r w:rsidRPr="00D1156F">
              <w:rPr>
                <w:rFonts w:eastAsia="Calibri" w:cstheme="minorHAnsi"/>
                <w:b/>
                <w:iCs/>
                <w:color w:val="000000" w:themeColor="text1"/>
                <w:sz w:val="20"/>
                <w:szCs w:val="20"/>
                <w:lang w:val="es-ES"/>
              </w:rPr>
              <w:t>Valor que agregan al Fondo</w:t>
            </w:r>
          </w:p>
        </w:tc>
      </w:tr>
      <w:tr w:rsidR="005B62D5" w:rsidRPr="00D1156F" w14:paraId="31BD48F6" w14:textId="77777777" w:rsidTr="001165F6">
        <w:trPr>
          <w:trHeight w:val="953"/>
        </w:trPr>
        <w:tc>
          <w:tcPr>
            <w:tcW w:w="764" w:type="pct"/>
            <w:vAlign w:val="center"/>
          </w:tcPr>
          <w:p w14:paraId="1F08ED55" w14:textId="43513257" w:rsidR="005B62D5" w:rsidRPr="00D1156F" w:rsidRDefault="005B62D5" w:rsidP="000D117B">
            <w:pPr>
              <w:spacing w:before="0" w:after="0"/>
              <w:rPr>
                <w:rFonts w:eastAsia="Calibri" w:cstheme="minorHAnsi"/>
                <w:b/>
                <w:iCs/>
                <w:color w:val="000000" w:themeColor="text1"/>
                <w:sz w:val="20"/>
                <w:szCs w:val="20"/>
                <w:lang w:val="es-ES"/>
              </w:rPr>
            </w:pPr>
            <w:r w:rsidRPr="00D1156F">
              <w:rPr>
                <w:rFonts w:eastAsia="Times New Roman" w:cstheme="minorHAnsi"/>
                <w:color w:val="000000" w:themeColor="text1"/>
                <w:sz w:val="20"/>
                <w:szCs w:val="20"/>
                <w:lang w:eastAsia="es-MX"/>
              </w:rPr>
              <w:t>Costo financiero y deuda</w:t>
            </w:r>
          </w:p>
        </w:tc>
        <w:tc>
          <w:tcPr>
            <w:tcW w:w="1313" w:type="pct"/>
            <w:vAlign w:val="center"/>
          </w:tcPr>
          <w:p w14:paraId="348599C4" w14:textId="26644C22" w:rsidR="005B62D5" w:rsidRPr="00D1156F" w:rsidRDefault="005B62D5" w:rsidP="000D117B">
            <w:pPr>
              <w:spacing w:before="0" w:after="0"/>
              <w:rPr>
                <w:rFonts w:eastAsia="Calibri" w:cstheme="minorHAnsi"/>
                <w:bCs/>
                <w:iCs/>
                <w:color w:val="000000" w:themeColor="text1"/>
                <w:sz w:val="20"/>
                <w:szCs w:val="20"/>
                <w:lang w:val="es-ES"/>
              </w:rPr>
            </w:pPr>
            <w:r w:rsidRPr="00D1156F">
              <w:rPr>
                <w:rFonts w:eastAsia="Calibri" w:cstheme="minorHAnsi"/>
                <w:bCs/>
                <w:iCs/>
                <w:color w:val="000000" w:themeColor="text1"/>
                <w:sz w:val="20"/>
                <w:szCs w:val="20"/>
                <w:lang w:val="es-ES"/>
              </w:rPr>
              <w:t>Saneamiento de las finanzas públicas estatales a través del pago de amortizaciones, comisiones e intereses de la deuda pública</w:t>
            </w:r>
            <w:r w:rsidR="001165F6">
              <w:rPr>
                <w:rFonts w:eastAsia="Calibri" w:cstheme="minorHAnsi"/>
                <w:bCs/>
                <w:iCs/>
                <w:color w:val="000000" w:themeColor="text1"/>
                <w:sz w:val="20"/>
                <w:szCs w:val="20"/>
                <w:lang w:val="es-ES"/>
              </w:rPr>
              <w:t>.</w:t>
            </w:r>
          </w:p>
        </w:tc>
        <w:tc>
          <w:tcPr>
            <w:tcW w:w="438" w:type="pct"/>
            <w:vAlign w:val="center"/>
          </w:tcPr>
          <w:p w14:paraId="0468BD69" w14:textId="77777777" w:rsidR="005B62D5" w:rsidRPr="00D1156F" w:rsidRDefault="005B62D5" w:rsidP="000D117B">
            <w:pPr>
              <w:spacing w:before="0" w:after="0"/>
              <w:jc w:val="center"/>
              <w:rPr>
                <w:rFonts w:eastAsia="Calibri" w:cstheme="minorHAnsi"/>
                <w:bCs/>
                <w:iCs/>
                <w:color w:val="000000" w:themeColor="text1"/>
                <w:sz w:val="20"/>
                <w:szCs w:val="20"/>
                <w:lang w:val="es-ES"/>
              </w:rPr>
            </w:pPr>
            <w:r w:rsidRPr="00D1156F">
              <w:rPr>
                <w:rFonts w:eastAsia="Calibri" w:cstheme="minorHAnsi"/>
                <w:bCs/>
                <w:iCs/>
                <w:color w:val="000000" w:themeColor="text1"/>
                <w:sz w:val="20"/>
                <w:szCs w:val="20"/>
                <w:lang w:val="es-ES"/>
              </w:rPr>
              <w:t>D</w:t>
            </w:r>
          </w:p>
        </w:tc>
        <w:tc>
          <w:tcPr>
            <w:tcW w:w="1040" w:type="pct"/>
            <w:vAlign w:val="center"/>
          </w:tcPr>
          <w:p w14:paraId="74302EE9" w14:textId="0E68CE0C" w:rsidR="005B62D5" w:rsidRPr="00D1156F" w:rsidRDefault="005B62D5" w:rsidP="00810569">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Contribuir a manejar de forma responsable</w:t>
            </w:r>
            <w:r w:rsidR="00810569">
              <w:rPr>
                <w:rFonts w:eastAsia="Times New Roman" w:cstheme="minorHAnsi"/>
                <w:color w:val="000000" w:themeColor="text1"/>
                <w:sz w:val="20"/>
                <w:szCs w:val="20"/>
                <w:lang w:eastAsia="es-MX"/>
              </w:rPr>
              <w:t xml:space="preserve"> </w:t>
            </w:r>
            <w:r w:rsidRPr="00D1156F">
              <w:rPr>
                <w:rFonts w:eastAsia="Times New Roman" w:cstheme="minorHAnsi"/>
                <w:color w:val="000000" w:themeColor="text1"/>
                <w:sz w:val="20"/>
                <w:szCs w:val="20"/>
                <w:lang w:eastAsia="es-MX"/>
              </w:rPr>
              <w:t>las finanzas públicas, garantizando su</w:t>
            </w:r>
            <w:r w:rsidR="00810569">
              <w:rPr>
                <w:rFonts w:eastAsia="Times New Roman" w:cstheme="minorHAnsi"/>
                <w:color w:val="000000" w:themeColor="text1"/>
                <w:sz w:val="20"/>
                <w:szCs w:val="20"/>
                <w:lang w:eastAsia="es-MX"/>
              </w:rPr>
              <w:t xml:space="preserve"> sostenibilidad. </w:t>
            </w:r>
          </w:p>
        </w:tc>
        <w:tc>
          <w:tcPr>
            <w:tcW w:w="1445" w:type="pct"/>
            <w:vAlign w:val="center"/>
          </w:tcPr>
          <w:p w14:paraId="778483B2" w14:textId="77777777" w:rsidR="005B62D5" w:rsidRPr="00D1156F" w:rsidRDefault="005B62D5" w:rsidP="000D117B">
            <w:pPr>
              <w:spacing w:before="0" w:after="0"/>
              <w:rPr>
                <w:rFonts w:eastAsia="Calibri" w:cstheme="minorHAnsi"/>
                <w:bCs/>
                <w:iCs/>
                <w:color w:val="000000" w:themeColor="text1"/>
                <w:sz w:val="20"/>
                <w:szCs w:val="20"/>
                <w:lang w:val="es-ES"/>
              </w:rPr>
            </w:pPr>
            <w:r w:rsidRPr="00D1156F">
              <w:rPr>
                <w:rFonts w:eastAsia="Times New Roman" w:cstheme="minorHAnsi"/>
                <w:color w:val="000000" w:themeColor="text1"/>
                <w:sz w:val="20"/>
                <w:szCs w:val="20"/>
                <w:lang w:eastAsia="es-MX"/>
              </w:rPr>
              <w:t>Los recursos del FAFEF contribuyen a la administración de la deuda pública estatal apoyando su disminución para destinar mayores recursos a la inversión pública.</w:t>
            </w:r>
          </w:p>
        </w:tc>
      </w:tr>
      <w:tr w:rsidR="005B62D5" w:rsidRPr="00D1156F" w14:paraId="35A05E12" w14:textId="77777777" w:rsidTr="001165F6">
        <w:trPr>
          <w:trHeight w:val="1094"/>
        </w:trPr>
        <w:tc>
          <w:tcPr>
            <w:tcW w:w="764" w:type="pct"/>
            <w:vAlign w:val="center"/>
          </w:tcPr>
          <w:p w14:paraId="45A4E49A" w14:textId="77777777" w:rsidR="005B62D5" w:rsidRPr="00D1156F" w:rsidRDefault="005B62D5" w:rsidP="000D117B">
            <w:pPr>
              <w:spacing w:before="0" w:after="0"/>
              <w:rPr>
                <w:rFonts w:eastAsia="Calibri" w:cstheme="minorHAnsi"/>
                <w:color w:val="000000" w:themeColor="text1"/>
                <w:sz w:val="20"/>
                <w:szCs w:val="20"/>
                <w:lang w:val="es-ES"/>
              </w:rPr>
            </w:pPr>
            <w:r w:rsidRPr="00D1156F">
              <w:rPr>
                <w:rFonts w:eastAsia="Times New Roman" w:cstheme="minorHAnsi"/>
                <w:color w:val="000000" w:themeColor="text1"/>
                <w:sz w:val="20"/>
                <w:szCs w:val="20"/>
                <w:lang w:eastAsia="es-MX"/>
              </w:rPr>
              <w:t>Programa con mis útiles a la escuela</w:t>
            </w:r>
          </w:p>
        </w:tc>
        <w:tc>
          <w:tcPr>
            <w:tcW w:w="1313" w:type="pct"/>
            <w:vAlign w:val="center"/>
          </w:tcPr>
          <w:p w14:paraId="61E2BC9D" w14:textId="77777777" w:rsidR="005B62D5" w:rsidRPr="00D1156F" w:rsidRDefault="005B62D5" w:rsidP="000D117B">
            <w:pPr>
              <w:spacing w:before="0" w:after="0"/>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 xml:space="preserve">Entrega de paquetes de uniformes y útiles escolares a estudiantes de escasos recursos </w:t>
            </w:r>
          </w:p>
        </w:tc>
        <w:tc>
          <w:tcPr>
            <w:tcW w:w="438" w:type="pct"/>
            <w:vAlign w:val="center"/>
          </w:tcPr>
          <w:p w14:paraId="526AB69D" w14:textId="77777777" w:rsidR="005B62D5" w:rsidRPr="00D1156F" w:rsidRDefault="005B62D5" w:rsidP="000D117B">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S</w:t>
            </w:r>
          </w:p>
        </w:tc>
        <w:tc>
          <w:tcPr>
            <w:tcW w:w="1040" w:type="pct"/>
            <w:vAlign w:val="center"/>
          </w:tcPr>
          <w:p w14:paraId="3EA6EF8B" w14:textId="50C36BD0" w:rsidR="005B62D5" w:rsidRPr="00D1156F" w:rsidRDefault="005B62D5" w:rsidP="00810569">
            <w:pPr>
              <w:spacing w:before="0" w:after="0"/>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El alumnado del nivel básico que se</w:t>
            </w:r>
            <w:r w:rsidR="00810569">
              <w:rPr>
                <w:rFonts w:eastAsia="Calibri" w:cstheme="minorHAnsi"/>
                <w:color w:val="000000" w:themeColor="text1"/>
                <w:sz w:val="20"/>
                <w:szCs w:val="20"/>
                <w:lang w:val="es-ES"/>
              </w:rPr>
              <w:t xml:space="preserve"> </w:t>
            </w:r>
            <w:r w:rsidRPr="00D1156F">
              <w:rPr>
                <w:rFonts w:eastAsia="Calibri" w:cstheme="minorHAnsi"/>
                <w:color w:val="000000" w:themeColor="text1"/>
                <w:sz w:val="20"/>
                <w:szCs w:val="20"/>
                <w:lang w:val="es-ES"/>
              </w:rPr>
              <w:t>encuentran en situación de muy alto, alto y</w:t>
            </w:r>
            <w:r w:rsidR="00810569">
              <w:rPr>
                <w:rFonts w:eastAsia="Calibri" w:cstheme="minorHAnsi"/>
                <w:color w:val="000000" w:themeColor="text1"/>
                <w:sz w:val="20"/>
                <w:szCs w:val="20"/>
                <w:lang w:val="es-ES"/>
              </w:rPr>
              <w:t xml:space="preserve"> </w:t>
            </w:r>
            <w:r w:rsidRPr="00D1156F">
              <w:rPr>
                <w:rFonts w:eastAsia="Calibri" w:cstheme="minorHAnsi"/>
                <w:color w:val="000000" w:themeColor="text1"/>
                <w:sz w:val="20"/>
                <w:szCs w:val="20"/>
                <w:lang w:val="es-ES"/>
              </w:rPr>
              <w:t>medio grado de marginación permanecen</w:t>
            </w:r>
            <w:r w:rsidR="00810569">
              <w:rPr>
                <w:rFonts w:eastAsia="Calibri" w:cstheme="minorHAnsi"/>
                <w:color w:val="000000" w:themeColor="text1"/>
                <w:sz w:val="20"/>
                <w:szCs w:val="20"/>
                <w:lang w:val="es-ES"/>
              </w:rPr>
              <w:t xml:space="preserve"> </w:t>
            </w:r>
            <w:r w:rsidRPr="00D1156F">
              <w:rPr>
                <w:rFonts w:eastAsia="Calibri" w:cstheme="minorHAnsi"/>
                <w:color w:val="000000" w:themeColor="text1"/>
                <w:sz w:val="20"/>
                <w:szCs w:val="20"/>
                <w:lang w:val="es-ES"/>
              </w:rPr>
              <w:t>en el Sistema Educativo Público Estatal.</w:t>
            </w:r>
          </w:p>
        </w:tc>
        <w:tc>
          <w:tcPr>
            <w:tcW w:w="1445" w:type="pct"/>
            <w:vAlign w:val="center"/>
          </w:tcPr>
          <w:p w14:paraId="25407A4B" w14:textId="77777777" w:rsidR="005B62D5" w:rsidRPr="00D1156F" w:rsidRDefault="005B62D5" w:rsidP="000D117B">
            <w:pPr>
              <w:spacing w:before="0" w:after="0"/>
              <w:rPr>
                <w:rFonts w:eastAsia="Calibri" w:cstheme="minorHAnsi"/>
                <w:color w:val="000000" w:themeColor="text1"/>
                <w:sz w:val="20"/>
                <w:szCs w:val="20"/>
                <w:lang w:val="es-ES"/>
              </w:rPr>
            </w:pPr>
            <w:r w:rsidRPr="00D1156F">
              <w:rPr>
                <w:rFonts w:eastAsia="Times New Roman" w:cstheme="minorHAnsi"/>
                <w:color w:val="000000" w:themeColor="text1"/>
                <w:sz w:val="20"/>
                <w:szCs w:val="20"/>
                <w:lang w:eastAsia="es-MX"/>
              </w:rPr>
              <w:t>Contribuye a disminuir las desigualdades sociales en los niveles educativos del estado de Tamaulipas mediante el porcentaje de la permanencia de estudiantes del sistema educativo estatal que se encuentran en situación de vulnerabilidad.</w:t>
            </w:r>
          </w:p>
        </w:tc>
      </w:tr>
      <w:tr w:rsidR="00825CD1" w:rsidRPr="00D1156F" w14:paraId="73D89FC5" w14:textId="77777777" w:rsidTr="001165F6">
        <w:trPr>
          <w:trHeight w:val="903"/>
        </w:trPr>
        <w:tc>
          <w:tcPr>
            <w:tcW w:w="764" w:type="pct"/>
            <w:vAlign w:val="center"/>
          </w:tcPr>
          <w:p w14:paraId="1430C63B" w14:textId="72D9952E" w:rsidR="00825CD1" w:rsidRPr="00D1156F" w:rsidRDefault="00825CD1" w:rsidP="000D117B">
            <w:pPr>
              <w:spacing w:before="0" w:after="0"/>
              <w:rPr>
                <w:rFonts w:eastAsia="Times New Roman" w:cstheme="minorHAnsi"/>
                <w:color w:val="000000" w:themeColor="text1"/>
                <w:sz w:val="20"/>
                <w:szCs w:val="20"/>
                <w:lang w:eastAsia="es-MX"/>
              </w:rPr>
            </w:pPr>
            <w:r w:rsidRPr="00825CD1">
              <w:rPr>
                <w:rFonts w:eastAsia="Times New Roman" w:cstheme="minorHAnsi"/>
                <w:color w:val="000000" w:themeColor="text1"/>
                <w:sz w:val="20"/>
                <w:szCs w:val="20"/>
                <w:lang w:eastAsia="es-MX"/>
              </w:rPr>
              <w:t>Actividades de apoyo administrativo</w:t>
            </w:r>
          </w:p>
        </w:tc>
        <w:tc>
          <w:tcPr>
            <w:tcW w:w="1313" w:type="pct"/>
            <w:vAlign w:val="center"/>
          </w:tcPr>
          <w:p w14:paraId="2E318101" w14:textId="246F0B0A" w:rsidR="00825CD1" w:rsidRPr="00D1156F" w:rsidRDefault="00F06125" w:rsidP="000D117B">
            <w:pPr>
              <w:spacing w:before="0" w:after="0"/>
              <w:rPr>
                <w:rFonts w:eastAsia="Calibri" w:cstheme="minorHAnsi"/>
                <w:color w:val="000000" w:themeColor="text1"/>
                <w:sz w:val="20"/>
                <w:szCs w:val="20"/>
                <w:lang w:val="es-ES"/>
              </w:rPr>
            </w:pPr>
            <w:r>
              <w:rPr>
                <w:rFonts w:eastAsia="Calibri" w:cstheme="minorHAnsi"/>
                <w:color w:val="000000" w:themeColor="text1"/>
                <w:sz w:val="20"/>
                <w:szCs w:val="20"/>
                <w:lang w:val="es-ES"/>
              </w:rPr>
              <w:t>Financiar equipamiento, herramientas e instrumentos que coadyuven al mejor desempeño de las labores administrativas.</w:t>
            </w:r>
          </w:p>
        </w:tc>
        <w:tc>
          <w:tcPr>
            <w:tcW w:w="438" w:type="pct"/>
            <w:vAlign w:val="center"/>
          </w:tcPr>
          <w:p w14:paraId="3C2EC65A" w14:textId="203CE7CB" w:rsidR="00825CD1" w:rsidRPr="00D1156F" w:rsidRDefault="00825CD1" w:rsidP="000D117B">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M</w:t>
            </w:r>
          </w:p>
        </w:tc>
        <w:tc>
          <w:tcPr>
            <w:tcW w:w="1040" w:type="pct"/>
            <w:vAlign w:val="center"/>
          </w:tcPr>
          <w:p w14:paraId="697C2D01" w14:textId="2C11D626" w:rsidR="00825CD1" w:rsidRPr="00D1156F" w:rsidRDefault="00825CD1" w:rsidP="00825CD1">
            <w:pPr>
              <w:spacing w:before="0" w:after="0"/>
              <w:rPr>
                <w:rFonts w:eastAsia="Calibri" w:cstheme="minorHAnsi"/>
                <w:color w:val="000000" w:themeColor="text1"/>
                <w:sz w:val="20"/>
                <w:szCs w:val="20"/>
                <w:lang w:val="es-ES"/>
              </w:rPr>
            </w:pPr>
            <w:r w:rsidRPr="00825CD1">
              <w:rPr>
                <w:rFonts w:eastAsia="Calibri" w:cstheme="minorHAnsi"/>
                <w:color w:val="000000" w:themeColor="text1"/>
                <w:sz w:val="20"/>
                <w:szCs w:val="20"/>
                <w:lang w:val="es-ES"/>
              </w:rPr>
              <w:t>Promover la modernización y control de los procesos, trámites y</w:t>
            </w:r>
            <w:r>
              <w:rPr>
                <w:rFonts w:eastAsia="Calibri" w:cstheme="minorHAnsi"/>
                <w:color w:val="000000" w:themeColor="text1"/>
                <w:sz w:val="20"/>
                <w:szCs w:val="20"/>
                <w:lang w:val="es-ES"/>
              </w:rPr>
              <w:t xml:space="preserve"> </w:t>
            </w:r>
            <w:r w:rsidRPr="00825CD1">
              <w:rPr>
                <w:rFonts w:eastAsia="Calibri" w:cstheme="minorHAnsi"/>
                <w:color w:val="000000" w:themeColor="text1"/>
                <w:sz w:val="20"/>
                <w:szCs w:val="20"/>
                <w:lang w:val="es-ES"/>
              </w:rPr>
              <w:t>servicios de la administración pública, para una gestión eficiente y un uso</w:t>
            </w:r>
            <w:r>
              <w:rPr>
                <w:rFonts w:eastAsia="Calibri" w:cstheme="minorHAnsi"/>
                <w:color w:val="000000" w:themeColor="text1"/>
                <w:sz w:val="20"/>
                <w:szCs w:val="20"/>
                <w:lang w:val="es-ES"/>
              </w:rPr>
              <w:t xml:space="preserve"> </w:t>
            </w:r>
            <w:r w:rsidRPr="00825CD1">
              <w:rPr>
                <w:rFonts w:eastAsia="Calibri" w:cstheme="minorHAnsi"/>
                <w:color w:val="000000" w:themeColor="text1"/>
                <w:sz w:val="20"/>
                <w:szCs w:val="20"/>
                <w:lang w:val="es-ES"/>
              </w:rPr>
              <w:t>racional de recursos.</w:t>
            </w:r>
          </w:p>
        </w:tc>
        <w:tc>
          <w:tcPr>
            <w:tcW w:w="1445" w:type="pct"/>
            <w:vAlign w:val="center"/>
          </w:tcPr>
          <w:p w14:paraId="5BD7760C" w14:textId="635AF162" w:rsidR="00825CD1" w:rsidRPr="00D1156F" w:rsidRDefault="00825CD1" w:rsidP="000D117B">
            <w:pPr>
              <w:spacing w:before="0" w:after="0"/>
              <w:rPr>
                <w:rFonts w:eastAsia="Times New Roman" w:cstheme="minorHAnsi"/>
                <w:color w:val="000000" w:themeColor="text1"/>
                <w:sz w:val="20"/>
                <w:szCs w:val="20"/>
                <w:lang w:eastAsia="es-MX"/>
              </w:rPr>
            </w:pPr>
            <w:r w:rsidRPr="00825CD1">
              <w:rPr>
                <w:rFonts w:eastAsia="Times New Roman" w:cstheme="minorHAnsi"/>
                <w:color w:val="000000" w:themeColor="text1"/>
                <w:sz w:val="20"/>
                <w:szCs w:val="20"/>
                <w:lang w:eastAsia="es-MX"/>
              </w:rPr>
              <w:t>Contribuye a modernizar los sistemas informáticos y de apoyo administrativo utilizados en los sistemas de recaudación locales.</w:t>
            </w:r>
          </w:p>
        </w:tc>
      </w:tr>
      <w:tr w:rsidR="001165F6" w:rsidRPr="00D1156F" w14:paraId="538C1477" w14:textId="77777777" w:rsidTr="000D117B">
        <w:trPr>
          <w:trHeight w:val="283"/>
        </w:trPr>
        <w:tc>
          <w:tcPr>
            <w:tcW w:w="764" w:type="pct"/>
            <w:vAlign w:val="center"/>
          </w:tcPr>
          <w:p w14:paraId="05EECF82" w14:textId="4CF54A7D" w:rsidR="001165F6" w:rsidRPr="00D1156F" w:rsidRDefault="001165F6" w:rsidP="001165F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Infraestructura de agua potable, alcantarillado y saneamiento</w:t>
            </w:r>
          </w:p>
        </w:tc>
        <w:tc>
          <w:tcPr>
            <w:tcW w:w="1313" w:type="pct"/>
            <w:vAlign w:val="center"/>
          </w:tcPr>
          <w:p w14:paraId="359B5783" w14:textId="1788BAF9" w:rsidR="001165F6" w:rsidRPr="00D1156F" w:rsidRDefault="001165F6" w:rsidP="001165F6">
            <w:pPr>
              <w:spacing w:before="0" w:after="0"/>
              <w:rPr>
                <w:rFonts w:eastAsia="Calibri" w:cstheme="minorHAnsi"/>
                <w:color w:val="000000" w:themeColor="text1"/>
                <w:sz w:val="20"/>
                <w:szCs w:val="20"/>
                <w:lang w:val="es-ES"/>
              </w:rPr>
            </w:pPr>
            <w:r w:rsidRPr="00D1156F">
              <w:rPr>
                <w:rFonts w:cstheme="minorHAnsi"/>
                <w:color w:val="000000" w:themeColor="text1"/>
                <w:sz w:val="20"/>
                <w:szCs w:val="20"/>
              </w:rPr>
              <w:t>Impulsar acciones y crear infraestructura que ordene y conserve la infraestructura hidráulica.</w:t>
            </w:r>
          </w:p>
        </w:tc>
        <w:tc>
          <w:tcPr>
            <w:tcW w:w="438" w:type="pct"/>
            <w:vAlign w:val="center"/>
          </w:tcPr>
          <w:p w14:paraId="237919A7" w14:textId="5FD98689" w:rsidR="001165F6" w:rsidRPr="00D1156F" w:rsidRDefault="001165F6" w:rsidP="001165F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77D9E612" w14:textId="370B111C" w:rsidR="001165F6" w:rsidRPr="00D1156F" w:rsidRDefault="001165F6" w:rsidP="001165F6">
            <w:pPr>
              <w:spacing w:before="0" w:after="0"/>
              <w:rPr>
                <w:rFonts w:eastAsia="Calibri" w:cstheme="minorHAnsi"/>
                <w:color w:val="000000" w:themeColor="text1"/>
                <w:sz w:val="20"/>
                <w:szCs w:val="20"/>
                <w:lang w:val="es-ES"/>
              </w:rPr>
            </w:pPr>
            <w:r w:rsidRPr="00D1156F">
              <w:rPr>
                <w:rFonts w:cstheme="minorHAnsi"/>
                <w:color w:val="000000" w:themeColor="text1"/>
                <w:sz w:val="20"/>
                <w:szCs w:val="20"/>
              </w:rPr>
              <w:t>El Estado de</w:t>
            </w:r>
            <w:r>
              <w:rPr>
                <w:rFonts w:cstheme="minorHAnsi"/>
                <w:color w:val="000000" w:themeColor="text1"/>
                <w:sz w:val="20"/>
                <w:szCs w:val="20"/>
              </w:rPr>
              <w:t xml:space="preserve"> </w:t>
            </w:r>
            <w:r w:rsidRPr="00D1156F">
              <w:rPr>
                <w:rFonts w:cstheme="minorHAnsi"/>
                <w:color w:val="000000" w:themeColor="text1"/>
                <w:sz w:val="20"/>
                <w:szCs w:val="20"/>
              </w:rPr>
              <w:t>Tamaulipas incrementa</w:t>
            </w:r>
            <w:r>
              <w:rPr>
                <w:rFonts w:cstheme="minorHAnsi"/>
                <w:color w:val="000000" w:themeColor="text1"/>
                <w:sz w:val="20"/>
                <w:szCs w:val="20"/>
              </w:rPr>
              <w:t xml:space="preserve"> </w:t>
            </w:r>
            <w:r w:rsidRPr="00D1156F">
              <w:rPr>
                <w:rFonts w:cstheme="minorHAnsi"/>
                <w:color w:val="000000" w:themeColor="text1"/>
                <w:sz w:val="20"/>
                <w:szCs w:val="20"/>
              </w:rPr>
              <w:t>su infraestructura</w:t>
            </w:r>
            <w:r>
              <w:rPr>
                <w:rFonts w:cstheme="minorHAnsi"/>
                <w:color w:val="000000" w:themeColor="text1"/>
                <w:sz w:val="20"/>
                <w:szCs w:val="20"/>
              </w:rPr>
              <w:t xml:space="preserve"> </w:t>
            </w:r>
            <w:r w:rsidRPr="00D1156F">
              <w:rPr>
                <w:rFonts w:cstheme="minorHAnsi"/>
                <w:color w:val="000000" w:themeColor="text1"/>
                <w:sz w:val="20"/>
                <w:szCs w:val="20"/>
              </w:rPr>
              <w:t>hidráulica para cubrir la</w:t>
            </w:r>
            <w:r>
              <w:rPr>
                <w:rFonts w:cstheme="minorHAnsi"/>
                <w:color w:val="000000" w:themeColor="text1"/>
                <w:sz w:val="20"/>
                <w:szCs w:val="20"/>
              </w:rPr>
              <w:t xml:space="preserve"> </w:t>
            </w:r>
            <w:r w:rsidRPr="00D1156F">
              <w:rPr>
                <w:rFonts w:cstheme="minorHAnsi"/>
                <w:color w:val="000000" w:themeColor="text1"/>
                <w:sz w:val="20"/>
                <w:szCs w:val="20"/>
              </w:rPr>
              <w:t>demanda de los</w:t>
            </w:r>
            <w:r>
              <w:rPr>
                <w:rFonts w:cstheme="minorHAnsi"/>
                <w:color w:val="000000" w:themeColor="text1"/>
                <w:sz w:val="20"/>
                <w:szCs w:val="20"/>
              </w:rPr>
              <w:t xml:space="preserve"> </w:t>
            </w:r>
            <w:r w:rsidRPr="00D1156F">
              <w:rPr>
                <w:rFonts w:cstheme="minorHAnsi"/>
                <w:color w:val="000000" w:themeColor="text1"/>
                <w:sz w:val="20"/>
                <w:szCs w:val="20"/>
              </w:rPr>
              <w:t>servicios públicos de</w:t>
            </w:r>
            <w:r>
              <w:rPr>
                <w:rFonts w:cstheme="minorHAnsi"/>
                <w:color w:val="000000" w:themeColor="text1"/>
                <w:sz w:val="20"/>
                <w:szCs w:val="20"/>
              </w:rPr>
              <w:t xml:space="preserve"> </w:t>
            </w:r>
            <w:r w:rsidRPr="00D1156F">
              <w:rPr>
                <w:rFonts w:cstheme="minorHAnsi"/>
                <w:color w:val="000000" w:themeColor="text1"/>
                <w:sz w:val="20"/>
                <w:szCs w:val="20"/>
              </w:rPr>
              <w:t>agua potable, drenaje y</w:t>
            </w:r>
            <w:r>
              <w:rPr>
                <w:rFonts w:cstheme="minorHAnsi"/>
                <w:color w:val="000000" w:themeColor="text1"/>
                <w:sz w:val="20"/>
                <w:szCs w:val="20"/>
              </w:rPr>
              <w:t xml:space="preserve"> </w:t>
            </w:r>
            <w:r w:rsidRPr="00D1156F">
              <w:rPr>
                <w:rFonts w:cstheme="minorHAnsi"/>
                <w:color w:val="000000" w:themeColor="text1"/>
                <w:sz w:val="20"/>
                <w:szCs w:val="20"/>
              </w:rPr>
              <w:t>tratamiento de aguas</w:t>
            </w:r>
            <w:r>
              <w:rPr>
                <w:rFonts w:cstheme="minorHAnsi"/>
                <w:color w:val="000000" w:themeColor="text1"/>
                <w:sz w:val="20"/>
                <w:szCs w:val="20"/>
              </w:rPr>
              <w:t xml:space="preserve"> </w:t>
            </w:r>
            <w:r w:rsidRPr="00D1156F">
              <w:rPr>
                <w:rFonts w:cstheme="minorHAnsi"/>
                <w:color w:val="000000" w:themeColor="text1"/>
                <w:sz w:val="20"/>
                <w:szCs w:val="20"/>
              </w:rPr>
              <w:t>residuales.</w:t>
            </w:r>
          </w:p>
        </w:tc>
        <w:tc>
          <w:tcPr>
            <w:tcW w:w="1445" w:type="pct"/>
            <w:vAlign w:val="center"/>
          </w:tcPr>
          <w:p w14:paraId="7D5C2889" w14:textId="3E9C22C2" w:rsidR="001165F6" w:rsidRPr="00D1156F" w:rsidRDefault="001165F6" w:rsidP="001165F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Contribuye a la mejora de los servicios públicos mediante programas de infraestructura y equipamiento de las principales ciudades del estado.</w:t>
            </w:r>
          </w:p>
        </w:tc>
      </w:tr>
      <w:tr w:rsidR="001165F6" w:rsidRPr="00D1156F" w14:paraId="35E576FB" w14:textId="77777777" w:rsidTr="000D117B">
        <w:trPr>
          <w:trHeight w:val="283"/>
        </w:trPr>
        <w:tc>
          <w:tcPr>
            <w:tcW w:w="764" w:type="pct"/>
            <w:vAlign w:val="center"/>
          </w:tcPr>
          <w:p w14:paraId="6445B5AC" w14:textId="63FD2A30" w:rsidR="001165F6" w:rsidRPr="00D1156F" w:rsidRDefault="001165F6" w:rsidP="001165F6">
            <w:pPr>
              <w:spacing w:before="0" w:after="0"/>
              <w:rPr>
                <w:rFonts w:eastAsia="Calibri" w:cstheme="minorHAnsi"/>
                <w:color w:val="000000" w:themeColor="text1"/>
                <w:sz w:val="20"/>
                <w:szCs w:val="20"/>
                <w:lang w:val="es-ES"/>
              </w:rPr>
            </w:pPr>
            <w:r w:rsidRPr="001165F6">
              <w:rPr>
                <w:rFonts w:eastAsia="Calibri" w:cstheme="minorHAnsi"/>
                <w:color w:val="000000" w:themeColor="text1"/>
                <w:sz w:val="20"/>
                <w:szCs w:val="20"/>
                <w:lang w:val="es-ES"/>
              </w:rPr>
              <w:t>Mantenimiento de infraestructura</w:t>
            </w:r>
          </w:p>
        </w:tc>
        <w:tc>
          <w:tcPr>
            <w:tcW w:w="1313" w:type="pct"/>
            <w:vAlign w:val="center"/>
          </w:tcPr>
          <w:p w14:paraId="61577F38" w14:textId="1B3BE0C0" w:rsidR="001165F6" w:rsidRPr="00D1156F" w:rsidRDefault="007F7567" w:rsidP="000F251F">
            <w:pPr>
              <w:spacing w:before="0" w:after="0"/>
              <w:rPr>
                <w:rFonts w:eastAsia="Calibri" w:cstheme="minorHAnsi"/>
                <w:color w:val="000000" w:themeColor="text1"/>
                <w:sz w:val="20"/>
                <w:szCs w:val="20"/>
                <w:lang w:val="es-ES"/>
              </w:rPr>
            </w:pPr>
            <w:r w:rsidRPr="007F7567">
              <w:rPr>
                <w:rFonts w:cstheme="minorHAnsi"/>
                <w:color w:val="000000" w:themeColor="text1"/>
                <w:sz w:val="20"/>
                <w:szCs w:val="20"/>
              </w:rPr>
              <w:t>Impulsar la mejora y mantenimiento de la infraestructura y equipamiento existentes</w:t>
            </w:r>
          </w:p>
        </w:tc>
        <w:tc>
          <w:tcPr>
            <w:tcW w:w="438" w:type="pct"/>
            <w:vAlign w:val="center"/>
          </w:tcPr>
          <w:p w14:paraId="74B86B38" w14:textId="12E64655" w:rsidR="001165F6" w:rsidRPr="00D1156F" w:rsidRDefault="00E566C6" w:rsidP="001165F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3162D4B1" w14:textId="46B4F382" w:rsidR="001165F6" w:rsidRPr="00D1156F" w:rsidRDefault="003D1AAF" w:rsidP="001165F6">
            <w:pPr>
              <w:spacing w:before="0" w:after="0"/>
              <w:rPr>
                <w:rFonts w:eastAsia="Calibri" w:cstheme="minorHAnsi"/>
                <w:color w:val="000000" w:themeColor="text1"/>
                <w:sz w:val="20"/>
                <w:szCs w:val="20"/>
                <w:lang w:val="es-ES"/>
              </w:rPr>
            </w:pPr>
            <w:r w:rsidRPr="000F251F">
              <w:rPr>
                <w:rFonts w:eastAsia="Calibri" w:cstheme="minorHAnsi"/>
                <w:color w:val="000000" w:themeColor="text1"/>
                <w:sz w:val="20"/>
                <w:szCs w:val="20"/>
                <w:lang w:val="es-ES"/>
              </w:rPr>
              <w:t>Desarrollar la</w:t>
            </w:r>
            <w:r w:rsidR="000F251F" w:rsidRPr="000F251F">
              <w:rPr>
                <w:rFonts w:eastAsia="Calibri" w:cstheme="minorHAnsi"/>
                <w:color w:val="000000" w:themeColor="text1"/>
                <w:sz w:val="20"/>
                <w:szCs w:val="20"/>
                <w:lang w:val="es-ES"/>
              </w:rPr>
              <w:t xml:space="preserve"> infraestructura, el equipamiento y las condiciones que contribuyan a la mejora de la competitividad del estado y la calidad de vida de sus habitantes</w:t>
            </w:r>
          </w:p>
        </w:tc>
        <w:tc>
          <w:tcPr>
            <w:tcW w:w="1445" w:type="pct"/>
            <w:vAlign w:val="center"/>
          </w:tcPr>
          <w:p w14:paraId="37864A84" w14:textId="506BA5D0" w:rsidR="001165F6" w:rsidRPr="00D1156F" w:rsidRDefault="00001F68" w:rsidP="00001F68">
            <w:pPr>
              <w:spacing w:before="0" w:after="0"/>
              <w:rPr>
                <w:rFonts w:eastAsia="Calibri" w:cstheme="minorHAnsi"/>
                <w:color w:val="000000" w:themeColor="text1"/>
                <w:sz w:val="20"/>
                <w:szCs w:val="20"/>
                <w:lang w:val="es-ES"/>
              </w:rPr>
            </w:pPr>
            <w:r>
              <w:rPr>
                <w:rFonts w:eastAsia="Calibri" w:cstheme="minorHAnsi"/>
                <w:color w:val="000000" w:themeColor="text1"/>
                <w:sz w:val="20"/>
                <w:szCs w:val="20"/>
                <w:lang w:val="es-ES"/>
              </w:rPr>
              <w:t>Contribuye</w:t>
            </w:r>
            <w:r w:rsidRPr="00001F68">
              <w:rPr>
                <w:rFonts w:eastAsia="Calibri" w:cstheme="minorHAnsi"/>
                <w:color w:val="000000" w:themeColor="text1"/>
                <w:sz w:val="20"/>
                <w:szCs w:val="20"/>
                <w:lang w:val="es-ES"/>
              </w:rPr>
              <w:t xml:space="preserve"> a la mejora de los </w:t>
            </w:r>
            <w:r w:rsidR="003D1AAF" w:rsidRPr="00001F68">
              <w:rPr>
                <w:rFonts w:eastAsia="Calibri" w:cstheme="minorHAnsi"/>
                <w:color w:val="000000" w:themeColor="text1"/>
                <w:sz w:val="20"/>
                <w:szCs w:val="20"/>
                <w:lang w:val="es-ES"/>
              </w:rPr>
              <w:t>servicios públicos</w:t>
            </w:r>
            <w:r w:rsidRPr="00001F68">
              <w:rPr>
                <w:rFonts w:eastAsia="Calibri" w:cstheme="minorHAnsi"/>
                <w:color w:val="000000" w:themeColor="text1"/>
                <w:sz w:val="20"/>
                <w:szCs w:val="20"/>
                <w:lang w:val="es-ES"/>
              </w:rPr>
              <w:t xml:space="preserve"> </w:t>
            </w:r>
            <w:r w:rsidR="003D1AAF" w:rsidRPr="00001F68">
              <w:rPr>
                <w:rFonts w:eastAsia="Calibri" w:cstheme="minorHAnsi"/>
                <w:color w:val="000000" w:themeColor="text1"/>
                <w:sz w:val="20"/>
                <w:szCs w:val="20"/>
                <w:lang w:val="es-ES"/>
              </w:rPr>
              <w:t>mediante un</w:t>
            </w:r>
            <w:r>
              <w:rPr>
                <w:rFonts w:eastAsia="Calibri" w:cstheme="minorHAnsi"/>
                <w:color w:val="000000" w:themeColor="text1"/>
                <w:sz w:val="20"/>
                <w:szCs w:val="20"/>
                <w:lang w:val="es-ES"/>
              </w:rPr>
              <w:t xml:space="preserve"> </w:t>
            </w:r>
            <w:r w:rsidRPr="00001F68">
              <w:rPr>
                <w:rFonts w:eastAsia="Calibri" w:cstheme="minorHAnsi"/>
                <w:color w:val="000000" w:themeColor="text1"/>
                <w:sz w:val="20"/>
                <w:szCs w:val="20"/>
                <w:lang w:val="es-ES"/>
              </w:rPr>
              <w:t>programa de infraestructura y equipamiento de las principales ciudades del</w:t>
            </w:r>
            <w:r>
              <w:rPr>
                <w:rFonts w:eastAsia="Calibri" w:cstheme="minorHAnsi"/>
                <w:color w:val="000000" w:themeColor="text1"/>
                <w:sz w:val="20"/>
                <w:szCs w:val="20"/>
                <w:lang w:val="es-ES"/>
              </w:rPr>
              <w:t xml:space="preserve"> </w:t>
            </w:r>
            <w:r w:rsidRPr="00001F68">
              <w:rPr>
                <w:rFonts w:eastAsia="Calibri" w:cstheme="minorHAnsi"/>
                <w:color w:val="000000" w:themeColor="text1"/>
                <w:sz w:val="20"/>
                <w:szCs w:val="20"/>
                <w:lang w:val="es-ES"/>
              </w:rPr>
              <w:t>Estado</w:t>
            </w:r>
            <w:r>
              <w:rPr>
                <w:rFonts w:eastAsia="Calibri" w:cstheme="minorHAnsi"/>
                <w:color w:val="000000" w:themeColor="text1"/>
                <w:sz w:val="20"/>
                <w:szCs w:val="20"/>
                <w:lang w:val="es-ES"/>
              </w:rPr>
              <w:t>.</w:t>
            </w:r>
          </w:p>
        </w:tc>
      </w:tr>
      <w:tr w:rsidR="00E566C6" w:rsidRPr="00D1156F" w14:paraId="227DC6A0" w14:textId="77777777" w:rsidTr="000D117B">
        <w:trPr>
          <w:trHeight w:val="1655"/>
        </w:trPr>
        <w:tc>
          <w:tcPr>
            <w:tcW w:w="764" w:type="pct"/>
            <w:vAlign w:val="center"/>
          </w:tcPr>
          <w:p w14:paraId="3BCD1A5B" w14:textId="4DFAFF23" w:rsidR="00E566C6" w:rsidRPr="00D1156F" w:rsidRDefault="00E566C6" w:rsidP="001165F6">
            <w:pPr>
              <w:spacing w:before="0" w:after="0"/>
              <w:rPr>
                <w:rFonts w:eastAsia="Times New Roman" w:cstheme="minorHAnsi"/>
                <w:color w:val="000000" w:themeColor="text1"/>
                <w:sz w:val="20"/>
                <w:szCs w:val="20"/>
                <w:lang w:eastAsia="es-MX"/>
              </w:rPr>
            </w:pPr>
            <w:r w:rsidRPr="00E566C6">
              <w:rPr>
                <w:rFonts w:eastAsia="Times New Roman" w:cstheme="minorHAnsi"/>
                <w:color w:val="000000" w:themeColor="text1"/>
                <w:sz w:val="20"/>
                <w:szCs w:val="20"/>
                <w:lang w:eastAsia="es-MX"/>
              </w:rPr>
              <w:t>Otros proyectos de infraestructura gubernamental</w:t>
            </w:r>
          </w:p>
        </w:tc>
        <w:tc>
          <w:tcPr>
            <w:tcW w:w="1313" w:type="pct"/>
            <w:vAlign w:val="center"/>
          </w:tcPr>
          <w:p w14:paraId="4678F8DD" w14:textId="41A3D363" w:rsidR="00E566C6" w:rsidRPr="00D1156F" w:rsidRDefault="00EA1D58" w:rsidP="001165F6">
            <w:pPr>
              <w:spacing w:before="0" w:after="0"/>
              <w:rPr>
                <w:rFonts w:eastAsia="Calibri" w:cstheme="minorHAnsi"/>
                <w:color w:val="000000" w:themeColor="text1"/>
                <w:sz w:val="20"/>
                <w:szCs w:val="20"/>
                <w:lang w:val="es-ES"/>
              </w:rPr>
            </w:pPr>
            <w:r w:rsidRPr="00EA1D58">
              <w:rPr>
                <w:rFonts w:eastAsia="Calibri" w:cstheme="minorHAnsi"/>
                <w:color w:val="000000" w:themeColor="text1"/>
                <w:sz w:val="20"/>
                <w:szCs w:val="20"/>
                <w:lang w:val="es-ES"/>
              </w:rPr>
              <w:t>Impulsar la mejora y mantenimiento de la infraestructura y equipamiento existentes</w:t>
            </w:r>
            <w:r>
              <w:rPr>
                <w:rFonts w:eastAsia="Calibri" w:cstheme="minorHAnsi"/>
                <w:color w:val="000000" w:themeColor="text1"/>
                <w:sz w:val="20"/>
                <w:szCs w:val="20"/>
                <w:lang w:val="es-ES"/>
              </w:rPr>
              <w:t xml:space="preserve"> </w:t>
            </w:r>
            <w:r>
              <w:t>buscando un crecimiento urbano sostenible, equitativo y ordenado.</w:t>
            </w:r>
          </w:p>
        </w:tc>
        <w:tc>
          <w:tcPr>
            <w:tcW w:w="438" w:type="pct"/>
            <w:vAlign w:val="center"/>
          </w:tcPr>
          <w:p w14:paraId="29F00E07" w14:textId="0DFD68ED" w:rsidR="00E566C6" w:rsidRPr="00D1156F" w:rsidRDefault="00EA1D58" w:rsidP="001165F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7956F0EA" w14:textId="36BB7983" w:rsidR="00E566C6" w:rsidRPr="00D1156F" w:rsidRDefault="00EA1D58" w:rsidP="001165F6">
            <w:pPr>
              <w:spacing w:before="0" w:after="0"/>
              <w:rPr>
                <w:rFonts w:eastAsia="Calibri" w:cstheme="minorHAnsi"/>
                <w:color w:val="000000" w:themeColor="text1"/>
                <w:sz w:val="20"/>
                <w:szCs w:val="20"/>
                <w:lang w:val="es-ES"/>
              </w:rPr>
            </w:pPr>
            <w:r w:rsidRPr="00EA1D58">
              <w:rPr>
                <w:rFonts w:eastAsia="Calibri" w:cstheme="minorHAnsi"/>
                <w:color w:val="000000" w:themeColor="text1"/>
                <w:sz w:val="20"/>
                <w:szCs w:val="20"/>
                <w:lang w:val="es-ES"/>
              </w:rPr>
              <w:t>Desarrollar la infraestructura, el equipamiento y las condiciones que contribuyan a la mejora de la competitividad del estado y la calidad de vida de sus habitantes</w:t>
            </w:r>
          </w:p>
        </w:tc>
        <w:tc>
          <w:tcPr>
            <w:tcW w:w="1445" w:type="pct"/>
            <w:vAlign w:val="center"/>
          </w:tcPr>
          <w:p w14:paraId="17654110" w14:textId="4942C966" w:rsidR="00E566C6" w:rsidRPr="00D1156F" w:rsidRDefault="00EA1D58" w:rsidP="001165F6">
            <w:pPr>
              <w:spacing w:before="0" w:after="0"/>
              <w:rPr>
                <w:rFonts w:eastAsia="Times New Roman" w:cstheme="minorHAnsi"/>
                <w:color w:val="000000" w:themeColor="text1"/>
                <w:sz w:val="20"/>
                <w:szCs w:val="20"/>
                <w:lang w:eastAsia="es-MX"/>
              </w:rPr>
            </w:pPr>
            <w:r w:rsidRPr="00EA1D58">
              <w:rPr>
                <w:rFonts w:eastAsia="Times New Roman" w:cstheme="minorHAnsi"/>
                <w:color w:val="000000" w:themeColor="text1"/>
                <w:sz w:val="20"/>
                <w:szCs w:val="20"/>
                <w:lang w:eastAsia="es-MX"/>
              </w:rPr>
              <w:t>Contribuye a la mejora de los servicios públicos mediante un programa de infraestructura y equipamiento de las principales ciudades del Estado</w:t>
            </w:r>
          </w:p>
        </w:tc>
      </w:tr>
      <w:tr w:rsidR="00E566C6" w:rsidRPr="00D1156F" w14:paraId="36341FB3" w14:textId="77777777" w:rsidTr="000D117B">
        <w:trPr>
          <w:trHeight w:val="1655"/>
        </w:trPr>
        <w:tc>
          <w:tcPr>
            <w:tcW w:w="764" w:type="pct"/>
            <w:vAlign w:val="center"/>
          </w:tcPr>
          <w:p w14:paraId="0DB44505" w14:textId="2C937CD6" w:rsidR="00E566C6" w:rsidRPr="00E566C6"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lastRenderedPageBreak/>
              <w:t xml:space="preserve">Proyectos de infraestructura social </w:t>
            </w:r>
          </w:p>
        </w:tc>
        <w:tc>
          <w:tcPr>
            <w:tcW w:w="1313" w:type="pct"/>
            <w:vAlign w:val="center"/>
          </w:tcPr>
          <w:p w14:paraId="57C888B6" w14:textId="3128DA10" w:rsidR="00E566C6" w:rsidRPr="00D1156F" w:rsidRDefault="00E566C6" w:rsidP="00E566C6">
            <w:pPr>
              <w:spacing w:before="0" w:after="0"/>
              <w:rPr>
                <w:rFonts w:eastAsia="Calibri" w:cstheme="minorHAnsi"/>
                <w:color w:val="000000" w:themeColor="text1"/>
                <w:sz w:val="20"/>
                <w:szCs w:val="20"/>
                <w:lang w:val="es-ES"/>
              </w:rPr>
            </w:pPr>
            <w:r w:rsidRPr="00D1156F">
              <w:rPr>
                <w:rFonts w:cstheme="minorHAnsi"/>
                <w:color w:val="000000" w:themeColor="text1"/>
                <w:sz w:val="20"/>
                <w:szCs w:val="20"/>
              </w:rPr>
              <w:t>Aplicar una estrategia integral de apropiación del espacio público para la</w:t>
            </w:r>
            <w:r>
              <w:rPr>
                <w:rFonts w:cstheme="minorHAnsi"/>
                <w:color w:val="000000" w:themeColor="text1"/>
                <w:sz w:val="20"/>
                <w:szCs w:val="20"/>
              </w:rPr>
              <w:t xml:space="preserve"> </w:t>
            </w:r>
            <w:r w:rsidRPr="00D1156F">
              <w:rPr>
                <w:rFonts w:cstheme="minorHAnsi"/>
                <w:color w:val="000000" w:themeColor="text1"/>
                <w:sz w:val="20"/>
                <w:szCs w:val="20"/>
              </w:rPr>
              <w:t>reconstrucción del tejido social y la atención social de las diferentes formas</w:t>
            </w:r>
            <w:r>
              <w:rPr>
                <w:rFonts w:cstheme="minorHAnsi"/>
                <w:color w:val="000000" w:themeColor="text1"/>
                <w:sz w:val="20"/>
                <w:szCs w:val="20"/>
              </w:rPr>
              <w:t xml:space="preserve"> </w:t>
            </w:r>
            <w:r w:rsidRPr="00D1156F">
              <w:rPr>
                <w:rFonts w:cstheme="minorHAnsi"/>
                <w:color w:val="000000" w:themeColor="text1"/>
                <w:sz w:val="20"/>
                <w:szCs w:val="20"/>
              </w:rPr>
              <w:t>de violencia. Esta estrategia está encaminada a construir comunidades,</w:t>
            </w:r>
            <w:r>
              <w:rPr>
                <w:rFonts w:cstheme="minorHAnsi"/>
                <w:color w:val="000000" w:themeColor="text1"/>
                <w:sz w:val="20"/>
                <w:szCs w:val="20"/>
              </w:rPr>
              <w:t xml:space="preserve"> </w:t>
            </w:r>
            <w:r w:rsidRPr="00D1156F">
              <w:rPr>
                <w:rFonts w:cstheme="minorHAnsi"/>
                <w:color w:val="000000" w:themeColor="text1"/>
                <w:sz w:val="20"/>
                <w:szCs w:val="20"/>
              </w:rPr>
              <w:t>utilizando la infraestructura deportiva, cultural, artística, social y recreativa</w:t>
            </w:r>
            <w:r>
              <w:rPr>
                <w:rFonts w:cstheme="minorHAnsi"/>
                <w:color w:val="000000" w:themeColor="text1"/>
                <w:sz w:val="20"/>
                <w:szCs w:val="20"/>
              </w:rPr>
              <w:t xml:space="preserve"> </w:t>
            </w:r>
            <w:r w:rsidRPr="00D1156F">
              <w:rPr>
                <w:rFonts w:cstheme="minorHAnsi"/>
                <w:color w:val="000000" w:themeColor="text1"/>
                <w:sz w:val="20"/>
                <w:szCs w:val="20"/>
              </w:rPr>
              <w:t>para realizar actividades que permitan la convivencia pacífica y armónica</w:t>
            </w:r>
            <w:r>
              <w:rPr>
                <w:rFonts w:cstheme="minorHAnsi"/>
                <w:color w:val="000000" w:themeColor="text1"/>
                <w:sz w:val="20"/>
                <w:szCs w:val="20"/>
              </w:rPr>
              <w:t xml:space="preserve"> </w:t>
            </w:r>
            <w:r w:rsidRPr="00D1156F">
              <w:rPr>
                <w:rFonts w:cstheme="minorHAnsi"/>
                <w:color w:val="000000" w:themeColor="text1"/>
                <w:sz w:val="20"/>
                <w:szCs w:val="20"/>
              </w:rPr>
              <w:t>de las personas y así generar paz.</w:t>
            </w:r>
          </w:p>
        </w:tc>
        <w:tc>
          <w:tcPr>
            <w:tcW w:w="438" w:type="pct"/>
            <w:vAlign w:val="center"/>
          </w:tcPr>
          <w:p w14:paraId="43319B4A" w14:textId="074253C2"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611F324F" w14:textId="1693F8F2" w:rsidR="00E566C6" w:rsidRPr="00D1156F" w:rsidRDefault="00E566C6" w:rsidP="00E566C6">
            <w:pPr>
              <w:spacing w:before="0" w:after="0"/>
              <w:rPr>
                <w:rFonts w:eastAsia="Calibri" w:cstheme="minorHAnsi"/>
                <w:color w:val="000000" w:themeColor="text1"/>
                <w:sz w:val="20"/>
                <w:szCs w:val="20"/>
                <w:lang w:val="es-ES"/>
              </w:rPr>
            </w:pPr>
            <w:r w:rsidRPr="00D1156F">
              <w:rPr>
                <w:rFonts w:cstheme="minorHAnsi"/>
                <w:color w:val="000000" w:themeColor="text1"/>
                <w:sz w:val="20"/>
                <w:szCs w:val="20"/>
              </w:rPr>
              <w:t>Las personas en zonas de</w:t>
            </w:r>
            <w:r>
              <w:rPr>
                <w:rFonts w:cstheme="minorHAnsi"/>
                <w:color w:val="000000" w:themeColor="text1"/>
                <w:sz w:val="20"/>
                <w:szCs w:val="20"/>
              </w:rPr>
              <w:t xml:space="preserve"> </w:t>
            </w:r>
            <w:r w:rsidRPr="00D1156F">
              <w:rPr>
                <w:rFonts w:cstheme="minorHAnsi"/>
                <w:color w:val="000000" w:themeColor="text1"/>
                <w:sz w:val="20"/>
                <w:szCs w:val="20"/>
              </w:rPr>
              <w:t>atención prioritaria, utilizan</w:t>
            </w:r>
            <w:r>
              <w:rPr>
                <w:rFonts w:cstheme="minorHAnsi"/>
                <w:color w:val="000000" w:themeColor="text1"/>
                <w:sz w:val="20"/>
                <w:szCs w:val="20"/>
              </w:rPr>
              <w:t xml:space="preserve"> </w:t>
            </w:r>
            <w:r w:rsidRPr="00D1156F">
              <w:rPr>
                <w:rFonts w:cstheme="minorHAnsi"/>
                <w:color w:val="000000" w:themeColor="text1"/>
                <w:sz w:val="20"/>
                <w:szCs w:val="20"/>
              </w:rPr>
              <w:t>obras de bienestar social</w:t>
            </w:r>
            <w:r>
              <w:rPr>
                <w:rFonts w:cstheme="minorHAnsi"/>
                <w:color w:val="000000" w:themeColor="text1"/>
                <w:sz w:val="20"/>
                <w:szCs w:val="20"/>
              </w:rPr>
              <w:t xml:space="preserve"> </w:t>
            </w:r>
            <w:r w:rsidRPr="00D1156F">
              <w:rPr>
                <w:rFonts w:cstheme="minorHAnsi"/>
                <w:color w:val="000000" w:themeColor="text1"/>
                <w:sz w:val="20"/>
                <w:szCs w:val="20"/>
              </w:rPr>
              <w:t>como espacios de</w:t>
            </w:r>
            <w:r>
              <w:rPr>
                <w:rFonts w:cstheme="minorHAnsi"/>
                <w:color w:val="000000" w:themeColor="text1"/>
                <w:sz w:val="20"/>
                <w:szCs w:val="20"/>
              </w:rPr>
              <w:t xml:space="preserve"> </w:t>
            </w:r>
            <w:r w:rsidRPr="00D1156F">
              <w:rPr>
                <w:rFonts w:cstheme="minorHAnsi"/>
                <w:color w:val="000000" w:themeColor="text1"/>
                <w:sz w:val="20"/>
                <w:szCs w:val="20"/>
              </w:rPr>
              <w:t>participación ciudadana e</w:t>
            </w:r>
            <w:r>
              <w:rPr>
                <w:rFonts w:cstheme="minorHAnsi"/>
                <w:color w:val="000000" w:themeColor="text1"/>
                <w:sz w:val="20"/>
                <w:szCs w:val="20"/>
              </w:rPr>
              <w:t xml:space="preserve"> </w:t>
            </w:r>
            <w:r w:rsidRPr="00D1156F">
              <w:rPr>
                <w:rFonts w:cstheme="minorHAnsi"/>
                <w:color w:val="000000" w:themeColor="text1"/>
                <w:sz w:val="20"/>
                <w:szCs w:val="20"/>
              </w:rPr>
              <w:t>integración social.</w:t>
            </w:r>
          </w:p>
        </w:tc>
        <w:tc>
          <w:tcPr>
            <w:tcW w:w="1445" w:type="pct"/>
            <w:vAlign w:val="center"/>
          </w:tcPr>
          <w:p w14:paraId="04D9E508" w14:textId="45C2099F"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Contribuye a que las personas en zonas de atención prioritaria, accedan a obras de bienestar social como espacios de participación ciudadana e integración social.</w:t>
            </w:r>
          </w:p>
        </w:tc>
      </w:tr>
      <w:tr w:rsidR="00E566C6" w:rsidRPr="00D1156F" w14:paraId="7798835F" w14:textId="77777777" w:rsidTr="00090C5D">
        <w:trPr>
          <w:trHeight w:val="868"/>
        </w:trPr>
        <w:tc>
          <w:tcPr>
            <w:tcW w:w="764" w:type="pct"/>
            <w:vAlign w:val="center"/>
          </w:tcPr>
          <w:p w14:paraId="51FDFD1E" w14:textId="250F7B7B"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Proyectos de construcción de puertos</w:t>
            </w:r>
          </w:p>
        </w:tc>
        <w:tc>
          <w:tcPr>
            <w:tcW w:w="1313" w:type="pct"/>
            <w:vAlign w:val="center"/>
          </w:tcPr>
          <w:p w14:paraId="17E44988" w14:textId="5E00D5E1"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 xml:space="preserve">Construcción de infraestructura </w:t>
            </w:r>
          </w:p>
        </w:tc>
        <w:tc>
          <w:tcPr>
            <w:tcW w:w="438" w:type="pct"/>
            <w:vAlign w:val="center"/>
          </w:tcPr>
          <w:p w14:paraId="2BE5B3E2" w14:textId="6119FB6B"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2632B7E6" w14:textId="3CCF1A2D"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Promover la inversión para el desarrollo de la infraestructura</w:t>
            </w:r>
            <w:r>
              <w:rPr>
                <w:rFonts w:cstheme="minorHAnsi"/>
                <w:color w:val="000000" w:themeColor="text1"/>
                <w:sz w:val="20"/>
                <w:szCs w:val="20"/>
              </w:rPr>
              <w:t xml:space="preserve"> </w:t>
            </w:r>
            <w:r w:rsidRPr="00D1156F">
              <w:rPr>
                <w:rFonts w:cstheme="minorHAnsi"/>
                <w:color w:val="000000" w:themeColor="text1"/>
                <w:sz w:val="20"/>
                <w:szCs w:val="20"/>
              </w:rPr>
              <w:t>marítima portuaria necesaria para operar los puertos del sistema portuario</w:t>
            </w:r>
            <w:r>
              <w:rPr>
                <w:rFonts w:cstheme="minorHAnsi"/>
                <w:color w:val="000000" w:themeColor="text1"/>
                <w:sz w:val="20"/>
                <w:szCs w:val="20"/>
              </w:rPr>
              <w:t xml:space="preserve"> </w:t>
            </w:r>
            <w:r w:rsidRPr="00D1156F">
              <w:rPr>
                <w:rFonts w:cstheme="minorHAnsi"/>
                <w:color w:val="000000" w:themeColor="text1"/>
                <w:sz w:val="20"/>
                <w:szCs w:val="20"/>
              </w:rPr>
              <w:t>del Estado.</w:t>
            </w:r>
          </w:p>
        </w:tc>
        <w:tc>
          <w:tcPr>
            <w:tcW w:w="1445" w:type="pct"/>
            <w:vAlign w:val="center"/>
          </w:tcPr>
          <w:p w14:paraId="02C5C162" w14:textId="702C162C"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Contribuye a la mejora de infraestructura de comunicaciones y transportes.</w:t>
            </w:r>
          </w:p>
        </w:tc>
      </w:tr>
      <w:tr w:rsidR="00E566C6" w:rsidRPr="00D1156F" w14:paraId="4B766F93" w14:textId="77777777" w:rsidTr="002E4154">
        <w:trPr>
          <w:trHeight w:val="906"/>
        </w:trPr>
        <w:tc>
          <w:tcPr>
            <w:tcW w:w="764" w:type="pct"/>
            <w:vAlign w:val="center"/>
          </w:tcPr>
          <w:p w14:paraId="6D90CE62" w14:textId="7A9A4634"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Proyectos de equipamiento urbano y construcción de vialidades</w:t>
            </w:r>
          </w:p>
        </w:tc>
        <w:tc>
          <w:tcPr>
            <w:tcW w:w="1313" w:type="pct"/>
            <w:vAlign w:val="center"/>
          </w:tcPr>
          <w:p w14:paraId="674A6CED" w14:textId="0B842444"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 xml:space="preserve">Construcción de infraestructura </w:t>
            </w:r>
          </w:p>
        </w:tc>
        <w:tc>
          <w:tcPr>
            <w:tcW w:w="438" w:type="pct"/>
            <w:vAlign w:val="center"/>
          </w:tcPr>
          <w:p w14:paraId="2D41AC85" w14:textId="6770036B"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4B843DC9" w14:textId="4F3FFAFC"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Desarrollar la infraestructura, el equipamiento y las condiciones que</w:t>
            </w:r>
            <w:r>
              <w:rPr>
                <w:rFonts w:cstheme="minorHAnsi"/>
                <w:color w:val="000000" w:themeColor="text1"/>
                <w:sz w:val="20"/>
                <w:szCs w:val="20"/>
              </w:rPr>
              <w:t xml:space="preserve"> </w:t>
            </w:r>
            <w:r w:rsidRPr="00D1156F">
              <w:rPr>
                <w:rFonts w:cstheme="minorHAnsi"/>
                <w:color w:val="000000" w:themeColor="text1"/>
                <w:sz w:val="20"/>
                <w:szCs w:val="20"/>
              </w:rPr>
              <w:t>contribuyan a la mejora de la competitividad del estado y la calidad de vida</w:t>
            </w:r>
            <w:r>
              <w:rPr>
                <w:rFonts w:cstheme="minorHAnsi"/>
                <w:color w:val="000000" w:themeColor="text1"/>
                <w:sz w:val="20"/>
                <w:szCs w:val="20"/>
              </w:rPr>
              <w:t xml:space="preserve"> </w:t>
            </w:r>
            <w:r w:rsidRPr="00D1156F">
              <w:rPr>
                <w:rFonts w:cstheme="minorHAnsi"/>
                <w:color w:val="000000" w:themeColor="text1"/>
                <w:sz w:val="20"/>
                <w:szCs w:val="20"/>
              </w:rPr>
              <w:t>de sus habitantes</w:t>
            </w:r>
          </w:p>
        </w:tc>
        <w:tc>
          <w:tcPr>
            <w:tcW w:w="1445" w:type="pct"/>
            <w:vAlign w:val="center"/>
          </w:tcPr>
          <w:p w14:paraId="2B432F33" w14:textId="648C6A97"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Contribuye a la mejora de los servicios públicos mediante programas de infraestructura y equipamiento de las principales ciudades del estado.</w:t>
            </w:r>
          </w:p>
        </w:tc>
      </w:tr>
      <w:tr w:rsidR="00E566C6" w:rsidRPr="00D1156F" w14:paraId="3DF35413" w14:textId="77777777" w:rsidTr="002E4154">
        <w:trPr>
          <w:trHeight w:val="1126"/>
        </w:trPr>
        <w:tc>
          <w:tcPr>
            <w:tcW w:w="764" w:type="pct"/>
            <w:vAlign w:val="center"/>
          </w:tcPr>
          <w:p w14:paraId="06DC0920" w14:textId="5602D998"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Proyectos de infraestructura de electricidad</w:t>
            </w:r>
          </w:p>
        </w:tc>
        <w:tc>
          <w:tcPr>
            <w:tcW w:w="1313" w:type="pct"/>
            <w:vAlign w:val="center"/>
          </w:tcPr>
          <w:p w14:paraId="4256CA05" w14:textId="46627861" w:rsidR="00E566C6" w:rsidRPr="00D1156F" w:rsidRDefault="00E566C6" w:rsidP="00E566C6">
            <w:pPr>
              <w:spacing w:before="0" w:after="0"/>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Construcción de infraestructura para brindar servicios de electricidad.</w:t>
            </w:r>
          </w:p>
        </w:tc>
        <w:tc>
          <w:tcPr>
            <w:tcW w:w="438" w:type="pct"/>
            <w:vAlign w:val="center"/>
          </w:tcPr>
          <w:p w14:paraId="169100E7" w14:textId="4AB10B1D"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53DC64A6" w14:textId="05042444" w:rsidR="00E566C6" w:rsidRPr="00D1156F" w:rsidRDefault="00E566C6" w:rsidP="00E566C6">
            <w:pPr>
              <w:spacing w:before="0" w:after="0"/>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Desarrollar la infraestructura, el equipamiento y las condiciones que</w:t>
            </w:r>
            <w:r>
              <w:rPr>
                <w:rFonts w:eastAsia="Calibri" w:cstheme="minorHAnsi"/>
                <w:color w:val="000000" w:themeColor="text1"/>
                <w:sz w:val="20"/>
                <w:szCs w:val="20"/>
                <w:lang w:val="es-ES"/>
              </w:rPr>
              <w:t xml:space="preserve"> </w:t>
            </w:r>
            <w:r w:rsidRPr="00D1156F">
              <w:rPr>
                <w:rFonts w:eastAsia="Calibri" w:cstheme="minorHAnsi"/>
                <w:color w:val="000000" w:themeColor="text1"/>
                <w:sz w:val="20"/>
                <w:szCs w:val="20"/>
                <w:lang w:val="es-ES"/>
              </w:rPr>
              <w:t>contribuyan a la mejora de la competitividad del estado y la calidad de vida</w:t>
            </w:r>
            <w:r>
              <w:rPr>
                <w:rFonts w:eastAsia="Calibri" w:cstheme="minorHAnsi"/>
                <w:color w:val="000000" w:themeColor="text1"/>
                <w:sz w:val="20"/>
                <w:szCs w:val="20"/>
                <w:lang w:val="es-ES"/>
              </w:rPr>
              <w:t xml:space="preserve"> </w:t>
            </w:r>
            <w:r w:rsidRPr="00D1156F">
              <w:rPr>
                <w:rFonts w:eastAsia="Calibri" w:cstheme="minorHAnsi"/>
                <w:color w:val="000000" w:themeColor="text1"/>
                <w:sz w:val="20"/>
                <w:szCs w:val="20"/>
                <w:lang w:val="es-ES"/>
              </w:rPr>
              <w:t>de sus habitantes</w:t>
            </w:r>
          </w:p>
        </w:tc>
        <w:tc>
          <w:tcPr>
            <w:tcW w:w="1445" w:type="pct"/>
            <w:vAlign w:val="center"/>
          </w:tcPr>
          <w:p w14:paraId="490E2020" w14:textId="0AEFF82F"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Contribuye a la mejora de los servicios públicos mediante programas de infraestructura y equipamiento de las principales ciudades del estado.</w:t>
            </w:r>
          </w:p>
        </w:tc>
      </w:tr>
      <w:tr w:rsidR="00E566C6" w:rsidRPr="00D1156F" w14:paraId="3E742D1E" w14:textId="77777777" w:rsidTr="000D117B">
        <w:trPr>
          <w:trHeight w:val="1655"/>
        </w:trPr>
        <w:tc>
          <w:tcPr>
            <w:tcW w:w="764" w:type="pct"/>
            <w:vAlign w:val="center"/>
          </w:tcPr>
          <w:p w14:paraId="3F124A88" w14:textId="0B1FD324" w:rsidR="00E566C6" w:rsidRPr="00D1156F" w:rsidRDefault="00E566C6" w:rsidP="00E566C6">
            <w:pPr>
              <w:spacing w:before="0" w:after="0"/>
              <w:rPr>
                <w:rFonts w:eastAsia="Times New Roman" w:cstheme="minorHAnsi"/>
                <w:color w:val="000000" w:themeColor="text1"/>
                <w:sz w:val="20"/>
                <w:szCs w:val="20"/>
                <w:lang w:eastAsia="es-MX"/>
              </w:rPr>
            </w:pPr>
            <w:r w:rsidRPr="00E566C6">
              <w:rPr>
                <w:rFonts w:eastAsia="Times New Roman" w:cstheme="minorHAnsi"/>
                <w:color w:val="000000" w:themeColor="text1"/>
                <w:sz w:val="20"/>
                <w:szCs w:val="20"/>
                <w:lang w:eastAsia="es-MX"/>
              </w:rPr>
              <w:t>Proyectos de infraestructura de turismo</w:t>
            </w:r>
          </w:p>
        </w:tc>
        <w:tc>
          <w:tcPr>
            <w:tcW w:w="1313" w:type="pct"/>
            <w:vAlign w:val="center"/>
          </w:tcPr>
          <w:p w14:paraId="3BC22AF5" w14:textId="18DE96EC" w:rsidR="00E566C6" w:rsidRPr="00D1156F" w:rsidRDefault="004005C7" w:rsidP="00E566C6">
            <w:pPr>
              <w:spacing w:before="0" w:after="0"/>
              <w:rPr>
                <w:rFonts w:cstheme="minorHAnsi"/>
                <w:color w:val="000000" w:themeColor="text1"/>
                <w:sz w:val="20"/>
                <w:szCs w:val="20"/>
              </w:rPr>
            </w:pPr>
            <w:r>
              <w:rPr>
                <w:rFonts w:cstheme="minorHAnsi"/>
                <w:color w:val="000000" w:themeColor="text1"/>
                <w:sz w:val="20"/>
                <w:szCs w:val="20"/>
              </w:rPr>
              <w:t>Construcción de infraestructura relacionada con la prestación de servicios turísticos.</w:t>
            </w:r>
          </w:p>
        </w:tc>
        <w:tc>
          <w:tcPr>
            <w:tcW w:w="438" w:type="pct"/>
            <w:vAlign w:val="center"/>
          </w:tcPr>
          <w:p w14:paraId="22F6D3E5" w14:textId="4E82AEC4" w:rsidR="00E566C6" w:rsidRPr="00D1156F" w:rsidRDefault="004005C7" w:rsidP="00E566C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157725B2" w14:textId="3B8FC06A" w:rsidR="00E566C6" w:rsidRPr="00D1156F" w:rsidRDefault="004005C7" w:rsidP="004005C7">
            <w:pPr>
              <w:spacing w:before="0" w:after="0"/>
              <w:rPr>
                <w:rFonts w:cstheme="minorHAnsi"/>
                <w:color w:val="000000" w:themeColor="text1"/>
                <w:sz w:val="20"/>
                <w:szCs w:val="20"/>
              </w:rPr>
            </w:pPr>
            <w:r>
              <w:rPr>
                <w:rFonts w:eastAsia="Calibri" w:cstheme="minorHAnsi"/>
                <w:color w:val="000000" w:themeColor="text1"/>
                <w:sz w:val="20"/>
                <w:szCs w:val="20"/>
                <w:lang w:val="es-ES"/>
              </w:rPr>
              <w:t>D</w:t>
            </w:r>
            <w:r w:rsidRPr="004005C7">
              <w:rPr>
                <w:rFonts w:eastAsia="Calibri" w:cstheme="minorHAnsi"/>
                <w:color w:val="000000" w:themeColor="text1"/>
                <w:sz w:val="20"/>
                <w:szCs w:val="20"/>
                <w:lang w:val="es-ES"/>
              </w:rPr>
              <w:t>esarrollar y promover la oferta turística del estado mediante la construcción de obra pública que ofrezca el turismo del sol y playa, cultural, pueblos mágicos y turismo de naturaleza</w:t>
            </w:r>
            <w:r>
              <w:rPr>
                <w:rFonts w:eastAsia="Calibri" w:cstheme="minorHAnsi"/>
                <w:color w:val="000000" w:themeColor="text1"/>
                <w:sz w:val="20"/>
                <w:szCs w:val="20"/>
                <w:lang w:val="es-ES"/>
              </w:rPr>
              <w:t>.</w:t>
            </w:r>
          </w:p>
        </w:tc>
        <w:tc>
          <w:tcPr>
            <w:tcW w:w="1445" w:type="pct"/>
            <w:vAlign w:val="center"/>
          </w:tcPr>
          <w:p w14:paraId="16EDDE41" w14:textId="646A7296" w:rsidR="00E566C6" w:rsidRPr="00D1156F" w:rsidRDefault="004005C7" w:rsidP="00E566C6">
            <w:pPr>
              <w:spacing w:before="0" w:after="0"/>
              <w:rPr>
                <w:rFonts w:eastAsia="Times New Roman" w:cstheme="minorHAnsi"/>
                <w:color w:val="000000" w:themeColor="text1"/>
                <w:sz w:val="20"/>
                <w:szCs w:val="20"/>
                <w:lang w:eastAsia="es-MX"/>
              </w:rPr>
            </w:pPr>
            <w:r>
              <w:rPr>
                <w:rFonts w:eastAsia="Times New Roman" w:cstheme="minorHAnsi"/>
                <w:color w:val="000000" w:themeColor="text1"/>
                <w:sz w:val="20"/>
                <w:szCs w:val="20"/>
                <w:lang w:eastAsia="es-MX"/>
              </w:rPr>
              <w:t>Contribuye al desarrollo del sector turístico mediante el financiamiento de proyectos de infraestructura.</w:t>
            </w:r>
          </w:p>
        </w:tc>
      </w:tr>
      <w:tr w:rsidR="00E566C6" w:rsidRPr="00D1156F" w14:paraId="73379A73" w14:textId="77777777" w:rsidTr="00090C5D">
        <w:trPr>
          <w:trHeight w:val="306"/>
        </w:trPr>
        <w:tc>
          <w:tcPr>
            <w:tcW w:w="764" w:type="pct"/>
            <w:vAlign w:val="center"/>
          </w:tcPr>
          <w:p w14:paraId="09F3B902" w14:textId="1030C60A" w:rsidR="00E566C6" w:rsidRPr="00D1156F" w:rsidRDefault="00E566C6" w:rsidP="00E566C6">
            <w:pPr>
              <w:spacing w:before="0" w:after="0"/>
              <w:rPr>
                <w:rFonts w:eastAsia="Times New Roman" w:cstheme="minorHAnsi"/>
                <w:color w:val="000000" w:themeColor="text1"/>
                <w:sz w:val="20"/>
                <w:szCs w:val="20"/>
                <w:lang w:eastAsia="es-MX"/>
              </w:rPr>
            </w:pPr>
            <w:r w:rsidRPr="00E566C6">
              <w:rPr>
                <w:rFonts w:eastAsia="Times New Roman" w:cstheme="minorHAnsi"/>
                <w:color w:val="000000" w:themeColor="text1"/>
                <w:sz w:val="20"/>
                <w:szCs w:val="20"/>
                <w:lang w:eastAsia="es-MX"/>
              </w:rPr>
              <w:t>Proyectos de infraestructura gubernamental de procuración de justicia</w:t>
            </w:r>
          </w:p>
        </w:tc>
        <w:tc>
          <w:tcPr>
            <w:tcW w:w="1313" w:type="pct"/>
            <w:vAlign w:val="center"/>
          </w:tcPr>
          <w:p w14:paraId="660D44C9" w14:textId="781D86BE" w:rsidR="00E566C6" w:rsidRPr="00D1156F" w:rsidRDefault="00090C5D" w:rsidP="00772639">
            <w:pPr>
              <w:spacing w:before="0" w:after="0"/>
              <w:rPr>
                <w:rFonts w:cstheme="minorHAnsi"/>
                <w:color w:val="000000" w:themeColor="text1"/>
                <w:sz w:val="20"/>
                <w:szCs w:val="20"/>
              </w:rPr>
            </w:pPr>
            <w:r>
              <w:rPr>
                <w:rFonts w:cstheme="minorHAnsi"/>
                <w:color w:val="000000" w:themeColor="text1"/>
                <w:sz w:val="20"/>
                <w:szCs w:val="20"/>
              </w:rPr>
              <w:t>Construcción de infraestructura</w:t>
            </w:r>
            <w:r w:rsidR="00772639">
              <w:rPr>
                <w:rFonts w:cstheme="minorHAnsi"/>
                <w:color w:val="000000" w:themeColor="text1"/>
                <w:sz w:val="20"/>
                <w:szCs w:val="20"/>
              </w:rPr>
              <w:t xml:space="preserve"> para garantizar la procuración de justicia.</w:t>
            </w:r>
          </w:p>
        </w:tc>
        <w:tc>
          <w:tcPr>
            <w:tcW w:w="438" w:type="pct"/>
            <w:vAlign w:val="center"/>
          </w:tcPr>
          <w:p w14:paraId="2614C2AA" w14:textId="62BAE212" w:rsidR="00E566C6" w:rsidRPr="00D1156F" w:rsidRDefault="004005C7" w:rsidP="00E566C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44B3A6E7" w14:textId="483623C6" w:rsidR="00E566C6" w:rsidRPr="00D1156F" w:rsidRDefault="00C9084A" w:rsidP="00772639">
            <w:pPr>
              <w:spacing w:before="0" w:after="0"/>
              <w:rPr>
                <w:rFonts w:cstheme="minorHAnsi"/>
                <w:color w:val="000000" w:themeColor="text1"/>
                <w:sz w:val="20"/>
                <w:szCs w:val="20"/>
              </w:rPr>
            </w:pPr>
            <w:r>
              <w:rPr>
                <w:rFonts w:cstheme="minorHAnsi"/>
                <w:color w:val="000000" w:themeColor="text1"/>
                <w:sz w:val="20"/>
                <w:szCs w:val="20"/>
              </w:rPr>
              <w:t>Los organismos de procuración de justicia cuentan con la infraestructura necesaria para el desempeño de sus funciones.</w:t>
            </w:r>
          </w:p>
        </w:tc>
        <w:tc>
          <w:tcPr>
            <w:tcW w:w="1445" w:type="pct"/>
            <w:vAlign w:val="center"/>
          </w:tcPr>
          <w:p w14:paraId="3B16C2B0" w14:textId="419962CC" w:rsidR="00E566C6" w:rsidRPr="00D1156F" w:rsidRDefault="00C9084A" w:rsidP="00C9084A">
            <w:pPr>
              <w:spacing w:before="0" w:after="0"/>
              <w:rPr>
                <w:rFonts w:eastAsia="Times New Roman" w:cstheme="minorHAnsi"/>
                <w:color w:val="000000" w:themeColor="text1"/>
                <w:sz w:val="20"/>
                <w:szCs w:val="20"/>
                <w:lang w:eastAsia="es-MX"/>
              </w:rPr>
            </w:pPr>
            <w:r>
              <w:rPr>
                <w:rFonts w:eastAsia="Calibri" w:cstheme="minorHAnsi"/>
                <w:color w:val="000000" w:themeColor="text1"/>
                <w:sz w:val="20"/>
                <w:szCs w:val="20"/>
                <w:lang w:val="es-ES"/>
              </w:rPr>
              <w:t>Contribuye en la procuración de justicia en la entidad a través del financiamiento de infraestructura en esta materia.</w:t>
            </w:r>
          </w:p>
        </w:tc>
      </w:tr>
      <w:tr w:rsidR="00E566C6" w:rsidRPr="00D1156F" w14:paraId="524A54E9" w14:textId="77777777" w:rsidTr="002E4154">
        <w:trPr>
          <w:trHeight w:val="873"/>
        </w:trPr>
        <w:tc>
          <w:tcPr>
            <w:tcW w:w="764" w:type="pct"/>
            <w:vAlign w:val="center"/>
          </w:tcPr>
          <w:p w14:paraId="372D16AE" w14:textId="1A2A908E" w:rsidR="00E566C6" w:rsidRPr="00D1156F" w:rsidRDefault="00E566C6" w:rsidP="00E566C6">
            <w:pPr>
              <w:spacing w:before="0" w:after="0"/>
              <w:rPr>
                <w:rFonts w:cstheme="minorHAnsi"/>
                <w:color w:val="000000" w:themeColor="text1"/>
                <w:sz w:val="20"/>
                <w:szCs w:val="20"/>
              </w:rPr>
            </w:pPr>
            <w:r w:rsidRPr="00E566C6">
              <w:rPr>
                <w:rFonts w:cstheme="minorHAnsi"/>
                <w:color w:val="000000" w:themeColor="text1"/>
                <w:sz w:val="20"/>
                <w:szCs w:val="20"/>
              </w:rPr>
              <w:lastRenderedPageBreak/>
              <w:t>Proyectos de infraestructura gubernamental de seguridad pública</w:t>
            </w:r>
          </w:p>
        </w:tc>
        <w:tc>
          <w:tcPr>
            <w:tcW w:w="1313" w:type="pct"/>
            <w:vAlign w:val="center"/>
          </w:tcPr>
          <w:p w14:paraId="57CBD013" w14:textId="4866A822" w:rsidR="00E566C6" w:rsidRPr="00D1156F" w:rsidRDefault="00C9084A" w:rsidP="00C9084A">
            <w:pPr>
              <w:spacing w:before="0" w:after="0"/>
              <w:rPr>
                <w:rFonts w:cstheme="minorHAnsi"/>
                <w:color w:val="000000" w:themeColor="text1"/>
                <w:sz w:val="20"/>
                <w:szCs w:val="20"/>
              </w:rPr>
            </w:pPr>
            <w:r>
              <w:rPr>
                <w:rFonts w:cstheme="minorHAnsi"/>
                <w:color w:val="000000" w:themeColor="text1"/>
                <w:sz w:val="20"/>
                <w:szCs w:val="20"/>
              </w:rPr>
              <w:t>Construcción de infraestructura y equipamiento para la seguridad pública.</w:t>
            </w:r>
          </w:p>
        </w:tc>
        <w:tc>
          <w:tcPr>
            <w:tcW w:w="438" w:type="pct"/>
            <w:vAlign w:val="center"/>
          </w:tcPr>
          <w:p w14:paraId="40FA51F4" w14:textId="367FB6DD" w:rsidR="00E566C6" w:rsidRPr="00D1156F" w:rsidRDefault="004005C7" w:rsidP="00E566C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27529279" w14:textId="44CB41DD" w:rsidR="00E566C6" w:rsidRPr="00D1156F" w:rsidRDefault="00C9084A" w:rsidP="00C9084A">
            <w:pPr>
              <w:spacing w:before="0" w:after="0"/>
              <w:rPr>
                <w:rFonts w:cstheme="minorHAnsi"/>
                <w:color w:val="000000" w:themeColor="text1"/>
                <w:sz w:val="20"/>
                <w:szCs w:val="20"/>
              </w:rPr>
            </w:pPr>
            <w:r w:rsidRPr="00C9084A">
              <w:rPr>
                <w:rFonts w:cstheme="minorHAnsi"/>
                <w:color w:val="000000" w:themeColor="text1"/>
                <w:sz w:val="20"/>
                <w:szCs w:val="20"/>
              </w:rPr>
              <w:t>Las f</w:t>
            </w:r>
            <w:r>
              <w:rPr>
                <w:rFonts w:cstheme="minorHAnsi"/>
                <w:color w:val="000000" w:themeColor="text1"/>
                <w:sz w:val="20"/>
                <w:szCs w:val="20"/>
              </w:rPr>
              <w:t xml:space="preserve">uerzas policiales, Complejos de </w:t>
            </w:r>
            <w:r w:rsidRPr="00C9084A">
              <w:rPr>
                <w:rFonts w:cstheme="minorHAnsi"/>
                <w:color w:val="000000" w:themeColor="text1"/>
                <w:sz w:val="20"/>
                <w:szCs w:val="20"/>
              </w:rPr>
              <w:t xml:space="preserve">Seguridad Pública, Centro de Ejecución </w:t>
            </w:r>
            <w:r w:rsidR="00AD347D" w:rsidRPr="00C9084A">
              <w:rPr>
                <w:rFonts w:cstheme="minorHAnsi"/>
                <w:color w:val="000000" w:themeColor="text1"/>
                <w:sz w:val="20"/>
                <w:szCs w:val="20"/>
              </w:rPr>
              <w:t xml:space="preserve">de </w:t>
            </w:r>
            <w:r w:rsidR="00AD347D">
              <w:rPr>
                <w:rFonts w:cstheme="minorHAnsi"/>
                <w:color w:val="000000" w:themeColor="text1"/>
                <w:sz w:val="20"/>
                <w:szCs w:val="20"/>
              </w:rPr>
              <w:t>Sanciones</w:t>
            </w:r>
            <w:r w:rsidRPr="00C9084A">
              <w:rPr>
                <w:rFonts w:cstheme="minorHAnsi"/>
                <w:color w:val="000000" w:themeColor="text1"/>
                <w:sz w:val="20"/>
                <w:szCs w:val="20"/>
              </w:rPr>
              <w:t xml:space="preserve"> y Centros de Reintegración Social y</w:t>
            </w:r>
            <w:r>
              <w:rPr>
                <w:rFonts w:cstheme="minorHAnsi"/>
                <w:color w:val="000000" w:themeColor="text1"/>
                <w:sz w:val="20"/>
                <w:szCs w:val="20"/>
              </w:rPr>
              <w:t xml:space="preserve"> </w:t>
            </w:r>
            <w:r w:rsidRPr="00C9084A">
              <w:rPr>
                <w:rFonts w:cstheme="minorHAnsi"/>
                <w:color w:val="000000" w:themeColor="text1"/>
                <w:sz w:val="20"/>
                <w:szCs w:val="20"/>
              </w:rPr>
              <w:t>Familiar para Adolescente del Estado de</w:t>
            </w:r>
            <w:r>
              <w:rPr>
                <w:rFonts w:cstheme="minorHAnsi"/>
                <w:color w:val="000000" w:themeColor="text1"/>
                <w:sz w:val="20"/>
                <w:szCs w:val="20"/>
              </w:rPr>
              <w:t xml:space="preserve"> T</w:t>
            </w:r>
            <w:r w:rsidRPr="00C9084A">
              <w:rPr>
                <w:rFonts w:cstheme="minorHAnsi"/>
                <w:color w:val="000000" w:themeColor="text1"/>
                <w:sz w:val="20"/>
                <w:szCs w:val="20"/>
              </w:rPr>
              <w:t xml:space="preserve">amaulipas cuentan con la infraestructura y equipamiento que permite mejorar </w:t>
            </w:r>
            <w:r w:rsidR="00AD347D" w:rsidRPr="00C9084A">
              <w:rPr>
                <w:rFonts w:cstheme="minorHAnsi"/>
                <w:color w:val="000000" w:themeColor="text1"/>
                <w:sz w:val="20"/>
                <w:szCs w:val="20"/>
              </w:rPr>
              <w:t xml:space="preserve">sus </w:t>
            </w:r>
            <w:r w:rsidR="00AD347D">
              <w:rPr>
                <w:rFonts w:cstheme="minorHAnsi"/>
                <w:color w:val="000000" w:themeColor="text1"/>
                <w:sz w:val="20"/>
                <w:szCs w:val="20"/>
              </w:rPr>
              <w:t>capacidades</w:t>
            </w:r>
            <w:r w:rsidRPr="00C9084A">
              <w:rPr>
                <w:rFonts w:cstheme="minorHAnsi"/>
                <w:color w:val="000000" w:themeColor="text1"/>
                <w:sz w:val="20"/>
                <w:szCs w:val="20"/>
              </w:rPr>
              <w:t xml:space="preserve"> y servicios para mejorar </w:t>
            </w:r>
            <w:r w:rsidR="00AD347D" w:rsidRPr="00C9084A">
              <w:rPr>
                <w:rFonts w:cstheme="minorHAnsi"/>
                <w:color w:val="000000" w:themeColor="text1"/>
                <w:sz w:val="20"/>
                <w:szCs w:val="20"/>
              </w:rPr>
              <w:t xml:space="preserve">su </w:t>
            </w:r>
            <w:r w:rsidR="00AD347D">
              <w:rPr>
                <w:rFonts w:cstheme="minorHAnsi"/>
                <w:color w:val="000000" w:themeColor="text1"/>
                <w:sz w:val="20"/>
                <w:szCs w:val="20"/>
              </w:rPr>
              <w:t>desempeño</w:t>
            </w:r>
            <w:r w:rsidRPr="00C9084A">
              <w:rPr>
                <w:rFonts w:cstheme="minorHAnsi"/>
                <w:color w:val="000000" w:themeColor="text1"/>
                <w:sz w:val="20"/>
                <w:szCs w:val="20"/>
              </w:rPr>
              <w:t xml:space="preserve"> en materia de seguridad pública</w:t>
            </w:r>
            <w:r>
              <w:rPr>
                <w:rFonts w:cstheme="minorHAnsi"/>
                <w:color w:val="000000" w:themeColor="text1"/>
                <w:sz w:val="20"/>
                <w:szCs w:val="20"/>
              </w:rPr>
              <w:t>.</w:t>
            </w:r>
          </w:p>
        </w:tc>
        <w:tc>
          <w:tcPr>
            <w:tcW w:w="1445" w:type="pct"/>
            <w:vAlign w:val="center"/>
          </w:tcPr>
          <w:p w14:paraId="25CA05B9" w14:textId="546B4FD5" w:rsidR="00E566C6" w:rsidRPr="00D1156F" w:rsidRDefault="00C9084A" w:rsidP="00E566C6">
            <w:pPr>
              <w:spacing w:before="0" w:after="0"/>
              <w:rPr>
                <w:rFonts w:eastAsia="Calibri" w:cstheme="minorHAnsi"/>
                <w:color w:val="000000" w:themeColor="text1"/>
                <w:sz w:val="20"/>
                <w:szCs w:val="20"/>
                <w:lang w:val="es-ES"/>
              </w:rPr>
            </w:pPr>
            <w:r>
              <w:rPr>
                <w:rFonts w:eastAsia="Calibri" w:cstheme="minorHAnsi"/>
                <w:color w:val="000000" w:themeColor="text1"/>
                <w:sz w:val="20"/>
                <w:szCs w:val="20"/>
                <w:lang w:val="es-ES"/>
              </w:rPr>
              <w:t>Contribuye a la seguridad pública de la entidad a través del financiamiento de infraestructura en esta materia.</w:t>
            </w:r>
          </w:p>
        </w:tc>
      </w:tr>
      <w:tr w:rsidR="00E566C6" w:rsidRPr="00D1156F" w14:paraId="35D8FE2F" w14:textId="77777777" w:rsidTr="002E4154">
        <w:trPr>
          <w:trHeight w:val="1156"/>
        </w:trPr>
        <w:tc>
          <w:tcPr>
            <w:tcW w:w="764" w:type="pct"/>
            <w:vAlign w:val="center"/>
          </w:tcPr>
          <w:p w14:paraId="74FF4845" w14:textId="33B2D92C" w:rsidR="00E566C6" w:rsidRPr="00E566C6" w:rsidRDefault="00E566C6" w:rsidP="00E566C6">
            <w:pPr>
              <w:spacing w:before="0" w:after="0"/>
              <w:rPr>
                <w:rFonts w:cstheme="minorHAnsi"/>
                <w:color w:val="000000" w:themeColor="text1"/>
                <w:sz w:val="20"/>
                <w:szCs w:val="20"/>
              </w:rPr>
            </w:pPr>
            <w:r w:rsidRPr="00D1156F">
              <w:rPr>
                <w:rFonts w:eastAsia="Times New Roman" w:cstheme="minorHAnsi"/>
                <w:color w:val="000000" w:themeColor="text1"/>
                <w:sz w:val="20"/>
                <w:szCs w:val="20"/>
                <w:lang w:eastAsia="es-MX"/>
              </w:rPr>
              <w:t>Proyectos de infraestructura social de salud</w:t>
            </w:r>
          </w:p>
        </w:tc>
        <w:tc>
          <w:tcPr>
            <w:tcW w:w="1313" w:type="pct"/>
            <w:vAlign w:val="center"/>
          </w:tcPr>
          <w:p w14:paraId="0084778E" w14:textId="6F4234B0"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Otorgar servicios de salud a la población sin seguridad social, mediante infraestructura nueva o remodelada, para garantizar la cobertura y calidad con base al Modelo de Atención Integrada de los Servicios de Salud en Tamaulipas</w:t>
            </w:r>
          </w:p>
        </w:tc>
        <w:tc>
          <w:tcPr>
            <w:tcW w:w="438" w:type="pct"/>
            <w:vAlign w:val="center"/>
          </w:tcPr>
          <w:p w14:paraId="74EB390E" w14:textId="59EC3D9F"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7EF8D04F" w14:textId="5704D600"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La población sin seguridad social del</w:t>
            </w:r>
            <w:r>
              <w:rPr>
                <w:rFonts w:cstheme="minorHAnsi"/>
                <w:color w:val="000000" w:themeColor="text1"/>
                <w:sz w:val="20"/>
                <w:szCs w:val="20"/>
              </w:rPr>
              <w:t xml:space="preserve"> </w:t>
            </w:r>
            <w:r w:rsidRPr="00D1156F">
              <w:rPr>
                <w:rFonts w:cstheme="minorHAnsi"/>
                <w:color w:val="000000" w:themeColor="text1"/>
                <w:sz w:val="20"/>
                <w:szCs w:val="20"/>
              </w:rPr>
              <w:t>estado recibe atención médica</w:t>
            </w:r>
            <w:r>
              <w:rPr>
                <w:rFonts w:cstheme="minorHAnsi"/>
                <w:color w:val="000000" w:themeColor="text1"/>
                <w:sz w:val="20"/>
                <w:szCs w:val="20"/>
              </w:rPr>
              <w:t xml:space="preserve"> </w:t>
            </w:r>
            <w:r w:rsidRPr="00D1156F">
              <w:rPr>
                <w:rFonts w:cstheme="minorHAnsi"/>
                <w:color w:val="000000" w:themeColor="text1"/>
                <w:sz w:val="20"/>
                <w:szCs w:val="20"/>
              </w:rPr>
              <w:t>especializada en la Red se servicios</w:t>
            </w:r>
            <w:r>
              <w:rPr>
                <w:rFonts w:cstheme="minorHAnsi"/>
                <w:color w:val="000000" w:themeColor="text1"/>
                <w:sz w:val="20"/>
                <w:szCs w:val="20"/>
              </w:rPr>
              <w:t xml:space="preserve"> </w:t>
            </w:r>
            <w:r w:rsidRPr="00D1156F">
              <w:rPr>
                <w:rFonts w:cstheme="minorHAnsi"/>
                <w:color w:val="000000" w:themeColor="text1"/>
                <w:sz w:val="20"/>
                <w:szCs w:val="20"/>
              </w:rPr>
              <w:t>hospitalarios de segundo y tercer</w:t>
            </w:r>
            <w:r>
              <w:rPr>
                <w:rFonts w:cstheme="minorHAnsi"/>
                <w:color w:val="000000" w:themeColor="text1"/>
                <w:sz w:val="20"/>
                <w:szCs w:val="20"/>
              </w:rPr>
              <w:t xml:space="preserve"> </w:t>
            </w:r>
            <w:r w:rsidRPr="00D1156F">
              <w:rPr>
                <w:rFonts w:cstheme="minorHAnsi"/>
                <w:color w:val="000000" w:themeColor="text1"/>
                <w:sz w:val="20"/>
                <w:szCs w:val="20"/>
              </w:rPr>
              <w:t>nivel de atención de manera</w:t>
            </w:r>
            <w:r>
              <w:rPr>
                <w:rFonts w:cstheme="minorHAnsi"/>
                <w:color w:val="000000" w:themeColor="text1"/>
                <w:sz w:val="20"/>
                <w:szCs w:val="20"/>
              </w:rPr>
              <w:t xml:space="preserve"> </w:t>
            </w:r>
            <w:r w:rsidRPr="00D1156F">
              <w:rPr>
                <w:rFonts w:cstheme="minorHAnsi"/>
                <w:color w:val="000000" w:themeColor="text1"/>
                <w:sz w:val="20"/>
                <w:szCs w:val="20"/>
              </w:rPr>
              <w:t>oportuna, integral, accesible y con</w:t>
            </w:r>
            <w:r>
              <w:rPr>
                <w:rFonts w:cstheme="minorHAnsi"/>
                <w:color w:val="000000" w:themeColor="text1"/>
                <w:sz w:val="20"/>
                <w:szCs w:val="20"/>
              </w:rPr>
              <w:t xml:space="preserve"> </w:t>
            </w:r>
            <w:r w:rsidRPr="00D1156F">
              <w:rPr>
                <w:rFonts w:cstheme="minorHAnsi"/>
                <w:color w:val="000000" w:themeColor="text1"/>
                <w:sz w:val="20"/>
                <w:szCs w:val="20"/>
              </w:rPr>
              <w:t>calidad.</w:t>
            </w:r>
          </w:p>
        </w:tc>
        <w:tc>
          <w:tcPr>
            <w:tcW w:w="1445" w:type="pct"/>
            <w:vAlign w:val="center"/>
          </w:tcPr>
          <w:p w14:paraId="2A5C669A" w14:textId="6F92A4A6" w:rsidR="00E566C6" w:rsidRPr="00D1156F" w:rsidRDefault="00E566C6" w:rsidP="00E566C6">
            <w:pPr>
              <w:spacing w:before="0" w:after="0"/>
              <w:rPr>
                <w:rFonts w:eastAsia="Calibri" w:cstheme="minorHAnsi"/>
                <w:color w:val="000000" w:themeColor="text1"/>
                <w:sz w:val="20"/>
                <w:szCs w:val="20"/>
                <w:lang w:val="es-ES"/>
              </w:rPr>
            </w:pPr>
            <w:r w:rsidRPr="00D1156F">
              <w:rPr>
                <w:rFonts w:eastAsia="Times New Roman" w:cstheme="minorHAnsi"/>
                <w:color w:val="000000" w:themeColor="text1"/>
                <w:sz w:val="20"/>
                <w:szCs w:val="20"/>
                <w:lang w:eastAsia="es-MX"/>
              </w:rPr>
              <w:t>Contribuye al cumplimiento de objetivos en materia de salud por medio del financiamiento a obras de infraestructura para la atención de la salud.</w:t>
            </w:r>
          </w:p>
        </w:tc>
      </w:tr>
      <w:tr w:rsidR="00E566C6" w:rsidRPr="00D1156F" w14:paraId="25AF6AD4" w14:textId="77777777" w:rsidTr="001165F6">
        <w:trPr>
          <w:trHeight w:val="1038"/>
        </w:trPr>
        <w:tc>
          <w:tcPr>
            <w:tcW w:w="764" w:type="pct"/>
            <w:vAlign w:val="center"/>
          </w:tcPr>
          <w:p w14:paraId="20B59DE5" w14:textId="161CD585" w:rsidR="00E566C6" w:rsidRPr="00D1156F" w:rsidRDefault="00E566C6" w:rsidP="00E566C6">
            <w:pPr>
              <w:spacing w:before="0" w:after="0"/>
              <w:rPr>
                <w:rFonts w:eastAsia="Times New Roman" w:cstheme="minorHAnsi"/>
                <w:color w:val="000000" w:themeColor="text1"/>
                <w:sz w:val="20"/>
                <w:szCs w:val="20"/>
                <w:lang w:eastAsia="es-MX"/>
              </w:rPr>
            </w:pPr>
            <w:r w:rsidRPr="00E566C6">
              <w:rPr>
                <w:rFonts w:eastAsia="Times New Roman" w:cstheme="minorHAnsi"/>
                <w:color w:val="000000" w:themeColor="text1"/>
                <w:sz w:val="20"/>
                <w:szCs w:val="20"/>
                <w:lang w:eastAsia="es-MX"/>
              </w:rPr>
              <w:t>Proyectos de infraestructura social del deporte</w:t>
            </w:r>
          </w:p>
        </w:tc>
        <w:tc>
          <w:tcPr>
            <w:tcW w:w="1313" w:type="pct"/>
            <w:vAlign w:val="center"/>
          </w:tcPr>
          <w:p w14:paraId="727729D6" w14:textId="7755B2B0" w:rsidR="00E566C6" w:rsidRPr="00D1156F" w:rsidRDefault="00EA1D58" w:rsidP="00E566C6">
            <w:pPr>
              <w:spacing w:before="0" w:after="0"/>
              <w:rPr>
                <w:rFonts w:cstheme="minorHAnsi"/>
                <w:color w:val="000000" w:themeColor="text1"/>
                <w:sz w:val="20"/>
                <w:szCs w:val="20"/>
              </w:rPr>
            </w:pPr>
            <w:r w:rsidRPr="00D1156F">
              <w:rPr>
                <w:rFonts w:cstheme="minorHAnsi"/>
                <w:color w:val="000000" w:themeColor="text1"/>
                <w:sz w:val="20"/>
                <w:szCs w:val="20"/>
              </w:rPr>
              <w:t>Construcción de infraestructura</w:t>
            </w:r>
          </w:p>
        </w:tc>
        <w:tc>
          <w:tcPr>
            <w:tcW w:w="438" w:type="pct"/>
            <w:vAlign w:val="center"/>
          </w:tcPr>
          <w:p w14:paraId="608CFA2A" w14:textId="1A12CF68" w:rsidR="00E566C6" w:rsidRPr="00D1156F" w:rsidRDefault="00EA1D58" w:rsidP="00E566C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1B660E2D" w14:textId="01DF7665" w:rsidR="00E566C6" w:rsidRPr="00D1156F" w:rsidRDefault="00C43ECC" w:rsidP="00E566C6">
            <w:pPr>
              <w:spacing w:before="0" w:after="0"/>
              <w:rPr>
                <w:rFonts w:cstheme="minorHAnsi"/>
                <w:color w:val="000000" w:themeColor="text1"/>
                <w:sz w:val="20"/>
                <w:szCs w:val="20"/>
              </w:rPr>
            </w:pPr>
            <w:r>
              <w:rPr>
                <w:rFonts w:cstheme="minorHAnsi"/>
                <w:color w:val="000000" w:themeColor="text1"/>
                <w:sz w:val="20"/>
                <w:szCs w:val="20"/>
              </w:rPr>
              <w:t>Incrementar en la población de Tamaulipas la actividad física y práctica del deporte</w:t>
            </w:r>
          </w:p>
        </w:tc>
        <w:tc>
          <w:tcPr>
            <w:tcW w:w="1445" w:type="pct"/>
            <w:vAlign w:val="center"/>
          </w:tcPr>
          <w:p w14:paraId="353AA3EC" w14:textId="4FFC71FC" w:rsidR="00E566C6" w:rsidRPr="00D1156F" w:rsidRDefault="00C43ECC"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 xml:space="preserve">Contribuye </w:t>
            </w:r>
            <w:r>
              <w:rPr>
                <w:rFonts w:eastAsia="Times New Roman" w:cstheme="minorHAnsi"/>
                <w:color w:val="000000" w:themeColor="text1"/>
                <w:sz w:val="20"/>
                <w:szCs w:val="20"/>
                <w:lang w:eastAsia="es-MX"/>
              </w:rPr>
              <w:t xml:space="preserve">a garantizar en la población el acceso a un estilo de vida saludable a través de la construcción de </w:t>
            </w:r>
            <w:r w:rsidRPr="00D1156F">
              <w:rPr>
                <w:rFonts w:eastAsia="Times New Roman" w:cstheme="minorHAnsi"/>
                <w:color w:val="000000" w:themeColor="text1"/>
                <w:sz w:val="20"/>
                <w:szCs w:val="20"/>
                <w:lang w:eastAsia="es-MX"/>
              </w:rPr>
              <w:t xml:space="preserve">obras de infraestructura </w:t>
            </w:r>
            <w:r>
              <w:rPr>
                <w:rFonts w:eastAsia="Times New Roman" w:cstheme="minorHAnsi"/>
                <w:color w:val="000000" w:themeColor="text1"/>
                <w:sz w:val="20"/>
                <w:szCs w:val="20"/>
                <w:lang w:eastAsia="es-MX"/>
              </w:rPr>
              <w:t>para la práctica del deporte</w:t>
            </w:r>
          </w:p>
        </w:tc>
      </w:tr>
      <w:tr w:rsidR="00E566C6" w:rsidRPr="00D1156F" w14:paraId="09C32618" w14:textId="77777777" w:rsidTr="001165F6">
        <w:trPr>
          <w:trHeight w:val="1038"/>
        </w:trPr>
        <w:tc>
          <w:tcPr>
            <w:tcW w:w="764" w:type="pct"/>
            <w:vAlign w:val="center"/>
          </w:tcPr>
          <w:p w14:paraId="2D253CBE" w14:textId="2D673264" w:rsidR="00E566C6" w:rsidRPr="00D1156F" w:rsidRDefault="00E566C6" w:rsidP="00E566C6">
            <w:pPr>
              <w:spacing w:before="0" w:after="0"/>
              <w:rPr>
                <w:rFonts w:eastAsia="Times New Roman" w:cstheme="minorHAnsi"/>
                <w:color w:val="000000" w:themeColor="text1"/>
                <w:sz w:val="20"/>
                <w:szCs w:val="20"/>
                <w:lang w:eastAsia="es-MX"/>
              </w:rPr>
            </w:pPr>
            <w:r w:rsidRPr="00E566C6">
              <w:rPr>
                <w:rFonts w:eastAsia="Times New Roman" w:cstheme="minorHAnsi"/>
                <w:color w:val="000000" w:themeColor="text1"/>
                <w:sz w:val="20"/>
                <w:szCs w:val="20"/>
                <w:lang w:eastAsia="es-MX"/>
              </w:rPr>
              <w:t>Proyectos de infraestructura social del sector educativo/cultura</w:t>
            </w:r>
          </w:p>
        </w:tc>
        <w:tc>
          <w:tcPr>
            <w:tcW w:w="1313" w:type="pct"/>
            <w:vAlign w:val="center"/>
          </w:tcPr>
          <w:p w14:paraId="08980C95" w14:textId="2DB5130F" w:rsidR="00E566C6" w:rsidRPr="00D1156F" w:rsidRDefault="00EA1D58" w:rsidP="00E566C6">
            <w:pPr>
              <w:spacing w:before="0" w:after="0"/>
              <w:rPr>
                <w:rFonts w:cstheme="minorHAnsi"/>
                <w:color w:val="000000" w:themeColor="text1"/>
                <w:sz w:val="20"/>
                <w:szCs w:val="20"/>
              </w:rPr>
            </w:pPr>
            <w:r w:rsidRPr="00D1156F">
              <w:rPr>
                <w:rFonts w:cstheme="minorHAnsi"/>
                <w:color w:val="000000" w:themeColor="text1"/>
                <w:sz w:val="20"/>
                <w:szCs w:val="20"/>
              </w:rPr>
              <w:t>Construcción de infraestructura</w:t>
            </w:r>
          </w:p>
        </w:tc>
        <w:tc>
          <w:tcPr>
            <w:tcW w:w="438" w:type="pct"/>
            <w:vAlign w:val="center"/>
          </w:tcPr>
          <w:p w14:paraId="4C277583" w14:textId="76E41DF4" w:rsidR="00E566C6" w:rsidRPr="00D1156F" w:rsidRDefault="00EA1D58" w:rsidP="00E566C6">
            <w:pPr>
              <w:spacing w:before="0" w:after="0"/>
              <w:jc w:val="center"/>
              <w:rPr>
                <w:rFonts w:eastAsia="Calibri" w:cstheme="minorHAnsi"/>
                <w:color w:val="000000" w:themeColor="text1"/>
                <w:sz w:val="20"/>
                <w:szCs w:val="20"/>
                <w:lang w:val="es-ES"/>
              </w:rPr>
            </w:pPr>
            <w:r>
              <w:rPr>
                <w:rFonts w:eastAsia="Calibri" w:cstheme="minorHAnsi"/>
                <w:color w:val="000000" w:themeColor="text1"/>
                <w:sz w:val="20"/>
                <w:szCs w:val="20"/>
                <w:lang w:val="es-ES"/>
              </w:rPr>
              <w:t>K</w:t>
            </w:r>
          </w:p>
        </w:tc>
        <w:tc>
          <w:tcPr>
            <w:tcW w:w="1040" w:type="pct"/>
            <w:vAlign w:val="center"/>
          </w:tcPr>
          <w:p w14:paraId="20D40413" w14:textId="04753031" w:rsidR="00E566C6" w:rsidRPr="00D1156F" w:rsidRDefault="00C43ECC" w:rsidP="00E566C6">
            <w:pPr>
              <w:spacing w:before="0" w:after="0"/>
              <w:rPr>
                <w:rFonts w:cstheme="minorHAnsi"/>
                <w:color w:val="000000" w:themeColor="text1"/>
                <w:sz w:val="20"/>
                <w:szCs w:val="20"/>
              </w:rPr>
            </w:pPr>
            <w:r>
              <w:rPr>
                <w:rFonts w:cstheme="minorHAnsi"/>
                <w:color w:val="000000" w:themeColor="text1"/>
                <w:sz w:val="20"/>
                <w:szCs w:val="20"/>
              </w:rPr>
              <w:t>Desarrollar proyectos de infraestructura para educación básica y cultura</w:t>
            </w:r>
          </w:p>
        </w:tc>
        <w:tc>
          <w:tcPr>
            <w:tcW w:w="1445" w:type="pct"/>
            <w:vAlign w:val="center"/>
          </w:tcPr>
          <w:p w14:paraId="00AD0C72" w14:textId="33C97A44" w:rsidR="00E566C6" w:rsidRPr="00D1156F" w:rsidRDefault="00C43ECC"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 xml:space="preserve">Contribuye </w:t>
            </w:r>
            <w:r>
              <w:rPr>
                <w:rFonts w:eastAsia="Times New Roman" w:cstheme="minorHAnsi"/>
                <w:color w:val="000000" w:themeColor="text1"/>
                <w:sz w:val="20"/>
                <w:szCs w:val="20"/>
                <w:lang w:eastAsia="es-MX"/>
              </w:rPr>
              <w:t>a garantizar en la población el acceso a educación básica y actividades culturales.</w:t>
            </w:r>
          </w:p>
        </w:tc>
      </w:tr>
      <w:tr w:rsidR="00E566C6" w:rsidRPr="00D1156F" w14:paraId="7968CD02" w14:textId="77777777" w:rsidTr="001165F6">
        <w:trPr>
          <w:trHeight w:val="1038"/>
        </w:trPr>
        <w:tc>
          <w:tcPr>
            <w:tcW w:w="764" w:type="pct"/>
            <w:vAlign w:val="center"/>
          </w:tcPr>
          <w:p w14:paraId="08A84C29" w14:textId="77777777" w:rsidR="00E566C6" w:rsidRPr="00D1156F" w:rsidRDefault="00E566C6" w:rsidP="00E566C6">
            <w:pPr>
              <w:spacing w:before="0" w:after="0"/>
              <w:rPr>
                <w:rFonts w:eastAsia="Times New Roman" w:cstheme="minorHAnsi"/>
                <w:color w:val="000000" w:themeColor="text1"/>
                <w:sz w:val="20"/>
                <w:szCs w:val="20"/>
                <w:lang w:eastAsia="es-MX"/>
              </w:rPr>
            </w:pPr>
            <w:r w:rsidRPr="00D1156F">
              <w:rPr>
                <w:rFonts w:eastAsia="Times New Roman" w:cstheme="minorHAnsi"/>
                <w:color w:val="000000" w:themeColor="text1"/>
                <w:sz w:val="20"/>
                <w:szCs w:val="20"/>
                <w:lang w:eastAsia="es-MX"/>
              </w:rPr>
              <w:t>Reconstrucción y conservación de carreteras</w:t>
            </w:r>
          </w:p>
        </w:tc>
        <w:tc>
          <w:tcPr>
            <w:tcW w:w="1313" w:type="pct"/>
            <w:vAlign w:val="center"/>
          </w:tcPr>
          <w:p w14:paraId="3B7E6862" w14:textId="77777777"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Construcción de infraestructura</w:t>
            </w:r>
          </w:p>
        </w:tc>
        <w:tc>
          <w:tcPr>
            <w:tcW w:w="438" w:type="pct"/>
            <w:vAlign w:val="center"/>
          </w:tcPr>
          <w:p w14:paraId="7B7746DF" w14:textId="77777777" w:rsidR="00E566C6" w:rsidRPr="00D1156F" w:rsidRDefault="00E566C6" w:rsidP="00E566C6">
            <w:pPr>
              <w:spacing w:before="0" w:after="0"/>
              <w:jc w:val="center"/>
              <w:rPr>
                <w:rFonts w:eastAsia="Calibri" w:cstheme="minorHAnsi"/>
                <w:color w:val="000000" w:themeColor="text1"/>
                <w:sz w:val="20"/>
                <w:szCs w:val="20"/>
                <w:lang w:val="es-ES"/>
              </w:rPr>
            </w:pPr>
            <w:r w:rsidRPr="00D1156F">
              <w:rPr>
                <w:rFonts w:eastAsia="Calibri" w:cstheme="minorHAnsi"/>
                <w:color w:val="000000" w:themeColor="text1"/>
                <w:sz w:val="20"/>
                <w:szCs w:val="20"/>
                <w:lang w:val="es-ES"/>
              </w:rPr>
              <w:t>K</w:t>
            </w:r>
          </w:p>
        </w:tc>
        <w:tc>
          <w:tcPr>
            <w:tcW w:w="1040" w:type="pct"/>
            <w:vAlign w:val="center"/>
          </w:tcPr>
          <w:p w14:paraId="123FCE17" w14:textId="50B442BD" w:rsidR="00E566C6" w:rsidRPr="00D1156F" w:rsidRDefault="00E566C6" w:rsidP="00E566C6">
            <w:pPr>
              <w:spacing w:before="0" w:after="0"/>
              <w:rPr>
                <w:rFonts w:cstheme="minorHAnsi"/>
                <w:color w:val="000000" w:themeColor="text1"/>
                <w:sz w:val="20"/>
                <w:szCs w:val="20"/>
              </w:rPr>
            </w:pPr>
            <w:r w:rsidRPr="00D1156F">
              <w:rPr>
                <w:rFonts w:cstheme="minorHAnsi"/>
                <w:color w:val="000000" w:themeColor="text1"/>
                <w:sz w:val="20"/>
                <w:szCs w:val="20"/>
              </w:rPr>
              <w:t>Desarrollar la infraestructura, el equipamiento y las condiciones que</w:t>
            </w:r>
            <w:r>
              <w:rPr>
                <w:rFonts w:cstheme="minorHAnsi"/>
                <w:color w:val="000000" w:themeColor="text1"/>
                <w:sz w:val="20"/>
                <w:szCs w:val="20"/>
              </w:rPr>
              <w:t xml:space="preserve"> </w:t>
            </w:r>
            <w:r w:rsidRPr="00D1156F">
              <w:rPr>
                <w:rFonts w:cstheme="minorHAnsi"/>
                <w:color w:val="000000" w:themeColor="text1"/>
                <w:sz w:val="20"/>
                <w:szCs w:val="20"/>
              </w:rPr>
              <w:t>contribuyan a la mejora de la competitividad del estado y la calidad de vida</w:t>
            </w:r>
            <w:r>
              <w:rPr>
                <w:rFonts w:cstheme="minorHAnsi"/>
                <w:color w:val="000000" w:themeColor="text1"/>
                <w:sz w:val="20"/>
                <w:szCs w:val="20"/>
              </w:rPr>
              <w:t xml:space="preserve"> </w:t>
            </w:r>
            <w:r w:rsidRPr="00D1156F">
              <w:rPr>
                <w:rFonts w:cstheme="minorHAnsi"/>
                <w:color w:val="000000" w:themeColor="text1"/>
                <w:sz w:val="20"/>
                <w:szCs w:val="20"/>
              </w:rPr>
              <w:t>de sus habitantes</w:t>
            </w:r>
            <w:r>
              <w:rPr>
                <w:rFonts w:cstheme="minorHAnsi"/>
                <w:color w:val="000000" w:themeColor="text1"/>
                <w:sz w:val="20"/>
                <w:szCs w:val="20"/>
              </w:rPr>
              <w:t>.</w:t>
            </w:r>
          </w:p>
        </w:tc>
        <w:tc>
          <w:tcPr>
            <w:tcW w:w="1445" w:type="pct"/>
            <w:vAlign w:val="center"/>
          </w:tcPr>
          <w:p w14:paraId="34D20DD1" w14:textId="77777777" w:rsidR="00E566C6" w:rsidRPr="00D1156F" w:rsidRDefault="00E566C6" w:rsidP="00E566C6">
            <w:pPr>
              <w:spacing w:before="0" w:after="0"/>
              <w:rPr>
                <w:rFonts w:eastAsia="Calibri" w:cstheme="minorHAnsi"/>
                <w:color w:val="000000" w:themeColor="text1"/>
                <w:sz w:val="20"/>
                <w:szCs w:val="20"/>
                <w:lang w:val="es-ES"/>
              </w:rPr>
            </w:pPr>
            <w:r w:rsidRPr="00D1156F">
              <w:rPr>
                <w:rFonts w:eastAsia="Times New Roman" w:cstheme="minorHAnsi"/>
                <w:color w:val="000000" w:themeColor="text1"/>
                <w:sz w:val="20"/>
                <w:szCs w:val="20"/>
                <w:lang w:eastAsia="es-MX"/>
              </w:rPr>
              <w:t>Contribuye a la mejora de infraestructura de comunicaciones y transportes.</w:t>
            </w:r>
          </w:p>
        </w:tc>
      </w:tr>
    </w:tbl>
    <w:p w14:paraId="7325493E" w14:textId="41EBE2D7" w:rsidR="005B62D5" w:rsidRDefault="005B62D5" w:rsidP="002C4CC2">
      <w:pPr>
        <w:sectPr w:rsidR="005B62D5" w:rsidSect="00D33214">
          <w:pgSz w:w="15840" w:h="12240" w:orient="landscape" w:code="1"/>
          <w:pgMar w:top="1134" w:right="1134" w:bottom="1134" w:left="1134" w:header="425" w:footer="709" w:gutter="0"/>
          <w:cols w:space="708"/>
          <w:docGrid w:linePitch="360"/>
        </w:sectPr>
      </w:pPr>
    </w:p>
    <w:p w14:paraId="083A7FC3" w14:textId="3DD4F034" w:rsidR="00EE2253" w:rsidRDefault="00EE2253" w:rsidP="005B684A">
      <w:pPr>
        <w:pStyle w:val="Anexo"/>
      </w:pPr>
      <w:bookmarkStart w:id="174" w:name="_Toc47933874"/>
      <w:bookmarkStart w:id="175" w:name="_Toc51291534"/>
      <w:bookmarkStart w:id="176" w:name="_Toc55411213"/>
      <w:bookmarkStart w:id="177" w:name="_Toc55580106"/>
      <w:bookmarkStart w:id="178" w:name="_Toc56496637"/>
      <w:bookmarkStart w:id="179" w:name="_Toc61633663"/>
      <w:r w:rsidRPr="00A20133">
        <w:lastRenderedPageBreak/>
        <w:t>Anexo 8</w:t>
      </w:r>
      <w:r w:rsidR="0084130F">
        <w:t>.</w:t>
      </w:r>
      <w:r w:rsidRPr="00A20133">
        <w:t xml:space="preserve"> </w:t>
      </w:r>
      <w:bookmarkEnd w:id="174"/>
      <w:bookmarkEnd w:id="175"/>
      <w:bookmarkEnd w:id="176"/>
      <w:bookmarkEnd w:id="177"/>
      <w:r w:rsidR="008B3907" w:rsidRPr="008B3907">
        <w:t>Sinergias con políticas, programas o proyectos locales de Fondos de otras Aportaciones Federales aplicados en la Entidad Federativa</w:t>
      </w:r>
      <w:bookmarkEnd w:id="178"/>
      <w:bookmarkEnd w:id="179"/>
    </w:p>
    <w:p w14:paraId="6209099F" w14:textId="77777777" w:rsidR="002E6CF3" w:rsidRPr="00260820" w:rsidRDefault="002E6CF3" w:rsidP="000E0B63">
      <w:pPr>
        <w:spacing w:before="0" w:after="0"/>
        <w:rPr>
          <w:sz w:val="20"/>
          <w:szCs w:val="20"/>
        </w:rPr>
      </w:pPr>
      <w:bookmarkStart w:id="180" w:name="_Toc55580107"/>
      <w:r w:rsidRPr="00260820">
        <w:rPr>
          <w:sz w:val="20"/>
          <w:szCs w:val="20"/>
        </w:rPr>
        <w:t xml:space="preserve">Nombre del Fondo: </w:t>
      </w:r>
      <w:r w:rsidRPr="00260820">
        <w:rPr>
          <w:b/>
          <w:bCs/>
          <w:sz w:val="20"/>
          <w:szCs w:val="20"/>
        </w:rPr>
        <w:t>Fondo de Aportaciones para el Fortalecimiento de las Entidades Federativas (FAFEF)</w:t>
      </w:r>
      <w:bookmarkEnd w:id="180"/>
    </w:p>
    <w:p w14:paraId="1A460514" w14:textId="77777777" w:rsidR="001C568B" w:rsidRPr="00260820" w:rsidRDefault="001C568B" w:rsidP="000E0B63">
      <w:pPr>
        <w:spacing w:before="0" w:after="0"/>
        <w:rPr>
          <w:rFonts w:cs="Arial"/>
          <w:sz w:val="20"/>
          <w:szCs w:val="20"/>
        </w:rPr>
      </w:pPr>
      <w:bookmarkStart w:id="181" w:name="_Toc55580108"/>
      <w:r w:rsidRPr="00260820">
        <w:rPr>
          <w:rFonts w:cs="Arial"/>
          <w:sz w:val="20"/>
          <w:szCs w:val="20"/>
        </w:rPr>
        <w:t xml:space="preserve">Modalidad: </w:t>
      </w:r>
      <w:r w:rsidRPr="00260820">
        <w:rPr>
          <w:rFonts w:cs="Arial"/>
          <w:b/>
          <w:bCs/>
          <w:sz w:val="20"/>
          <w:szCs w:val="20"/>
        </w:rPr>
        <w:t>I-Gasto federalizado</w:t>
      </w:r>
    </w:p>
    <w:p w14:paraId="0FC2FD05" w14:textId="123B0FE6" w:rsidR="002E6CF3" w:rsidRPr="00260820" w:rsidRDefault="002E6CF3" w:rsidP="000E0B63">
      <w:pPr>
        <w:spacing w:before="0" w:after="0"/>
        <w:rPr>
          <w:sz w:val="20"/>
          <w:szCs w:val="20"/>
        </w:rPr>
      </w:pPr>
      <w:r w:rsidRPr="00260820">
        <w:rPr>
          <w:sz w:val="20"/>
          <w:szCs w:val="20"/>
        </w:rPr>
        <w:t xml:space="preserve">Clave(s) presupuestaria(s): </w:t>
      </w:r>
      <w:r w:rsidRPr="00260820">
        <w:rPr>
          <w:b/>
          <w:bCs/>
          <w:sz w:val="20"/>
          <w:szCs w:val="20"/>
        </w:rPr>
        <w:t>I012</w:t>
      </w:r>
      <w:bookmarkEnd w:id="181"/>
    </w:p>
    <w:p w14:paraId="46715DA4" w14:textId="77777777" w:rsidR="002E6CF3" w:rsidRPr="00260820" w:rsidRDefault="002E6CF3" w:rsidP="000E0B63">
      <w:pPr>
        <w:spacing w:before="0" w:after="0"/>
        <w:rPr>
          <w:sz w:val="20"/>
          <w:szCs w:val="20"/>
        </w:rPr>
      </w:pPr>
      <w:bookmarkStart w:id="182" w:name="_Toc55580109"/>
      <w:r w:rsidRPr="00260820">
        <w:rPr>
          <w:sz w:val="20"/>
          <w:szCs w:val="20"/>
        </w:rPr>
        <w:t xml:space="preserve">Entidad Federativa: </w:t>
      </w:r>
      <w:r w:rsidRPr="00260820">
        <w:rPr>
          <w:b/>
          <w:bCs/>
          <w:sz w:val="20"/>
          <w:szCs w:val="20"/>
        </w:rPr>
        <w:t>Tamaulipas</w:t>
      </w:r>
      <w:bookmarkEnd w:id="182"/>
    </w:p>
    <w:p w14:paraId="06223898" w14:textId="77777777" w:rsidR="002E6CF3" w:rsidRPr="00260820" w:rsidRDefault="002E6CF3" w:rsidP="000E0B63">
      <w:pPr>
        <w:spacing w:before="0" w:after="0"/>
        <w:rPr>
          <w:sz w:val="20"/>
          <w:szCs w:val="20"/>
        </w:rPr>
      </w:pPr>
      <w:bookmarkStart w:id="183" w:name="_Toc55580110"/>
      <w:r w:rsidRPr="00260820">
        <w:rPr>
          <w:sz w:val="20"/>
          <w:szCs w:val="20"/>
        </w:rPr>
        <w:t xml:space="preserve">Dependencia Coordinadora: </w:t>
      </w:r>
      <w:r w:rsidRPr="00260820">
        <w:rPr>
          <w:b/>
          <w:bCs/>
          <w:sz w:val="20"/>
          <w:szCs w:val="20"/>
        </w:rPr>
        <w:t>Dirección General de Programación y Presupuesto “A” (DGPyP “A”</w:t>
      </w:r>
      <w:r w:rsidRPr="00260820">
        <w:rPr>
          <w:sz w:val="20"/>
          <w:szCs w:val="20"/>
        </w:rPr>
        <w:t>)</w:t>
      </w:r>
      <w:bookmarkEnd w:id="183"/>
    </w:p>
    <w:p w14:paraId="69E1D4CA" w14:textId="134A36F4" w:rsidR="002E6CF3" w:rsidRPr="00260820" w:rsidRDefault="002E6CF3" w:rsidP="000E0B63">
      <w:pPr>
        <w:spacing w:before="0" w:after="0"/>
        <w:rPr>
          <w:sz w:val="20"/>
          <w:szCs w:val="20"/>
        </w:rPr>
      </w:pPr>
      <w:bookmarkStart w:id="184" w:name="_Toc55580111"/>
      <w:r w:rsidRPr="00260820">
        <w:rPr>
          <w:sz w:val="20"/>
          <w:szCs w:val="20"/>
        </w:rPr>
        <w:t xml:space="preserve">Unidad(es) Responsable(s) o Ejecutora(s): </w:t>
      </w:r>
      <w:r w:rsidRPr="00260820">
        <w:rPr>
          <w:b/>
          <w:bCs/>
          <w:sz w:val="20"/>
          <w:szCs w:val="20"/>
        </w:rPr>
        <w:t>Secretaría de Finanzas de Tamaulipas</w:t>
      </w:r>
      <w:bookmarkEnd w:id="184"/>
    </w:p>
    <w:p w14:paraId="6D6EA083" w14:textId="2351F048" w:rsidR="002E6CF3" w:rsidRPr="00260820" w:rsidRDefault="002E6CF3" w:rsidP="000E0B63">
      <w:pPr>
        <w:spacing w:before="0" w:after="0"/>
        <w:rPr>
          <w:sz w:val="20"/>
          <w:szCs w:val="20"/>
        </w:rPr>
      </w:pPr>
      <w:bookmarkStart w:id="185" w:name="_Toc55580112"/>
      <w:r w:rsidRPr="00260820">
        <w:rPr>
          <w:sz w:val="20"/>
          <w:szCs w:val="20"/>
        </w:rPr>
        <w:t xml:space="preserve">Tipo de Evaluación: </w:t>
      </w:r>
      <w:r w:rsidRPr="00260820">
        <w:rPr>
          <w:b/>
          <w:bCs/>
          <w:sz w:val="20"/>
          <w:szCs w:val="20"/>
        </w:rPr>
        <w:t>Estratégica</w:t>
      </w:r>
      <w:bookmarkEnd w:id="185"/>
    </w:p>
    <w:p w14:paraId="197BCB3B" w14:textId="7AD7CE70" w:rsidR="002E6CF3" w:rsidRPr="00260820" w:rsidRDefault="002E6CF3" w:rsidP="00260820">
      <w:pPr>
        <w:spacing w:before="0"/>
        <w:rPr>
          <w:sz w:val="20"/>
          <w:szCs w:val="20"/>
        </w:rPr>
      </w:pPr>
      <w:r w:rsidRPr="00260820">
        <w:rPr>
          <w:sz w:val="20"/>
          <w:szCs w:val="20"/>
        </w:rPr>
        <w:t>Año</w:t>
      </w:r>
      <w:r w:rsidR="00260820" w:rsidRPr="00260820">
        <w:rPr>
          <w:sz w:val="20"/>
          <w:szCs w:val="20"/>
        </w:rPr>
        <w:t xml:space="preserve"> de la Evaluación</w:t>
      </w:r>
      <w:r w:rsidRPr="00260820">
        <w:rPr>
          <w:sz w:val="20"/>
          <w:szCs w:val="20"/>
        </w:rPr>
        <w:t xml:space="preserve">: </w:t>
      </w:r>
      <w:r w:rsidRPr="00260820">
        <w:rPr>
          <w:b/>
          <w:bCs/>
          <w:sz w:val="20"/>
          <w:szCs w:val="20"/>
        </w:rPr>
        <w:t>2018</w:t>
      </w: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C33F1A" w:rsidRPr="007765EE" w14:paraId="359E1189" w14:textId="77777777" w:rsidTr="00B4148F">
        <w:trPr>
          <w:trHeight w:val="20"/>
        </w:trPr>
        <w:tc>
          <w:tcPr>
            <w:tcW w:w="1821" w:type="pct"/>
            <w:shd w:val="clear" w:color="000000" w:fill="9CC2E5"/>
            <w:vAlign w:val="center"/>
            <w:hideMark/>
          </w:tcPr>
          <w:p w14:paraId="717C640E"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4C17517D" w14:textId="3D010662" w:rsidR="00C33F1A" w:rsidRPr="007765EE" w:rsidRDefault="003655C5" w:rsidP="007765EE">
            <w:pPr>
              <w:spacing w:before="0" w:after="0"/>
              <w:rPr>
                <w:rFonts w:ascii="Calibri" w:eastAsia="Times New Roman" w:hAnsi="Calibri" w:cs="Calibri"/>
                <w:color w:val="000000"/>
                <w:sz w:val="20"/>
                <w:szCs w:val="20"/>
                <w:lang w:eastAsia="es-MX"/>
              </w:rPr>
            </w:pPr>
            <w:r w:rsidRPr="003655C5">
              <w:rPr>
                <w:rFonts w:ascii="Calibri" w:eastAsia="Times New Roman" w:hAnsi="Calibri" w:cs="Calibri"/>
                <w:color w:val="000000"/>
                <w:sz w:val="20"/>
                <w:szCs w:val="20"/>
                <w:lang w:eastAsia="es-MX"/>
              </w:rPr>
              <w:t>Costo financiero y deuda</w:t>
            </w:r>
          </w:p>
        </w:tc>
      </w:tr>
      <w:tr w:rsidR="00C33F1A" w:rsidRPr="007765EE" w14:paraId="4F953037" w14:textId="77777777" w:rsidTr="00B4148F">
        <w:trPr>
          <w:trHeight w:val="20"/>
        </w:trPr>
        <w:tc>
          <w:tcPr>
            <w:tcW w:w="1821" w:type="pct"/>
            <w:shd w:val="clear" w:color="000000" w:fill="9CC2E5"/>
            <w:vAlign w:val="center"/>
            <w:hideMark/>
          </w:tcPr>
          <w:p w14:paraId="0C13888B"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6469F2D1" w14:textId="3B0C2806" w:rsidR="00C33F1A" w:rsidRPr="007765EE" w:rsidRDefault="003655C5" w:rsidP="007765EE">
            <w:pPr>
              <w:spacing w:before="0" w:after="0"/>
              <w:rPr>
                <w:rFonts w:ascii="Calibri" w:eastAsia="Times New Roman" w:hAnsi="Calibri" w:cs="Calibri"/>
                <w:color w:val="000000"/>
                <w:sz w:val="20"/>
                <w:szCs w:val="20"/>
                <w:lang w:eastAsia="es-MX"/>
              </w:rPr>
            </w:pPr>
            <w:r w:rsidRPr="00825CD1">
              <w:rPr>
                <w:rFonts w:eastAsia="Times New Roman" w:cstheme="minorHAnsi"/>
                <w:color w:val="000000"/>
                <w:sz w:val="20"/>
                <w:szCs w:val="20"/>
                <w:lang w:eastAsia="es-MX"/>
              </w:rPr>
              <w:t>D191</w:t>
            </w:r>
          </w:p>
        </w:tc>
      </w:tr>
      <w:tr w:rsidR="00C33F1A" w:rsidRPr="007765EE" w14:paraId="09DE6002" w14:textId="77777777" w:rsidTr="00B4148F">
        <w:trPr>
          <w:trHeight w:val="20"/>
        </w:trPr>
        <w:tc>
          <w:tcPr>
            <w:tcW w:w="1821" w:type="pct"/>
            <w:shd w:val="clear" w:color="000000" w:fill="9CC2E5"/>
            <w:vAlign w:val="center"/>
            <w:hideMark/>
          </w:tcPr>
          <w:p w14:paraId="2967843A"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03485B2C" w14:textId="180B1E3B"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ND</w:t>
            </w:r>
          </w:p>
        </w:tc>
      </w:tr>
      <w:tr w:rsidR="00C33F1A" w:rsidRPr="007765EE" w14:paraId="4CF47B3B" w14:textId="77777777" w:rsidTr="00B4148F">
        <w:trPr>
          <w:trHeight w:val="20"/>
        </w:trPr>
        <w:tc>
          <w:tcPr>
            <w:tcW w:w="1821" w:type="pct"/>
            <w:shd w:val="clear" w:color="000000" w:fill="9CC2E5"/>
            <w:vAlign w:val="center"/>
            <w:hideMark/>
          </w:tcPr>
          <w:p w14:paraId="3315E8F9"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6A97646C" w14:textId="1AB19981"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Administración de la deuda pública</w:t>
            </w:r>
          </w:p>
        </w:tc>
      </w:tr>
      <w:tr w:rsidR="00C33F1A" w:rsidRPr="007765EE" w14:paraId="12ABC9A4" w14:textId="77777777" w:rsidTr="00B4148F">
        <w:trPr>
          <w:trHeight w:val="20"/>
        </w:trPr>
        <w:tc>
          <w:tcPr>
            <w:tcW w:w="1821" w:type="pct"/>
            <w:shd w:val="clear" w:color="000000" w:fill="9CC2E5"/>
            <w:vAlign w:val="center"/>
            <w:hideMark/>
          </w:tcPr>
          <w:p w14:paraId="5A286F7B"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5C49B4D9" w14:textId="6CC823F2"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Población total de Tamaulipas </w:t>
            </w:r>
          </w:p>
        </w:tc>
      </w:tr>
      <w:tr w:rsidR="00C33F1A" w:rsidRPr="007765EE" w14:paraId="1A1B8BD2" w14:textId="77777777" w:rsidTr="00B4148F">
        <w:trPr>
          <w:trHeight w:val="20"/>
        </w:trPr>
        <w:tc>
          <w:tcPr>
            <w:tcW w:w="1821" w:type="pct"/>
            <w:shd w:val="clear" w:color="000000" w:fill="9CC2E5"/>
            <w:vAlign w:val="center"/>
            <w:hideMark/>
          </w:tcPr>
          <w:p w14:paraId="63636621"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hideMark/>
          </w:tcPr>
          <w:p w14:paraId="7751D9C0" w14:textId="3B32FAF8"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Administración de la deuda pública</w:t>
            </w:r>
          </w:p>
        </w:tc>
      </w:tr>
      <w:tr w:rsidR="00C33F1A" w:rsidRPr="007765EE" w14:paraId="64F1034C" w14:textId="77777777" w:rsidTr="00B4148F">
        <w:trPr>
          <w:trHeight w:val="20"/>
        </w:trPr>
        <w:tc>
          <w:tcPr>
            <w:tcW w:w="1821" w:type="pct"/>
            <w:shd w:val="clear" w:color="000000" w:fill="9CC2E5"/>
            <w:vAlign w:val="center"/>
            <w:hideMark/>
          </w:tcPr>
          <w:p w14:paraId="2DCFAE83"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1366AC69" w14:textId="3062ACBC"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Estatal </w:t>
            </w:r>
          </w:p>
        </w:tc>
      </w:tr>
      <w:tr w:rsidR="00C33F1A" w:rsidRPr="007765EE" w14:paraId="41360DC8" w14:textId="77777777" w:rsidTr="00B4148F">
        <w:trPr>
          <w:trHeight w:val="20"/>
        </w:trPr>
        <w:tc>
          <w:tcPr>
            <w:tcW w:w="1821" w:type="pct"/>
            <w:shd w:val="clear" w:color="000000" w:fill="9CC2E5"/>
            <w:vAlign w:val="center"/>
            <w:hideMark/>
          </w:tcPr>
          <w:p w14:paraId="0D185B92"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7A7DA529" w14:textId="02D62D5C" w:rsidR="00C33F1A" w:rsidRPr="007765EE" w:rsidRDefault="00C33F1A" w:rsidP="007765EE">
            <w:pPr>
              <w:spacing w:before="0" w:after="0"/>
              <w:rPr>
                <w:rFonts w:ascii="Calibri" w:eastAsia="Times New Roman" w:hAnsi="Calibri" w:cs="Calibri"/>
                <w:color w:val="000000"/>
                <w:sz w:val="20"/>
                <w:szCs w:val="20"/>
                <w:lang w:eastAsia="es-MX"/>
              </w:rPr>
            </w:pPr>
            <w:r w:rsidRPr="007765EE">
              <w:rPr>
                <w:rFonts w:ascii="Calibri" w:eastAsia="Times New Roman" w:hAnsi="Calibri" w:cs="Calibri"/>
                <w:color w:val="000000"/>
                <w:sz w:val="20"/>
                <w:szCs w:val="20"/>
                <w:lang w:eastAsia="es-MX"/>
              </w:rPr>
              <w:t>Ley de Coordinación Fiscal</w:t>
            </w:r>
            <w:r w:rsidR="00EB3F6D">
              <w:rPr>
                <w:rFonts w:ascii="Calibri" w:eastAsia="Times New Roman" w:hAnsi="Calibri" w:cs="Calibri"/>
                <w:color w:val="000000"/>
                <w:sz w:val="20"/>
                <w:szCs w:val="20"/>
                <w:lang w:eastAsia="es-MX"/>
              </w:rPr>
              <w:t xml:space="preserve"> y Pp de Tamaulipas</w:t>
            </w:r>
            <w:r w:rsidRPr="007765EE">
              <w:rPr>
                <w:rFonts w:ascii="Calibri" w:eastAsia="Times New Roman" w:hAnsi="Calibri" w:cs="Calibri"/>
                <w:color w:val="000000"/>
                <w:sz w:val="20"/>
                <w:szCs w:val="20"/>
                <w:lang w:eastAsia="es-MX"/>
              </w:rPr>
              <w:t>.</w:t>
            </w:r>
          </w:p>
        </w:tc>
      </w:tr>
      <w:tr w:rsidR="00C33F1A" w:rsidRPr="007765EE" w14:paraId="52036B95" w14:textId="77777777" w:rsidTr="00B4148F">
        <w:trPr>
          <w:trHeight w:val="20"/>
        </w:trPr>
        <w:tc>
          <w:tcPr>
            <w:tcW w:w="1821" w:type="pct"/>
            <w:shd w:val="clear" w:color="000000" w:fill="9CC2E5"/>
            <w:vAlign w:val="center"/>
            <w:hideMark/>
          </w:tcPr>
          <w:p w14:paraId="51BB7D1C"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20BB71A4" w14:textId="77777777" w:rsidR="00C33F1A" w:rsidRPr="007765EE" w:rsidRDefault="00C33F1A" w:rsidP="007765EE">
            <w:pPr>
              <w:spacing w:before="0" w:after="0"/>
              <w:rPr>
                <w:rFonts w:ascii="Calibri" w:eastAsia="Times New Roman" w:hAnsi="Calibri" w:cs="Calibri"/>
                <w:color w:val="000000"/>
                <w:sz w:val="20"/>
                <w:szCs w:val="20"/>
                <w:lang w:eastAsia="es-MX"/>
              </w:rPr>
            </w:pPr>
            <w:r w:rsidRPr="007765EE">
              <w:rPr>
                <w:rFonts w:ascii="Calibri" w:eastAsia="Times New Roman" w:hAnsi="Calibri" w:cstheme="minorHAnsi"/>
                <w:color w:val="000000"/>
                <w:sz w:val="20"/>
                <w:szCs w:val="20"/>
                <w:lang w:eastAsia="es-MX"/>
              </w:rPr>
              <w:t>No</w:t>
            </w:r>
          </w:p>
        </w:tc>
      </w:tr>
      <w:tr w:rsidR="00C33F1A" w:rsidRPr="007765EE" w14:paraId="050D2F8C" w14:textId="77777777" w:rsidTr="00B4148F">
        <w:trPr>
          <w:trHeight w:val="20"/>
        </w:trPr>
        <w:tc>
          <w:tcPr>
            <w:tcW w:w="1821" w:type="pct"/>
            <w:shd w:val="clear" w:color="000000" w:fill="9CC2E5"/>
            <w:vAlign w:val="center"/>
            <w:hideMark/>
          </w:tcPr>
          <w:p w14:paraId="68430626"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6E4FC388" w14:textId="3202E244" w:rsidR="00C33F1A" w:rsidRPr="007765EE" w:rsidRDefault="00EB3F6D" w:rsidP="007765EE">
            <w:pPr>
              <w:spacing w:before="0" w:after="0"/>
              <w:rPr>
                <w:rFonts w:ascii="Calibri" w:eastAsia="Times New Roman" w:hAnsi="Calibri" w:cs="Calibri"/>
                <w:color w:val="000000"/>
                <w:sz w:val="20"/>
                <w:szCs w:val="20"/>
                <w:lang w:eastAsia="es-MX"/>
              </w:rPr>
            </w:pPr>
            <w:r>
              <w:rPr>
                <w:rFonts w:ascii="Calibri" w:eastAsia="Times New Roman" w:hAnsi="Calibri" w:cstheme="minorHAnsi"/>
                <w:color w:val="000000"/>
                <w:sz w:val="20"/>
                <w:szCs w:val="20"/>
                <w:lang w:eastAsia="es-MX"/>
              </w:rPr>
              <w:t>Sí</w:t>
            </w:r>
          </w:p>
        </w:tc>
      </w:tr>
      <w:tr w:rsidR="00C33F1A" w:rsidRPr="007765EE" w14:paraId="09B821E6" w14:textId="77777777" w:rsidTr="00B4148F">
        <w:trPr>
          <w:trHeight w:val="20"/>
        </w:trPr>
        <w:tc>
          <w:tcPr>
            <w:tcW w:w="1821" w:type="pct"/>
            <w:shd w:val="clear" w:color="000000" w:fill="9CC2E5"/>
            <w:vAlign w:val="center"/>
            <w:hideMark/>
          </w:tcPr>
          <w:p w14:paraId="65E5BA24"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3922DE54" w14:textId="213A2A29" w:rsidR="00C33F1A" w:rsidRPr="007765EE" w:rsidRDefault="00EB3F6D" w:rsidP="007765EE">
            <w:pPr>
              <w:spacing w:before="0" w:after="0"/>
              <w:rPr>
                <w:rFonts w:ascii="Calibri" w:eastAsia="Times New Roman" w:hAnsi="Calibri" w:cs="Calibri"/>
                <w:color w:val="000000"/>
                <w:sz w:val="20"/>
                <w:szCs w:val="20"/>
                <w:lang w:eastAsia="es-MX"/>
              </w:rPr>
            </w:pPr>
            <w:r w:rsidRPr="00825CD1">
              <w:rPr>
                <w:rFonts w:eastAsia="Times New Roman" w:cstheme="minorHAnsi"/>
                <w:color w:val="000000"/>
                <w:sz w:val="20"/>
                <w:szCs w:val="20"/>
                <w:lang w:eastAsia="es-MX"/>
              </w:rPr>
              <w:t>Los recursos del FAFEF contribuyen a la administración de la deuda pública estatal apoyando su disminución para destinar mayores recursos a la inversión pública.</w:t>
            </w:r>
            <w:r>
              <w:rPr>
                <w:rFonts w:eastAsia="Times New Roman" w:cstheme="minorHAnsi"/>
                <w:color w:val="000000"/>
                <w:sz w:val="20"/>
                <w:szCs w:val="20"/>
                <w:lang w:eastAsia="es-MX"/>
              </w:rPr>
              <w:t xml:space="preserve"> El FAFEF complementa recursos provenientes del Ramo 28 en este Pp.</w:t>
            </w:r>
          </w:p>
        </w:tc>
      </w:tr>
      <w:tr w:rsidR="00C33F1A" w:rsidRPr="007765EE" w14:paraId="052602AF" w14:textId="77777777" w:rsidTr="00B4148F">
        <w:trPr>
          <w:trHeight w:val="20"/>
        </w:trPr>
        <w:tc>
          <w:tcPr>
            <w:tcW w:w="1821" w:type="pct"/>
            <w:shd w:val="clear" w:color="000000" w:fill="9CC2E5"/>
            <w:vAlign w:val="center"/>
            <w:hideMark/>
          </w:tcPr>
          <w:p w14:paraId="77F91ED0" w14:textId="77777777" w:rsidR="00C33F1A" w:rsidRPr="007765EE" w:rsidRDefault="00C33F1A" w:rsidP="007765EE">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2B1FFC7D" w14:textId="288DD8EA" w:rsidR="00C33F1A" w:rsidRPr="007765EE" w:rsidRDefault="00093741" w:rsidP="007765EE">
            <w:pPr>
              <w:spacing w:before="0" w:after="0"/>
              <w:rPr>
                <w:rFonts w:ascii="Calibri" w:eastAsia="Times New Roman" w:hAnsi="Calibri" w:cs="Calibri"/>
                <w:color w:val="000000"/>
                <w:sz w:val="20"/>
                <w:szCs w:val="20"/>
                <w:lang w:eastAsia="es-MX"/>
              </w:rPr>
            </w:pPr>
            <w:r w:rsidRPr="007765EE">
              <w:rPr>
                <w:rFonts w:ascii="Calibri" w:eastAsia="Times New Roman" w:hAnsi="Calibri" w:cs="Calibri"/>
                <w:color w:val="000000"/>
                <w:sz w:val="20"/>
                <w:szCs w:val="20"/>
                <w:lang w:eastAsia="es-MX"/>
              </w:rPr>
              <w:t>Sin recomendación</w:t>
            </w:r>
          </w:p>
        </w:tc>
      </w:tr>
    </w:tbl>
    <w:p w14:paraId="7E9AA82C" w14:textId="16C40767" w:rsidR="003C6346" w:rsidRPr="00D746C0" w:rsidRDefault="003C6346" w:rsidP="00D746C0">
      <w:pPr>
        <w:jc w:val="left"/>
        <w:rPr>
          <w:rFonts w:ascii="Arial" w:eastAsia="Calibri" w:hAnsi="Arial" w:cs="Arial"/>
          <w:bCs/>
          <w:sz w:val="4"/>
          <w:szCs w:val="4"/>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EB3F6D" w:rsidRPr="00B4148F" w14:paraId="516D237B" w14:textId="77777777" w:rsidTr="00B4148F">
        <w:trPr>
          <w:trHeight w:val="20"/>
        </w:trPr>
        <w:tc>
          <w:tcPr>
            <w:tcW w:w="1821" w:type="pct"/>
            <w:shd w:val="clear" w:color="000000" w:fill="9CC2E5"/>
            <w:vAlign w:val="center"/>
            <w:hideMark/>
          </w:tcPr>
          <w:p w14:paraId="25A46509"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2EC4DD5E" w14:textId="5F615A56"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Programa con mis útiles a la escuela</w:t>
            </w:r>
          </w:p>
        </w:tc>
      </w:tr>
      <w:tr w:rsidR="00EB3F6D" w:rsidRPr="00B4148F" w14:paraId="63CE1659" w14:textId="77777777" w:rsidTr="00B4148F">
        <w:trPr>
          <w:trHeight w:val="20"/>
        </w:trPr>
        <w:tc>
          <w:tcPr>
            <w:tcW w:w="1821" w:type="pct"/>
            <w:shd w:val="clear" w:color="000000" w:fill="9CC2E5"/>
            <w:vAlign w:val="center"/>
            <w:hideMark/>
          </w:tcPr>
          <w:p w14:paraId="62F718B2"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3C7B5DE6" w14:textId="664D4A71"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S131</w:t>
            </w:r>
          </w:p>
        </w:tc>
      </w:tr>
      <w:tr w:rsidR="00EB3F6D" w:rsidRPr="00B4148F" w14:paraId="18F8BCB3" w14:textId="77777777" w:rsidTr="00B4148F">
        <w:trPr>
          <w:trHeight w:val="20"/>
        </w:trPr>
        <w:tc>
          <w:tcPr>
            <w:tcW w:w="1821" w:type="pct"/>
            <w:shd w:val="clear" w:color="000000" w:fill="9CC2E5"/>
            <w:vAlign w:val="center"/>
            <w:hideMark/>
          </w:tcPr>
          <w:p w14:paraId="743C2D58"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43A48114" w14:textId="210A6B01"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Educación</w:t>
            </w:r>
          </w:p>
        </w:tc>
      </w:tr>
      <w:tr w:rsidR="00EB3F6D" w:rsidRPr="00B4148F" w14:paraId="1FCA73F9" w14:textId="77777777" w:rsidTr="00B4148F">
        <w:trPr>
          <w:trHeight w:val="20"/>
        </w:trPr>
        <w:tc>
          <w:tcPr>
            <w:tcW w:w="1821" w:type="pct"/>
            <w:shd w:val="clear" w:color="000000" w:fill="9CC2E5"/>
            <w:vAlign w:val="center"/>
            <w:hideMark/>
          </w:tcPr>
          <w:p w14:paraId="196BF01A"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5CE6DD73" w14:textId="640338DB" w:rsidR="00EB3F6D" w:rsidRPr="00B4148F" w:rsidRDefault="00EB3F6D" w:rsidP="00EB3F6D">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El alumnado del nivel básico que se encuentran en situación de muy alto, alto y medio grado de marginación permanecen en el Sistema Educativo Público Estatal</w:t>
            </w:r>
          </w:p>
        </w:tc>
      </w:tr>
      <w:tr w:rsidR="00EB3F6D" w:rsidRPr="00B4148F" w14:paraId="1F3BCE7A" w14:textId="77777777" w:rsidTr="00B4148F">
        <w:trPr>
          <w:trHeight w:val="20"/>
        </w:trPr>
        <w:tc>
          <w:tcPr>
            <w:tcW w:w="1821" w:type="pct"/>
            <w:shd w:val="clear" w:color="000000" w:fill="9CC2E5"/>
            <w:vAlign w:val="center"/>
            <w:hideMark/>
          </w:tcPr>
          <w:p w14:paraId="34CFE037"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25D95FC5" w14:textId="2BE6FF7B"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Estudiantes del sistema educativo público estatal </w:t>
            </w:r>
          </w:p>
        </w:tc>
      </w:tr>
      <w:tr w:rsidR="00EB3F6D" w:rsidRPr="00B4148F" w14:paraId="49A691B2" w14:textId="77777777" w:rsidTr="00B4148F">
        <w:trPr>
          <w:trHeight w:val="20"/>
        </w:trPr>
        <w:tc>
          <w:tcPr>
            <w:tcW w:w="1821" w:type="pct"/>
            <w:shd w:val="clear" w:color="000000" w:fill="9CC2E5"/>
            <w:vAlign w:val="center"/>
            <w:hideMark/>
          </w:tcPr>
          <w:p w14:paraId="546CE3DA"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706E119C" w14:textId="434E6EC3" w:rsidR="00EB3F6D" w:rsidRPr="00B4148F" w:rsidRDefault="00EB3F6D" w:rsidP="00EB1DD1">
            <w:pPr>
              <w:spacing w:before="0" w:after="0"/>
              <w:rPr>
                <w:rFonts w:ascii="Calibri" w:eastAsia="Times New Roman" w:hAnsi="Calibri" w:cs="Calibri"/>
                <w:color w:val="000000"/>
                <w:sz w:val="20"/>
                <w:szCs w:val="20"/>
                <w:lang w:eastAsia="es-MX"/>
              </w:rPr>
            </w:pPr>
            <w:r w:rsidRPr="00B4148F">
              <w:rPr>
                <w:sz w:val="20"/>
                <w:szCs w:val="20"/>
              </w:rPr>
              <w:t xml:space="preserve">Paquetes de útiles y uniformes escolares. </w:t>
            </w:r>
          </w:p>
        </w:tc>
      </w:tr>
      <w:tr w:rsidR="00EB3F6D" w:rsidRPr="00B4148F" w14:paraId="59A5CF19" w14:textId="77777777" w:rsidTr="00B4148F">
        <w:trPr>
          <w:trHeight w:val="20"/>
        </w:trPr>
        <w:tc>
          <w:tcPr>
            <w:tcW w:w="1821" w:type="pct"/>
            <w:shd w:val="clear" w:color="000000" w:fill="9CC2E5"/>
            <w:vAlign w:val="center"/>
            <w:hideMark/>
          </w:tcPr>
          <w:p w14:paraId="1630359B"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528529EA"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EB3F6D" w:rsidRPr="00B4148F" w14:paraId="7BABB0CF" w14:textId="77777777" w:rsidTr="00B4148F">
        <w:trPr>
          <w:trHeight w:val="20"/>
        </w:trPr>
        <w:tc>
          <w:tcPr>
            <w:tcW w:w="1821" w:type="pct"/>
            <w:shd w:val="clear" w:color="000000" w:fill="9CC2E5"/>
            <w:vAlign w:val="center"/>
            <w:hideMark/>
          </w:tcPr>
          <w:p w14:paraId="4906CACC"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249ED059" w14:textId="7A37FED0"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EB3F6D" w:rsidRPr="00B4148F" w14:paraId="3ED502C3" w14:textId="77777777" w:rsidTr="00B4148F">
        <w:trPr>
          <w:trHeight w:val="20"/>
        </w:trPr>
        <w:tc>
          <w:tcPr>
            <w:tcW w:w="1821" w:type="pct"/>
            <w:shd w:val="clear" w:color="000000" w:fill="9CC2E5"/>
            <w:vAlign w:val="center"/>
            <w:hideMark/>
          </w:tcPr>
          <w:p w14:paraId="04AAE42C"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2B001FE9"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EB3F6D" w:rsidRPr="00B4148F" w14:paraId="299B8440" w14:textId="77777777" w:rsidTr="00B4148F">
        <w:trPr>
          <w:trHeight w:val="20"/>
        </w:trPr>
        <w:tc>
          <w:tcPr>
            <w:tcW w:w="1821" w:type="pct"/>
            <w:shd w:val="clear" w:color="000000" w:fill="9CC2E5"/>
            <w:vAlign w:val="center"/>
            <w:hideMark/>
          </w:tcPr>
          <w:p w14:paraId="0CD7D9DF"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4FCDEA1F"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EB3F6D" w:rsidRPr="00B4148F" w14:paraId="4E0639A0" w14:textId="77777777" w:rsidTr="00B4148F">
        <w:trPr>
          <w:trHeight w:val="20"/>
        </w:trPr>
        <w:tc>
          <w:tcPr>
            <w:tcW w:w="1821" w:type="pct"/>
            <w:shd w:val="clear" w:color="000000" w:fill="9CC2E5"/>
            <w:vAlign w:val="center"/>
            <w:hideMark/>
          </w:tcPr>
          <w:p w14:paraId="4E2D4EAF"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lastRenderedPageBreak/>
              <w:t>Argumentación</w:t>
            </w:r>
          </w:p>
        </w:tc>
        <w:tc>
          <w:tcPr>
            <w:tcW w:w="3179" w:type="pct"/>
            <w:shd w:val="clear" w:color="auto" w:fill="auto"/>
            <w:vAlign w:val="center"/>
          </w:tcPr>
          <w:p w14:paraId="3B307BB2" w14:textId="79D048D5"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Contribuye a disminuir las desigualdades sociales en los niveles educativos del estado de Tamaulipas mediante el porcentaje de la permanencia de estudiantes del sistema educativo estatal que se encuentran en situación de vulnerabilidad. El FFAEF potencia recursos estatales.</w:t>
            </w:r>
          </w:p>
        </w:tc>
      </w:tr>
      <w:tr w:rsidR="00EB3F6D" w:rsidRPr="00B4148F" w14:paraId="10D14A46" w14:textId="77777777" w:rsidTr="00B4148F">
        <w:trPr>
          <w:trHeight w:val="20"/>
        </w:trPr>
        <w:tc>
          <w:tcPr>
            <w:tcW w:w="1821" w:type="pct"/>
            <w:shd w:val="clear" w:color="000000" w:fill="9CC2E5"/>
            <w:vAlign w:val="center"/>
            <w:hideMark/>
          </w:tcPr>
          <w:p w14:paraId="5FDD806C"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4F948C25"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795CC006" w14:textId="733AD8A5" w:rsidR="003655C5" w:rsidRPr="00D746C0" w:rsidRDefault="003655C5"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EB3F6D" w:rsidRPr="00B4148F" w14:paraId="1A15039E" w14:textId="77777777" w:rsidTr="00B4148F">
        <w:trPr>
          <w:trHeight w:val="20"/>
        </w:trPr>
        <w:tc>
          <w:tcPr>
            <w:tcW w:w="1821" w:type="pct"/>
            <w:shd w:val="clear" w:color="000000" w:fill="9CC2E5"/>
            <w:vAlign w:val="center"/>
            <w:hideMark/>
          </w:tcPr>
          <w:p w14:paraId="253C5989"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1743AB72" w14:textId="6C63160A" w:rsidR="00EB3F6D" w:rsidRPr="00B4148F" w:rsidRDefault="00785EFB"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Mantenimiento de infraestructura</w:t>
            </w:r>
          </w:p>
        </w:tc>
      </w:tr>
      <w:tr w:rsidR="00EB3F6D" w:rsidRPr="00B4148F" w14:paraId="42F7CE14" w14:textId="77777777" w:rsidTr="00B4148F">
        <w:trPr>
          <w:trHeight w:val="20"/>
        </w:trPr>
        <w:tc>
          <w:tcPr>
            <w:tcW w:w="1821" w:type="pct"/>
            <w:shd w:val="clear" w:color="000000" w:fill="9CC2E5"/>
            <w:vAlign w:val="center"/>
            <w:hideMark/>
          </w:tcPr>
          <w:p w14:paraId="333877A7"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1852FE70" w14:textId="166ABF95" w:rsidR="00EB3F6D" w:rsidRPr="00B4148F" w:rsidRDefault="00785EFB"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K172</w:t>
            </w:r>
          </w:p>
        </w:tc>
      </w:tr>
      <w:tr w:rsidR="00EB3F6D" w:rsidRPr="00B4148F" w14:paraId="41B8A6A9" w14:textId="77777777" w:rsidTr="00B4148F">
        <w:trPr>
          <w:trHeight w:val="20"/>
        </w:trPr>
        <w:tc>
          <w:tcPr>
            <w:tcW w:w="1821" w:type="pct"/>
            <w:shd w:val="clear" w:color="000000" w:fill="9CC2E5"/>
            <w:vAlign w:val="center"/>
            <w:hideMark/>
          </w:tcPr>
          <w:p w14:paraId="37A9A25E"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01C6C678" w14:textId="3BE96EE1" w:rsidR="00EB3F6D" w:rsidRPr="00B4148F" w:rsidRDefault="00785EF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EB3F6D" w:rsidRPr="00B4148F" w14:paraId="50EEEF34" w14:textId="77777777" w:rsidTr="00B4148F">
        <w:trPr>
          <w:trHeight w:val="20"/>
        </w:trPr>
        <w:tc>
          <w:tcPr>
            <w:tcW w:w="1821" w:type="pct"/>
            <w:shd w:val="clear" w:color="000000" w:fill="9CC2E5"/>
            <w:vAlign w:val="center"/>
            <w:hideMark/>
          </w:tcPr>
          <w:p w14:paraId="63DE7CA8"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69613303" w14:textId="0CE92263" w:rsidR="00EB3F6D" w:rsidRPr="00B4148F" w:rsidRDefault="00785EFB" w:rsidP="00EB1DD1">
            <w:pPr>
              <w:spacing w:before="0" w:after="0"/>
              <w:rPr>
                <w:rFonts w:ascii="Calibri" w:eastAsia="Times New Roman" w:hAnsi="Calibri" w:cs="Calibri"/>
                <w:color w:val="000000"/>
                <w:sz w:val="20"/>
                <w:szCs w:val="20"/>
                <w:lang w:eastAsia="es-MX"/>
              </w:rPr>
            </w:pPr>
            <w:r w:rsidRPr="00B4148F">
              <w:rPr>
                <w:sz w:val="20"/>
                <w:szCs w:val="20"/>
              </w:rPr>
              <w:t>Desarrollar la infraestructura, el equipamiento y las condiciones que contribuyan a la mejora de la competitividad del estado y la calidad de vida de sus habitantes</w:t>
            </w:r>
          </w:p>
        </w:tc>
      </w:tr>
      <w:tr w:rsidR="00EB3F6D" w:rsidRPr="00B4148F" w14:paraId="06155922" w14:textId="77777777" w:rsidTr="00B4148F">
        <w:trPr>
          <w:trHeight w:val="20"/>
        </w:trPr>
        <w:tc>
          <w:tcPr>
            <w:tcW w:w="1821" w:type="pct"/>
            <w:shd w:val="clear" w:color="000000" w:fill="9CC2E5"/>
            <w:vAlign w:val="center"/>
            <w:hideMark/>
          </w:tcPr>
          <w:p w14:paraId="795B740E"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448038F1" w14:textId="6258578A" w:rsidR="00EB3F6D" w:rsidRPr="00B4148F" w:rsidRDefault="00785EF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EB3F6D" w:rsidRPr="00B4148F" w14:paraId="66CAA2FC" w14:textId="77777777" w:rsidTr="00B4148F">
        <w:trPr>
          <w:trHeight w:val="20"/>
        </w:trPr>
        <w:tc>
          <w:tcPr>
            <w:tcW w:w="1821" w:type="pct"/>
            <w:shd w:val="clear" w:color="000000" w:fill="9CC2E5"/>
            <w:vAlign w:val="center"/>
            <w:hideMark/>
          </w:tcPr>
          <w:p w14:paraId="7C09302F"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078A7C2E" w14:textId="3ACDD78B" w:rsidR="00EB3F6D" w:rsidRPr="00B4148F" w:rsidRDefault="00785EF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Obras de mantenimiento, modernización y equipamiento de infraestructura en las principales ciudades del Estado. </w:t>
            </w:r>
          </w:p>
        </w:tc>
      </w:tr>
      <w:tr w:rsidR="00EB3F6D" w:rsidRPr="00B4148F" w14:paraId="0732ED4C" w14:textId="77777777" w:rsidTr="00B4148F">
        <w:trPr>
          <w:trHeight w:val="20"/>
        </w:trPr>
        <w:tc>
          <w:tcPr>
            <w:tcW w:w="1821" w:type="pct"/>
            <w:shd w:val="clear" w:color="000000" w:fill="9CC2E5"/>
            <w:vAlign w:val="center"/>
            <w:hideMark/>
          </w:tcPr>
          <w:p w14:paraId="06DB992F"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31904850"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EB3F6D" w:rsidRPr="00B4148F" w14:paraId="36A80E76" w14:textId="77777777" w:rsidTr="00B4148F">
        <w:trPr>
          <w:trHeight w:val="20"/>
        </w:trPr>
        <w:tc>
          <w:tcPr>
            <w:tcW w:w="1821" w:type="pct"/>
            <w:shd w:val="clear" w:color="000000" w:fill="9CC2E5"/>
            <w:vAlign w:val="center"/>
            <w:hideMark/>
          </w:tcPr>
          <w:p w14:paraId="47C633FB"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19C506F1"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EB3F6D" w:rsidRPr="00B4148F" w14:paraId="54E03881" w14:textId="77777777" w:rsidTr="00B4148F">
        <w:trPr>
          <w:trHeight w:val="20"/>
        </w:trPr>
        <w:tc>
          <w:tcPr>
            <w:tcW w:w="1821" w:type="pct"/>
            <w:shd w:val="clear" w:color="000000" w:fill="9CC2E5"/>
            <w:vAlign w:val="center"/>
            <w:hideMark/>
          </w:tcPr>
          <w:p w14:paraId="683FA692"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6CE629D8"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EB3F6D" w:rsidRPr="00B4148F" w14:paraId="7B531386" w14:textId="77777777" w:rsidTr="00B4148F">
        <w:trPr>
          <w:trHeight w:val="20"/>
        </w:trPr>
        <w:tc>
          <w:tcPr>
            <w:tcW w:w="1821" w:type="pct"/>
            <w:shd w:val="clear" w:color="000000" w:fill="9CC2E5"/>
            <w:vAlign w:val="center"/>
            <w:hideMark/>
          </w:tcPr>
          <w:p w14:paraId="38E4A294"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363DC8F4"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EB3F6D" w:rsidRPr="00B4148F" w14:paraId="52CA12D7" w14:textId="77777777" w:rsidTr="00B4148F">
        <w:trPr>
          <w:trHeight w:val="20"/>
        </w:trPr>
        <w:tc>
          <w:tcPr>
            <w:tcW w:w="1821" w:type="pct"/>
            <w:shd w:val="clear" w:color="000000" w:fill="9CC2E5"/>
            <w:vAlign w:val="center"/>
            <w:hideMark/>
          </w:tcPr>
          <w:p w14:paraId="3D21088C"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3751A8EB" w14:textId="56DB44D9" w:rsidR="00EB3F6D"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Contribuye a la mejora de los servicios públicos mediante programas de infraestructura y equipamiento de las principales ciudades del estado.</w:t>
            </w:r>
          </w:p>
        </w:tc>
      </w:tr>
      <w:tr w:rsidR="00EB3F6D" w:rsidRPr="00B4148F" w14:paraId="0EFD486C" w14:textId="77777777" w:rsidTr="00B4148F">
        <w:trPr>
          <w:trHeight w:val="20"/>
        </w:trPr>
        <w:tc>
          <w:tcPr>
            <w:tcW w:w="1821" w:type="pct"/>
            <w:shd w:val="clear" w:color="000000" w:fill="9CC2E5"/>
            <w:vAlign w:val="center"/>
            <w:hideMark/>
          </w:tcPr>
          <w:p w14:paraId="2D41A948" w14:textId="77777777" w:rsidR="00EB3F6D" w:rsidRPr="00B4148F" w:rsidRDefault="00EB3F6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4B080D91" w14:textId="77777777" w:rsidR="00EB3F6D" w:rsidRPr="00B4148F" w:rsidRDefault="00EB3F6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33963A03" w14:textId="1DD19896" w:rsidR="00EB3F6D" w:rsidRPr="00D746C0" w:rsidRDefault="00EB3F6D"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ED1BA3" w:rsidRPr="00B4148F" w14:paraId="59B0B576" w14:textId="77777777" w:rsidTr="00B4148F">
        <w:trPr>
          <w:trHeight w:val="20"/>
        </w:trPr>
        <w:tc>
          <w:tcPr>
            <w:tcW w:w="1821" w:type="pct"/>
            <w:shd w:val="clear" w:color="000000" w:fill="9CC2E5"/>
            <w:vAlign w:val="center"/>
            <w:hideMark/>
          </w:tcPr>
          <w:p w14:paraId="41C2867C"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5EAE243A" w14:textId="4944210B" w:rsidR="00ED1BA3" w:rsidRPr="00B4148F" w:rsidRDefault="00B349CF"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Proyectos de construcción de puerto</w:t>
            </w:r>
            <w:r w:rsidR="009633EC">
              <w:rPr>
                <w:rFonts w:eastAsia="Times New Roman" w:cstheme="minorHAnsi"/>
                <w:color w:val="000000"/>
                <w:sz w:val="20"/>
                <w:szCs w:val="20"/>
                <w:lang w:eastAsia="es-MX"/>
              </w:rPr>
              <w:t>s</w:t>
            </w:r>
          </w:p>
        </w:tc>
      </w:tr>
      <w:tr w:rsidR="00ED1BA3" w:rsidRPr="00B4148F" w14:paraId="598BAB55" w14:textId="77777777" w:rsidTr="00B4148F">
        <w:trPr>
          <w:trHeight w:val="20"/>
        </w:trPr>
        <w:tc>
          <w:tcPr>
            <w:tcW w:w="1821" w:type="pct"/>
            <w:shd w:val="clear" w:color="000000" w:fill="9CC2E5"/>
            <w:vAlign w:val="center"/>
            <w:hideMark/>
          </w:tcPr>
          <w:p w14:paraId="6B2E5B63"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6C74D7E7" w14:textId="04D745F4"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K17</w:t>
            </w:r>
            <w:r w:rsidR="00B349CF" w:rsidRPr="00B4148F">
              <w:rPr>
                <w:rFonts w:eastAsia="Times New Roman" w:cstheme="minorHAnsi"/>
                <w:color w:val="000000"/>
                <w:sz w:val="20"/>
                <w:szCs w:val="20"/>
                <w:lang w:eastAsia="es-MX"/>
              </w:rPr>
              <w:t>7</w:t>
            </w:r>
          </w:p>
        </w:tc>
      </w:tr>
      <w:tr w:rsidR="00ED1BA3" w:rsidRPr="00B4148F" w14:paraId="5681D5C9" w14:textId="77777777" w:rsidTr="00B4148F">
        <w:trPr>
          <w:trHeight w:val="20"/>
        </w:trPr>
        <w:tc>
          <w:tcPr>
            <w:tcW w:w="1821" w:type="pct"/>
            <w:shd w:val="clear" w:color="000000" w:fill="9CC2E5"/>
            <w:vAlign w:val="center"/>
            <w:hideMark/>
          </w:tcPr>
          <w:p w14:paraId="5E38C3CE"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42BC8D34"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ED1BA3" w:rsidRPr="00B4148F" w14:paraId="237872C3" w14:textId="77777777" w:rsidTr="00B4148F">
        <w:trPr>
          <w:trHeight w:val="20"/>
        </w:trPr>
        <w:tc>
          <w:tcPr>
            <w:tcW w:w="1821" w:type="pct"/>
            <w:shd w:val="clear" w:color="000000" w:fill="9CC2E5"/>
            <w:vAlign w:val="center"/>
            <w:hideMark/>
          </w:tcPr>
          <w:p w14:paraId="4DF36E50"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0EDBDB4B"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sz w:val="20"/>
                <w:szCs w:val="20"/>
              </w:rPr>
              <w:t>Desarrollar la infraestructura, el equipamiento y las condiciones que contribuyan a la mejora de la competitividad del estado y la calidad de vida de sus habitantes</w:t>
            </w:r>
          </w:p>
        </w:tc>
      </w:tr>
      <w:tr w:rsidR="00ED1BA3" w:rsidRPr="00B4148F" w14:paraId="62390F22" w14:textId="77777777" w:rsidTr="00B4148F">
        <w:trPr>
          <w:trHeight w:val="20"/>
        </w:trPr>
        <w:tc>
          <w:tcPr>
            <w:tcW w:w="1821" w:type="pct"/>
            <w:shd w:val="clear" w:color="000000" w:fill="9CC2E5"/>
            <w:vAlign w:val="center"/>
            <w:hideMark/>
          </w:tcPr>
          <w:p w14:paraId="5ED76440"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082DDB0C"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ED1BA3" w:rsidRPr="00B4148F" w14:paraId="2474F698" w14:textId="77777777" w:rsidTr="00B4148F">
        <w:trPr>
          <w:trHeight w:val="20"/>
        </w:trPr>
        <w:tc>
          <w:tcPr>
            <w:tcW w:w="1821" w:type="pct"/>
            <w:shd w:val="clear" w:color="000000" w:fill="9CC2E5"/>
            <w:vAlign w:val="center"/>
            <w:hideMark/>
          </w:tcPr>
          <w:p w14:paraId="420678E6"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0D58D877" w14:textId="0D91892E" w:rsidR="00ED1BA3" w:rsidRPr="00B4148F" w:rsidRDefault="00B349CF"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Estudios y proyectos de construcción y mantenimiento de puertos </w:t>
            </w:r>
          </w:p>
        </w:tc>
      </w:tr>
      <w:tr w:rsidR="00ED1BA3" w:rsidRPr="00B4148F" w14:paraId="48F45BC3" w14:textId="77777777" w:rsidTr="00B4148F">
        <w:trPr>
          <w:trHeight w:val="20"/>
        </w:trPr>
        <w:tc>
          <w:tcPr>
            <w:tcW w:w="1821" w:type="pct"/>
            <w:shd w:val="clear" w:color="000000" w:fill="9CC2E5"/>
            <w:vAlign w:val="center"/>
            <w:hideMark/>
          </w:tcPr>
          <w:p w14:paraId="3624E2E3"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4020E4BF"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ED1BA3" w:rsidRPr="00B4148F" w14:paraId="7DEAD511" w14:textId="77777777" w:rsidTr="00B4148F">
        <w:trPr>
          <w:trHeight w:val="20"/>
        </w:trPr>
        <w:tc>
          <w:tcPr>
            <w:tcW w:w="1821" w:type="pct"/>
            <w:shd w:val="clear" w:color="000000" w:fill="9CC2E5"/>
            <w:vAlign w:val="center"/>
            <w:hideMark/>
          </w:tcPr>
          <w:p w14:paraId="617122A7"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4C4B4033"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ED1BA3" w:rsidRPr="00B4148F" w14:paraId="674C30BE" w14:textId="77777777" w:rsidTr="00B4148F">
        <w:trPr>
          <w:trHeight w:val="20"/>
        </w:trPr>
        <w:tc>
          <w:tcPr>
            <w:tcW w:w="1821" w:type="pct"/>
            <w:shd w:val="clear" w:color="000000" w:fill="9CC2E5"/>
            <w:vAlign w:val="center"/>
            <w:hideMark/>
          </w:tcPr>
          <w:p w14:paraId="34FCE6A3"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6528BF9F"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ED1BA3" w:rsidRPr="00B4148F" w14:paraId="357245BF" w14:textId="77777777" w:rsidTr="00B4148F">
        <w:trPr>
          <w:trHeight w:val="20"/>
        </w:trPr>
        <w:tc>
          <w:tcPr>
            <w:tcW w:w="1821" w:type="pct"/>
            <w:shd w:val="clear" w:color="000000" w:fill="9CC2E5"/>
            <w:vAlign w:val="center"/>
            <w:hideMark/>
          </w:tcPr>
          <w:p w14:paraId="70F6DE22"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49B4BAE2"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ED1BA3" w:rsidRPr="00B4148F" w14:paraId="301E6A07" w14:textId="77777777" w:rsidTr="00B4148F">
        <w:trPr>
          <w:trHeight w:val="20"/>
        </w:trPr>
        <w:tc>
          <w:tcPr>
            <w:tcW w:w="1821" w:type="pct"/>
            <w:shd w:val="clear" w:color="000000" w:fill="9CC2E5"/>
            <w:vAlign w:val="center"/>
            <w:hideMark/>
          </w:tcPr>
          <w:p w14:paraId="7BEA7B76"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6D8F5E38" w14:textId="0707A710" w:rsidR="00ED1BA3" w:rsidRPr="00B4148F" w:rsidRDefault="00B349CF"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Contribuye a la mejora de los servicios públicos mediante programas de infraestructura y equipamiento de las principales ciudades del estado.</w:t>
            </w:r>
          </w:p>
        </w:tc>
      </w:tr>
      <w:tr w:rsidR="00ED1BA3" w:rsidRPr="00B4148F" w14:paraId="3B4DC23A" w14:textId="77777777" w:rsidTr="00B4148F">
        <w:trPr>
          <w:trHeight w:val="20"/>
        </w:trPr>
        <w:tc>
          <w:tcPr>
            <w:tcW w:w="1821" w:type="pct"/>
            <w:shd w:val="clear" w:color="000000" w:fill="9CC2E5"/>
            <w:vAlign w:val="center"/>
            <w:hideMark/>
          </w:tcPr>
          <w:p w14:paraId="19D666BC" w14:textId="77777777" w:rsidR="00ED1BA3" w:rsidRPr="00B4148F" w:rsidRDefault="00ED1BA3"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51300C1E" w14:textId="77777777" w:rsidR="00ED1BA3" w:rsidRPr="00B4148F" w:rsidRDefault="00ED1BA3"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0CD77C26" w14:textId="55B47B8F" w:rsidR="00ED1BA3" w:rsidRDefault="00ED1BA3" w:rsidP="00D746C0">
      <w:pPr>
        <w:jc w:val="left"/>
        <w:rPr>
          <w:rFonts w:ascii="Arial" w:eastAsia="Calibri" w:hAnsi="Arial" w:cs="Arial"/>
          <w:bCs/>
          <w:sz w:val="2"/>
          <w:szCs w:val="2"/>
        </w:rPr>
      </w:pPr>
    </w:p>
    <w:p w14:paraId="07F5119E" w14:textId="77777777" w:rsidR="009633EC" w:rsidRDefault="009633EC" w:rsidP="00D746C0">
      <w:pPr>
        <w:jc w:val="left"/>
        <w:rPr>
          <w:rFonts w:ascii="Arial" w:eastAsia="Calibri" w:hAnsi="Arial" w:cs="Arial"/>
          <w:bCs/>
          <w:sz w:val="2"/>
          <w:szCs w:val="2"/>
        </w:rPr>
      </w:pPr>
    </w:p>
    <w:p w14:paraId="30FC35E7" w14:textId="56AC99BC" w:rsidR="00B4148F" w:rsidRDefault="00B4148F" w:rsidP="00D746C0">
      <w:pPr>
        <w:jc w:val="left"/>
        <w:rPr>
          <w:rFonts w:ascii="Arial" w:eastAsia="Calibri" w:hAnsi="Arial" w:cs="Arial"/>
          <w:bCs/>
          <w:sz w:val="2"/>
          <w:szCs w:val="2"/>
        </w:rPr>
      </w:pPr>
    </w:p>
    <w:p w14:paraId="3692B1B1" w14:textId="77777777" w:rsidR="00B4148F" w:rsidRDefault="00B4148F" w:rsidP="00D746C0">
      <w:pPr>
        <w:jc w:val="left"/>
        <w:rPr>
          <w:rFonts w:ascii="Arial" w:eastAsia="Calibri" w:hAnsi="Arial" w:cs="Arial"/>
          <w:bCs/>
          <w:sz w:val="2"/>
          <w:szCs w:val="2"/>
        </w:rPr>
      </w:pPr>
    </w:p>
    <w:p w14:paraId="1737E768" w14:textId="56B53AC6" w:rsidR="00D746C0" w:rsidRDefault="00D746C0" w:rsidP="00D746C0">
      <w:pPr>
        <w:jc w:val="left"/>
        <w:rPr>
          <w:rFonts w:ascii="Arial" w:eastAsia="Calibri" w:hAnsi="Arial" w:cs="Arial"/>
          <w:bCs/>
          <w:sz w:val="2"/>
          <w:szCs w:val="2"/>
        </w:rPr>
      </w:pPr>
    </w:p>
    <w:p w14:paraId="019CAE67" w14:textId="77777777" w:rsidR="00D746C0" w:rsidRPr="00D746C0" w:rsidRDefault="00D746C0"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7F367D" w:rsidRPr="007765EE" w14:paraId="268206B9" w14:textId="77777777" w:rsidTr="00B4148F">
        <w:trPr>
          <w:trHeight w:val="20"/>
        </w:trPr>
        <w:tc>
          <w:tcPr>
            <w:tcW w:w="1821" w:type="pct"/>
            <w:shd w:val="clear" w:color="000000" w:fill="9CC2E5"/>
            <w:vAlign w:val="center"/>
            <w:hideMark/>
          </w:tcPr>
          <w:p w14:paraId="3B2402EC"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lastRenderedPageBreak/>
              <w:t>Nombre de las políticas, programas o proyectos locales</w:t>
            </w:r>
          </w:p>
        </w:tc>
        <w:tc>
          <w:tcPr>
            <w:tcW w:w="3179" w:type="pct"/>
            <w:shd w:val="clear" w:color="auto" w:fill="auto"/>
            <w:vAlign w:val="center"/>
            <w:hideMark/>
          </w:tcPr>
          <w:p w14:paraId="6F90F132" w14:textId="288ED7BA" w:rsidR="007F367D" w:rsidRPr="007765EE" w:rsidRDefault="007F367D" w:rsidP="00EB1DD1">
            <w:pPr>
              <w:spacing w:before="0" w:after="0"/>
              <w:rPr>
                <w:rFonts w:ascii="Calibri" w:eastAsia="Times New Roman" w:hAnsi="Calibri" w:cs="Calibri"/>
                <w:color w:val="000000"/>
                <w:sz w:val="20"/>
                <w:szCs w:val="20"/>
                <w:lang w:eastAsia="es-MX"/>
              </w:rPr>
            </w:pPr>
            <w:r w:rsidRPr="00825CD1">
              <w:rPr>
                <w:rFonts w:eastAsia="Times New Roman" w:cstheme="minorHAnsi"/>
                <w:color w:val="000000"/>
                <w:sz w:val="20"/>
                <w:szCs w:val="20"/>
                <w:lang w:eastAsia="es-MX"/>
              </w:rPr>
              <w:t>Proyectos de infraestructura de turismo</w:t>
            </w:r>
          </w:p>
        </w:tc>
      </w:tr>
      <w:tr w:rsidR="007F367D" w:rsidRPr="007765EE" w14:paraId="17DDE1C2" w14:textId="77777777" w:rsidTr="00B4148F">
        <w:trPr>
          <w:trHeight w:val="20"/>
        </w:trPr>
        <w:tc>
          <w:tcPr>
            <w:tcW w:w="1821" w:type="pct"/>
            <w:shd w:val="clear" w:color="000000" w:fill="9CC2E5"/>
            <w:vAlign w:val="center"/>
            <w:hideMark/>
          </w:tcPr>
          <w:p w14:paraId="6548AEE9"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306B1A54" w14:textId="617C69A6" w:rsidR="007F367D" w:rsidRPr="007765EE" w:rsidRDefault="007F367D" w:rsidP="00EB1DD1">
            <w:pPr>
              <w:spacing w:before="0" w:after="0"/>
              <w:rPr>
                <w:rFonts w:ascii="Calibri" w:eastAsia="Times New Roman" w:hAnsi="Calibri" w:cs="Calibri"/>
                <w:color w:val="000000"/>
                <w:sz w:val="20"/>
                <w:szCs w:val="20"/>
                <w:lang w:eastAsia="es-MX"/>
              </w:rPr>
            </w:pPr>
            <w:r>
              <w:rPr>
                <w:rFonts w:eastAsia="Times New Roman" w:cstheme="minorHAnsi"/>
                <w:color w:val="000000"/>
                <w:sz w:val="20"/>
                <w:szCs w:val="20"/>
                <w:lang w:eastAsia="es-MX"/>
              </w:rPr>
              <w:t>K180</w:t>
            </w:r>
          </w:p>
        </w:tc>
      </w:tr>
      <w:tr w:rsidR="007F367D" w:rsidRPr="007765EE" w14:paraId="60F83DC1" w14:textId="77777777" w:rsidTr="00B4148F">
        <w:trPr>
          <w:trHeight w:val="20"/>
        </w:trPr>
        <w:tc>
          <w:tcPr>
            <w:tcW w:w="1821" w:type="pct"/>
            <w:shd w:val="clear" w:color="000000" w:fill="9CC2E5"/>
            <w:vAlign w:val="center"/>
            <w:hideMark/>
          </w:tcPr>
          <w:p w14:paraId="362A8FC4"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19DA2633" w14:textId="7FB9C84E"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Turismo</w:t>
            </w:r>
          </w:p>
        </w:tc>
      </w:tr>
      <w:tr w:rsidR="007F367D" w:rsidRPr="007765EE" w14:paraId="0D0911E6" w14:textId="77777777" w:rsidTr="00B4148F">
        <w:trPr>
          <w:trHeight w:val="20"/>
        </w:trPr>
        <w:tc>
          <w:tcPr>
            <w:tcW w:w="1821" w:type="pct"/>
            <w:shd w:val="clear" w:color="000000" w:fill="9CC2E5"/>
            <w:vAlign w:val="center"/>
            <w:hideMark/>
          </w:tcPr>
          <w:p w14:paraId="2E65FD0A"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19A94000" w14:textId="73A727F3" w:rsidR="007F367D" w:rsidRPr="007765EE" w:rsidRDefault="007F367D" w:rsidP="007F367D">
            <w:pPr>
              <w:spacing w:before="0" w:after="0"/>
              <w:rPr>
                <w:rFonts w:ascii="Calibri" w:eastAsia="Times New Roman" w:hAnsi="Calibri" w:cs="Calibri"/>
                <w:color w:val="000000"/>
                <w:sz w:val="20"/>
                <w:szCs w:val="20"/>
                <w:lang w:eastAsia="es-MX"/>
              </w:rPr>
            </w:pPr>
            <w:r w:rsidRPr="007F367D">
              <w:rPr>
                <w:rFonts w:ascii="Calibri" w:eastAsia="Times New Roman" w:hAnsi="Calibri" w:cs="Calibri"/>
                <w:color w:val="000000"/>
                <w:sz w:val="20"/>
                <w:szCs w:val="20"/>
                <w:lang w:eastAsia="es-MX"/>
              </w:rPr>
              <w:t xml:space="preserve">Las regiones turísticas del </w:t>
            </w:r>
            <w:r>
              <w:rPr>
                <w:rFonts w:ascii="Calibri" w:eastAsia="Times New Roman" w:hAnsi="Calibri" w:cs="Calibri"/>
                <w:color w:val="000000"/>
                <w:sz w:val="20"/>
                <w:szCs w:val="20"/>
                <w:lang w:eastAsia="es-MX"/>
              </w:rPr>
              <w:t>E</w:t>
            </w:r>
            <w:r w:rsidRPr="007F367D">
              <w:rPr>
                <w:rFonts w:ascii="Calibri" w:eastAsia="Times New Roman" w:hAnsi="Calibri" w:cs="Calibri"/>
                <w:color w:val="000000"/>
                <w:sz w:val="20"/>
                <w:szCs w:val="20"/>
                <w:lang w:eastAsia="es-MX"/>
              </w:rPr>
              <w:t>stado de</w:t>
            </w:r>
            <w:r>
              <w:rPr>
                <w:rFonts w:ascii="Calibri" w:eastAsia="Times New Roman" w:hAnsi="Calibri" w:cs="Calibri"/>
                <w:color w:val="000000"/>
                <w:sz w:val="20"/>
                <w:szCs w:val="20"/>
                <w:lang w:eastAsia="es-MX"/>
              </w:rPr>
              <w:t xml:space="preserve"> T</w:t>
            </w:r>
            <w:r w:rsidRPr="007F367D">
              <w:rPr>
                <w:rFonts w:ascii="Calibri" w:eastAsia="Times New Roman" w:hAnsi="Calibri" w:cs="Calibri"/>
                <w:color w:val="000000"/>
                <w:sz w:val="20"/>
                <w:szCs w:val="20"/>
                <w:lang w:eastAsia="es-MX"/>
              </w:rPr>
              <w:t>amaulipas son fortalecidas mediante</w:t>
            </w:r>
            <w:r>
              <w:rPr>
                <w:rFonts w:ascii="Calibri" w:eastAsia="Times New Roman" w:hAnsi="Calibri" w:cs="Calibri"/>
                <w:color w:val="000000"/>
                <w:sz w:val="20"/>
                <w:szCs w:val="20"/>
                <w:lang w:eastAsia="es-MX"/>
              </w:rPr>
              <w:t xml:space="preserve"> </w:t>
            </w:r>
            <w:r w:rsidRPr="007F367D">
              <w:rPr>
                <w:rFonts w:ascii="Calibri" w:eastAsia="Times New Roman" w:hAnsi="Calibri" w:cs="Calibri"/>
                <w:color w:val="000000"/>
                <w:sz w:val="20"/>
                <w:szCs w:val="20"/>
                <w:lang w:eastAsia="es-MX"/>
              </w:rPr>
              <w:t>la construcción de infraestructura</w:t>
            </w:r>
            <w:r>
              <w:rPr>
                <w:rFonts w:ascii="Calibri" w:eastAsia="Times New Roman" w:hAnsi="Calibri" w:cs="Calibri"/>
                <w:color w:val="000000"/>
                <w:sz w:val="20"/>
                <w:szCs w:val="20"/>
                <w:lang w:eastAsia="es-MX"/>
              </w:rPr>
              <w:t xml:space="preserve"> </w:t>
            </w:r>
            <w:r w:rsidRPr="007F367D">
              <w:rPr>
                <w:rFonts w:ascii="Calibri" w:eastAsia="Times New Roman" w:hAnsi="Calibri" w:cs="Calibri"/>
                <w:color w:val="000000"/>
                <w:sz w:val="20"/>
                <w:szCs w:val="20"/>
                <w:lang w:eastAsia="es-MX"/>
              </w:rPr>
              <w:t>para elevar la competitividad.</w:t>
            </w:r>
          </w:p>
        </w:tc>
      </w:tr>
      <w:tr w:rsidR="007F367D" w:rsidRPr="007765EE" w14:paraId="36267F4F" w14:textId="77777777" w:rsidTr="00B4148F">
        <w:trPr>
          <w:trHeight w:val="20"/>
        </w:trPr>
        <w:tc>
          <w:tcPr>
            <w:tcW w:w="1821" w:type="pct"/>
            <w:shd w:val="clear" w:color="000000" w:fill="9CC2E5"/>
            <w:vAlign w:val="center"/>
            <w:hideMark/>
          </w:tcPr>
          <w:p w14:paraId="30006C7D"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1B4EB946" w14:textId="77777777"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Población total de Tamaulipas</w:t>
            </w:r>
          </w:p>
        </w:tc>
      </w:tr>
      <w:tr w:rsidR="007F367D" w:rsidRPr="007765EE" w14:paraId="20D0ADDF" w14:textId="77777777" w:rsidTr="00B4148F">
        <w:trPr>
          <w:trHeight w:val="20"/>
        </w:trPr>
        <w:tc>
          <w:tcPr>
            <w:tcW w:w="1821" w:type="pct"/>
            <w:shd w:val="clear" w:color="000000" w:fill="9CC2E5"/>
            <w:vAlign w:val="center"/>
            <w:hideMark/>
          </w:tcPr>
          <w:p w14:paraId="7DEEBB1C"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4A8D10F7" w14:textId="4158D278"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Construcción de obra pública para el turismo </w:t>
            </w:r>
          </w:p>
        </w:tc>
      </w:tr>
      <w:tr w:rsidR="007F367D" w:rsidRPr="007765EE" w14:paraId="7661F043" w14:textId="77777777" w:rsidTr="00B4148F">
        <w:trPr>
          <w:trHeight w:val="20"/>
        </w:trPr>
        <w:tc>
          <w:tcPr>
            <w:tcW w:w="1821" w:type="pct"/>
            <w:shd w:val="clear" w:color="000000" w:fill="9CC2E5"/>
            <w:vAlign w:val="center"/>
            <w:hideMark/>
          </w:tcPr>
          <w:p w14:paraId="00AB0B33"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3CD94612" w14:textId="77777777"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Estatal </w:t>
            </w:r>
          </w:p>
        </w:tc>
      </w:tr>
      <w:tr w:rsidR="007F367D" w:rsidRPr="007765EE" w14:paraId="467CE565" w14:textId="77777777" w:rsidTr="00B4148F">
        <w:trPr>
          <w:trHeight w:val="20"/>
        </w:trPr>
        <w:tc>
          <w:tcPr>
            <w:tcW w:w="1821" w:type="pct"/>
            <w:shd w:val="clear" w:color="000000" w:fill="9CC2E5"/>
            <w:vAlign w:val="center"/>
            <w:hideMark/>
          </w:tcPr>
          <w:p w14:paraId="264B29D6"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2C90B502" w14:textId="77777777"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MIR de Pp de Tamaulipas</w:t>
            </w:r>
          </w:p>
        </w:tc>
      </w:tr>
      <w:tr w:rsidR="007F367D" w:rsidRPr="007765EE" w14:paraId="1464F38E" w14:textId="77777777" w:rsidTr="00B4148F">
        <w:trPr>
          <w:trHeight w:val="20"/>
        </w:trPr>
        <w:tc>
          <w:tcPr>
            <w:tcW w:w="1821" w:type="pct"/>
            <w:shd w:val="clear" w:color="000000" w:fill="9CC2E5"/>
            <w:vAlign w:val="center"/>
            <w:hideMark/>
          </w:tcPr>
          <w:p w14:paraId="40791B19"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01116BE5" w14:textId="77777777" w:rsidR="007F367D" w:rsidRPr="007765EE" w:rsidRDefault="007F367D" w:rsidP="00EB1DD1">
            <w:pPr>
              <w:spacing w:before="0" w:after="0"/>
              <w:rPr>
                <w:rFonts w:ascii="Calibri" w:eastAsia="Times New Roman" w:hAnsi="Calibri" w:cs="Calibri"/>
                <w:color w:val="000000"/>
                <w:sz w:val="20"/>
                <w:szCs w:val="20"/>
                <w:lang w:eastAsia="es-MX"/>
              </w:rPr>
            </w:pPr>
            <w:r w:rsidRPr="007765EE">
              <w:rPr>
                <w:rFonts w:ascii="Calibri" w:eastAsia="Times New Roman" w:hAnsi="Calibri" w:cstheme="minorHAnsi"/>
                <w:color w:val="000000"/>
                <w:sz w:val="20"/>
                <w:szCs w:val="20"/>
                <w:lang w:eastAsia="es-MX"/>
              </w:rPr>
              <w:t>No</w:t>
            </w:r>
          </w:p>
        </w:tc>
      </w:tr>
      <w:tr w:rsidR="007F367D" w:rsidRPr="007765EE" w14:paraId="74DFED2F" w14:textId="77777777" w:rsidTr="00B4148F">
        <w:trPr>
          <w:trHeight w:val="20"/>
        </w:trPr>
        <w:tc>
          <w:tcPr>
            <w:tcW w:w="1821" w:type="pct"/>
            <w:shd w:val="clear" w:color="000000" w:fill="9CC2E5"/>
            <w:vAlign w:val="center"/>
            <w:hideMark/>
          </w:tcPr>
          <w:p w14:paraId="7FE04D60"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5B054975" w14:textId="77777777" w:rsidR="007F367D" w:rsidRPr="007765EE" w:rsidRDefault="007F367D" w:rsidP="00EB1DD1">
            <w:pPr>
              <w:spacing w:before="0" w:after="0"/>
              <w:rPr>
                <w:rFonts w:ascii="Calibri" w:eastAsia="Times New Roman" w:hAnsi="Calibri" w:cs="Calibri"/>
                <w:color w:val="000000"/>
                <w:sz w:val="20"/>
                <w:szCs w:val="20"/>
                <w:lang w:eastAsia="es-MX"/>
              </w:rPr>
            </w:pPr>
            <w:r>
              <w:rPr>
                <w:rFonts w:ascii="Calibri" w:eastAsia="Times New Roman" w:hAnsi="Calibri" w:cstheme="minorHAnsi"/>
                <w:color w:val="000000"/>
                <w:sz w:val="20"/>
                <w:szCs w:val="20"/>
                <w:lang w:eastAsia="es-MX"/>
              </w:rPr>
              <w:t>Sí</w:t>
            </w:r>
          </w:p>
        </w:tc>
      </w:tr>
      <w:tr w:rsidR="007F367D" w:rsidRPr="007765EE" w14:paraId="5A11F022" w14:textId="77777777" w:rsidTr="00B4148F">
        <w:trPr>
          <w:trHeight w:val="20"/>
        </w:trPr>
        <w:tc>
          <w:tcPr>
            <w:tcW w:w="1821" w:type="pct"/>
            <w:shd w:val="clear" w:color="000000" w:fill="9CC2E5"/>
            <w:vAlign w:val="center"/>
            <w:hideMark/>
          </w:tcPr>
          <w:p w14:paraId="4D9B228D"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53896C70" w14:textId="19680CA9" w:rsidR="007F367D" w:rsidRPr="007765EE" w:rsidRDefault="007F367D" w:rsidP="00EB1DD1">
            <w:pPr>
              <w:spacing w:before="0" w:after="0"/>
              <w:rPr>
                <w:rFonts w:ascii="Calibri" w:eastAsia="Times New Roman" w:hAnsi="Calibri" w:cs="Calibri"/>
                <w:color w:val="000000"/>
                <w:sz w:val="20"/>
                <w:szCs w:val="20"/>
                <w:lang w:eastAsia="es-MX"/>
              </w:rPr>
            </w:pPr>
            <w:r w:rsidRPr="00825CD1">
              <w:rPr>
                <w:rFonts w:eastAsia="Times New Roman" w:cstheme="minorHAnsi"/>
                <w:color w:val="000000"/>
                <w:sz w:val="20"/>
                <w:szCs w:val="20"/>
                <w:lang w:eastAsia="es-MX"/>
              </w:rPr>
              <w:t>Contribuye a desarrollar y promover la oferta turística del estado mediante la construcción de obra pública que ofrezca el turismo de sol y playa, cultural, pueblos mágicos y turismo de naturaleza.</w:t>
            </w:r>
          </w:p>
        </w:tc>
      </w:tr>
      <w:tr w:rsidR="007F367D" w:rsidRPr="007765EE" w14:paraId="52B2ABE3" w14:textId="77777777" w:rsidTr="00B4148F">
        <w:trPr>
          <w:trHeight w:val="20"/>
        </w:trPr>
        <w:tc>
          <w:tcPr>
            <w:tcW w:w="1821" w:type="pct"/>
            <w:shd w:val="clear" w:color="000000" w:fill="9CC2E5"/>
            <w:vAlign w:val="center"/>
            <w:hideMark/>
          </w:tcPr>
          <w:p w14:paraId="7D363452" w14:textId="77777777" w:rsidR="007F367D" w:rsidRPr="007765EE" w:rsidRDefault="007F367D" w:rsidP="00EB1DD1">
            <w:pPr>
              <w:spacing w:before="0" w:after="0"/>
              <w:rPr>
                <w:rFonts w:ascii="Calibri" w:eastAsia="Times New Roman" w:hAnsi="Calibri" w:cs="Calibri"/>
                <w:b/>
                <w:bCs/>
                <w:color w:val="000000"/>
                <w:sz w:val="20"/>
                <w:szCs w:val="20"/>
                <w:lang w:eastAsia="es-MX"/>
              </w:rPr>
            </w:pPr>
            <w:r w:rsidRPr="007765EE">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2382242E" w14:textId="77777777" w:rsidR="007F367D" w:rsidRPr="007765EE" w:rsidRDefault="007F367D" w:rsidP="00EB1DD1">
            <w:pPr>
              <w:spacing w:before="0" w:after="0"/>
              <w:rPr>
                <w:rFonts w:ascii="Calibri" w:eastAsia="Times New Roman" w:hAnsi="Calibri" w:cs="Calibri"/>
                <w:color w:val="000000"/>
                <w:sz w:val="20"/>
                <w:szCs w:val="20"/>
                <w:lang w:eastAsia="es-MX"/>
              </w:rPr>
            </w:pPr>
            <w:r w:rsidRPr="007765EE">
              <w:rPr>
                <w:rFonts w:ascii="Calibri" w:eastAsia="Times New Roman" w:hAnsi="Calibri" w:cs="Calibri"/>
                <w:color w:val="000000"/>
                <w:sz w:val="20"/>
                <w:szCs w:val="20"/>
                <w:lang w:eastAsia="es-MX"/>
              </w:rPr>
              <w:t>Sin recomendación</w:t>
            </w:r>
          </w:p>
        </w:tc>
      </w:tr>
    </w:tbl>
    <w:p w14:paraId="6820532E" w14:textId="48028DFB" w:rsidR="007F367D" w:rsidRPr="00D746C0" w:rsidRDefault="007F367D"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540D02" w:rsidRPr="00B4148F" w14:paraId="2249E313" w14:textId="77777777" w:rsidTr="00B4148F">
        <w:trPr>
          <w:trHeight w:val="20"/>
        </w:trPr>
        <w:tc>
          <w:tcPr>
            <w:tcW w:w="1821" w:type="pct"/>
            <w:shd w:val="clear" w:color="000000" w:fill="9CC2E5"/>
            <w:vAlign w:val="center"/>
            <w:hideMark/>
          </w:tcPr>
          <w:p w14:paraId="1C37648C"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14191BBD"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Proyectos de infraestructura de turismo</w:t>
            </w:r>
          </w:p>
        </w:tc>
      </w:tr>
      <w:tr w:rsidR="00540D02" w:rsidRPr="00B4148F" w14:paraId="656D02FF" w14:textId="77777777" w:rsidTr="00B4148F">
        <w:trPr>
          <w:trHeight w:val="20"/>
        </w:trPr>
        <w:tc>
          <w:tcPr>
            <w:tcW w:w="1821" w:type="pct"/>
            <w:shd w:val="clear" w:color="000000" w:fill="9CC2E5"/>
            <w:vAlign w:val="center"/>
            <w:hideMark/>
          </w:tcPr>
          <w:p w14:paraId="07991956"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176DAC05" w14:textId="5E674136"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w:t>
            </w:r>
            <w:r w:rsidR="00C66B46" w:rsidRPr="00B4148F">
              <w:rPr>
                <w:rFonts w:eastAsia="Times New Roman" w:cstheme="minorHAnsi"/>
                <w:color w:val="000000"/>
                <w:sz w:val="20"/>
                <w:szCs w:val="20"/>
                <w:lang w:eastAsia="es-MX"/>
              </w:rPr>
              <w:t>70</w:t>
            </w:r>
          </w:p>
        </w:tc>
      </w:tr>
      <w:tr w:rsidR="00540D02" w:rsidRPr="00B4148F" w14:paraId="0E77E565" w14:textId="77777777" w:rsidTr="00B4148F">
        <w:trPr>
          <w:trHeight w:val="20"/>
        </w:trPr>
        <w:tc>
          <w:tcPr>
            <w:tcW w:w="1821" w:type="pct"/>
            <w:shd w:val="clear" w:color="000000" w:fill="9CC2E5"/>
            <w:vAlign w:val="center"/>
            <w:hideMark/>
          </w:tcPr>
          <w:p w14:paraId="2218DFE8"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2F529702" w14:textId="7840243E"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540D02" w:rsidRPr="00B4148F" w14:paraId="1E2BBF32" w14:textId="77777777" w:rsidTr="00B4148F">
        <w:trPr>
          <w:trHeight w:val="20"/>
        </w:trPr>
        <w:tc>
          <w:tcPr>
            <w:tcW w:w="1821" w:type="pct"/>
            <w:shd w:val="clear" w:color="000000" w:fill="9CC2E5"/>
            <w:vAlign w:val="center"/>
            <w:hideMark/>
          </w:tcPr>
          <w:p w14:paraId="28A819FA"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53F94DD5" w14:textId="545E6DC1" w:rsidR="00540D02" w:rsidRPr="00B4148F" w:rsidRDefault="00C66B46" w:rsidP="00540D02">
            <w:pPr>
              <w:spacing w:before="0" w:after="0"/>
              <w:rPr>
                <w:rFonts w:ascii="Calibri" w:eastAsia="Times New Roman" w:hAnsi="Calibri" w:cs="Calibri"/>
                <w:color w:val="000000"/>
                <w:sz w:val="20"/>
                <w:szCs w:val="20"/>
                <w:lang w:eastAsia="es-MX"/>
              </w:rPr>
            </w:pPr>
            <w:r w:rsidRPr="00B4148F">
              <w:rPr>
                <w:sz w:val="20"/>
                <w:szCs w:val="20"/>
              </w:rPr>
              <w:t>El Estado de Tamaulipas incrementa su infraestructura hidráulica para cubrir la demanda de los servicios públicos de agua potable, drenaje y tratamiento de aguas residuales</w:t>
            </w:r>
          </w:p>
        </w:tc>
      </w:tr>
      <w:tr w:rsidR="00540D02" w:rsidRPr="00B4148F" w14:paraId="2CABC555" w14:textId="77777777" w:rsidTr="00B4148F">
        <w:trPr>
          <w:trHeight w:val="20"/>
        </w:trPr>
        <w:tc>
          <w:tcPr>
            <w:tcW w:w="1821" w:type="pct"/>
            <w:shd w:val="clear" w:color="000000" w:fill="9CC2E5"/>
            <w:vAlign w:val="center"/>
            <w:hideMark/>
          </w:tcPr>
          <w:p w14:paraId="0F529A56"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6EF79F6B"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540D02" w:rsidRPr="00B4148F" w14:paraId="4A12479D" w14:textId="77777777" w:rsidTr="00B4148F">
        <w:trPr>
          <w:trHeight w:val="20"/>
        </w:trPr>
        <w:tc>
          <w:tcPr>
            <w:tcW w:w="1821" w:type="pct"/>
            <w:shd w:val="clear" w:color="000000" w:fill="9CC2E5"/>
            <w:vAlign w:val="center"/>
            <w:hideMark/>
          </w:tcPr>
          <w:p w14:paraId="54BE124A"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1AD07481" w14:textId="6CEEF6EC" w:rsidR="00540D02" w:rsidRPr="00B4148F" w:rsidRDefault="009871C2" w:rsidP="00EB1DD1">
            <w:pPr>
              <w:spacing w:before="0" w:after="0"/>
              <w:rPr>
                <w:rFonts w:ascii="Calibri" w:eastAsia="Times New Roman" w:hAnsi="Calibri" w:cs="Calibri"/>
                <w:color w:val="000000"/>
                <w:sz w:val="20"/>
                <w:szCs w:val="20"/>
                <w:lang w:eastAsia="es-MX"/>
              </w:rPr>
            </w:pPr>
            <w:r w:rsidRPr="00B4148F">
              <w:rPr>
                <w:sz w:val="20"/>
                <w:szCs w:val="20"/>
              </w:rPr>
              <w:t>Construcción de obras de infraestructura de agua potable y alcantarillado</w:t>
            </w:r>
          </w:p>
        </w:tc>
      </w:tr>
      <w:tr w:rsidR="00540D02" w:rsidRPr="00B4148F" w14:paraId="4B631B1B" w14:textId="77777777" w:rsidTr="00B4148F">
        <w:trPr>
          <w:trHeight w:val="20"/>
        </w:trPr>
        <w:tc>
          <w:tcPr>
            <w:tcW w:w="1821" w:type="pct"/>
            <w:shd w:val="clear" w:color="000000" w:fill="9CC2E5"/>
            <w:vAlign w:val="center"/>
            <w:hideMark/>
          </w:tcPr>
          <w:p w14:paraId="3A522834"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7CDD2861"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540D02" w:rsidRPr="00B4148F" w14:paraId="0A5444F8" w14:textId="77777777" w:rsidTr="00B4148F">
        <w:trPr>
          <w:trHeight w:val="20"/>
        </w:trPr>
        <w:tc>
          <w:tcPr>
            <w:tcW w:w="1821" w:type="pct"/>
            <w:shd w:val="clear" w:color="000000" w:fill="9CC2E5"/>
            <w:vAlign w:val="center"/>
            <w:hideMark/>
          </w:tcPr>
          <w:p w14:paraId="3413BD0A"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7448077D"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540D02" w:rsidRPr="00B4148F" w14:paraId="161BCA19" w14:textId="77777777" w:rsidTr="00B4148F">
        <w:trPr>
          <w:trHeight w:val="20"/>
        </w:trPr>
        <w:tc>
          <w:tcPr>
            <w:tcW w:w="1821" w:type="pct"/>
            <w:shd w:val="clear" w:color="000000" w:fill="9CC2E5"/>
            <w:vAlign w:val="center"/>
            <w:hideMark/>
          </w:tcPr>
          <w:p w14:paraId="5DE689A0"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703AAD6B"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540D02" w:rsidRPr="00B4148F" w14:paraId="15E2A6FB" w14:textId="77777777" w:rsidTr="00B4148F">
        <w:trPr>
          <w:trHeight w:val="20"/>
        </w:trPr>
        <w:tc>
          <w:tcPr>
            <w:tcW w:w="1821" w:type="pct"/>
            <w:shd w:val="clear" w:color="000000" w:fill="9CC2E5"/>
            <w:vAlign w:val="center"/>
            <w:hideMark/>
          </w:tcPr>
          <w:p w14:paraId="4324EE09"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7ACC97A6"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540D02" w:rsidRPr="00B4148F" w14:paraId="70D70778" w14:textId="77777777" w:rsidTr="00B4148F">
        <w:trPr>
          <w:trHeight w:val="20"/>
        </w:trPr>
        <w:tc>
          <w:tcPr>
            <w:tcW w:w="1821" w:type="pct"/>
            <w:shd w:val="clear" w:color="000000" w:fill="9CC2E5"/>
            <w:vAlign w:val="center"/>
            <w:hideMark/>
          </w:tcPr>
          <w:p w14:paraId="332C9F69"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51EC49C6" w14:textId="58A0153C" w:rsidR="00540D02" w:rsidRPr="00B4148F" w:rsidRDefault="009871C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Contribuye al incremento de la infraestructura hidráulica estatal para cubrir la demanda de los servicios públicos de agua potable, drenaje y tratamiento de aguas residuales.</w:t>
            </w:r>
          </w:p>
        </w:tc>
      </w:tr>
      <w:tr w:rsidR="00540D02" w:rsidRPr="00B4148F" w14:paraId="16115045" w14:textId="77777777" w:rsidTr="00B4148F">
        <w:trPr>
          <w:trHeight w:val="20"/>
        </w:trPr>
        <w:tc>
          <w:tcPr>
            <w:tcW w:w="1821" w:type="pct"/>
            <w:shd w:val="clear" w:color="000000" w:fill="9CC2E5"/>
            <w:vAlign w:val="center"/>
            <w:hideMark/>
          </w:tcPr>
          <w:p w14:paraId="04467EEF" w14:textId="77777777" w:rsidR="00540D02" w:rsidRPr="00B4148F" w:rsidRDefault="00540D0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1F803F83" w14:textId="77777777" w:rsidR="00540D02" w:rsidRPr="00B4148F" w:rsidRDefault="00540D0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250DC47B" w14:textId="3AC11B5D" w:rsidR="00540D02" w:rsidRPr="00D746C0" w:rsidRDefault="00540D02"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9871C2" w:rsidRPr="00B4148F" w14:paraId="56B043B3" w14:textId="77777777" w:rsidTr="00B4148F">
        <w:trPr>
          <w:trHeight w:val="20"/>
        </w:trPr>
        <w:tc>
          <w:tcPr>
            <w:tcW w:w="1821" w:type="pct"/>
            <w:shd w:val="clear" w:color="000000" w:fill="9CC2E5"/>
            <w:vAlign w:val="center"/>
            <w:hideMark/>
          </w:tcPr>
          <w:p w14:paraId="45FAFB85"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488FFB80" w14:textId="367E0F6F" w:rsidR="009871C2" w:rsidRPr="00B4148F" w:rsidRDefault="00266A9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Proyectos de infraestructura gubernamental de seguridad pública</w:t>
            </w:r>
          </w:p>
        </w:tc>
      </w:tr>
      <w:tr w:rsidR="009871C2" w:rsidRPr="00B4148F" w14:paraId="03BEF9C3" w14:textId="77777777" w:rsidTr="00B4148F">
        <w:trPr>
          <w:trHeight w:val="20"/>
        </w:trPr>
        <w:tc>
          <w:tcPr>
            <w:tcW w:w="1821" w:type="pct"/>
            <w:shd w:val="clear" w:color="000000" w:fill="9CC2E5"/>
            <w:vAlign w:val="center"/>
            <w:hideMark/>
          </w:tcPr>
          <w:p w14:paraId="432220F0"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0F567B25" w14:textId="4098FF7A"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w:t>
            </w:r>
            <w:r w:rsidR="00266A9D" w:rsidRPr="00B4148F">
              <w:rPr>
                <w:rFonts w:eastAsia="Times New Roman" w:cstheme="minorHAnsi"/>
                <w:color w:val="000000"/>
                <w:sz w:val="20"/>
                <w:szCs w:val="20"/>
                <w:lang w:eastAsia="es-MX"/>
              </w:rPr>
              <w:t>83</w:t>
            </w:r>
          </w:p>
        </w:tc>
      </w:tr>
      <w:tr w:rsidR="009871C2" w:rsidRPr="00B4148F" w14:paraId="3891F93A" w14:textId="77777777" w:rsidTr="00B4148F">
        <w:trPr>
          <w:trHeight w:val="20"/>
        </w:trPr>
        <w:tc>
          <w:tcPr>
            <w:tcW w:w="1821" w:type="pct"/>
            <w:shd w:val="clear" w:color="000000" w:fill="9CC2E5"/>
            <w:vAlign w:val="center"/>
            <w:hideMark/>
          </w:tcPr>
          <w:p w14:paraId="50804D9C"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652E341C" w14:textId="440C2F82"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Obras </w:t>
            </w:r>
            <w:r w:rsidR="00266A9D" w:rsidRPr="00B4148F">
              <w:rPr>
                <w:rFonts w:ascii="Calibri" w:eastAsia="Times New Roman" w:hAnsi="Calibri" w:cs="Calibri"/>
                <w:color w:val="000000"/>
                <w:sz w:val="20"/>
                <w:szCs w:val="20"/>
                <w:lang w:eastAsia="es-MX"/>
              </w:rPr>
              <w:t>públicas</w:t>
            </w:r>
          </w:p>
        </w:tc>
      </w:tr>
      <w:tr w:rsidR="009871C2" w:rsidRPr="00B4148F" w14:paraId="00ACCC9A" w14:textId="77777777" w:rsidTr="00B4148F">
        <w:trPr>
          <w:trHeight w:val="20"/>
        </w:trPr>
        <w:tc>
          <w:tcPr>
            <w:tcW w:w="1821" w:type="pct"/>
            <w:shd w:val="clear" w:color="000000" w:fill="9CC2E5"/>
            <w:vAlign w:val="center"/>
            <w:hideMark/>
          </w:tcPr>
          <w:p w14:paraId="531304DB"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1BAE16C9" w14:textId="3FE624A2" w:rsidR="009871C2" w:rsidRPr="00B4148F" w:rsidRDefault="00266A9D" w:rsidP="00EB1DD1">
            <w:pPr>
              <w:spacing w:before="0" w:after="0"/>
              <w:rPr>
                <w:rFonts w:ascii="Calibri" w:eastAsia="Times New Roman" w:hAnsi="Calibri" w:cs="Calibri"/>
                <w:color w:val="000000"/>
                <w:sz w:val="20"/>
                <w:szCs w:val="20"/>
                <w:lang w:eastAsia="es-MX"/>
              </w:rPr>
            </w:pPr>
            <w:r w:rsidRPr="00B4148F">
              <w:rPr>
                <w:sz w:val="20"/>
                <w:szCs w:val="20"/>
              </w:rPr>
              <w:t>Las fuerzas policiales, Complejos de Seguridad Pública, Centro de Ejecución de Sanciones y Centros de Reintegración Social y Familiar para Adolescente del Estado de Tamaulipas cuentan con la infraestructura y equipamiento que permite mejorar sus capacidades y servicios para mejorar su desempeño en materia de seguridad pública</w:t>
            </w:r>
          </w:p>
        </w:tc>
      </w:tr>
      <w:tr w:rsidR="009871C2" w:rsidRPr="00B4148F" w14:paraId="7D9D4708" w14:textId="77777777" w:rsidTr="00B4148F">
        <w:trPr>
          <w:trHeight w:val="20"/>
        </w:trPr>
        <w:tc>
          <w:tcPr>
            <w:tcW w:w="1821" w:type="pct"/>
            <w:shd w:val="clear" w:color="000000" w:fill="9CC2E5"/>
            <w:vAlign w:val="center"/>
            <w:hideMark/>
          </w:tcPr>
          <w:p w14:paraId="0031F08A"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16E58147"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9871C2" w:rsidRPr="00B4148F" w14:paraId="3D4C53D7" w14:textId="77777777" w:rsidTr="00B4148F">
        <w:trPr>
          <w:trHeight w:val="20"/>
        </w:trPr>
        <w:tc>
          <w:tcPr>
            <w:tcW w:w="1821" w:type="pct"/>
            <w:shd w:val="clear" w:color="000000" w:fill="9CC2E5"/>
            <w:vAlign w:val="center"/>
            <w:hideMark/>
          </w:tcPr>
          <w:p w14:paraId="15BB083A"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43375889" w14:textId="1CD96298" w:rsidR="009871C2" w:rsidRPr="00B4148F" w:rsidRDefault="00266A9D" w:rsidP="00EB1DD1">
            <w:pPr>
              <w:spacing w:before="0" w:after="0"/>
              <w:rPr>
                <w:rFonts w:ascii="Calibri" w:eastAsia="Times New Roman" w:hAnsi="Calibri" w:cs="Calibri"/>
                <w:color w:val="000000"/>
                <w:sz w:val="20"/>
                <w:szCs w:val="20"/>
                <w:lang w:eastAsia="es-MX"/>
              </w:rPr>
            </w:pPr>
            <w:r w:rsidRPr="00B4148F">
              <w:rPr>
                <w:sz w:val="20"/>
                <w:szCs w:val="20"/>
              </w:rPr>
              <w:t>Proyectos de infraestructura y equipamiento de seguridad pública</w:t>
            </w:r>
          </w:p>
        </w:tc>
      </w:tr>
      <w:tr w:rsidR="009871C2" w:rsidRPr="00B4148F" w14:paraId="5C4CBC08" w14:textId="77777777" w:rsidTr="00B4148F">
        <w:trPr>
          <w:trHeight w:val="20"/>
        </w:trPr>
        <w:tc>
          <w:tcPr>
            <w:tcW w:w="1821" w:type="pct"/>
            <w:shd w:val="clear" w:color="000000" w:fill="9CC2E5"/>
            <w:vAlign w:val="center"/>
            <w:hideMark/>
          </w:tcPr>
          <w:p w14:paraId="3439314E"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lastRenderedPageBreak/>
              <w:t xml:space="preserve">Cobertura Geográfica </w:t>
            </w:r>
          </w:p>
        </w:tc>
        <w:tc>
          <w:tcPr>
            <w:tcW w:w="3179" w:type="pct"/>
            <w:shd w:val="clear" w:color="auto" w:fill="auto"/>
            <w:vAlign w:val="center"/>
            <w:hideMark/>
          </w:tcPr>
          <w:p w14:paraId="11253AC8"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9871C2" w:rsidRPr="00B4148F" w14:paraId="09E4BC97" w14:textId="77777777" w:rsidTr="00B4148F">
        <w:trPr>
          <w:trHeight w:val="20"/>
        </w:trPr>
        <w:tc>
          <w:tcPr>
            <w:tcW w:w="1821" w:type="pct"/>
            <w:shd w:val="clear" w:color="000000" w:fill="9CC2E5"/>
            <w:vAlign w:val="center"/>
            <w:hideMark/>
          </w:tcPr>
          <w:p w14:paraId="06D673A6"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6C1F5AA1"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9871C2" w:rsidRPr="00B4148F" w14:paraId="7332353D" w14:textId="77777777" w:rsidTr="00B4148F">
        <w:trPr>
          <w:trHeight w:val="20"/>
        </w:trPr>
        <w:tc>
          <w:tcPr>
            <w:tcW w:w="1821" w:type="pct"/>
            <w:shd w:val="clear" w:color="000000" w:fill="9CC2E5"/>
            <w:vAlign w:val="center"/>
            <w:hideMark/>
          </w:tcPr>
          <w:p w14:paraId="2723A820"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1DF5A11A"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9871C2" w:rsidRPr="00B4148F" w14:paraId="3B66FDF7" w14:textId="77777777" w:rsidTr="00B4148F">
        <w:trPr>
          <w:trHeight w:val="20"/>
        </w:trPr>
        <w:tc>
          <w:tcPr>
            <w:tcW w:w="1821" w:type="pct"/>
            <w:shd w:val="clear" w:color="000000" w:fill="9CC2E5"/>
            <w:vAlign w:val="center"/>
            <w:hideMark/>
          </w:tcPr>
          <w:p w14:paraId="68315A59"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4863E578"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9871C2" w:rsidRPr="00B4148F" w14:paraId="0904ACDC" w14:textId="77777777" w:rsidTr="00B4148F">
        <w:trPr>
          <w:trHeight w:val="20"/>
        </w:trPr>
        <w:tc>
          <w:tcPr>
            <w:tcW w:w="1821" w:type="pct"/>
            <w:shd w:val="clear" w:color="000000" w:fill="9CC2E5"/>
            <w:vAlign w:val="center"/>
            <w:hideMark/>
          </w:tcPr>
          <w:p w14:paraId="7929D09B"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5434CF61" w14:textId="11F6DB7E" w:rsidR="009871C2" w:rsidRPr="00B4148F" w:rsidRDefault="00266A9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Contribuye a que las distintas instancias y corporaciones del estado de Tamaulipas cuenten con la infraestructura y equipamiento que permite mejorar sus capacidades y servicios para mejorar su desempeño en materia de seguridad pública y procuración de justicia.</w:t>
            </w:r>
          </w:p>
        </w:tc>
      </w:tr>
      <w:tr w:rsidR="009871C2" w:rsidRPr="00B4148F" w14:paraId="259F07A2" w14:textId="77777777" w:rsidTr="00B4148F">
        <w:trPr>
          <w:trHeight w:val="20"/>
        </w:trPr>
        <w:tc>
          <w:tcPr>
            <w:tcW w:w="1821" w:type="pct"/>
            <w:shd w:val="clear" w:color="000000" w:fill="9CC2E5"/>
            <w:vAlign w:val="center"/>
            <w:hideMark/>
          </w:tcPr>
          <w:p w14:paraId="136827A0" w14:textId="77777777" w:rsidR="009871C2" w:rsidRPr="00B4148F" w:rsidRDefault="009871C2"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1DC4E557" w14:textId="77777777" w:rsidR="009871C2" w:rsidRPr="00B4148F" w:rsidRDefault="009871C2"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1D439D6C" w14:textId="7CF6A801" w:rsidR="009871C2" w:rsidRPr="00D746C0" w:rsidRDefault="009871C2" w:rsidP="00D746C0">
      <w:pPr>
        <w:jc w:val="left"/>
        <w:rPr>
          <w:rFonts w:ascii="Arial" w:eastAsia="Calibri" w:hAnsi="Arial" w:cs="Arial"/>
          <w:bCs/>
          <w:sz w:val="4"/>
          <w:szCs w:val="4"/>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266A9D" w:rsidRPr="00B4148F" w14:paraId="187D392A" w14:textId="77777777" w:rsidTr="00B4148F">
        <w:trPr>
          <w:trHeight w:val="20"/>
        </w:trPr>
        <w:tc>
          <w:tcPr>
            <w:tcW w:w="1821" w:type="pct"/>
            <w:shd w:val="clear" w:color="000000" w:fill="9CC2E5"/>
            <w:vAlign w:val="center"/>
            <w:hideMark/>
          </w:tcPr>
          <w:p w14:paraId="7267809C"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07BDD411" w14:textId="3AA0FB89"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Otros proyectos de infraestructura gubernamental.</w:t>
            </w:r>
          </w:p>
        </w:tc>
      </w:tr>
      <w:tr w:rsidR="00266A9D" w:rsidRPr="00B4148F" w14:paraId="76632979" w14:textId="77777777" w:rsidTr="00B4148F">
        <w:trPr>
          <w:trHeight w:val="20"/>
        </w:trPr>
        <w:tc>
          <w:tcPr>
            <w:tcW w:w="1821" w:type="pct"/>
            <w:shd w:val="clear" w:color="000000" w:fill="9CC2E5"/>
            <w:vAlign w:val="center"/>
            <w:hideMark/>
          </w:tcPr>
          <w:p w14:paraId="1706C173"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79380D4D" w14:textId="3CCFF694"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K173</w:t>
            </w:r>
          </w:p>
        </w:tc>
      </w:tr>
      <w:tr w:rsidR="00266A9D" w:rsidRPr="00B4148F" w14:paraId="41731DCD" w14:textId="77777777" w:rsidTr="00B4148F">
        <w:trPr>
          <w:trHeight w:val="20"/>
        </w:trPr>
        <w:tc>
          <w:tcPr>
            <w:tcW w:w="1821" w:type="pct"/>
            <w:shd w:val="clear" w:color="000000" w:fill="9CC2E5"/>
            <w:vAlign w:val="center"/>
            <w:hideMark/>
          </w:tcPr>
          <w:p w14:paraId="553AF361"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5197A3C8"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266A9D" w:rsidRPr="00B4148F" w14:paraId="424D8A08" w14:textId="77777777" w:rsidTr="00B4148F">
        <w:trPr>
          <w:trHeight w:val="20"/>
        </w:trPr>
        <w:tc>
          <w:tcPr>
            <w:tcW w:w="1821" w:type="pct"/>
            <w:shd w:val="clear" w:color="000000" w:fill="9CC2E5"/>
            <w:vAlign w:val="center"/>
            <w:hideMark/>
          </w:tcPr>
          <w:p w14:paraId="784B1BC2"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7474DCF5" w14:textId="07B109F3" w:rsidR="00266A9D" w:rsidRPr="00B4148F" w:rsidRDefault="00266A9D" w:rsidP="00EB1DD1">
            <w:pPr>
              <w:spacing w:before="0" w:after="0"/>
              <w:rPr>
                <w:rFonts w:ascii="Calibri" w:eastAsia="Times New Roman" w:hAnsi="Calibri" w:cs="Calibri"/>
                <w:color w:val="000000"/>
                <w:sz w:val="20"/>
                <w:szCs w:val="20"/>
                <w:lang w:eastAsia="es-MX"/>
              </w:rPr>
            </w:pPr>
            <w:r w:rsidRPr="00B4148F">
              <w:rPr>
                <w:sz w:val="20"/>
                <w:szCs w:val="20"/>
              </w:rPr>
              <w:t>Desarrollar la infraestructura, el equipamiento y las condiciones que contribuyan a la mejora de la competitividad del estado y la calidad de vida de sus habitantes.</w:t>
            </w:r>
          </w:p>
        </w:tc>
      </w:tr>
      <w:tr w:rsidR="00266A9D" w:rsidRPr="00B4148F" w14:paraId="63FEF965" w14:textId="77777777" w:rsidTr="00B4148F">
        <w:trPr>
          <w:trHeight w:val="20"/>
        </w:trPr>
        <w:tc>
          <w:tcPr>
            <w:tcW w:w="1821" w:type="pct"/>
            <w:shd w:val="clear" w:color="000000" w:fill="9CC2E5"/>
            <w:vAlign w:val="center"/>
            <w:hideMark/>
          </w:tcPr>
          <w:p w14:paraId="33B52575"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476AB718"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266A9D" w:rsidRPr="00B4148F" w14:paraId="7DB6176D" w14:textId="77777777" w:rsidTr="00B4148F">
        <w:trPr>
          <w:trHeight w:val="20"/>
        </w:trPr>
        <w:tc>
          <w:tcPr>
            <w:tcW w:w="1821" w:type="pct"/>
            <w:shd w:val="clear" w:color="000000" w:fill="9CC2E5"/>
            <w:vAlign w:val="center"/>
            <w:hideMark/>
          </w:tcPr>
          <w:p w14:paraId="47B28430"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2685FFE1" w14:textId="2DD76095" w:rsidR="00266A9D" w:rsidRPr="00B4148F" w:rsidRDefault="00266A9D" w:rsidP="00EB1DD1">
            <w:pPr>
              <w:spacing w:before="0" w:after="0"/>
              <w:rPr>
                <w:rFonts w:ascii="Calibri" w:eastAsia="Times New Roman" w:hAnsi="Calibri" w:cs="Calibri"/>
                <w:color w:val="000000"/>
                <w:sz w:val="20"/>
                <w:szCs w:val="20"/>
                <w:lang w:eastAsia="es-MX"/>
              </w:rPr>
            </w:pPr>
            <w:r w:rsidRPr="00B4148F">
              <w:rPr>
                <w:sz w:val="20"/>
                <w:szCs w:val="20"/>
              </w:rPr>
              <w:t>Mantenimiento de la infraestructura y equipamiento existentes, así como la creación de nuevas y modernas obras públicas.</w:t>
            </w:r>
          </w:p>
        </w:tc>
      </w:tr>
      <w:tr w:rsidR="00266A9D" w:rsidRPr="00B4148F" w14:paraId="66D8E37C" w14:textId="77777777" w:rsidTr="00B4148F">
        <w:trPr>
          <w:trHeight w:val="20"/>
        </w:trPr>
        <w:tc>
          <w:tcPr>
            <w:tcW w:w="1821" w:type="pct"/>
            <w:shd w:val="clear" w:color="000000" w:fill="9CC2E5"/>
            <w:vAlign w:val="center"/>
            <w:hideMark/>
          </w:tcPr>
          <w:p w14:paraId="4DADB5BF"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1C2231B0"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266A9D" w:rsidRPr="00B4148F" w14:paraId="3E5345FC" w14:textId="77777777" w:rsidTr="00B4148F">
        <w:trPr>
          <w:trHeight w:val="20"/>
        </w:trPr>
        <w:tc>
          <w:tcPr>
            <w:tcW w:w="1821" w:type="pct"/>
            <w:shd w:val="clear" w:color="000000" w:fill="9CC2E5"/>
            <w:vAlign w:val="center"/>
            <w:hideMark/>
          </w:tcPr>
          <w:p w14:paraId="299BEEE1"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5E27F79E"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266A9D" w:rsidRPr="00B4148F" w14:paraId="32BBD8EE" w14:textId="77777777" w:rsidTr="00B4148F">
        <w:trPr>
          <w:trHeight w:val="20"/>
        </w:trPr>
        <w:tc>
          <w:tcPr>
            <w:tcW w:w="1821" w:type="pct"/>
            <w:shd w:val="clear" w:color="000000" w:fill="9CC2E5"/>
            <w:vAlign w:val="center"/>
            <w:hideMark/>
          </w:tcPr>
          <w:p w14:paraId="1BB0A95E"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635E464D"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266A9D" w:rsidRPr="00B4148F" w14:paraId="778497EC" w14:textId="77777777" w:rsidTr="00B4148F">
        <w:trPr>
          <w:trHeight w:val="20"/>
        </w:trPr>
        <w:tc>
          <w:tcPr>
            <w:tcW w:w="1821" w:type="pct"/>
            <w:shd w:val="clear" w:color="000000" w:fill="9CC2E5"/>
            <w:vAlign w:val="center"/>
            <w:hideMark/>
          </w:tcPr>
          <w:p w14:paraId="6B7DFDF2"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5B8424CC"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266A9D" w:rsidRPr="00B4148F" w14:paraId="286C93F9" w14:textId="77777777" w:rsidTr="00B4148F">
        <w:trPr>
          <w:trHeight w:val="20"/>
        </w:trPr>
        <w:tc>
          <w:tcPr>
            <w:tcW w:w="1821" w:type="pct"/>
            <w:shd w:val="clear" w:color="000000" w:fill="9CC2E5"/>
            <w:vAlign w:val="center"/>
            <w:hideMark/>
          </w:tcPr>
          <w:p w14:paraId="34C53591"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0CA4C6D5" w14:textId="6CC053AE"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 xml:space="preserve">Contribuye a la mejora de los servicios públicos mediante un programa de infraestructura y equipamiento de las principales ciudades del </w:t>
            </w:r>
            <w:r w:rsidR="00606A2B" w:rsidRPr="00B4148F">
              <w:rPr>
                <w:rFonts w:eastAsia="Times New Roman" w:cstheme="minorHAnsi"/>
                <w:color w:val="000000"/>
                <w:sz w:val="20"/>
                <w:szCs w:val="20"/>
                <w:lang w:eastAsia="es-MX"/>
              </w:rPr>
              <w:t>Estado.</w:t>
            </w:r>
          </w:p>
        </w:tc>
      </w:tr>
      <w:tr w:rsidR="00266A9D" w:rsidRPr="00B4148F" w14:paraId="0429D725" w14:textId="77777777" w:rsidTr="00B4148F">
        <w:trPr>
          <w:trHeight w:val="20"/>
        </w:trPr>
        <w:tc>
          <w:tcPr>
            <w:tcW w:w="1821" w:type="pct"/>
            <w:shd w:val="clear" w:color="000000" w:fill="9CC2E5"/>
            <w:vAlign w:val="center"/>
            <w:hideMark/>
          </w:tcPr>
          <w:p w14:paraId="687592F1" w14:textId="77777777" w:rsidR="00266A9D" w:rsidRPr="00B4148F" w:rsidRDefault="00266A9D"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01931F71" w14:textId="77777777" w:rsidR="00266A9D" w:rsidRPr="00B4148F" w:rsidRDefault="00266A9D"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1D982F9E" w14:textId="5ECB0376" w:rsidR="00266A9D" w:rsidRPr="00D746C0" w:rsidRDefault="00266A9D"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606A2B" w:rsidRPr="00B4148F" w14:paraId="273DCE5C" w14:textId="77777777" w:rsidTr="00B4148F">
        <w:trPr>
          <w:trHeight w:val="20"/>
        </w:trPr>
        <w:tc>
          <w:tcPr>
            <w:tcW w:w="1821" w:type="pct"/>
            <w:shd w:val="clear" w:color="000000" w:fill="9CC2E5"/>
            <w:vAlign w:val="center"/>
            <w:hideMark/>
          </w:tcPr>
          <w:p w14:paraId="0C616E05"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10C66C84" w14:textId="6902800A"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Proyectos de infraestructura social de salud.</w:t>
            </w:r>
          </w:p>
        </w:tc>
      </w:tr>
      <w:tr w:rsidR="00606A2B" w:rsidRPr="00B4148F" w14:paraId="1A919ECC" w14:textId="77777777" w:rsidTr="00B4148F">
        <w:trPr>
          <w:trHeight w:val="20"/>
        </w:trPr>
        <w:tc>
          <w:tcPr>
            <w:tcW w:w="1821" w:type="pct"/>
            <w:shd w:val="clear" w:color="000000" w:fill="9CC2E5"/>
            <w:vAlign w:val="center"/>
            <w:hideMark/>
          </w:tcPr>
          <w:p w14:paraId="09226110"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06F25ACA" w14:textId="69172C62"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K185</w:t>
            </w:r>
          </w:p>
        </w:tc>
      </w:tr>
      <w:tr w:rsidR="00606A2B" w:rsidRPr="00B4148F" w14:paraId="38D70141" w14:textId="77777777" w:rsidTr="00B4148F">
        <w:trPr>
          <w:trHeight w:val="20"/>
        </w:trPr>
        <w:tc>
          <w:tcPr>
            <w:tcW w:w="1821" w:type="pct"/>
            <w:shd w:val="clear" w:color="000000" w:fill="9CC2E5"/>
            <w:vAlign w:val="center"/>
            <w:hideMark/>
          </w:tcPr>
          <w:p w14:paraId="5F85C06A"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29338737" w14:textId="18270191"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Servicios de salud Tamaulipas</w:t>
            </w:r>
          </w:p>
        </w:tc>
      </w:tr>
      <w:tr w:rsidR="00606A2B" w:rsidRPr="00B4148F" w14:paraId="4B1E9EDD" w14:textId="77777777" w:rsidTr="00B4148F">
        <w:trPr>
          <w:trHeight w:val="20"/>
        </w:trPr>
        <w:tc>
          <w:tcPr>
            <w:tcW w:w="1821" w:type="pct"/>
            <w:shd w:val="clear" w:color="000000" w:fill="9CC2E5"/>
            <w:vAlign w:val="center"/>
            <w:hideMark/>
          </w:tcPr>
          <w:p w14:paraId="2B57DDE7"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64E89EBD"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sz w:val="20"/>
                <w:szCs w:val="20"/>
              </w:rPr>
              <w:t>Desarrollar la infraestructura, el equipamiento y las condiciones que contribuyan a la mejora de la competitividad del estado y la calidad de vida de sus habitantes.</w:t>
            </w:r>
          </w:p>
        </w:tc>
      </w:tr>
      <w:tr w:rsidR="00606A2B" w:rsidRPr="00B4148F" w14:paraId="0FE9C9B6" w14:textId="77777777" w:rsidTr="00B4148F">
        <w:trPr>
          <w:trHeight w:val="20"/>
        </w:trPr>
        <w:tc>
          <w:tcPr>
            <w:tcW w:w="1821" w:type="pct"/>
            <w:shd w:val="clear" w:color="000000" w:fill="9CC2E5"/>
            <w:vAlign w:val="center"/>
            <w:hideMark/>
          </w:tcPr>
          <w:p w14:paraId="70C154D5"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43E05355"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606A2B" w:rsidRPr="00B4148F" w14:paraId="504FD0A3" w14:textId="77777777" w:rsidTr="00B4148F">
        <w:trPr>
          <w:trHeight w:val="20"/>
        </w:trPr>
        <w:tc>
          <w:tcPr>
            <w:tcW w:w="1821" w:type="pct"/>
            <w:shd w:val="clear" w:color="000000" w:fill="9CC2E5"/>
            <w:vAlign w:val="center"/>
            <w:hideMark/>
          </w:tcPr>
          <w:p w14:paraId="16EBF8D4"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75B588D9" w14:textId="708BC6A6" w:rsidR="00606A2B" w:rsidRPr="00B4148F" w:rsidRDefault="00606A2B" w:rsidP="00EB1DD1">
            <w:pPr>
              <w:spacing w:before="0" w:after="0"/>
              <w:rPr>
                <w:rFonts w:ascii="Calibri" w:eastAsia="Times New Roman" w:hAnsi="Calibri" w:cs="Calibri"/>
                <w:color w:val="000000"/>
                <w:sz w:val="20"/>
                <w:szCs w:val="20"/>
                <w:lang w:eastAsia="es-MX"/>
              </w:rPr>
            </w:pPr>
            <w:r w:rsidRPr="00B4148F">
              <w:rPr>
                <w:sz w:val="20"/>
                <w:szCs w:val="20"/>
              </w:rPr>
              <w:t>La población sin seguridad social del Estado recibe atención médica especializada en la red se servicios hospitalarios de segundo y tercer nivel de atención de manera oportuna, integral, accesible y con calidad.</w:t>
            </w:r>
          </w:p>
        </w:tc>
      </w:tr>
      <w:tr w:rsidR="00606A2B" w:rsidRPr="00B4148F" w14:paraId="415C27ED" w14:textId="77777777" w:rsidTr="00B4148F">
        <w:trPr>
          <w:trHeight w:val="20"/>
        </w:trPr>
        <w:tc>
          <w:tcPr>
            <w:tcW w:w="1821" w:type="pct"/>
            <w:shd w:val="clear" w:color="000000" w:fill="9CC2E5"/>
            <w:vAlign w:val="center"/>
            <w:hideMark/>
          </w:tcPr>
          <w:p w14:paraId="2103D4F5"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2B0D8961"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606A2B" w:rsidRPr="00B4148F" w14:paraId="0E2D0397" w14:textId="77777777" w:rsidTr="00B4148F">
        <w:trPr>
          <w:trHeight w:val="20"/>
        </w:trPr>
        <w:tc>
          <w:tcPr>
            <w:tcW w:w="1821" w:type="pct"/>
            <w:shd w:val="clear" w:color="000000" w:fill="9CC2E5"/>
            <w:vAlign w:val="center"/>
            <w:hideMark/>
          </w:tcPr>
          <w:p w14:paraId="07749933"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1F25F4CC"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606A2B" w:rsidRPr="00B4148F" w14:paraId="3A9DB1E4" w14:textId="77777777" w:rsidTr="00B4148F">
        <w:trPr>
          <w:trHeight w:val="20"/>
        </w:trPr>
        <w:tc>
          <w:tcPr>
            <w:tcW w:w="1821" w:type="pct"/>
            <w:shd w:val="clear" w:color="000000" w:fill="9CC2E5"/>
            <w:vAlign w:val="center"/>
            <w:hideMark/>
          </w:tcPr>
          <w:p w14:paraId="6FEF6449"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4DE739B5"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606A2B" w:rsidRPr="00B4148F" w14:paraId="440E2D7E" w14:textId="77777777" w:rsidTr="00B4148F">
        <w:trPr>
          <w:trHeight w:val="20"/>
        </w:trPr>
        <w:tc>
          <w:tcPr>
            <w:tcW w:w="1821" w:type="pct"/>
            <w:shd w:val="clear" w:color="000000" w:fill="9CC2E5"/>
            <w:vAlign w:val="center"/>
            <w:hideMark/>
          </w:tcPr>
          <w:p w14:paraId="4EBE4933"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750B0D67"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606A2B" w:rsidRPr="00B4148F" w14:paraId="7F9D9C08" w14:textId="77777777" w:rsidTr="00B4148F">
        <w:trPr>
          <w:trHeight w:val="20"/>
        </w:trPr>
        <w:tc>
          <w:tcPr>
            <w:tcW w:w="1821" w:type="pct"/>
            <w:shd w:val="clear" w:color="000000" w:fill="9CC2E5"/>
            <w:vAlign w:val="center"/>
            <w:hideMark/>
          </w:tcPr>
          <w:p w14:paraId="6EF40506"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lastRenderedPageBreak/>
              <w:t>Argumentación</w:t>
            </w:r>
          </w:p>
        </w:tc>
        <w:tc>
          <w:tcPr>
            <w:tcW w:w="3179" w:type="pct"/>
            <w:shd w:val="clear" w:color="auto" w:fill="auto"/>
            <w:vAlign w:val="center"/>
          </w:tcPr>
          <w:p w14:paraId="2271B79C" w14:textId="7C1D940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Contribuye a que la población sin seguridad social del estado reciba atención médica especializada en la red se servicios hospitalarios de segundo y tercer nivel de atención de manera oportuna, integral, accesible y con calidad</w:t>
            </w:r>
          </w:p>
        </w:tc>
      </w:tr>
      <w:tr w:rsidR="00606A2B" w:rsidRPr="00B4148F" w14:paraId="67B459F5" w14:textId="77777777" w:rsidTr="00B4148F">
        <w:trPr>
          <w:trHeight w:val="20"/>
        </w:trPr>
        <w:tc>
          <w:tcPr>
            <w:tcW w:w="1821" w:type="pct"/>
            <w:shd w:val="clear" w:color="000000" w:fill="9CC2E5"/>
            <w:vAlign w:val="center"/>
            <w:hideMark/>
          </w:tcPr>
          <w:p w14:paraId="5C77E03B" w14:textId="77777777" w:rsidR="00606A2B" w:rsidRPr="00B4148F" w:rsidRDefault="00606A2B"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7DE2250D" w14:textId="77777777" w:rsidR="00606A2B" w:rsidRPr="00B4148F" w:rsidRDefault="00606A2B"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2D50B5F6" w14:textId="0CFD68CE" w:rsidR="00606A2B" w:rsidRPr="00D746C0" w:rsidRDefault="00606A2B"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C2062C" w:rsidRPr="00B4148F" w14:paraId="53C0CE9C" w14:textId="77777777" w:rsidTr="00B4148F">
        <w:trPr>
          <w:trHeight w:val="20"/>
        </w:trPr>
        <w:tc>
          <w:tcPr>
            <w:tcW w:w="1821" w:type="pct"/>
            <w:shd w:val="clear" w:color="000000" w:fill="9CC2E5"/>
            <w:vAlign w:val="center"/>
            <w:hideMark/>
          </w:tcPr>
          <w:p w14:paraId="54F82279" w14:textId="77777777" w:rsidR="00C2062C" w:rsidRPr="00B4148F" w:rsidRDefault="00C2062C" w:rsidP="00EB1DD1">
            <w:pPr>
              <w:spacing w:before="0" w:after="0"/>
              <w:rPr>
                <w:rFonts w:ascii="Calibri" w:eastAsia="Times New Roman" w:hAnsi="Calibri" w:cs="Calibri"/>
                <w:b/>
                <w:bCs/>
                <w:color w:val="000000"/>
                <w:sz w:val="20"/>
                <w:szCs w:val="20"/>
                <w:lang w:eastAsia="es-MX"/>
              </w:rPr>
            </w:pPr>
            <w:bookmarkStart w:id="186" w:name="_Hlk56775294"/>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4E4F501A" w14:textId="55849BD2"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Proyectos de infraestructura social del deporte</w:t>
            </w:r>
          </w:p>
        </w:tc>
      </w:tr>
      <w:tr w:rsidR="00C2062C" w:rsidRPr="00B4148F" w14:paraId="425E7E34" w14:textId="77777777" w:rsidTr="00B4148F">
        <w:trPr>
          <w:trHeight w:val="20"/>
        </w:trPr>
        <w:tc>
          <w:tcPr>
            <w:tcW w:w="1821" w:type="pct"/>
            <w:shd w:val="clear" w:color="000000" w:fill="9CC2E5"/>
            <w:vAlign w:val="center"/>
            <w:hideMark/>
          </w:tcPr>
          <w:p w14:paraId="26C3165B"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253D792D" w14:textId="41CF9F09"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K186</w:t>
            </w:r>
          </w:p>
        </w:tc>
      </w:tr>
      <w:tr w:rsidR="00C2062C" w:rsidRPr="00B4148F" w14:paraId="0B44D4FD" w14:textId="77777777" w:rsidTr="00B4148F">
        <w:trPr>
          <w:trHeight w:val="20"/>
        </w:trPr>
        <w:tc>
          <w:tcPr>
            <w:tcW w:w="1821" w:type="pct"/>
            <w:shd w:val="clear" w:color="000000" w:fill="9CC2E5"/>
            <w:vAlign w:val="center"/>
            <w:hideMark/>
          </w:tcPr>
          <w:p w14:paraId="3E1C55FA"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601B1D6D" w14:textId="62EC1802"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C2062C" w:rsidRPr="00B4148F" w14:paraId="6B7FB30A" w14:textId="77777777" w:rsidTr="00B4148F">
        <w:trPr>
          <w:trHeight w:val="20"/>
        </w:trPr>
        <w:tc>
          <w:tcPr>
            <w:tcW w:w="1821" w:type="pct"/>
            <w:shd w:val="clear" w:color="000000" w:fill="9CC2E5"/>
            <w:vAlign w:val="center"/>
            <w:hideMark/>
          </w:tcPr>
          <w:p w14:paraId="6AABA115"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554FA527" w14:textId="797AA33B" w:rsidR="00C2062C" w:rsidRPr="00B4148F" w:rsidRDefault="00C2062C" w:rsidP="00EB1DD1">
            <w:pPr>
              <w:spacing w:before="0" w:after="0"/>
              <w:rPr>
                <w:rFonts w:ascii="Calibri" w:eastAsia="Times New Roman" w:hAnsi="Calibri" w:cs="Calibri"/>
                <w:color w:val="000000"/>
                <w:sz w:val="20"/>
                <w:szCs w:val="20"/>
                <w:lang w:eastAsia="es-MX"/>
              </w:rPr>
            </w:pPr>
            <w:r w:rsidRPr="00B4148F">
              <w:rPr>
                <w:sz w:val="20"/>
                <w:szCs w:val="20"/>
              </w:rPr>
              <w:t>Población del Estado de Tamaulipas incrementa su nivel de actividad física y práctica de deporte.</w:t>
            </w:r>
          </w:p>
        </w:tc>
      </w:tr>
      <w:tr w:rsidR="00C2062C" w:rsidRPr="00B4148F" w14:paraId="5B760608" w14:textId="77777777" w:rsidTr="00B4148F">
        <w:trPr>
          <w:trHeight w:val="20"/>
        </w:trPr>
        <w:tc>
          <w:tcPr>
            <w:tcW w:w="1821" w:type="pct"/>
            <w:shd w:val="clear" w:color="000000" w:fill="9CC2E5"/>
            <w:vAlign w:val="center"/>
            <w:hideMark/>
          </w:tcPr>
          <w:p w14:paraId="1D0479BA"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4FBE880C" w14:textId="77777777"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C2062C" w:rsidRPr="00B4148F" w14:paraId="0B1E3480" w14:textId="77777777" w:rsidTr="00B4148F">
        <w:trPr>
          <w:trHeight w:val="20"/>
        </w:trPr>
        <w:tc>
          <w:tcPr>
            <w:tcW w:w="1821" w:type="pct"/>
            <w:shd w:val="clear" w:color="000000" w:fill="9CC2E5"/>
            <w:vAlign w:val="center"/>
            <w:hideMark/>
          </w:tcPr>
          <w:p w14:paraId="59D23A4B"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711343D5" w14:textId="79D635A5" w:rsidR="00C2062C"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Construcción de infraestructura deportiva</w:t>
            </w:r>
          </w:p>
        </w:tc>
      </w:tr>
      <w:tr w:rsidR="00C2062C" w:rsidRPr="00B4148F" w14:paraId="10D37449" w14:textId="77777777" w:rsidTr="00B4148F">
        <w:trPr>
          <w:trHeight w:val="20"/>
        </w:trPr>
        <w:tc>
          <w:tcPr>
            <w:tcW w:w="1821" w:type="pct"/>
            <w:shd w:val="clear" w:color="000000" w:fill="9CC2E5"/>
            <w:vAlign w:val="center"/>
            <w:hideMark/>
          </w:tcPr>
          <w:p w14:paraId="20D0B831"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0236F14B" w14:textId="77777777"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C2062C" w:rsidRPr="00B4148F" w14:paraId="13E536F7" w14:textId="77777777" w:rsidTr="00B4148F">
        <w:trPr>
          <w:trHeight w:val="20"/>
        </w:trPr>
        <w:tc>
          <w:tcPr>
            <w:tcW w:w="1821" w:type="pct"/>
            <w:shd w:val="clear" w:color="000000" w:fill="9CC2E5"/>
            <w:vAlign w:val="center"/>
            <w:hideMark/>
          </w:tcPr>
          <w:p w14:paraId="1B20C42E"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5312D0E8" w14:textId="77777777"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C2062C" w:rsidRPr="00B4148F" w14:paraId="42695222" w14:textId="77777777" w:rsidTr="00B4148F">
        <w:trPr>
          <w:trHeight w:val="20"/>
        </w:trPr>
        <w:tc>
          <w:tcPr>
            <w:tcW w:w="1821" w:type="pct"/>
            <w:shd w:val="clear" w:color="000000" w:fill="9CC2E5"/>
            <w:vAlign w:val="center"/>
            <w:hideMark/>
          </w:tcPr>
          <w:p w14:paraId="5B7A5DAC"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00687551" w14:textId="77777777"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C2062C" w:rsidRPr="00B4148F" w14:paraId="3A8132AB" w14:textId="77777777" w:rsidTr="00B4148F">
        <w:trPr>
          <w:trHeight w:val="20"/>
        </w:trPr>
        <w:tc>
          <w:tcPr>
            <w:tcW w:w="1821" w:type="pct"/>
            <w:shd w:val="clear" w:color="000000" w:fill="9CC2E5"/>
            <w:vAlign w:val="center"/>
            <w:hideMark/>
          </w:tcPr>
          <w:p w14:paraId="5D80B48C" w14:textId="77777777" w:rsidR="00C2062C" w:rsidRPr="00B4148F" w:rsidRDefault="00C2062C"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2D9B510D" w14:textId="77777777" w:rsidR="00C2062C" w:rsidRPr="00B4148F" w:rsidRDefault="00C2062C"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D770BE" w:rsidRPr="00B4148F" w14:paraId="71EF08C1" w14:textId="77777777" w:rsidTr="00B4148F">
        <w:trPr>
          <w:trHeight w:val="20"/>
        </w:trPr>
        <w:tc>
          <w:tcPr>
            <w:tcW w:w="1821" w:type="pct"/>
            <w:shd w:val="clear" w:color="000000" w:fill="9CC2E5"/>
            <w:vAlign w:val="center"/>
            <w:hideMark/>
          </w:tcPr>
          <w:p w14:paraId="0981A6E3" w14:textId="77777777" w:rsidR="00D770BE" w:rsidRPr="00B4148F" w:rsidRDefault="00D770BE" w:rsidP="00D770BE">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4DEC00FF" w14:textId="5E4069DA" w:rsidR="00D770BE" w:rsidRPr="00B4148F" w:rsidRDefault="00D770BE" w:rsidP="00D770BE">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Contribuye a que la población del estado de Tamaulipas incremente su nivel de actividad física y práctica de deporte.</w:t>
            </w:r>
          </w:p>
        </w:tc>
      </w:tr>
      <w:tr w:rsidR="00D770BE" w:rsidRPr="00B4148F" w14:paraId="4D94790B" w14:textId="77777777" w:rsidTr="00B4148F">
        <w:trPr>
          <w:trHeight w:val="20"/>
        </w:trPr>
        <w:tc>
          <w:tcPr>
            <w:tcW w:w="1821" w:type="pct"/>
            <w:shd w:val="clear" w:color="000000" w:fill="9CC2E5"/>
            <w:vAlign w:val="center"/>
            <w:hideMark/>
          </w:tcPr>
          <w:p w14:paraId="7A2FD74F" w14:textId="77777777" w:rsidR="00D770BE" w:rsidRPr="00B4148F" w:rsidRDefault="00D770BE" w:rsidP="00D770BE">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1863F401" w14:textId="77777777" w:rsidR="00D770BE" w:rsidRPr="00B4148F" w:rsidRDefault="00D770BE" w:rsidP="00D770BE">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bookmarkEnd w:id="186"/>
    </w:tbl>
    <w:p w14:paraId="70AA6BD8" w14:textId="6829BF03" w:rsidR="00C2062C" w:rsidRPr="00D746C0" w:rsidRDefault="00C2062C" w:rsidP="00D746C0">
      <w:pPr>
        <w:jc w:val="left"/>
        <w:rPr>
          <w:rFonts w:ascii="Arial" w:eastAsia="Calibri" w:hAnsi="Arial" w:cs="Arial"/>
          <w:bCs/>
          <w:sz w:val="2"/>
          <w:szCs w:val="2"/>
        </w:rPr>
      </w:pPr>
    </w:p>
    <w:tbl>
      <w:tblPr>
        <w:tblW w:w="5016"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5"/>
        <w:gridCol w:w="8650"/>
      </w:tblGrid>
      <w:tr w:rsidR="00D770BE" w:rsidRPr="00B4148F" w14:paraId="15D98D7F" w14:textId="77777777" w:rsidTr="00B4148F">
        <w:trPr>
          <w:trHeight w:val="20"/>
        </w:trPr>
        <w:tc>
          <w:tcPr>
            <w:tcW w:w="1821" w:type="pct"/>
            <w:shd w:val="clear" w:color="000000" w:fill="9CC2E5"/>
            <w:vAlign w:val="center"/>
            <w:hideMark/>
          </w:tcPr>
          <w:p w14:paraId="45240E28"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Nombre de las políticas, programas o proyectos locales</w:t>
            </w:r>
          </w:p>
        </w:tc>
        <w:tc>
          <w:tcPr>
            <w:tcW w:w="3179" w:type="pct"/>
            <w:shd w:val="clear" w:color="auto" w:fill="auto"/>
            <w:vAlign w:val="center"/>
            <w:hideMark/>
          </w:tcPr>
          <w:p w14:paraId="133FE8FA" w14:textId="75E65F56" w:rsidR="00D770BE" w:rsidRPr="00B4148F" w:rsidRDefault="00F94D4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Otros proyectos de infraestructura social</w:t>
            </w:r>
          </w:p>
        </w:tc>
      </w:tr>
      <w:tr w:rsidR="00D770BE" w:rsidRPr="00B4148F" w14:paraId="169190B1" w14:textId="77777777" w:rsidTr="00B4148F">
        <w:trPr>
          <w:trHeight w:val="20"/>
        </w:trPr>
        <w:tc>
          <w:tcPr>
            <w:tcW w:w="1821" w:type="pct"/>
            <w:shd w:val="clear" w:color="000000" w:fill="9CC2E5"/>
            <w:vAlign w:val="center"/>
            <w:hideMark/>
          </w:tcPr>
          <w:p w14:paraId="56161056"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Modalidad y Clave </w:t>
            </w:r>
          </w:p>
        </w:tc>
        <w:tc>
          <w:tcPr>
            <w:tcW w:w="3179" w:type="pct"/>
            <w:shd w:val="clear" w:color="auto" w:fill="auto"/>
            <w:vAlign w:val="center"/>
            <w:hideMark/>
          </w:tcPr>
          <w:p w14:paraId="277D8CDC" w14:textId="1CFED911"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K1</w:t>
            </w:r>
            <w:r w:rsidR="00F94D42" w:rsidRPr="00B4148F">
              <w:rPr>
                <w:rFonts w:eastAsia="Times New Roman" w:cstheme="minorHAnsi"/>
                <w:color w:val="000000"/>
                <w:sz w:val="20"/>
                <w:szCs w:val="20"/>
                <w:lang w:eastAsia="es-MX"/>
              </w:rPr>
              <w:t>74</w:t>
            </w:r>
          </w:p>
        </w:tc>
      </w:tr>
      <w:tr w:rsidR="00D770BE" w:rsidRPr="00B4148F" w14:paraId="72D569BC" w14:textId="77777777" w:rsidTr="00B4148F">
        <w:trPr>
          <w:trHeight w:val="20"/>
        </w:trPr>
        <w:tc>
          <w:tcPr>
            <w:tcW w:w="1821" w:type="pct"/>
            <w:shd w:val="clear" w:color="000000" w:fill="9CC2E5"/>
            <w:vAlign w:val="center"/>
            <w:hideMark/>
          </w:tcPr>
          <w:p w14:paraId="696895B0"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Ramo </w:t>
            </w:r>
          </w:p>
        </w:tc>
        <w:tc>
          <w:tcPr>
            <w:tcW w:w="3179" w:type="pct"/>
            <w:shd w:val="clear" w:color="auto" w:fill="auto"/>
            <w:vAlign w:val="center"/>
            <w:hideMark/>
          </w:tcPr>
          <w:p w14:paraId="6C437466"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Obras públicas</w:t>
            </w:r>
          </w:p>
        </w:tc>
      </w:tr>
      <w:tr w:rsidR="00D770BE" w:rsidRPr="00B4148F" w14:paraId="5C1A143B" w14:textId="77777777" w:rsidTr="00B4148F">
        <w:trPr>
          <w:trHeight w:val="20"/>
        </w:trPr>
        <w:tc>
          <w:tcPr>
            <w:tcW w:w="1821" w:type="pct"/>
            <w:shd w:val="clear" w:color="000000" w:fill="9CC2E5"/>
            <w:vAlign w:val="center"/>
            <w:hideMark/>
          </w:tcPr>
          <w:p w14:paraId="004634BB"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Propósito </w:t>
            </w:r>
          </w:p>
        </w:tc>
        <w:tc>
          <w:tcPr>
            <w:tcW w:w="3179" w:type="pct"/>
            <w:shd w:val="clear" w:color="auto" w:fill="auto"/>
            <w:vAlign w:val="center"/>
          </w:tcPr>
          <w:p w14:paraId="20619EE9" w14:textId="0AB17476" w:rsidR="00D770BE" w:rsidRPr="00B4148F" w:rsidRDefault="00F94D42" w:rsidP="00EB1DD1">
            <w:pPr>
              <w:spacing w:before="0" w:after="0"/>
              <w:rPr>
                <w:rFonts w:ascii="Calibri" w:eastAsia="Times New Roman" w:hAnsi="Calibri" w:cs="Calibri"/>
                <w:color w:val="000000"/>
                <w:sz w:val="20"/>
                <w:szCs w:val="20"/>
                <w:lang w:eastAsia="es-MX"/>
              </w:rPr>
            </w:pPr>
            <w:r w:rsidRPr="00B4148F">
              <w:rPr>
                <w:sz w:val="20"/>
                <w:szCs w:val="20"/>
              </w:rPr>
              <w:t>Las personas en zonas de atención prioritaria, utilizan obras de bienestar social como espacios de participación ciudadana e integración social.</w:t>
            </w:r>
          </w:p>
        </w:tc>
      </w:tr>
      <w:tr w:rsidR="00D770BE" w:rsidRPr="00B4148F" w14:paraId="495B4ECF" w14:textId="77777777" w:rsidTr="00B4148F">
        <w:trPr>
          <w:trHeight w:val="20"/>
        </w:trPr>
        <w:tc>
          <w:tcPr>
            <w:tcW w:w="1821" w:type="pct"/>
            <w:shd w:val="clear" w:color="000000" w:fill="9CC2E5"/>
            <w:vAlign w:val="center"/>
            <w:hideMark/>
          </w:tcPr>
          <w:p w14:paraId="6F86FD83"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Población objetivo </w:t>
            </w:r>
          </w:p>
        </w:tc>
        <w:tc>
          <w:tcPr>
            <w:tcW w:w="3179" w:type="pct"/>
            <w:shd w:val="clear" w:color="auto" w:fill="auto"/>
            <w:vAlign w:val="center"/>
          </w:tcPr>
          <w:p w14:paraId="28B881E1"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Población total de Tamaulipas</w:t>
            </w:r>
          </w:p>
        </w:tc>
      </w:tr>
      <w:tr w:rsidR="00D770BE" w:rsidRPr="00B4148F" w14:paraId="50F12E84" w14:textId="77777777" w:rsidTr="00B4148F">
        <w:trPr>
          <w:trHeight w:val="20"/>
        </w:trPr>
        <w:tc>
          <w:tcPr>
            <w:tcW w:w="1821" w:type="pct"/>
            <w:shd w:val="clear" w:color="000000" w:fill="9CC2E5"/>
            <w:vAlign w:val="center"/>
            <w:hideMark/>
          </w:tcPr>
          <w:p w14:paraId="4EEB2C45"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Tipos de Componentes que entrega a sus destinatarios </w:t>
            </w:r>
          </w:p>
        </w:tc>
        <w:tc>
          <w:tcPr>
            <w:tcW w:w="3179" w:type="pct"/>
            <w:shd w:val="clear" w:color="auto" w:fill="auto"/>
            <w:vAlign w:val="center"/>
          </w:tcPr>
          <w:p w14:paraId="2F0E4170" w14:textId="358A8456" w:rsidR="00D770BE" w:rsidRPr="00B4148F" w:rsidRDefault="00F94D42" w:rsidP="00EB1DD1">
            <w:pPr>
              <w:spacing w:before="0" w:after="0"/>
              <w:rPr>
                <w:rFonts w:ascii="Calibri" w:eastAsia="Times New Roman" w:hAnsi="Calibri" w:cs="Calibri"/>
                <w:color w:val="000000"/>
                <w:sz w:val="20"/>
                <w:szCs w:val="20"/>
                <w:lang w:eastAsia="es-MX"/>
              </w:rPr>
            </w:pPr>
            <w:r w:rsidRPr="00B4148F">
              <w:rPr>
                <w:sz w:val="20"/>
                <w:szCs w:val="20"/>
              </w:rPr>
              <w:t>Proyectos de infraestructura y equipamiento de la Secretaría de Bienestar</w:t>
            </w:r>
          </w:p>
        </w:tc>
      </w:tr>
      <w:tr w:rsidR="00D770BE" w:rsidRPr="00B4148F" w14:paraId="281ED336" w14:textId="77777777" w:rsidTr="00B4148F">
        <w:trPr>
          <w:trHeight w:val="20"/>
        </w:trPr>
        <w:tc>
          <w:tcPr>
            <w:tcW w:w="1821" w:type="pct"/>
            <w:shd w:val="clear" w:color="000000" w:fill="9CC2E5"/>
            <w:vAlign w:val="center"/>
            <w:hideMark/>
          </w:tcPr>
          <w:p w14:paraId="4F926D12"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Cobertura Geográfica </w:t>
            </w:r>
          </w:p>
        </w:tc>
        <w:tc>
          <w:tcPr>
            <w:tcW w:w="3179" w:type="pct"/>
            <w:shd w:val="clear" w:color="auto" w:fill="auto"/>
            <w:vAlign w:val="center"/>
            <w:hideMark/>
          </w:tcPr>
          <w:p w14:paraId="3F6F33B1"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 xml:space="preserve">Estatal </w:t>
            </w:r>
          </w:p>
        </w:tc>
      </w:tr>
      <w:tr w:rsidR="00D770BE" w:rsidRPr="00B4148F" w14:paraId="08BC895F" w14:textId="77777777" w:rsidTr="00B4148F">
        <w:trPr>
          <w:trHeight w:val="20"/>
        </w:trPr>
        <w:tc>
          <w:tcPr>
            <w:tcW w:w="1821" w:type="pct"/>
            <w:shd w:val="clear" w:color="000000" w:fill="9CC2E5"/>
            <w:vAlign w:val="center"/>
            <w:hideMark/>
          </w:tcPr>
          <w:p w14:paraId="41998427"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Fuentes de Información </w:t>
            </w:r>
          </w:p>
        </w:tc>
        <w:tc>
          <w:tcPr>
            <w:tcW w:w="3179" w:type="pct"/>
            <w:shd w:val="clear" w:color="auto" w:fill="auto"/>
            <w:vAlign w:val="center"/>
            <w:hideMark/>
          </w:tcPr>
          <w:p w14:paraId="396F9539"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MIR de Pp de Tamaulipas</w:t>
            </w:r>
          </w:p>
        </w:tc>
      </w:tr>
      <w:tr w:rsidR="00D770BE" w:rsidRPr="00B4148F" w14:paraId="14C931AE" w14:textId="77777777" w:rsidTr="00B4148F">
        <w:trPr>
          <w:trHeight w:val="20"/>
        </w:trPr>
        <w:tc>
          <w:tcPr>
            <w:tcW w:w="1821" w:type="pct"/>
            <w:shd w:val="clear" w:color="000000" w:fill="9CC2E5"/>
            <w:vAlign w:val="center"/>
            <w:hideMark/>
          </w:tcPr>
          <w:p w14:paraId="43EEB6F0"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¿Es coincidente? </w:t>
            </w:r>
          </w:p>
        </w:tc>
        <w:tc>
          <w:tcPr>
            <w:tcW w:w="3179" w:type="pct"/>
            <w:shd w:val="clear" w:color="auto" w:fill="auto"/>
            <w:vAlign w:val="center"/>
            <w:hideMark/>
          </w:tcPr>
          <w:p w14:paraId="37ECDC38"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No</w:t>
            </w:r>
          </w:p>
        </w:tc>
      </w:tr>
      <w:tr w:rsidR="00D770BE" w:rsidRPr="00B4148F" w14:paraId="299C1ACC" w14:textId="77777777" w:rsidTr="00B4148F">
        <w:trPr>
          <w:trHeight w:val="20"/>
        </w:trPr>
        <w:tc>
          <w:tcPr>
            <w:tcW w:w="1821" w:type="pct"/>
            <w:shd w:val="clear" w:color="000000" w:fill="9CC2E5"/>
            <w:vAlign w:val="center"/>
            <w:hideMark/>
          </w:tcPr>
          <w:p w14:paraId="058391D1"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 xml:space="preserve">¿Se complementa? </w:t>
            </w:r>
          </w:p>
        </w:tc>
        <w:tc>
          <w:tcPr>
            <w:tcW w:w="3179" w:type="pct"/>
            <w:shd w:val="clear" w:color="auto" w:fill="auto"/>
            <w:vAlign w:val="center"/>
            <w:hideMark/>
          </w:tcPr>
          <w:p w14:paraId="237DBBD8"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theme="minorHAnsi"/>
                <w:color w:val="000000"/>
                <w:sz w:val="20"/>
                <w:szCs w:val="20"/>
                <w:lang w:eastAsia="es-MX"/>
              </w:rPr>
              <w:t>Sí</w:t>
            </w:r>
          </w:p>
        </w:tc>
      </w:tr>
      <w:tr w:rsidR="00D770BE" w:rsidRPr="00B4148F" w14:paraId="18446649" w14:textId="77777777" w:rsidTr="00B4148F">
        <w:trPr>
          <w:trHeight w:val="20"/>
        </w:trPr>
        <w:tc>
          <w:tcPr>
            <w:tcW w:w="1821" w:type="pct"/>
            <w:shd w:val="clear" w:color="000000" w:fill="9CC2E5"/>
            <w:vAlign w:val="center"/>
            <w:hideMark/>
          </w:tcPr>
          <w:p w14:paraId="64BCC8F7"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Argumentación</w:t>
            </w:r>
          </w:p>
        </w:tc>
        <w:tc>
          <w:tcPr>
            <w:tcW w:w="3179" w:type="pct"/>
            <w:shd w:val="clear" w:color="auto" w:fill="auto"/>
            <w:vAlign w:val="center"/>
          </w:tcPr>
          <w:p w14:paraId="3976A929" w14:textId="4C94AFB4" w:rsidR="00D770BE" w:rsidRPr="00B4148F" w:rsidRDefault="00F94D42" w:rsidP="00EB1DD1">
            <w:pPr>
              <w:spacing w:before="0" w:after="0"/>
              <w:rPr>
                <w:rFonts w:ascii="Calibri" w:eastAsia="Times New Roman" w:hAnsi="Calibri" w:cs="Calibri"/>
                <w:color w:val="000000"/>
                <w:sz w:val="20"/>
                <w:szCs w:val="20"/>
                <w:lang w:eastAsia="es-MX"/>
              </w:rPr>
            </w:pPr>
            <w:r w:rsidRPr="00B4148F">
              <w:rPr>
                <w:rFonts w:eastAsia="Times New Roman" w:cstheme="minorHAnsi"/>
                <w:color w:val="000000"/>
                <w:sz w:val="20"/>
                <w:szCs w:val="20"/>
                <w:lang w:eastAsia="es-MX"/>
              </w:rPr>
              <w:t>Contribuye a que las personas en zonas de atención prioritaria accedan a obras de bienestar social como espacios de participación ciudadana e integración social mediante el complemento del presupuesto del Pp.</w:t>
            </w:r>
          </w:p>
        </w:tc>
      </w:tr>
      <w:tr w:rsidR="00D770BE" w:rsidRPr="00B4148F" w14:paraId="3184B52B" w14:textId="77777777" w:rsidTr="00B4148F">
        <w:trPr>
          <w:trHeight w:val="20"/>
        </w:trPr>
        <w:tc>
          <w:tcPr>
            <w:tcW w:w="1821" w:type="pct"/>
            <w:shd w:val="clear" w:color="000000" w:fill="9CC2E5"/>
            <w:vAlign w:val="center"/>
            <w:hideMark/>
          </w:tcPr>
          <w:p w14:paraId="1314B093" w14:textId="77777777" w:rsidR="00D770BE" w:rsidRPr="00B4148F" w:rsidRDefault="00D770BE" w:rsidP="00EB1DD1">
            <w:pPr>
              <w:spacing w:before="0" w:after="0"/>
              <w:rPr>
                <w:rFonts w:ascii="Calibri" w:eastAsia="Times New Roman" w:hAnsi="Calibri" w:cs="Calibri"/>
                <w:b/>
                <w:bCs/>
                <w:color w:val="000000"/>
                <w:sz w:val="20"/>
                <w:szCs w:val="20"/>
                <w:lang w:eastAsia="es-MX"/>
              </w:rPr>
            </w:pPr>
            <w:r w:rsidRPr="00B4148F">
              <w:rPr>
                <w:rFonts w:ascii="Calibri" w:eastAsia="Times New Roman" w:hAnsi="Calibri" w:cstheme="minorHAnsi"/>
                <w:b/>
                <w:bCs/>
                <w:color w:val="000000"/>
                <w:sz w:val="20"/>
                <w:szCs w:val="20"/>
                <w:lang w:eastAsia="es-MX"/>
              </w:rPr>
              <w:t>Recomendación</w:t>
            </w:r>
          </w:p>
        </w:tc>
        <w:tc>
          <w:tcPr>
            <w:tcW w:w="3179" w:type="pct"/>
            <w:shd w:val="clear" w:color="auto" w:fill="auto"/>
            <w:vAlign w:val="center"/>
            <w:hideMark/>
          </w:tcPr>
          <w:p w14:paraId="1BC6B7C5" w14:textId="77777777" w:rsidR="00D770BE" w:rsidRPr="00B4148F" w:rsidRDefault="00D770BE" w:rsidP="00EB1DD1">
            <w:pPr>
              <w:spacing w:before="0" w:after="0"/>
              <w:rPr>
                <w:rFonts w:ascii="Calibri" w:eastAsia="Times New Roman" w:hAnsi="Calibri" w:cs="Calibri"/>
                <w:color w:val="000000"/>
                <w:sz w:val="20"/>
                <w:szCs w:val="20"/>
                <w:lang w:eastAsia="es-MX"/>
              </w:rPr>
            </w:pPr>
            <w:r w:rsidRPr="00B4148F">
              <w:rPr>
                <w:rFonts w:ascii="Calibri" w:eastAsia="Times New Roman" w:hAnsi="Calibri" w:cs="Calibri"/>
                <w:color w:val="000000"/>
                <w:sz w:val="20"/>
                <w:szCs w:val="20"/>
                <w:lang w:eastAsia="es-MX"/>
              </w:rPr>
              <w:t>Sin recomendación</w:t>
            </w:r>
          </w:p>
        </w:tc>
      </w:tr>
    </w:tbl>
    <w:p w14:paraId="41644E1B" w14:textId="3C575D14" w:rsidR="00C33F1A" w:rsidRDefault="00C33F1A">
      <w:pPr>
        <w:spacing w:before="0" w:after="160" w:line="259" w:lineRule="auto"/>
        <w:jc w:val="left"/>
        <w:rPr>
          <w:rFonts w:ascii="Arial" w:eastAsia="Calibri" w:hAnsi="Arial" w:cs="Arial"/>
          <w:bCs/>
          <w:sz w:val="20"/>
          <w:szCs w:val="20"/>
        </w:rPr>
        <w:sectPr w:rsidR="00C33F1A" w:rsidSect="00D33214">
          <w:pgSz w:w="15840" w:h="12240" w:orient="landscape" w:code="1"/>
          <w:pgMar w:top="1134" w:right="1134" w:bottom="1134" w:left="1134" w:header="425" w:footer="709" w:gutter="0"/>
          <w:cols w:space="708"/>
          <w:docGrid w:linePitch="360"/>
        </w:sectPr>
      </w:pPr>
    </w:p>
    <w:p w14:paraId="1990A227" w14:textId="280517FB" w:rsidR="00EE2253" w:rsidRDefault="00EE2253" w:rsidP="005B684A">
      <w:pPr>
        <w:pStyle w:val="Anexo"/>
      </w:pPr>
      <w:bookmarkStart w:id="187" w:name="_Toc47933875"/>
      <w:bookmarkStart w:id="188" w:name="_Toc51291535"/>
      <w:bookmarkStart w:id="189" w:name="_Toc55411214"/>
      <w:bookmarkStart w:id="190" w:name="_Toc55580113"/>
      <w:bookmarkStart w:id="191" w:name="_Toc56496638"/>
      <w:bookmarkStart w:id="192" w:name="_Toc61633664"/>
      <w:r w:rsidRPr="00B11F24">
        <w:lastRenderedPageBreak/>
        <w:t>Anexo 9</w:t>
      </w:r>
      <w:r w:rsidR="006D30F3">
        <w:t>.</w:t>
      </w:r>
      <w:r w:rsidRPr="00B11F24">
        <w:t xml:space="preserve"> Principales Fortalezas, Oportunidades, Debilidades, Amenazas y Recomendaciones.</w:t>
      </w:r>
      <w:bookmarkEnd w:id="187"/>
      <w:bookmarkEnd w:id="188"/>
      <w:bookmarkEnd w:id="189"/>
      <w:bookmarkEnd w:id="190"/>
      <w:bookmarkEnd w:id="191"/>
      <w:bookmarkEnd w:id="192"/>
    </w:p>
    <w:tbl>
      <w:tblPr>
        <w:tblW w:w="50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05"/>
        <w:gridCol w:w="4249"/>
        <w:gridCol w:w="1277"/>
        <w:gridCol w:w="25"/>
        <w:gridCol w:w="5682"/>
      </w:tblGrid>
      <w:tr w:rsidR="00FE628E" w:rsidRPr="007508A6" w14:paraId="498653E7" w14:textId="77777777" w:rsidTr="008F106F">
        <w:trPr>
          <w:trHeight w:val="450"/>
          <w:tblHeader/>
        </w:trPr>
        <w:tc>
          <w:tcPr>
            <w:tcW w:w="882" w:type="pct"/>
            <w:vMerge w:val="restart"/>
            <w:shd w:val="clear" w:color="000000" w:fill="9CC2E5"/>
            <w:noWrap/>
            <w:vAlign w:val="center"/>
            <w:hideMark/>
          </w:tcPr>
          <w:p w14:paraId="44B14618" w14:textId="77777777" w:rsidR="00FE628E" w:rsidRPr="007508A6" w:rsidRDefault="00FE628E" w:rsidP="007508A6">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Tema de la evaluación:</w:t>
            </w:r>
          </w:p>
        </w:tc>
        <w:tc>
          <w:tcPr>
            <w:tcW w:w="1558" w:type="pct"/>
            <w:vMerge w:val="restart"/>
            <w:shd w:val="clear" w:color="000000" w:fill="9CC2E5"/>
            <w:noWrap/>
            <w:vAlign w:val="center"/>
            <w:hideMark/>
          </w:tcPr>
          <w:p w14:paraId="70BB2CE2" w14:textId="77777777" w:rsidR="00FE628E" w:rsidRDefault="00FE628E" w:rsidP="007508A6">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 xml:space="preserve">Fortaleza y Oportunidad/Debilidad </w:t>
            </w:r>
          </w:p>
          <w:p w14:paraId="5FDACDE6" w14:textId="18EDAAB9" w:rsidR="00FE628E" w:rsidRPr="007508A6" w:rsidRDefault="00FE628E" w:rsidP="007508A6">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77" w:type="pct"/>
            <w:gridSpan w:val="2"/>
            <w:vMerge w:val="restart"/>
            <w:shd w:val="clear" w:color="000000" w:fill="9CC2E5"/>
            <w:vAlign w:val="center"/>
            <w:hideMark/>
          </w:tcPr>
          <w:p w14:paraId="6819DFD2" w14:textId="77777777" w:rsidR="00FE628E" w:rsidRPr="007508A6" w:rsidRDefault="00FE628E" w:rsidP="007508A6">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Referencia (Pregunta específica)</w:t>
            </w:r>
          </w:p>
        </w:tc>
        <w:tc>
          <w:tcPr>
            <w:tcW w:w="2083" w:type="pct"/>
            <w:vMerge w:val="restart"/>
            <w:shd w:val="clear" w:color="000000" w:fill="9CC2E5"/>
            <w:noWrap/>
            <w:vAlign w:val="center"/>
            <w:hideMark/>
          </w:tcPr>
          <w:p w14:paraId="43AC7160" w14:textId="77777777" w:rsidR="00FE628E" w:rsidRPr="007508A6" w:rsidRDefault="00FE628E" w:rsidP="007508A6">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 xml:space="preserve">Recomendación concreta </w:t>
            </w:r>
          </w:p>
        </w:tc>
      </w:tr>
      <w:tr w:rsidR="00FE628E" w:rsidRPr="007508A6" w14:paraId="78EE0045" w14:textId="77777777" w:rsidTr="008F106F">
        <w:trPr>
          <w:trHeight w:val="450"/>
        </w:trPr>
        <w:tc>
          <w:tcPr>
            <w:tcW w:w="882" w:type="pct"/>
            <w:vMerge/>
            <w:vAlign w:val="center"/>
            <w:hideMark/>
          </w:tcPr>
          <w:p w14:paraId="414DB190" w14:textId="77777777" w:rsidR="00FE628E" w:rsidRPr="007508A6" w:rsidRDefault="00FE628E" w:rsidP="007508A6">
            <w:pPr>
              <w:spacing w:before="0" w:after="0"/>
              <w:jc w:val="left"/>
              <w:rPr>
                <w:rFonts w:eastAsia="Times New Roman" w:cstheme="minorHAnsi"/>
                <w:b/>
                <w:bCs/>
                <w:color w:val="000000"/>
                <w:sz w:val="20"/>
                <w:szCs w:val="20"/>
                <w:lang w:eastAsia="es-MX"/>
              </w:rPr>
            </w:pPr>
          </w:p>
        </w:tc>
        <w:tc>
          <w:tcPr>
            <w:tcW w:w="1558" w:type="pct"/>
            <w:vMerge/>
            <w:vAlign w:val="center"/>
            <w:hideMark/>
          </w:tcPr>
          <w:p w14:paraId="5CA1C9B0" w14:textId="77777777" w:rsidR="00FE628E" w:rsidRPr="007508A6" w:rsidRDefault="00FE628E" w:rsidP="007508A6">
            <w:pPr>
              <w:spacing w:before="0" w:after="0"/>
              <w:jc w:val="left"/>
              <w:rPr>
                <w:rFonts w:eastAsia="Times New Roman" w:cstheme="minorHAnsi"/>
                <w:b/>
                <w:bCs/>
                <w:color w:val="000000"/>
                <w:sz w:val="20"/>
                <w:szCs w:val="20"/>
                <w:lang w:eastAsia="es-MX"/>
              </w:rPr>
            </w:pPr>
          </w:p>
        </w:tc>
        <w:tc>
          <w:tcPr>
            <w:tcW w:w="477" w:type="pct"/>
            <w:gridSpan w:val="2"/>
            <w:vMerge/>
            <w:vAlign w:val="center"/>
            <w:hideMark/>
          </w:tcPr>
          <w:p w14:paraId="45C33FC0" w14:textId="77777777" w:rsidR="00FE628E" w:rsidRPr="007508A6" w:rsidRDefault="00FE628E" w:rsidP="007508A6">
            <w:pPr>
              <w:spacing w:before="0" w:after="0"/>
              <w:jc w:val="left"/>
              <w:rPr>
                <w:rFonts w:eastAsia="Times New Roman" w:cstheme="minorHAnsi"/>
                <w:b/>
                <w:bCs/>
                <w:color w:val="000000"/>
                <w:sz w:val="20"/>
                <w:szCs w:val="20"/>
                <w:lang w:eastAsia="es-MX"/>
              </w:rPr>
            </w:pPr>
          </w:p>
        </w:tc>
        <w:tc>
          <w:tcPr>
            <w:tcW w:w="2083" w:type="pct"/>
            <w:vMerge/>
            <w:vAlign w:val="center"/>
            <w:hideMark/>
          </w:tcPr>
          <w:p w14:paraId="6E718848" w14:textId="77777777" w:rsidR="00FE628E" w:rsidRPr="007508A6" w:rsidRDefault="00FE628E" w:rsidP="007508A6">
            <w:pPr>
              <w:spacing w:before="0" w:after="0"/>
              <w:jc w:val="left"/>
              <w:rPr>
                <w:rFonts w:eastAsia="Times New Roman" w:cstheme="minorHAnsi"/>
                <w:b/>
                <w:bCs/>
                <w:color w:val="000000"/>
                <w:sz w:val="20"/>
                <w:szCs w:val="20"/>
                <w:lang w:eastAsia="es-MX"/>
              </w:rPr>
            </w:pPr>
          </w:p>
        </w:tc>
      </w:tr>
      <w:tr w:rsidR="00FE628E" w:rsidRPr="007508A6" w14:paraId="16F4FBD6" w14:textId="77777777" w:rsidTr="00FE628E">
        <w:trPr>
          <w:trHeight w:val="300"/>
        </w:trPr>
        <w:tc>
          <w:tcPr>
            <w:tcW w:w="5000" w:type="pct"/>
            <w:gridSpan w:val="5"/>
            <w:shd w:val="clear" w:color="000000" w:fill="D9D9D9"/>
            <w:vAlign w:val="center"/>
            <w:hideMark/>
          </w:tcPr>
          <w:p w14:paraId="5D8D4FB3" w14:textId="77777777" w:rsidR="00FE628E" w:rsidRPr="007508A6" w:rsidRDefault="00FE628E" w:rsidP="009E35D4">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31068F29" w14:textId="77777777" w:rsidTr="008F106F">
        <w:trPr>
          <w:trHeight w:val="4932"/>
        </w:trPr>
        <w:tc>
          <w:tcPr>
            <w:tcW w:w="882" w:type="pct"/>
            <w:shd w:val="clear" w:color="000000" w:fill="FFFFFF"/>
            <w:vAlign w:val="center"/>
            <w:hideMark/>
          </w:tcPr>
          <w:p w14:paraId="4F6E0740" w14:textId="00F0A9BD" w:rsidR="00FE628E" w:rsidRPr="007508A6" w:rsidRDefault="00FE628E" w:rsidP="00093C8F">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1. Justificación del diseño del Fondo y de su mecanismo de intervención</w:t>
            </w:r>
          </w:p>
        </w:tc>
        <w:tc>
          <w:tcPr>
            <w:tcW w:w="1558" w:type="pct"/>
            <w:shd w:val="clear" w:color="000000" w:fill="FFFFFF"/>
            <w:vAlign w:val="center"/>
            <w:hideMark/>
          </w:tcPr>
          <w:p w14:paraId="4B18F92B" w14:textId="4F89F5E2" w:rsidR="00FE628E" w:rsidRPr="007508A6" w:rsidRDefault="00FE628E" w:rsidP="000E223A">
            <w:pPr>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F17FF7">
              <w:rPr>
                <w:rFonts w:eastAsia="Times New Roman" w:cstheme="minorHAnsi"/>
                <w:color w:val="000000"/>
                <w:sz w:val="20"/>
                <w:szCs w:val="20"/>
                <w:lang w:eastAsia="es-MX"/>
              </w:rPr>
              <w:t>En 2018, se crea el Grupo de Trabajo</w:t>
            </w:r>
            <w:r w:rsidRPr="00836CAA">
              <w:rPr>
                <w:rFonts w:eastAsia="Times New Roman" w:cstheme="minorHAnsi"/>
                <w:color w:val="000000"/>
                <w:sz w:val="20"/>
                <w:szCs w:val="20"/>
                <w:lang w:eastAsia="es-MX"/>
              </w:rPr>
              <w:t xml:space="preserve"> de la Subsecretaría de Egresos, en el que participan todos los Directores de Área, así como el titular de dicha Subsecretaría</w:t>
            </w:r>
            <w:r>
              <w:rPr>
                <w:rFonts w:eastAsia="Times New Roman" w:cstheme="minorHAnsi"/>
                <w:color w:val="000000"/>
                <w:sz w:val="20"/>
                <w:szCs w:val="20"/>
                <w:lang w:eastAsia="es-MX"/>
              </w:rPr>
              <w:t>;</w:t>
            </w:r>
            <w:r w:rsidRPr="00836CAA">
              <w:rPr>
                <w:rFonts w:eastAsia="Times New Roman" w:cstheme="minorHAnsi"/>
                <w:color w:val="000000"/>
                <w:sz w:val="20"/>
                <w:szCs w:val="20"/>
                <w:lang w:eastAsia="es-MX"/>
              </w:rPr>
              <w:t xml:space="preserve"> como</w:t>
            </w:r>
            <w:r>
              <w:rPr>
                <w:rFonts w:eastAsia="Times New Roman" w:cstheme="minorHAnsi"/>
                <w:color w:val="000000"/>
                <w:sz w:val="20"/>
                <w:szCs w:val="20"/>
                <w:lang w:eastAsia="es-MX"/>
              </w:rPr>
              <w:t xml:space="preserve"> una</w:t>
            </w:r>
            <w:r w:rsidRPr="00836CAA">
              <w:rPr>
                <w:rFonts w:eastAsia="Times New Roman" w:cstheme="minorHAnsi"/>
                <w:color w:val="000000"/>
                <w:sz w:val="20"/>
                <w:szCs w:val="20"/>
                <w:lang w:eastAsia="es-MX"/>
              </w:rPr>
              <w:t xml:space="preserve"> instancia institucional administrativa y ejecutora de los recursos del FAFEF </w:t>
            </w:r>
            <w:r w:rsidRPr="00F17FF7">
              <w:rPr>
                <w:rFonts w:eastAsia="Times New Roman" w:cstheme="minorHAnsi"/>
                <w:color w:val="000000"/>
                <w:sz w:val="20"/>
                <w:szCs w:val="20"/>
                <w:lang w:eastAsia="es-MX"/>
              </w:rPr>
              <w:t>cuyo principal objetivo es identificar</w:t>
            </w:r>
            <w:r>
              <w:rPr>
                <w:rFonts w:eastAsia="Times New Roman" w:cstheme="minorHAnsi"/>
                <w:color w:val="000000"/>
                <w:sz w:val="20"/>
                <w:szCs w:val="20"/>
                <w:lang w:eastAsia="es-MX"/>
              </w:rPr>
              <w:t>,</w:t>
            </w:r>
            <w:r w:rsidRPr="00F17FF7">
              <w:rPr>
                <w:rFonts w:eastAsia="Times New Roman" w:cstheme="minorHAnsi"/>
                <w:color w:val="000000"/>
                <w:sz w:val="20"/>
                <w:szCs w:val="20"/>
                <w:lang w:eastAsia="es-MX"/>
              </w:rPr>
              <w:t xml:space="preserve"> de manera más precisa</w:t>
            </w:r>
            <w:r>
              <w:rPr>
                <w:rFonts w:eastAsia="Times New Roman" w:cstheme="minorHAnsi"/>
                <w:color w:val="000000"/>
                <w:sz w:val="20"/>
                <w:szCs w:val="20"/>
                <w:lang w:eastAsia="es-MX"/>
              </w:rPr>
              <w:t>,</w:t>
            </w:r>
            <w:r w:rsidRPr="00F17FF7">
              <w:rPr>
                <w:rFonts w:eastAsia="Times New Roman" w:cstheme="minorHAnsi"/>
                <w:color w:val="000000"/>
                <w:sz w:val="20"/>
                <w:szCs w:val="20"/>
                <w:lang w:eastAsia="es-MX"/>
              </w:rPr>
              <w:t xml:space="preserve"> las prioridades sobre las cuales se deben asignar los recursos del F</w:t>
            </w:r>
            <w:r>
              <w:rPr>
                <w:rFonts w:eastAsia="Times New Roman" w:cstheme="minorHAnsi"/>
                <w:color w:val="000000"/>
                <w:sz w:val="20"/>
                <w:szCs w:val="20"/>
                <w:lang w:eastAsia="es-MX"/>
              </w:rPr>
              <w:t>ondo</w:t>
            </w:r>
            <w:r w:rsidRPr="00F17FF7">
              <w:rPr>
                <w:rFonts w:eastAsia="Times New Roman" w:cstheme="minorHAnsi"/>
                <w:color w:val="000000"/>
                <w:sz w:val="20"/>
                <w:szCs w:val="20"/>
                <w:lang w:eastAsia="es-MX"/>
              </w:rPr>
              <w:t xml:space="preserve"> y por ende</w:t>
            </w:r>
            <w:r>
              <w:rPr>
                <w:rFonts w:eastAsia="Times New Roman" w:cstheme="minorHAnsi"/>
                <w:color w:val="000000"/>
                <w:sz w:val="20"/>
                <w:szCs w:val="20"/>
                <w:lang w:eastAsia="es-MX"/>
              </w:rPr>
              <w:t>,</w:t>
            </w:r>
            <w:r w:rsidRPr="00F17FF7">
              <w:rPr>
                <w:rFonts w:eastAsia="Times New Roman" w:cstheme="minorHAnsi"/>
                <w:color w:val="000000"/>
                <w:sz w:val="20"/>
                <w:szCs w:val="20"/>
                <w:lang w:eastAsia="es-MX"/>
              </w:rPr>
              <w:t xml:space="preserve"> los Pp de la estructura programática estatal que serán sujetos a recibir y operar estos recursos</w:t>
            </w:r>
            <w:r>
              <w:rPr>
                <w:rFonts w:eastAsia="Times New Roman" w:cstheme="minorHAnsi"/>
                <w:color w:val="000000"/>
                <w:sz w:val="20"/>
                <w:szCs w:val="20"/>
                <w:lang w:eastAsia="es-MX"/>
              </w:rPr>
              <w:t xml:space="preserve">, </w:t>
            </w:r>
            <w:r w:rsidRPr="00F17FF7">
              <w:rPr>
                <w:rFonts w:eastAsia="Times New Roman" w:cstheme="minorHAnsi"/>
                <w:color w:val="000000"/>
                <w:sz w:val="20"/>
                <w:szCs w:val="20"/>
                <w:lang w:eastAsia="es-MX"/>
              </w:rPr>
              <w:t xml:space="preserve">conforme a sus propias modalidades de gasto. Asimismo, el Grupo de Trabajo tiene la función de coordinar acciones conducentes a la implementación de la estrategia del PbR </w:t>
            </w:r>
            <w:r>
              <w:rPr>
                <w:rFonts w:eastAsia="Times New Roman" w:cstheme="minorHAnsi"/>
                <w:color w:val="000000"/>
                <w:sz w:val="20"/>
                <w:szCs w:val="20"/>
                <w:lang w:eastAsia="es-MX"/>
              </w:rPr>
              <w:t>llevando a cabo</w:t>
            </w:r>
            <w:r w:rsidRPr="00F17FF7">
              <w:rPr>
                <w:rFonts w:eastAsia="Times New Roman" w:cstheme="minorHAnsi"/>
                <w:color w:val="000000"/>
                <w:sz w:val="20"/>
                <w:szCs w:val="20"/>
                <w:lang w:eastAsia="es-MX"/>
              </w:rPr>
              <w:t xml:space="preserve"> acciones y medidas para reforzar la planeación, programación y monitoreo de los resultados esperados de la aplicación de los recursos del FAFEF en Tamaulipas. </w:t>
            </w:r>
            <w:r>
              <w:rPr>
                <w:rFonts w:eastAsia="Times New Roman" w:cstheme="minorHAnsi"/>
                <w:color w:val="000000"/>
                <w:sz w:val="20"/>
                <w:szCs w:val="20"/>
                <w:lang w:eastAsia="es-MX"/>
              </w:rPr>
              <w:t xml:space="preserve">Este </w:t>
            </w:r>
            <w:r w:rsidRPr="007508A6">
              <w:rPr>
                <w:rFonts w:eastAsia="Times New Roman" w:cstheme="minorHAnsi"/>
                <w:color w:val="000000"/>
                <w:sz w:val="20"/>
                <w:szCs w:val="20"/>
                <w:lang w:eastAsia="es-MX"/>
              </w:rPr>
              <w:t>Grupo de Trabaj</w:t>
            </w:r>
            <w:r>
              <w:rPr>
                <w:rFonts w:eastAsia="Times New Roman" w:cstheme="minorHAnsi"/>
                <w:color w:val="000000"/>
                <w:sz w:val="20"/>
                <w:szCs w:val="20"/>
                <w:lang w:eastAsia="es-MX"/>
              </w:rPr>
              <w:t>o</w:t>
            </w:r>
            <w:r w:rsidRPr="007508A6">
              <w:rPr>
                <w:rFonts w:eastAsia="Times New Roman" w:cstheme="minorHAnsi"/>
                <w:color w:val="000000"/>
                <w:sz w:val="20"/>
                <w:szCs w:val="20"/>
                <w:lang w:eastAsia="es-MX"/>
              </w:rPr>
              <w:t>, representa un adecuado mecanismo para la toma decisiones en materia presupuestaria, al contribuir a identificar de manera precisa las prioridades sobre las cuales se deberán asignar los recursos del FAFEF. Sin embargo, no se cuenta con un documento de planeación estratégica que defina objetivos y metas a alcanzar en el corto y mediano plazos</w:t>
            </w:r>
            <w:r>
              <w:rPr>
                <w:rFonts w:eastAsia="Times New Roman" w:cstheme="minorHAnsi"/>
                <w:color w:val="000000"/>
                <w:sz w:val="20"/>
                <w:szCs w:val="20"/>
                <w:lang w:eastAsia="es-MX"/>
              </w:rPr>
              <w:t>.</w:t>
            </w:r>
          </w:p>
        </w:tc>
        <w:tc>
          <w:tcPr>
            <w:tcW w:w="477" w:type="pct"/>
            <w:gridSpan w:val="2"/>
            <w:shd w:val="clear" w:color="000000" w:fill="FFFFFF"/>
            <w:vAlign w:val="center"/>
            <w:hideMark/>
          </w:tcPr>
          <w:p w14:paraId="181BB513" w14:textId="77777777" w:rsidR="00FE628E" w:rsidRPr="007508A6" w:rsidRDefault="00FE628E" w:rsidP="007508A6">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w:t>
            </w:r>
          </w:p>
        </w:tc>
        <w:tc>
          <w:tcPr>
            <w:tcW w:w="2083" w:type="pct"/>
            <w:shd w:val="clear" w:color="000000" w:fill="FFFFFF"/>
            <w:vAlign w:val="center"/>
            <w:hideMark/>
          </w:tcPr>
          <w:p w14:paraId="79FE5431" w14:textId="2A617A88" w:rsidR="00FE628E" w:rsidRPr="007508A6" w:rsidRDefault="00FE628E" w:rsidP="007508A6">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 </w:t>
            </w:r>
            <w:r w:rsidRPr="007508A6">
              <w:rPr>
                <w:rFonts w:eastAsia="Times New Roman" w:cstheme="minorHAnsi"/>
                <w:color w:val="000000"/>
                <w:sz w:val="20"/>
                <w:szCs w:val="20"/>
                <w:lang w:eastAsia="es-MX"/>
              </w:rPr>
              <w:t xml:space="preserve">Elaborar un documento de Planeación Estratégica que contribuya al ejercicio eficaz y eficiente de los recursos del Fondo. En su elaboración es necesario se retome la problemática, a partir de la cual se lleva a cabo la determinación de prioridades que serán atendidas por el Fondo en cada ejercicio fiscal y que se identifican dentro de la estructura programática estatal, definiendo, además, la magnitud o dimensión de la misma, la planeación en el corto, mediano y largo plazos para su atención, así como la relación entre el presupuesto requerido para cada año y las metas de cobertura. </w:t>
            </w:r>
          </w:p>
        </w:tc>
      </w:tr>
      <w:tr w:rsidR="00FE628E" w:rsidRPr="007508A6" w14:paraId="0730EC80" w14:textId="77777777" w:rsidTr="00FE628E">
        <w:trPr>
          <w:trHeight w:val="300"/>
        </w:trPr>
        <w:tc>
          <w:tcPr>
            <w:tcW w:w="5000" w:type="pct"/>
            <w:gridSpan w:val="5"/>
            <w:shd w:val="clear" w:color="000000" w:fill="D9D9D9"/>
            <w:vAlign w:val="center"/>
            <w:hideMark/>
          </w:tcPr>
          <w:p w14:paraId="63AEE8D1" w14:textId="77777777" w:rsidR="00FE628E" w:rsidRPr="007508A6" w:rsidRDefault="00FE628E" w:rsidP="009E35D4">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Debilidad o Amenaza</w:t>
            </w:r>
          </w:p>
        </w:tc>
      </w:tr>
      <w:tr w:rsidR="00FE628E" w:rsidRPr="007508A6" w14:paraId="3634B0B9" w14:textId="77777777" w:rsidTr="008F106F">
        <w:trPr>
          <w:trHeight w:val="542"/>
        </w:trPr>
        <w:tc>
          <w:tcPr>
            <w:tcW w:w="882" w:type="pct"/>
            <w:shd w:val="clear" w:color="000000" w:fill="FFFFFF"/>
            <w:vAlign w:val="center"/>
            <w:hideMark/>
          </w:tcPr>
          <w:p w14:paraId="7AED8C24" w14:textId="485781EE" w:rsidR="00FE628E" w:rsidRPr="007508A6" w:rsidRDefault="00FE628E" w:rsidP="00093C8F">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1. Justificación del diseño del Fondo y de su mecanismo de intervención</w:t>
            </w:r>
          </w:p>
        </w:tc>
        <w:tc>
          <w:tcPr>
            <w:tcW w:w="1558" w:type="pct"/>
            <w:shd w:val="clear" w:color="000000" w:fill="FFFFFF"/>
            <w:vAlign w:val="center"/>
            <w:hideMark/>
          </w:tcPr>
          <w:p w14:paraId="06263047" w14:textId="57B5C459" w:rsidR="00FE628E" w:rsidRPr="007508A6" w:rsidRDefault="00FE628E" w:rsidP="007508A6">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En el diagnóstico elaborado en 2018 se identifican áreas de oportunidad dado que la problemática central que este identifica se enfoca en la insuficiencia de recursos y no en la o las </w:t>
            </w:r>
            <w:r w:rsidRPr="007508A6">
              <w:rPr>
                <w:rFonts w:eastAsia="Times New Roman" w:cstheme="minorHAnsi"/>
                <w:color w:val="000000"/>
                <w:sz w:val="20"/>
                <w:szCs w:val="20"/>
                <w:lang w:eastAsia="es-MX"/>
              </w:rPr>
              <w:lastRenderedPageBreak/>
              <w:t>problemáticas que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busca atender con el ejercicio de los recursos del Fondo. La problemática que se busca atender, no se estructura en un árbol de problemas y en consecuencia no se establece un árbol de objetivos.</w:t>
            </w:r>
          </w:p>
        </w:tc>
        <w:tc>
          <w:tcPr>
            <w:tcW w:w="477" w:type="pct"/>
            <w:gridSpan w:val="2"/>
            <w:shd w:val="clear" w:color="000000" w:fill="FFFFFF"/>
            <w:vAlign w:val="center"/>
            <w:hideMark/>
          </w:tcPr>
          <w:p w14:paraId="0216B630" w14:textId="77777777" w:rsidR="00FE628E" w:rsidRPr="007508A6" w:rsidRDefault="00FE628E" w:rsidP="007508A6">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1</w:t>
            </w:r>
          </w:p>
        </w:tc>
        <w:tc>
          <w:tcPr>
            <w:tcW w:w="2083" w:type="pct"/>
            <w:shd w:val="clear" w:color="000000" w:fill="FFFFFF"/>
            <w:vAlign w:val="center"/>
            <w:hideMark/>
          </w:tcPr>
          <w:p w14:paraId="3C58113A" w14:textId="5DB64C8B" w:rsidR="00FE628E" w:rsidRPr="007508A6" w:rsidRDefault="00FE628E" w:rsidP="007508A6">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2. </w:t>
            </w:r>
            <w:r w:rsidRPr="007508A6">
              <w:rPr>
                <w:rFonts w:eastAsia="Times New Roman" w:cstheme="minorHAnsi"/>
                <w:color w:val="000000"/>
                <w:sz w:val="20"/>
                <w:szCs w:val="20"/>
                <w:lang w:eastAsia="es-MX"/>
              </w:rPr>
              <w:t>Mejorar el documento de</w:t>
            </w:r>
            <w:r>
              <w:rPr>
                <w:rFonts w:eastAsia="Times New Roman" w:cstheme="minorHAnsi"/>
                <w:color w:val="000000"/>
                <w:sz w:val="20"/>
                <w:szCs w:val="20"/>
                <w:lang w:eastAsia="es-MX"/>
              </w:rPr>
              <w:t>l</w:t>
            </w:r>
            <w:r w:rsidRPr="007508A6">
              <w:rPr>
                <w:rFonts w:eastAsia="Times New Roman" w:cstheme="minorHAnsi"/>
                <w:color w:val="000000"/>
                <w:sz w:val="20"/>
                <w:szCs w:val="20"/>
                <w:lang w:eastAsia="es-MX"/>
              </w:rPr>
              <w:t xml:space="preserve"> diagnóstico en el cual se deberá retomar la identificación del problema central que se busca atender, considerando los distintos rubros a los cuales se destinan los recursos del FAFEF en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Con la finalidad de integrar las </w:t>
            </w:r>
            <w:r w:rsidRPr="007508A6">
              <w:rPr>
                <w:rFonts w:eastAsia="Times New Roman" w:cstheme="minorHAnsi"/>
                <w:color w:val="000000"/>
                <w:sz w:val="20"/>
                <w:szCs w:val="20"/>
                <w:lang w:eastAsia="es-MX"/>
              </w:rPr>
              <w:lastRenderedPageBreak/>
              <w:t xml:space="preserve">problemáticas de los Pp de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xml:space="preserve"> que reciben recursos del FAFEF, cuyas MIR se están construyendo actualmente, se recomienda la elaboración de varias MIR (en cascada) considerando la integralidad, y definiendo el árbol de problemas, el árbol de objetivos, la aportación del Fondo a los objetivos del PED 2016-2022, la identificación, caracterización y cuantificación de la población potencial y objetivo y su frecuencia de actualización.</w:t>
            </w:r>
          </w:p>
        </w:tc>
      </w:tr>
      <w:tr w:rsidR="00FE628E" w:rsidRPr="007508A6" w14:paraId="29F2DD02" w14:textId="77777777" w:rsidTr="008F106F">
        <w:trPr>
          <w:trHeight w:val="542"/>
        </w:trPr>
        <w:tc>
          <w:tcPr>
            <w:tcW w:w="882" w:type="pct"/>
            <w:shd w:val="clear" w:color="auto" w:fill="9CC2E5"/>
            <w:vAlign w:val="center"/>
          </w:tcPr>
          <w:p w14:paraId="6613A2A9" w14:textId="1B346BFC" w:rsidR="00FE628E" w:rsidRPr="00DD514D"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lastRenderedPageBreak/>
              <w:t>Tema de la evaluación:</w:t>
            </w:r>
          </w:p>
        </w:tc>
        <w:tc>
          <w:tcPr>
            <w:tcW w:w="1558" w:type="pct"/>
            <w:shd w:val="clear" w:color="auto" w:fill="9CC2E5"/>
            <w:vAlign w:val="center"/>
          </w:tcPr>
          <w:p w14:paraId="451F7545" w14:textId="0622FEB9" w:rsidR="00FE628E"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1A541DDD" w14:textId="62E29FEC" w:rsidR="00FE628E" w:rsidRPr="00DD514D" w:rsidRDefault="00FE628E" w:rsidP="005D212C">
            <w:pPr>
              <w:spacing w:before="0" w:after="0"/>
              <w:jc w:val="center"/>
              <w:rPr>
                <w:rFonts w:eastAsia="Calibri" w:cstheme="minorHAnsi"/>
                <w:b/>
                <w:bCs/>
                <w:sz w:val="20"/>
                <w:szCs w:val="20"/>
              </w:rPr>
            </w:pPr>
            <w:r w:rsidRPr="007508A6">
              <w:rPr>
                <w:rFonts w:eastAsia="Times New Roman" w:cstheme="minorHAnsi"/>
                <w:b/>
                <w:bCs/>
                <w:color w:val="000000"/>
                <w:sz w:val="20"/>
                <w:szCs w:val="20"/>
                <w:lang w:eastAsia="es-MX"/>
              </w:rPr>
              <w:t>y Amenaza</w:t>
            </w:r>
          </w:p>
        </w:tc>
        <w:tc>
          <w:tcPr>
            <w:tcW w:w="477" w:type="pct"/>
            <w:gridSpan w:val="2"/>
            <w:shd w:val="clear" w:color="auto" w:fill="9CC2E5"/>
            <w:vAlign w:val="center"/>
          </w:tcPr>
          <w:p w14:paraId="280A736A" w14:textId="2B1E01FE"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Referencia (Pregunta específica)</w:t>
            </w:r>
          </w:p>
        </w:tc>
        <w:tc>
          <w:tcPr>
            <w:tcW w:w="2083" w:type="pct"/>
            <w:shd w:val="clear" w:color="auto" w:fill="9CC2E5"/>
            <w:vAlign w:val="center"/>
          </w:tcPr>
          <w:p w14:paraId="33FA71F7" w14:textId="0792BC5A" w:rsidR="00FE628E"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Recomendación concreta</w:t>
            </w:r>
          </w:p>
        </w:tc>
      </w:tr>
      <w:tr w:rsidR="00FE628E" w:rsidRPr="007508A6" w14:paraId="25DF447E" w14:textId="4A44C478" w:rsidTr="00FE628E">
        <w:trPr>
          <w:trHeight w:val="300"/>
        </w:trPr>
        <w:tc>
          <w:tcPr>
            <w:tcW w:w="5000" w:type="pct"/>
            <w:gridSpan w:val="5"/>
            <w:shd w:val="clear" w:color="000000" w:fill="D9D9D9"/>
            <w:vAlign w:val="center"/>
            <w:hideMark/>
          </w:tcPr>
          <w:p w14:paraId="351B192B" w14:textId="0ACC753E"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5D8DD5AA" w14:textId="77777777" w:rsidTr="008F106F">
        <w:trPr>
          <w:trHeight w:val="684"/>
        </w:trPr>
        <w:tc>
          <w:tcPr>
            <w:tcW w:w="882" w:type="pct"/>
            <w:vMerge w:val="restart"/>
            <w:shd w:val="clear" w:color="000000" w:fill="FFFFFF"/>
            <w:vAlign w:val="center"/>
            <w:hideMark/>
          </w:tcPr>
          <w:p w14:paraId="015369EC" w14:textId="0FC433DA" w:rsidR="00FE628E" w:rsidRPr="007508A6" w:rsidRDefault="00FE628E" w:rsidP="005D212C">
            <w:pPr>
              <w:spacing w:before="0" w:after="0"/>
              <w:rPr>
                <w:rFonts w:eastAsia="Times New Roman" w:cstheme="minorHAnsi"/>
                <w:b/>
                <w:bCs/>
                <w:color w:val="000000"/>
                <w:sz w:val="20"/>
                <w:szCs w:val="20"/>
                <w:lang w:eastAsia="es-MX"/>
              </w:rPr>
            </w:pPr>
            <w:r w:rsidRPr="00DD514D">
              <w:rPr>
                <w:rFonts w:eastAsia="Calibri" w:cstheme="minorHAnsi"/>
                <w:b/>
                <w:sz w:val="20"/>
                <w:szCs w:val="20"/>
              </w:rPr>
              <w:t>M</w:t>
            </w:r>
            <w:r>
              <w:rPr>
                <w:rFonts w:eastAsia="Calibri" w:cstheme="minorHAnsi"/>
                <w:b/>
                <w:sz w:val="20"/>
                <w:szCs w:val="20"/>
              </w:rPr>
              <w:t>ó</w:t>
            </w:r>
            <w:r w:rsidRPr="00DD514D">
              <w:rPr>
                <w:rFonts w:eastAsia="Calibri" w:cstheme="minorHAnsi"/>
                <w:b/>
                <w:sz w:val="20"/>
                <w:szCs w:val="20"/>
              </w:rPr>
              <w:t>dulo 2. Matriz de Indicadores para Resultados (MIR)</w:t>
            </w:r>
          </w:p>
        </w:tc>
        <w:tc>
          <w:tcPr>
            <w:tcW w:w="1558" w:type="pct"/>
            <w:shd w:val="clear" w:color="auto" w:fill="auto"/>
            <w:vAlign w:val="center"/>
            <w:hideMark/>
          </w:tcPr>
          <w:p w14:paraId="78133588" w14:textId="38065D5D" w:rsidR="00FE628E" w:rsidRPr="007508A6" w:rsidRDefault="00FE628E" w:rsidP="005D212C">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Los resultados de las aportaciones del FAFEF en el </w:t>
            </w:r>
            <w:r>
              <w:rPr>
                <w:rFonts w:eastAsia="Times New Roman" w:cstheme="minorHAnsi"/>
                <w:color w:val="000000"/>
                <w:sz w:val="20"/>
                <w:szCs w:val="20"/>
                <w:lang w:eastAsia="es-MX"/>
              </w:rPr>
              <w:t>E</w:t>
            </w:r>
            <w:r w:rsidRPr="007508A6">
              <w:rPr>
                <w:rFonts w:eastAsia="Times New Roman" w:cstheme="minorHAnsi"/>
                <w:color w:val="000000"/>
                <w:sz w:val="20"/>
                <w:szCs w:val="20"/>
                <w:lang w:eastAsia="es-MX"/>
              </w:rPr>
              <w:t>stado de Tamaulipas se documentan a través de los indicadores de la MIR federal que son reportados trimestralmente a través del SRFT. Asimismo, a partir del ejercicio 2019 también se da seguimiento a los indicadores de los Pp de la estructura programática estatal a través del SIMIR.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también cuenta con evaluaciones externas realizadas en los ejercicios 2014, 2015, 2016 y 2018. Sin embargo, se señala que los indicadores de la MIR federal no resultan de mucha utilidad para su uso específico en </w:t>
            </w:r>
            <w:r>
              <w:rPr>
                <w:rFonts w:eastAsia="Times New Roman" w:cstheme="minorHAnsi"/>
                <w:color w:val="000000"/>
                <w:sz w:val="20"/>
                <w:szCs w:val="20"/>
                <w:lang w:eastAsia="es-MX"/>
              </w:rPr>
              <w:t>el Estado</w:t>
            </w:r>
            <w:r w:rsidRPr="007508A6">
              <w:rPr>
                <w:rFonts w:eastAsia="Times New Roman" w:cstheme="minorHAnsi"/>
                <w:color w:val="000000"/>
                <w:sz w:val="20"/>
                <w:szCs w:val="20"/>
                <w:lang w:eastAsia="es-MX"/>
              </w:rPr>
              <w:t>, ya que no permiten la identificación, caracterización, cuantificación y frecuencia de actualización de la población potencial u objetivo directamente relacionada con el FAFEF y, por lo tanto, los efectos del Fondo en población beneficiaria atendida.</w:t>
            </w:r>
          </w:p>
        </w:tc>
        <w:tc>
          <w:tcPr>
            <w:tcW w:w="477" w:type="pct"/>
            <w:gridSpan w:val="2"/>
            <w:shd w:val="clear" w:color="000000" w:fill="FFFFFF"/>
            <w:vAlign w:val="center"/>
            <w:hideMark/>
          </w:tcPr>
          <w:p w14:paraId="13F9A875" w14:textId="77777777"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3</w:t>
            </w:r>
          </w:p>
        </w:tc>
        <w:tc>
          <w:tcPr>
            <w:tcW w:w="2083" w:type="pct"/>
            <w:shd w:val="clear" w:color="000000" w:fill="FFFFFF"/>
            <w:vAlign w:val="center"/>
            <w:hideMark/>
          </w:tcPr>
          <w:p w14:paraId="6BC04DDE" w14:textId="34E81A72" w:rsidR="00FE628E" w:rsidRPr="007508A6"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3. </w:t>
            </w:r>
            <w:r w:rsidRPr="007508A6">
              <w:rPr>
                <w:rFonts w:eastAsia="Times New Roman" w:cstheme="minorHAnsi"/>
                <w:color w:val="000000"/>
                <w:sz w:val="20"/>
                <w:szCs w:val="20"/>
                <w:lang w:eastAsia="es-MX"/>
              </w:rPr>
              <w:t>Monitorear los resultados en forma gradual a través de las MIR o Fichas de Indicadores de Desempeño (FID) de los programas presupuestarios estatales que sean receptores de los recursos del FAFEF, identificando y diferenciando la aportación porcentual del FAFEF a cada Pp con la finalidad de poder establecer la contribución del Fondo al logro de objetivos de los Pp.</w:t>
            </w:r>
          </w:p>
        </w:tc>
      </w:tr>
      <w:tr w:rsidR="00FE628E" w:rsidRPr="007508A6" w14:paraId="78A44AE6" w14:textId="77777777" w:rsidTr="008F106F">
        <w:trPr>
          <w:trHeight w:val="85"/>
        </w:trPr>
        <w:tc>
          <w:tcPr>
            <w:tcW w:w="882" w:type="pct"/>
            <w:vMerge/>
            <w:vAlign w:val="center"/>
            <w:hideMark/>
          </w:tcPr>
          <w:p w14:paraId="254AC203"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shd w:val="clear" w:color="auto" w:fill="auto"/>
            <w:vAlign w:val="center"/>
            <w:hideMark/>
          </w:tcPr>
          <w:p w14:paraId="4001AC1B" w14:textId="673877B9" w:rsidR="00FE628E" w:rsidRPr="007508A6" w:rsidRDefault="00FE628E" w:rsidP="005D212C">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Los indicadores a través de los cuales se da seguimiento a los resultados del FAFEF en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xml:space="preserve"> corresponden a la MIR federal, los cuales fueron definidos de común acuerdo entre las entidades federativas y la SHCP en el marco de los esquemas de coordinación intergubernamental. Las metas de cada indicador </w:t>
            </w:r>
            <w:r w:rsidRPr="007508A6">
              <w:rPr>
                <w:rFonts w:eastAsia="Times New Roman" w:cstheme="minorHAnsi"/>
                <w:color w:val="000000"/>
                <w:sz w:val="20"/>
                <w:szCs w:val="20"/>
                <w:lang w:eastAsia="es-MX"/>
              </w:rPr>
              <w:lastRenderedPageBreak/>
              <w:t>son definidas por el gobierno de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sin embargo, no se identifica los elementos que se consideran en la definición de las mismas. En el ámbito estatal, a partir del ejercicio 2019 se podrá dar seguimiento a los resultados con los indicadores de las MIR de cada Pp que reciba recursos del Fondo los cuales se han construido de acuerdo a lo establecido en los Criterios para implantar la estrategia del PbR en Tamaulipas, así como los Lineamientos MIR para registro de avances en metas y resultados</w:t>
            </w:r>
          </w:p>
        </w:tc>
        <w:tc>
          <w:tcPr>
            <w:tcW w:w="477" w:type="pct"/>
            <w:gridSpan w:val="2"/>
            <w:shd w:val="clear" w:color="000000" w:fill="FFFFFF"/>
            <w:vAlign w:val="center"/>
            <w:hideMark/>
          </w:tcPr>
          <w:p w14:paraId="1B34586F" w14:textId="77777777"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4</w:t>
            </w:r>
          </w:p>
        </w:tc>
        <w:tc>
          <w:tcPr>
            <w:tcW w:w="2083" w:type="pct"/>
            <w:shd w:val="clear" w:color="auto" w:fill="auto"/>
            <w:noWrap/>
            <w:vAlign w:val="center"/>
            <w:hideMark/>
          </w:tcPr>
          <w:p w14:paraId="42315EE2" w14:textId="3674CA62" w:rsidR="00FE628E" w:rsidRPr="000725B8" w:rsidRDefault="00FE628E" w:rsidP="005D212C">
            <w:pPr>
              <w:spacing w:before="0" w:after="0"/>
              <w:rPr>
                <w:rFonts w:eastAsia="Times New Roman" w:cstheme="minorHAnsi"/>
                <w:color w:val="000000"/>
                <w:sz w:val="20"/>
                <w:szCs w:val="20"/>
                <w:lang w:eastAsia="es-MX"/>
              </w:rPr>
            </w:pPr>
            <w:r w:rsidRPr="000725B8">
              <w:rPr>
                <w:rFonts w:eastAsia="Times New Roman" w:cstheme="minorHAnsi"/>
                <w:color w:val="000000"/>
                <w:sz w:val="20"/>
                <w:szCs w:val="20"/>
                <w:lang w:eastAsia="es-MX"/>
              </w:rPr>
              <w:t xml:space="preserve">4. </w:t>
            </w:r>
            <w:r w:rsidR="00973400" w:rsidRPr="000725B8">
              <w:rPr>
                <w:rFonts w:eastAsia="Times New Roman" w:cstheme="minorHAnsi"/>
                <w:color w:val="000000"/>
                <w:sz w:val="20"/>
                <w:szCs w:val="20"/>
                <w:lang w:eastAsia="es-MX"/>
              </w:rPr>
              <w:t>S</w:t>
            </w:r>
            <w:r w:rsidR="00467044" w:rsidRPr="000725B8">
              <w:rPr>
                <w:rFonts w:eastAsia="Times New Roman" w:cstheme="minorHAnsi"/>
                <w:color w:val="000000"/>
                <w:sz w:val="20"/>
                <w:szCs w:val="20"/>
                <w:lang w:eastAsia="es-MX"/>
              </w:rPr>
              <w:t xml:space="preserve">e recomienda que sea el Grupo de Trabajo en la entidad federativa, quién plantee las metas estatales para cada indicador de la MIR Federal del Fondo que el estado reporta a través del SRFT; ya que su definición es un trabajo de planeación estratégica que debe estar a cargo de los ejecutores de los programas y del área de planeación. Asimismo, tener en cuenta que, para establecer metas se debe asegurar que sean cuantificables y que estén directamente </w:t>
            </w:r>
            <w:r w:rsidR="00467044" w:rsidRPr="000725B8">
              <w:rPr>
                <w:rFonts w:eastAsia="Times New Roman" w:cstheme="minorHAnsi"/>
                <w:color w:val="000000"/>
                <w:sz w:val="20"/>
                <w:szCs w:val="20"/>
                <w:lang w:eastAsia="es-MX"/>
              </w:rPr>
              <w:lastRenderedPageBreak/>
              <w:t>relacionadas con el objetivo; además, que deben estar orientadas a mejorar los resultados del desempeño, es decir debe ser retadora y ser factible de alcanzar (estas condiciones también se deben observar en el establecimiento de metas de los indicadores de los Pp que reciben recursos del Fondo). Cuando los recursos se destinen a un rubro de gasto con ejercicio en años anteriores se deberá considerar el nivel alcanzado en las metas de dichos rubros</w:t>
            </w:r>
            <w:r w:rsidR="005A3315" w:rsidRPr="000725B8">
              <w:rPr>
                <w:rFonts w:eastAsia="Times New Roman" w:cstheme="minorHAnsi"/>
                <w:color w:val="000000"/>
                <w:sz w:val="20"/>
                <w:szCs w:val="20"/>
                <w:lang w:eastAsia="es-MX"/>
              </w:rPr>
              <w:t>.</w:t>
            </w:r>
          </w:p>
        </w:tc>
      </w:tr>
      <w:tr w:rsidR="00FE628E" w:rsidRPr="007508A6" w14:paraId="3879F54B" w14:textId="77777777" w:rsidTr="00FE628E">
        <w:trPr>
          <w:trHeight w:val="85"/>
        </w:trPr>
        <w:tc>
          <w:tcPr>
            <w:tcW w:w="5000" w:type="pct"/>
            <w:gridSpan w:val="5"/>
            <w:shd w:val="clear" w:color="auto" w:fill="D0CECE" w:themeFill="background2" w:themeFillShade="E6"/>
            <w:vAlign w:val="center"/>
          </w:tcPr>
          <w:p w14:paraId="5AB04CAA" w14:textId="091CFD4A" w:rsidR="00FE628E" w:rsidRDefault="00FE628E" w:rsidP="002B4624">
            <w:pPr>
              <w:spacing w:before="0" w:after="0"/>
              <w:jc w:val="center"/>
              <w:rPr>
                <w:rFonts w:eastAsia="Times New Roman" w:cstheme="minorHAnsi"/>
                <w:color w:val="000000"/>
                <w:sz w:val="20"/>
                <w:szCs w:val="20"/>
                <w:lang w:eastAsia="es-MX"/>
              </w:rPr>
            </w:pPr>
            <w:r>
              <w:rPr>
                <w:rFonts w:eastAsia="Times New Roman" w:cstheme="minorHAnsi"/>
                <w:b/>
                <w:bCs/>
                <w:color w:val="000000"/>
                <w:sz w:val="20"/>
                <w:szCs w:val="20"/>
                <w:lang w:eastAsia="es-MX"/>
              </w:rPr>
              <w:lastRenderedPageBreak/>
              <w:t>Debilidad o Amenaza</w:t>
            </w:r>
          </w:p>
        </w:tc>
      </w:tr>
      <w:tr w:rsidR="00FE628E" w:rsidRPr="007508A6" w14:paraId="5C7EDE83" w14:textId="77777777" w:rsidTr="008F106F">
        <w:trPr>
          <w:trHeight w:val="85"/>
        </w:trPr>
        <w:tc>
          <w:tcPr>
            <w:tcW w:w="882" w:type="pct"/>
            <w:vAlign w:val="center"/>
          </w:tcPr>
          <w:p w14:paraId="638CFE89" w14:textId="37126394" w:rsidR="00FE628E" w:rsidRPr="007508A6" w:rsidRDefault="00FE628E" w:rsidP="005A149C">
            <w:pPr>
              <w:spacing w:before="0" w:after="0"/>
              <w:rPr>
                <w:rFonts w:eastAsia="Times New Roman" w:cstheme="minorHAnsi"/>
                <w:b/>
                <w:bCs/>
                <w:color w:val="000000"/>
                <w:sz w:val="20"/>
                <w:szCs w:val="20"/>
                <w:lang w:eastAsia="es-MX"/>
              </w:rPr>
            </w:pPr>
            <w:r w:rsidRPr="00DD514D">
              <w:rPr>
                <w:rFonts w:eastAsia="Calibri" w:cstheme="minorHAnsi"/>
                <w:b/>
                <w:sz w:val="20"/>
                <w:szCs w:val="20"/>
              </w:rPr>
              <w:t>M</w:t>
            </w:r>
            <w:r>
              <w:rPr>
                <w:rFonts w:eastAsia="Calibri" w:cstheme="minorHAnsi"/>
                <w:b/>
                <w:sz w:val="20"/>
                <w:szCs w:val="20"/>
              </w:rPr>
              <w:t>ó</w:t>
            </w:r>
            <w:r w:rsidRPr="00DD514D">
              <w:rPr>
                <w:rFonts w:eastAsia="Calibri" w:cstheme="minorHAnsi"/>
                <w:b/>
                <w:sz w:val="20"/>
                <w:szCs w:val="20"/>
              </w:rPr>
              <w:t>dulo 2. Matriz de Indicadores para Resultados (MIR)</w:t>
            </w:r>
          </w:p>
        </w:tc>
        <w:tc>
          <w:tcPr>
            <w:tcW w:w="1558" w:type="pct"/>
            <w:shd w:val="clear" w:color="auto" w:fill="auto"/>
            <w:vAlign w:val="center"/>
          </w:tcPr>
          <w:p w14:paraId="330DC9ED" w14:textId="185875BC" w:rsidR="00FE628E" w:rsidRPr="005A149C" w:rsidRDefault="00FE628E" w:rsidP="005D212C">
            <w:pPr>
              <w:spacing w:before="0" w:after="0"/>
              <w:rPr>
                <w:rFonts w:eastAsia="Times New Roman" w:cstheme="minorHAnsi"/>
                <w:color w:val="000000"/>
                <w:sz w:val="20"/>
                <w:szCs w:val="20"/>
                <w:lang w:eastAsia="es-MX"/>
              </w:rPr>
            </w:pPr>
            <w:r w:rsidRPr="005A149C">
              <w:rPr>
                <w:rFonts w:eastAsia="Times New Roman" w:cstheme="minorHAnsi"/>
                <w:color w:val="000000"/>
                <w:sz w:val="20"/>
                <w:szCs w:val="20"/>
                <w:lang w:eastAsia="es-MX"/>
              </w:rPr>
              <w:t xml:space="preserve">Sin </w:t>
            </w:r>
            <w:r>
              <w:rPr>
                <w:rFonts w:eastAsia="Times New Roman" w:cstheme="minorHAnsi"/>
                <w:color w:val="000000"/>
                <w:sz w:val="20"/>
                <w:szCs w:val="20"/>
                <w:lang w:eastAsia="es-MX"/>
              </w:rPr>
              <w:t>debilidad o amenaza</w:t>
            </w:r>
          </w:p>
        </w:tc>
        <w:tc>
          <w:tcPr>
            <w:tcW w:w="477" w:type="pct"/>
            <w:gridSpan w:val="2"/>
            <w:shd w:val="clear" w:color="000000" w:fill="FFFFFF"/>
            <w:vAlign w:val="center"/>
          </w:tcPr>
          <w:p w14:paraId="3308621D" w14:textId="42EBDE64" w:rsidR="00FE628E" w:rsidRPr="007508A6" w:rsidRDefault="00FE628E" w:rsidP="005D212C">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2083" w:type="pct"/>
            <w:shd w:val="clear" w:color="auto" w:fill="auto"/>
            <w:noWrap/>
            <w:vAlign w:val="center"/>
          </w:tcPr>
          <w:p w14:paraId="63A8C448" w14:textId="0022E155" w:rsidR="00FE628E"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Sin recomendación</w:t>
            </w:r>
          </w:p>
        </w:tc>
      </w:tr>
      <w:tr w:rsidR="00FE628E" w:rsidRPr="007508A6" w14:paraId="74191582" w14:textId="77777777" w:rsidTr="008F106F">
        <w:trPr>
          <w:trHeight w:val="85"/>
        </w:trPr>
        <w:tc>
          <w:tcPr>
            <w:tcW w:w="882" w:type="pct"/>
            <w:shd w:val="clear" w:color="auto" w:fill="9CC2E5"/>
            <w:vAlign w:val="center"/>
          </w:tcPr>
          <w:p w14:paraId="5B99ABC3" w14:textId="5C7017FA"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Tema de la evaluación:</w:t>
            </w:r>
          </w:p>
        </w:tc>
        <w:tc>
          <w:tcPr>
            <w:tcW w:w="1558" w:type="pct"/>
            <w:shd w:val="clear" w:color="auto" w:fill="9CC2E5"/>
            <w:vAlign w:val="center"/>
          </w:tcPr>
          <w:p w14:paraId="5354C240" w14:textId="4A38DF67" w:rsidR="00FE628E"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315F4FCD" w14:textId="75ACED1C" w:rsidR="00FE628E" w:rsidRPr="00093C8F"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77" w:type="pct"/>
            <w:gridSpan w:val="2"/>
            <w:shd w:val="clear" w:color="auto" w:fill="9CC2E5"/>
            <w:vAlign w:val="center"/>
          </w:tcPr>
          <w:p w14:paraId="30853DE5" w14:textId="06113F8A"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Referencia (Pregunta específica)</w:t>
            </w:r>
          </w:p>
        </w:tc>
        <w:tc>
          <w:tcPr>
            <w:tcW w:w="2083" w:type="pct"/>
            <w:shd w:val="clear" w:color="auto" w:fill="9CC2E5"/>
            <w:noWrap/>
            <w:vAlign w:val="center"/>
          </w:tcPr>
          <w:p w14:paraId="02A44C8B" w14:textId="02DF5421" w:rsidR="00FE628E"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Recomendación concreta</w:t>
            </w:r>
          </w:p>
        </w:tc>
      </w:tr>
      <w:tr w:rsidR="00FE628E" w:rsidRPr="007508A6" w14:paraId="2CA22271" w14:textId="6B3C2064" w:rsidTr="00FE628E">
        <w:trPr>
          <w:trHeight w:val="284"/>
        </w:trPr>
        <w:tc>
          <w:tcPr>
            <w:tcW w:w="5000" w:type="pct"/>
            <w:gridSpan w:val="5"/>
            <w:shd w:val="clear" w:color="000000" w:fill="D9D9D9"/>
            <w:vAlign w:val="center"/>
            <w:hideMark/>
          </w:tcPr>
          <w:p w14:paraId="3080B6F2" w14:textId="295C9425"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4A57F6D9" w14:textId="77777777" w:rsidTr="008F106F">
        <w:trPr>
          <w:trHeight w:val="2100"/>
        </w:trPr>
        <w:tc>
          <w:tcPr>
            <w:tcW w:w="882" w:type="pct"/>
            <w:vMerge w:val="restart"/>
            <w:shd w:val="clear" w:color="000000" w:fill="FFFFFF"/>
            <w:vAlign w:val="center"/>
            <w:hideMark/>
          </w:tcPr>
          <w:p w14:paraId="63100BA9" w14:textId="3DEBAF25" w:rsidR="00FE628E" w:rsidRPr="007508A6" w:rsidRDefault="00FE628E" w:rsidP="005D212C">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w:t>
            </w:r>
            <w:r>
              <w:rPr>
                <w:rFonts w:eastAsia="Times New Roman" w:cstheme="minorHAnsi"/>
                <w:b/>
                <w:bCs/>
                <w:color w:val="000000"/>
                <w:sz w:val="20"/>
                <w:szCs w:val="20"/>
                <w:lang w:eastAsia="es-MX"/>
              </w:rPr>
              <w:t>ó</w:t>
            </w:r>
            <w:r w:rsidRPr="00DD514D">
              <w:rPr>
                <w:rFonts w:eastAsia="Times New Roman" w:cstheme="minorHAnsi"/>
                <w:b/>
                <w:bCs/>
                <w:color w:val="000000"/>
                <w:sz w:val="20"/>
                <w:szCs w:val="20"/>
                <w:lang w:eastAsia="es-MX"/>
              </w:rPr>
              <w:t>dulo 3. Consistencia entre los elementos del diseño</w:t>
            </w:r>
          </w:p>
        </w:tc>
        <w:tc>
          <w:tcPr>
            <w:tcW w:w="1558" w:type="pct"/>
            <w:shd w:val="clear" w:color="000000" w:fill="FFFFFF"/>
            <w:vAlign w:val="center"/>
            <w:hideMark/>
          </w:tcPr>
          <w:p w14:paraId="799C3E96" w14:textId="7C55E439" w:rsidR="00FE628E" w:rsidRPr="007508A6" w:rsidRDefault="00FE628E" w:rsidP="005D212C">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En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xml:space="preserve"> existe evidencia de que los hallazgos y recomendaciones derivadas de las evaluaciones externas realizadas al FAFEF en los ejercicios 2014, 2015, 2016 y 2018, así como los resultados de las Auditorías Combinadas de Cumplimiento y Desempeño de los recursos del Fondo del 2013 al 2018, han sido elementos a considerar para la toma de decisiones sobre la operación del Fondo. </w:t>
            </w:r>
          </w:p>
        </w:tc>
        <w:tc>
          <w:tcPr>
            <w:tcW w:w="477" w:type="pct"/>
            <w:gridSpan w:val="2"/>
            <w:shd w:val="clear" w:color="000000" w:fill="FFFFFF"/>
            <w:vAlign w:val="center"/>
            <w:hideMark/>
          </w:tcPr>
          <w:p w14:paraId="7A1A0BC8" w14:textId="2AD129D8"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5, 6</w:t>
            </w:r>
            <w:r>
              <w:rPr>
                <w:rFonts w:eastAsia="Times New Roman" w:cstheme="minorHAnsi"/>
                <w:color w:val="000000"/>
                <w:sz w:val="20"/>
                <w:szCs w:val="20"/>
                <w:lang w:eastAsia="es-MX"/>
              </w:rPr>
              <w:t>,</w:t>
            </w:r>
            <w:r w:rsidRPr="007508A6">
              <w:rPr>
                <w:rFonts w:eastAsia="Times New Roman" w:cstheme="minorHAnsi"/>
                <w:color w:val="000000"/>
                <w:sz w:val="20"/>
                <w:szCs w:val="20"/>
                <w:lang w:eastAsia="es-MX"/>
              </w:rPr>
              <w:t>7</w:t>
            </w:r>
          </w:p>
        </w:tc>
        <w:tc>
          <w:tcPr>
            <w:tcW w:w="2083" w:type="pct"/>
            <w:shd w:val="clear" w:color="000000" w:fill="FFFFFF"/>
            <w:vAlign w:val="center"/>
            <w:hideMark/>
          </w:tcPr>
          <w:p w14:paraId="5442EB45" w14:textId="2CEDDE11" w:rsidR="00FE628E" w:rsidRPr="007508A6"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5. </w:t>
            </w:r>
            <w:r w:rsidRPr="007508A6">
              <w:rPr>
                <w:rFonts w:eastAsia="Times New Roman" w:cstheme="minorHAnsi"/>
                <w:color w:val="000000"/>
                <w:sz w:val="20"/>
                <w:szCs w:val="20"/>
                <w:lang w:eastAsia="es-MX"/>
              </w:rPr>
              <w:t>Continuar atendiendo las recomendaciones pertinentes planteadas en ambos instrumentos de rendición de cuentas, en donde participan organismos administradores y ejecutores de los recursos del Fondo.</w:t>
            </w:r>
          </w:p>
        </w:tc>
      </w:tr>
      <w:tr w:rsidR="00FE628E" w:rsidRPr="007508A6" w14:paraId="0ADF24AD" w14:textId="77777777" w:rsidTr="008F106F">
        <w:trPr>
          <w:trHeight w:val="1109"/>
        </w:trPr>
        <w:tc>
          <w:tcPr>
            <w:tcW w:w="882" w:type="pct"/>
            <w:vMerge/>
            <w:vAlign w:val="center"/>
            <w:hideMark/>
          </w:tcPr>
          <w:p w14:paraId="2BA5BAB9"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0FF92786" w14:textId="06214DC1" w:rsidR="00FE628E" w:rsidRPr="007508A6" w:rsidRDefault="00FE628E" w:rsidP="005D212C">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En la entidad </w:t>
            </w:r>
            <w:r>
              <w:rPr>
                <w:rFonts w:eastAsia="Times New Roman" w:cstheme="minorHAnsi"/>
                <w:color w:val="000000"/>
                <w:sz w:val="20"/>
                <w:szCs w:val="20"/>
                <w:lang w:eastAsia="es-MX"/>
              </w:rPr>
              <w:t xml:space="preserve">federativa </w:t>
            </w:r>
            <w:r w:rsidRPr="007508A6">
              <w:rPr>
                <w:rFonts w:eastAsia="Times New Roman" w:cstheme="minorHAnsi"/>
                <w:color w:val="000000"/>
                <w:sz w:val="20"/>
                <w:szCs w:val="20"/>
                <w:lang w:eastAsia="es-MX"/>
              </w:rPr>
              <w:t xml:space="preserve">se han establecido mecanismos y/o procesos para la generación o administración de información, que contribuyen a mejorar la gestión y resultados del FAFEF, tales como el establecimiento del Grupo de Trabajo y el Mecanismo para dar seguimiento a los ASM derivados de todas las evaluaciones que se llevan a cabo en la </w:t>
            </w:r>
            <w:r>
              <w:rPr>
                <w:rFonts w:eastAsia="Times New Roman" w:cstheme="minorHAnsi"/>
                <w:color w:val="000000"/>
                <w:sz w:val="20"/>
                <w:szCs w:val="20"/>
                <w:lang w:eastAsia="es-MX"/>
              </w:rPr>
              <w:t>entidad federativa</w:t>
            </w:r>
            <w:r w:rsidRPr="007508A6">
              <w:rPr>
                <w:rFonts w:eastAsia="Times New Roman" w:cstheme="minorHAnsi"/>
                <w:color w:val="000000"/>
                <w:sz w:val="20"/>
                <w:szCs w:val="20"/>
                <w:lang w:eastAsia="es-MX"/>
              </w:rPr>
              <w:t xml:space="preserve"> creados en </w:t>
            </w:r>
            <w:r w:rsidRPr="007508A6">
              <w:rPr>
                <w:rFonts w:eastAsia="Times New Roman" w:cstheme="minorHAnsi"/>
                <w:color w:val="000000"/>
                <w:sz w:val="20"/>
                <w:szCs w:val="20"/>
                <w:lang w:eastAsia="es-MX"/>
              </w:rPr>
              <w:lastRenderedPageBreak/>
              <w:t xml:space="preserve">año 2018, así como la definición en 2019 de los Lineamientos Generales para la elaboración de Reglas de Operación de los Programas Presupuestarios y Modificaciones a las ya existentes, los criterios para implantar la estrategia del PbR, el SIMIR y Lineamientos para la revisión y actualización de metas, mejora, calendarización y seguimiento de la MIR de los Pp. </w:t>
            </w:r>
          </w:p>
        </w:tc>
        <w:tc>
          <w:tcPr>
            <w:tcW w:w="477" w:type="pct"/>
            <w:gridSpan w:val="2"/>
            <w:shd w:val="clear" w:color="000000" w:fill="FFFFFF"/>
            <w:vAlign w:val="center"/>
            <w:hideMark/>
          </w:tcPr>
          <w:p w14:paraId="646DEAC3" w14:textId="6757F7BF"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5, 6</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7</w:t>
            </w:r>
          </w:p>
        </w:tc>
        <w:tc>
          <w:tcPr>
            <w:tcW w:w="2083" w:type="pct"/>
            <w:shd w:val="clear" w:color="000000" w:fill="FFFFFF"/>
            <w:vAlign w:val="center"/>
            <w:hideMark/>
          </w:tcPr>
          <w:p w14:paraId="67D425AF" w14:textId="77777777" w:rsidR="00FE628E" w:rsidRPr="007508A6" w:rsidRDefault="00FE628E" w:rsidP="005D212C">
            <w:pPr>
              <w:spacing w:before="0" w:after="0"/>
              <w:jc w:val="left"/>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FE628E" w:rsidRPr="007508A6" w14:paraId="08BC59F7" w14:textId="77777777" w:rsidTr="008F106F">
        <w:trPr>
          <w:trHeight w:val="1260"/>
        </w:trPr>
        <w:tc>
          <w:tcPr>
            <w:tcW w:w="882" w:type="pct"/>
            <w:vMerge/>
            <w:vAlign w:val="center"/>
            <w:hideMark/>
          </w:tcPr>
          <w:p w14:paraId="2D8EB107"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vMerge w:val="restart"/>
            <w:shd w:val="clear" w:color="auto" w:fill="auto"/>
            <w:vAlign w:val="center"/>
            <w:hideMark/>
          </w:tcPr>
          <w:p w14:paraId="562A2B83" w14:textId="5D16A368" w:rsidR="00FE628E" w:rsidRPr="007508A6" w:rsidRDefault="00FE628E" w:rsidP="005D212C">
            <w:pPr>
              <w:spacing w:before="0" w:after="0"/>
              <w:rPr>
                <w:rFonts w:eastAsia="Times New Roman" w:cstheme="minorHAnsi"/>
                <w:color w:val="000000"/>
                <w:sz w:val="20"/>
                <w:szCs w:val="20"/>
                <w:lang w:eastAsia="es-MX"/>
              </w:rPr>
            </w:pPr>
            <w:r w:rsidRPr="00B3399C">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A partir de 2019 los Pp que reciben recursos del Fondo deben observar la obligatoriedad de determinar su población objetivo, así como la definición de los Titulares de Derecho (beneficiarios) y, como parte del proceso de selección, la instancia responsable de su operación debe recabar información socioeconómica de los posibles beneficiarios. </w:t>
            </w:r>
          </w:p>
        </w:tc>
        <w:tc>
          <w:tcPr>
            <w:tcW w:w="477" w:type="pct"/>
            <w:gridSpan w:val="2"/>
            <w:vMerge w:val="restart"/>
            <w:shd w:val="clear" w:color="000000" w:fill="FFFFFF"/>
            <w:vAlign w:val="center"/>
            <w:hideMark/>
          </w:tcPr>
          <w:p w14:paraId="2AD435DB" w14:textId="05630785"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10</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11</w:t>
            </w:r>
          </w:p>
        </w:tc>
        <w:tc>
          <w:tcPr>
            <w:tcW w:w="2083" w:type="pct"/>
            <w:vMerge w:val="restart"/>
            <w:shd w:val="clear" w:color="000000" w:fill="FFFFFF"/>
            <w:vAlign w:val="center"/>
          </w:tcPr>
          <w:p w14:paraId="2A22D04D" w14:textId="063254B8" w:rsidR="00FE628E" w:rsidRPr="007508A6" w:rsidRDefault="00285CF9" w:rsidP="005D212C">
            <w:pPr>
              <w:spacing w:before="0" w:after="0"/>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FE628E" w:rsidRPr="007508A6" w14:paraId="3ED8E276" w14:textId="77777777" w:rsidTr="008F106F">
        <w:trPr>
          <w:trHeight w:val="451"/>
        </w:trPr>
        <w:tc>
          <w:tcPr>
            <w:tcW w:w="882" w:type="pct"/>
            <w:vMerge/>
            <w:vAlign w:val="center"/>
            <w:hideMark/>
          </w:tcPr>
          <w:p w14:paraId="3CD40D8E"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vMerge/>
            <w:vAlign w:val="center"/>
            <w:hideMark/>
          </w:tcPr>
          <w:p w14:paraId="2E18DC99" w14:textId="77777777" w:rsidR="00FE628E" w:rsidRPr="007508A6" w:rsidRDefault="00FE628E" w:rsidP="005D212C">
            <w:pPr>
              <w:spacing w:before="0" w:after="0"/>
              <w:jc w:val="left"/>
              <w:rPr>
                <w:rFonts w:eastAsia="Times New Roman" w:cstheme="minorHAnsi"/>
                <w:color w:val="000000"/>
                <w:sz w:val="20"/>
                <w:szCs w:val="20"/>
                <w:lang w:eastAsia="es-MX"/>
              </w:rPr>
            </w:pPr>
          </w:p>
        </w:tc>
        <w:tc>
          <w:tcPr>
            <w:tcW w:w="477" w:type="pct"/>
            <w:gridSpan w:val="2"/>
            <w:vMerge/>
            <w:vAlign w:val="center"/>
            <w:hideMark/>
          </w:tcPr>
          <w:p w14:paraId="0AD3B586" w14:textId="77777777" w:rsidR="00FE628E" w:rsidRPr="007508A6" w:rsidRDefault="00FE628E" w:rsidP="005D212C">
            <w:pPr>
              <w:spacing w:before="0" w:after="0"/>
              <w:jc w:val="left"/>
              <w:rPr>
                <w:rFonts w:eastAsia="Times New Roman" w:cstheme="minorHAnsi"/>
                <w:color w:val="000000"/>
                <w:sz w:val="20"/>
                <w:szCs w:val="20"/>
                <w:lang w:eastAsia="es-MX"/>
              </w:rPr>
            </w:pPr>
          </w:p>
        </w:tc>
        <w:tc>
          <w:tcPr>
            <w:tcW w:w="2083" w:type="pct"/>
            <w:vMerge/>
            <w:vAlign w:val="center"/>
            <w:hideMark/>
          </w:tcPr>
          <w:p w14:paraId="76E78448" w14:textId="77777777" w:rsidR="00FE628E" w:rsidRPr="007508A6" w:rsidRDefault="00FE628E" w:rsidP="005D212C">
            <w:pPr>
              <w:spacing w:before="0" w:after="0"/>
              <w:jc w:val="left"/>
              <w:rPr>
                <w:rFonts w:eastAsia="Times New Roman" w:cstheme="minorHAnsi"/>
                <w:color w:val="000000"/>
                <w:sz w:val="20"/>
                <w:szCs w:val="20"/>
                <w:lang w:eastAsia="es-MX"/>
              </w:rPr>
            </w:pPr>
          </w:p>
        </w:tc>
      </w:tr>
      <w:tr w:rsidR="00FE628E" w:rsidRPr="007508A6" w14:paraId="7CF4A251" w14:textId="77777777" w:rsidTr="00FE628E">
        <w:trPr>
          <w:trHeight w:val="143"/>
        </w:trPr>
        <w:tc>
          <w:tcPr>
            <w:tcW w:w="5000" w:type="pct"/>
            <w:gridSpan w:val="5"/>
            <w:shd w:val="clear" w:color="000000" w:fill="D9D9D9"/>
            <w:vAlign w:val="center"/>
            <w:hideMark/>
          </w:tcPr>
          <w:p w14:paraId="2174AC13" w14:textId="59E63345"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Debilidad o Amenaza</w:t>
            </w:r>
          </w:p>
        </w:tc>
      </w:tr>
      <w:tr w:rsidR="00FE628E" w:rsidRPr="007508A6" w14:paraId="4997DC81" w14:textId="77777777" w:rsidTr="008F106F">
        <w:trPr>
          <w:trHeight w:val="2400"/>
        </w:trPr>
        <w:tc>
          <w:tcPr>
            <w:tcW w:w="882" w:type="pct"/>
            <w:vMerge w:val="restart"/>
            <w:shd w:val="clear" w:color="000000" w:fill="FFFFFF"/>
            <w:vAlign w:val="center"/>
            <w:hideMark/>
          </w:tcPr>
          <w:p w14:paraId="5003FA7B" w14:textId="001CBB7D" w:rsidR="00FE628E" w:rsidRPr="007508A6" w:rsidRDefault="00FE628E" w:rsidP="005D212C">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w:t>
            </w:r>
            <w:r>
              <w:rPr>
                <w:rFonts w:eastAsia="Times New Roman" w:cstheme="minorHAnsi"/>
                <w:b/>
                <w:bCs/>
                <w:color w:val="000000"/>
                <w:sz w:val="20"/>
                <w:szCs w:val="20"/>
                <w:lang w:eastAsia="es-MX"/>
              </w:rPr>
              <w:t>ó</w:t>
            </w:r>
            <w:r w:rsidRPr="00DD514D">
              <w:rPr>
                <w:rFonts w:eastAsia="Times New Roman" w:cstheme="minorHAnsi"/>
                <w:b/>
                <w:bCs/>
                <w:color w:val="000000"/>
                <w:sz w:val="20"/>
                <w:szCs w:val="20"/>
                <w:lang w:eastAsia="es-MX"/>
              </w:rPr>
              <w:t>dulo 3. Consistencia entre los elementos del diseño</w:t>
            </w:r>
          </w:p>
        </w:tc>
        <w:tc>
          <w:tcPr>
            <w:tcW w:w="1558" w:type="pct"/>
            <w:shd w:val="clear" w:color="000000" w:fill="FFFFFF"/>
            <w:vAlign w:val="center"/>
            <w:hideMark/>
          </w:tcPr>
          <w:p w14:paraId="43AD20AB" w14:textId="4BC677A5" w:rsidR="00FE628E" w:rsidRPr="007508A6" w:rsidRDefault="00FE628E" w:rsidP="005D212C">
            <w:pPr>
              <w:spacing w:before="0" w:after="0"/>
              <w:rPr>
                <w:rFonts w:eastAsia="Times New Roman" w:cstheme="minorHAnsi"/>
                <w:b/>
                <w:bCs/>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No existe un plan estratégico para el FAFEF en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que cumpla con las siguientes características: sigue un procedimiento establecido en un documento oficial, Abarque un horizonte de al menos cinco años, que establezca los resultados que se pretenden alcanzar con la ejecución del Fondo y</w:t>
            </w:r>
            <w:r w:rsidRPr="007508A6">
              <w:rPr>
                <w:rFonts w:eastAsia="Times New Roman" w:cstheme="minorHAnsi"/>
                <w:b/>
                <w:bCs/>
                <w:color w:val="000000"/>
                <w:sz w:val="20"/>
                <w:szCs w:val="20"/>
                <w:lang w:eastAsia="es-MX"/>
              </w:rPr>
              <w:t xml:space="preserve"> </w:t>
            </w:r>
            <w:r w:rsidRPr="007508A6">
              <w:rPr>
                <w:rFonts w:eastAsia="Times New Roman" w:cstheme="minorHAnsi"/>
                <w:color w:val="000000"/>
                <w:sz w:val="20"/>
                <w:szCs w:val="20"/>
                <w:lang w:eastAsia="es-MX"/>
              </w:rPr>
              <w:t>consistentes con el Propósito de su MIR.</w:t>
            </w:r>
          </w:p>
        </w:tc>
        <w:tc>
          <w:tcPr>
            <w:tcW w:w="477" w:type="pct"/>
            <w:gridSpan w:val="2"/>
            <w:shd w:val="clear" w:color="000000" w:fill="FFFFFF"/>
            <w:vAlign w:val="center"/>
            <w:hideMark/>
          </w:tcPr>
          <w:p w14:paraId="63CB0DBF" w14:textId="77777777"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8</w:t>
            </w:r>
          </w:p>
        </w:tc>
        <w:tc>
          <w:tcPr>
            <w:tcW w:w="2083" w:type="pct"/>
            <w:shd w:val="clear" w:color="000000" w:fill="FFFFFF"/>
            <w:vAlign w:val="center"/>
            <w:hideMark/>
          </w:tcPr>
          <w:p w14:paraId="7FDB391E" w14:textId="13BC3CBF" w:rsidR="00FE628E" w:rsidRPr="007508A6"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7. </w:t>
            </w:r>
            <w:r w:rsidRPr="007508A6">
              <w:rPr>
                <w:rFonts w:eastAsia="Times New Roman" w:cstheme="minorHAnsi"/>
                <w:color w:val="000000"/>
                <w:sz w:val="20"/>
                <w:szCs w:val="20"/>
                <w:lang w:eastAsia="es-MX"/>
              </w:rPr>
              <w:t>Definir un plan estratégico de mediano plazo (de 5 años) por el Grupo de Trabajo en el cual se establezcan los resultados que se pretenden alcanzar con la ejecución del Fondo, así como indicadores pertinentes que permitan medir los avances en el logro de sus objetivos consistentes con lo establecido en su MIR. A la par con el plan estratégico, se recomiendas también la definición de una MIR estatal (considerando las recomendaciones vertidas en la respuesta a la pregunta 1), de tal forma que el plan estratégico, sea consistente con el Fin y Propósito definidos en dicha MIR.</w:t>
            </w:r>
          </w:p>
        </w:tc>
      </w:tr>
      <w:tr w:rsidR="00FE628E" w:rsidRPr="007508A6" w14:paraId="7CFC609B" w14:textId="77777777" w:rsidTr="008F106F">
        <w:trPr>
          <w:trHeight w:val="626"/>
        </w:trPr>
        <w:tc>
          <w:tcPr>
            <w:tcW w:w="882" w:type="pct"/>
            <w:vMerge/>
            <w:vAlign w:val="center"/>
            <w:hideMark/>
          </w:tcPr>
          <w:p w14:paraId="61F31921"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shd w:val="clear" w:color="auto" w:fill="auto"/>
            <w:noWrap/>
            <w:vAlign w:val="center"/>
            <w:hideMark/>
          </w:tcPr>
          <w:p w14:paraId="4617DFC7" w14:textId="491FF2D3" w:rsidR="00FE628E" w:rsidRPr="007508A6" w:rsidRDefault="00FE628E" w:rsidP="005D212C">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El FAFEF en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xml:space="preserve"> no cuenta con un Plan Anual de Trabajo (PAT) específico para la programación anual del ejercicio de los recursos del Fondo.</w:t>
            </w:r>
          </w:p>
        </w:tc>
        <w:tc>
          <w:tcPr>
            <w:tcW w:w="477" w:type="pct"/>
            <w:gridSpan w:val="2"/>
            <w:shd w:val="clear" w:color="000000" w:fill="FFFFFF"/>
            <w:vAlign w:val="center"/>
            <w:hideMark/>
          </w:tcPr>
          <w:p w14:paraId="1CF0B880" w14:textId="77777777"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9</w:t>
            </w:r>
          </w:p>
        </w:tc>
        <w:tc>
          <w:tcPr>
            <w:tcW w:w="2083" w:type="pct"/>
            <w:shd w:val="clear" w:color="auto" w:fill="auto"/>
            <w:noWrap/>
            <w:vAlign w:val="center"/>
            <w:hideMark/>
          </w:tcPr>
          <w:p w14:paraId="59E2CCDB" w14:textId="7DC82ACA" w:rsidR="00FE628E" w:rsidRPr="007508A6"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8. </w:t>
            </w:r>
            <w:r w:rsidRPr="007508A6">
              <w:rPr>
                <w:rFonts w:eastAsia="Times New Roman" w:cstheme="minorHAnsi"/>
                <w:color w:val="000000"/>
                <w:sz w:val="20"/>
                <w:szCs w:val="20"/>
                <w:lang w:eastAsia="es-MX"/>
              </w:rPr>
              <w:t>Elaborar un PAT producto de ejercicios de planeación institucionalizados, que contenga las necesidades prioritarias definidas en el diagnóstico específico del FAFEF en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los entregables o componentes producidos con el presupuesto del Fondo, los objetivos y propósitos del trabajo anual, actualizados y coherentes con los recursos viables a realizarse en un año, dimensionar los objetivos que se pretenden alcanzar al cabo de un año, las estrategias para lograr los objetivos y metas, las actividades y acciones que se desarrollarán, las instancias que participarán y, por último, la metodología para evaluar lo </w:t>
            </w:r>
            <w:r w:rsidRPr="007508A6">
              <w:rPr>
                <w:rFonts w:eastAsia="Times New Roman" w:cstheme="minorHAnsi"/>
                <w:color w:val="000000"/>
                <w:sz w:val="20"/>
                <w:szCs w:val="20"/>
                <w:lang w:eastAsia="es-MX"/>
              </w:rPr>
              <w:lastRenderedPageBreak/>
              <w:t>programado, de tal manera que se garantice el adecuado ejercicio del Fondo en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w:t>
            </w:r>
          </w:p>
        </w:tc>
      </w:tr>
      <w:tr w:rsidR="00FE628E" w:rsidRPr="007508A6" w14:paraId="6C82B412" w14:textId="77777777" w:rsidTr="008F106F">
        <w:trPr>
          <w:trHeight w:val="450"/>
        </w:trPr>
        <w:tc>
          <w:tcPr>
            <w:tcW w:w="882" w:type="pct"/>
            <w:vMerge w:val="restart"/>
            <w:shd w:val="clear" w:color="000000" w:fill="9CC2E5"/>
            <w:noWrap/>
            <w:vAlign w:val="center"/>
            <w:hideMark/>
          </w:tcPr>
          <w:p w14:paraId="791320A7" w14:textId="77777777"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lastRenderedPageBreak/>
              <w:t>Tema de la evaluación:</w:t>
            </w:r>
          </w:p>
        </w:tc>
        <w:tc>
          <w:tcPr>
            <w:tcW w:w="1558" w:type="pct"/>
            <w:vMerge w:val="restart"/>
            <w:shd w:val="clear" w:color="000000" w:fill="9CC2E5"/>
            <w:noWrap/>
            <w:vAlign w:val="center"/>
            <w:hideMark/>
          </w:tcPr>
          <w:p w14:paraId="4A9EC9E3" w14:textId="77777777" w:rsidR="00FE628E"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6DD89ABB" w14:textId="48B3F776"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77" w:type="pct"/>
            <w:gridSpan w:val="2"/>
            <w:vMerge w:val="restart"/>
            <w:shd w:val="clear" w:color="000000" w:fill="9CC2E5"/>
            <w:vAlign w:val="center"/>
            <w:hideMark/>
          </w:tcPr>
          <w:p w14:paraId="29B4DFB6" w14:textId="77777777"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Referencia (Pregunta específica)</w:t>
            </w:r>
          </w:p>
        </w:tc>
        <w:tc>
          <w:tcPr>
            <w:tcW w:w="2083" w:type="pct"/>
            <w:vMerge w:val="restart"/>
            <w:shd w:val="clear" w:color="000000" w:fill="9CC2E5"/>
            <w:noWrap/>
            <w:vAlign w:val="center"/>
            <w:hideMark/>
          </w:tcPr>
          <w:p w14:paraId="1AF712A0" w14:textId="77777777"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 xml:space="preserve">Recomendación concreta </w:t>
            </w:r>
          </w:p>
        </w:tc>
      </w:tr>
      <w:tr w:rsidR="00FE628E" w:rsidRPr="007508A6" w14:paraId="0C95C786" w14:textId="77777777" w:rsidTr="008F106F">
        <w:trPr>
          <w:trHeight w:val="450"/>
        </w:trPr>
        <w:tc>
          <w:tcPr>
            <w:tcW w:w="882" w:type="pct"/>
            <w:vMerge/>
            <w:vAlign w:val="center"/>
            <w:hideMark/>
          </w:tcPr>
          <w:p w14:paraId="6D43062E"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vMerge/>
            <w:vAlign w:val="center"/>
            <w:hideMark/>
          </w:tcPr>
          <w:p w14:paraId="3F51056D"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477" w:type="pct"/>
            <w:gridSpan w:val="2"/>
            <w:vMerge/>
            <w:vAlign w:val="center"/>
            <w:hideMark/>
          </w:tcPr>
          <w:p w14:paraId="224A0409"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2083" w:type="pct"/>
            <w:vMerge/>
            <w:vAlign w:val="center"/>
            <w:hideMark/>
          </w:tcPr>
          <w:p w14:paraId="0C899428" w14:textId="77777777" w:rsidR="00FE628E" w:rsidRPr="007508A6" w:rsidRDefault="00FE628E" w:rsidP="005D212C">
            <w:pPr>
              <w:spacing w:before="0" w:after="0"/>
              <w:jc w:val="left"/>
              <w:rPr>
                <w:rFonts w:eastAsia="Times New Roman" w:cstheme="minorHAnsi"/>
                <w:b/>
                <w:bCs/>
                <w:color w:val="000000"/>
                <w:sz w:val="20"/>
                <w:szCs w:val="20"/>
                <w:lang w:eastAsia="es-MX"/>
              </w:rPr>
            </w:pPr>
          </w:p>
        </w:tc>
      </w:tr>
      <w:tr w:rsidR="00FE628E" w:rsidRPr="007508A6" w14:paraId="337C1A99" w14:textId="77777777" w:rsidTr="00FE628E">
        <w:trPr>
          <w:trHeight w:val="300"/>
        </w:trPr>
        <w:tc>
          <w:tcPr>
            <w:tcW w:w="5000" w:type="pct"/>
            <w:gridSpan w:val="5"/>
            <w:shd w:val="clear" w:color="000000" w:fill="D9D9D9"/>
            <w:vAlign w:val="center"/>
            <w:hideMark/>
          </w:tcPr>
          <w:p w14:paraId="69141BD8" w14:textId="77777777" w:rsidR="00FE628E" w:rsidRPr="007508A6" w:rsidRDefault="00FE628E" w:rsidP="005D212C">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7ED4B120" w14:textId="77777777" w:rsidTr="008F106F">
        <w:trPr>
          <w:trHeight w:val="450"/>
        </w:trPr>
        <w:tc>
          <w:tcPr>
            <w:tcW w:w="882" w:type="pct"/>
            <w:vMerge w:val="restart"/>
            <w:shd w:val="clear" w:color="000000" w:fill="FFFFFF"/>
            <w:vAlign w:val="center"/>
            <w:hideMark/>
          </w:tcPr>
          <w:p w14:paraId="3B1532E7" w14:textId="1A521E10" w:rsidR="00FE628E" w:rsidRPr="007508A6" w:rsidRDefault="00FE628E" w:rsidP="005D212C">
            <w:pPr>
              <w:spacing w:before="0" w:after="0"/>
              <w:rPr>
                <w:rFonts w:eastAsia="Times New Roman" w:cstheme="minorHAnsi"/>
                <w:b/>
                <w:bCs/>
                <w:color w:val="000000"/>
                <w:sz w:val="20"/>
                <w:szCs w:val="20"/>
                <w:lang w:eastAsia="es-MX"/>
              </w:rPr>
            </w:pPr>
            <w:r>
              <w:rPr>
                <w:rFonts w:eastAsia="Times New Roman" w:cstheme="minorHAnsi"/>
                <w:b/>
                <w:bCs/>
                <w:color w:val="000000"/>
                <w:sz w:val="20"/>
                <w:szCs w:val="20"/>
                <w:lang w:eastAsia="es-MX"/>
              </w:rPr>
              <w:t xml:space="preserve">Módulo 4. </w:t>
            </w:r>
            <w:r w:rsidRPr="007508A6">
              <w:rPr>
                <w:rFonts w:eastAsia="Times New Roman" w:cstheme="minorHAnsi"/>
                <w:b/>
                <w:bCs/>
                <w:color w:val="000000"/>
                <w:sz w:val="20"/>
                <w:szCs w:val="20"/>
                <w:lang w:eastAsia="es-MX"/>
              </w:rPr>
              <w:t>Alineación del Fondo a la Planeación Nacional y a los Objetivos de Desarrollo Sostenible</w:t>
            </w:r>
          </w:p>
        </w:tc>
        <w:tc>
          <w:tcPr>
            <w:tcW w:w="1558" w:type="pct"/>
            <w:vMerge w:val="restart"/>
            <w:shd w:val="clear" w:color="000000" w:fill="FFFFFF"/>
            <w:vAlign w:val="center"/>
            <w:hideMark/>
          </w:tcPr>
          <w:p w14:paraId="374EA129" w14:textId="46B0A015" w:rsidR="00FE628E" w:rsidRPr="007508A6" w:rsidRDefault="00FE628E" w:rsidP="005D212C">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La planeación estatal se encuentra alineada a los ejes y líneas de acción del PND y es posible detectar la alineación de los ODS con los programas y proyectos a los cuales se destinan los recursos del FAFEF.</w:t>
            </w:r>
          </w:p>
        </w:tc>
        <w:tc>
          <w:tcPr>
            <w:tcW w:w="477" w:type="pct"/>
            <w:gridSpan w:val="2"/>
            <w:vMerge w:val="restart"/>
            <w:shd w:val="clear" w:color="000000" w:fill="FFFFFF"/>
            <w:vAlign w:val="center"/>
            <w:hideMark/>
          </w:tcPr>
          <w:p w14:paraId="5E89622E" w14:textId="6722A74E" w:rsidR="00FE628E" w:rsidRPr="007508A6" w:rsidRDefault="00FE628E" w:rsidP="005D212C">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13</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14</w:t>
            </w:r>
          </w:p>
        </w:tc>
        <w:tc>
          <w:tcPr>
            <w:tcW w:w="2083" w:type="pct"/>
            <w:vMerge w:val="restart"/>
            <w:shd w:val="clear" w:color="000000" w:fill="FFFFFF"/>
            <w:vAlign w:val="center"/>
            <w:hideMark/>
          </w:tcPr>
          <w:p w14:paraId="57887911" w14:textId="5C616618" w:rsidR="00FE628E" w:rsidRPr="007508A6" w:rsidRDefault="00FE628E" w:rsidP="005D212C">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9. </w:t>
            </w:r>
            <w:r w:rsidRPr="007508A6">
              <w:rPr>
                <w:rFonts w:eastAsia="Times New Roman" w:cstheme="minorHAnsi"/>
                <w:color w:val="000000"/>
                <w:sz w:val="20"/>
                <w:szCs w:val="20"/>
                <w:lang w:eastAsia="es-MX"/>
              </w:rPr>
              <w:t xml:space="preserve">Retomar y hacer específica, en el marco del documento de Diagnóstico, la forma en que el destino de los recursos del FAFEF contribuyen al logro de Objetivos del Plan Estatal de Desarrollo, PND y de los ODS. </w:t>
            </w:r>
          </w:p>
        </w:tc>
      </w:tr>
      <w:tr w:rsidR="00FE628E" w:rsidRPr="007508A6" w14:paraId="3C45B019" w14:textId="77777777" w:rsidTr="008F106F">
        <w:trPr>
          <w:trHeight w:val="450"/>
        </w:trPr>
        <w:tc>
          <w:tcPr>
            <w:tcW w:w="882" w:type="pct"/>
            <w:vMerge/>
            <w:vAlign w:val="center"/>
            <w:hideMark/>
          </w:tcPr>
          <w:p w14:paraId="409C165B"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vMerge/>
            <w:vAlign w:val="center"/>
            <w:hideMark/>
          </w:tcPr>
          <w:p w14:paraId="3F12731B" w14:textId="77777777" w:rsidR="00FE628E" w:rsidRPr="007508A6" w:rsidRDefault="00FE628E" w:rsidP="005D212C">
            <w:pPr>
              <w:spacing w:before="0" w:after="0"/>
              <w:jc w:val="left"/>
              <w:rPr>
                <w:rFonts w:eastAsia="Times New Roman" w:cstheme="minorHAnsi"/>
                <w:color w:val="000000"/>
                <w:sz w:val="20"/>
                <w:szCs w:val="20"/>
                <w:lang w:eastAsia="es-MX"/>
              </w:rPr>
            </w:pPr>
          </w:p>
        </w:tc>
        <w:tc>
          <w:tcPr>
            <w:tcW w:w="477" w:type="pct"/>
            <w:gridSpan w:val="2"/>
            <w:vMerge/>
            <w:vAlign w:val="center"/>
            <w:hideMark/>
          </w:tcPr>
          <w:p w14:paraId="41D6A8AD" w14:textId="77777777" w:rsidR="00FE628E" w:rsidRPr="007508A6" w:rsidRDefault="00FE628E" w:rsidP="005D212C">
            <w:pPr>
              <w:spacing w:before="0" w:after="0"/>
              <w:jc w:val="left"/>
              <w:rPr>
                <w:rFonts w:eastAsia="Times New Roman" w:cstheme="minorHAnsi"/>
                <w:color w:val="000000"/>
                <w:sz w:val="20"/>
                <w:szCs w:val="20"/>
                <w:lang w:eastAsia="es-MX"/>
              </w:rPr>
            </w:pPr>
          </w:p>
        </w:tc>
        <w:tc>
          <w:tcPr>
            <w:tcW w:w="2083" w:type="pct"/>
            <w:vMerge/>
            <w:vAlign w:val="center"/>
            <w:hideMark/>
          </w:tcPr>
          <w:p w14:paraId="6311D4D4" w14:textId="77777777" w:rsidR="00FE628E" w:rsidRPr="007508A6" w:rsidRDefault="00FE628E" w:rsidP="005D212C">
            <w:pPr>
              <w:spacing w:before="0" w:after="0"/>
              <w:jc w:val="left"/>
              <w:rPr>
                <w:rFonts w:eastAsia="Times New Roman" w:cstheme="minorHAnsi"/>
                <w:color w:val="000000"/>
                <w:sz w:val="20"/>
                <w:szCs w:val="20"/>
                <w:lang w:eastAsia="es-MX"/>
              </w:rPr>
            </w:pPr>
          </w:p>
        </w:tc>
      </w:tr>
      <w:tr w:rsidR="00FE628E" w:rsidRPr="007508A6" w14:paraId="2D0452DB" w14:textId="77777777" w:rsidTr="008F106F">
        <w:trPr>
          <w:trHeight w:val="450"/>
        </w:trPr>
        <w:tc>
          <w:tcPr>
            <w:tcW w:w="882" w:type="pct"/>
            <w:vMerge/>
            <w:vAlign w:val="center"/>
            <w:hideMark/>
          </w:tcPr>
          <w:p w14:paraId="32803F99"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1558" w:type="pct"/>
            <w:vMerge/>
            <w:vAlign w:val="center"/>
            <w:hideMark/>
          </w:tcPr>
          <w:p w14:paraId="7D14A386"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477" w:type="pct"/>
            <w:gridSpan w:val="2"/>
            <w:vMerge/>
            <w:vAlign w:val="center"/>
            <w:hideMark/>
          </w:tcPr>
          <w:p w14:paraId="1BD24ECF" w14:textId="77777777" w:rsidR="00FE628E" w:rsidRPr="007508A6" w:rsidRDefault="00FE628E" w:rsidP="005D212C">
            <w:pPr>
              <w:spacing w:before="0" w:after="0"/>
              <w:jc w:val="left"/>
              <w:rPr>
                <w:rFonts w:eastAsia="Times New Roman" w:cstheme="minorHAnsi"/>
                <w:b/>
                <w:bCs/>
                <w:color w:val="000000"/>
                <w:sz w:val="20"/>
                <w:szCs w:val="20"/>
                <w:lang w:eastAsia="es-MX"/>
              </w:rPr>
            </w:pPr>
          </w:p>
        </w:tc>
        <w:tc>
          <w:tcPr>
            <w:tcW w:w="2083" w:type="pct"/>
            <w:vMerge/>
            <w:vAlign w:val="center"/>
            <w:hideMark/>
          </w:tcPr>
          <w:p w14:paraId="6E2609E1" w14:textId="77777777" w:rsidR="00FE628E" w:rsidRPr="007508A6" w:rsidRDefault="00FE628E" w:rsidP="005D212C">
            <w:pPr>
              <w:spacing w:before="0" w:after="0"/>
              <w:jc w:val="left"/>
              <w:rPr>
                <w:rFonts w:eastAsia="Times New Roman" w:cstheme="minorHAnsi"/>
                <w:b/>
                <w:bCs/>
                <w:color w:val="000000"/>
                <w:sz w:val="20"/>
                <w:szCs w:val="20"/>
                <w:lang w:eastAsia="es-MX"/>
              </w:rPr>
            </w:pPr>
          </w:p>
        </w:tc>
      </w:tr>
      <w:tr w:rsidR="00FE628E" w:rsidRPr="007508A6" w14:paraId="52EE71FC" w14:textId="77777777" w:rsidTr="00FE628E">
        <w:trPr>
          <w:trHeight w:val="300"/>
        </w:trPr>
        <w:tc>
          <w:tcPr>
            <w:tcW w:w="5000" w:type="pct"/>
            <w:gridSpan w:val="5"/>
            <w:shd w:val="clear" w:color="000000" w:fill="D9D9D9"/>
            <w:vAlign w:val="center"/>
          </w:tcPr>
          <w:p w14:paraId="50AE89EF" w14:textId="143F6ECA" w:rsidR="00FE628E" w:rsidRPr="007508A6" w:rsidRDefault="00FE628E" w:rsidP="005D212C">
            <w:pPr>
              <w:spacing w:before="0" w:after="0"/>
              <w:jc w:val="center"/>
              <w:rPr>
                <w:rFonts w:eastAsia="Times New Roman" w:cstheme="minorHAnsi"/>
                <w:b/>
                <w:bCs/>
                <w:color w:val="000000"/>
                <w:sz w:val="20"/>
                <w:szCs w:val="20"/>
                <w:lang w:eastAsia="es-MX"/>
              </w:rPr>
            </w:pPr>
            <w:r>
              <w:rPr>
                <w:rFonts w:eastAsia="Times New Roman" w:cstheme="minorHAnsi"/>
                <w:b/>
                <w:bCs/>
                <w:color w:val="000000"/>
                <w:sz w:val="20"/>
                <w:szCs w:val="20"/>
                <w:lang w:eastAsia="es-MX"/>
              </w:rPr>
              <w:t>Debilidad o Amenaza</w:t>
            </w:r>
          </w:p>
        </w:tc>
      </w:tr>
      <w:tr w:rsidR="00FE628E" w:rsidRPr="007508A6" w14:paraId="4DD24B2C" w14:textId="77777777" w:rsidTr="008F106F">
        <w:trPr>
          <w:trHeight w:val="300"/>
        </w:trPr>
        <w:tc>
          <w:tcPr>
            <w:tcW w:w="882" w:type="pct"/>
            <w:tcBorders>
              <w:bottom w:val="single" w:sz="4" w:space="0" w:color="auto"/>
            </w:tcBorders>
            <w:shd w:val="clear" w:color="auto" w:fill="auto"/>
            <w:vAlign w:val="center"/>
          </w:tcPr>
          <w:p w14:paraId="2564ABE1" w14:textId="251F5915" w:rsidR="00FE628E" w:rsidRPr="007508A6" w:rsidRDefault="00FE628E" w:rsidP="0078506F">
            <w:pPr>
              <w:spacing w:before="0" w:after="0"/>
              <w:rPr>
                <w:rFonts w:eastAsia="Times New Roman" w:cstheme="minorHAnsi"/>
                <w:b/>
                <w:bCs/>
                <w:color w:val="000000"/>
                <w:sz w:val="20"/>
                <w:szCs w:val="20"/>
                <w:lang w:eastAsia="es-MX"/>
              </w:rPr>
            </w:pPr>
            <w:r>
              <w:rPr>
                <w:rFonts w:eastAsia="Times New Roman" w:cstheme="minorHAnsi"/>
                <w:b/>
                <w:bCs/>
                <w:color w:val="000000"/>
                <w:sz w:val="20"/>
                <w:szCs w:val="20"/>
                <w:lang w:eastAsia="es-MX"/>
              </w:rPr>
              <w:t xml:space="preserve">Módulo 4. </w:t>
            </w:r>
            <w:r w:rsidRPr="007508A6">
              <w:rPr>
                <w:rFonts w:eastAsia="Times New Roman" w:cstheme="minorHAnsi"/>
                <w:b/>
                <w:bCs/>
                <w:color w:val="000000"/>
                <w:sz w:val="20"/>
                <w:szCs w:val="20"/>
                <w:lang w:eastAsia="es-MX"/>
              </w:rPr>
              <w:t>Alineación del Fondo a la Planeación Nacional y a los Objetivos de Desarrollo Sostenible</w:t>
            </w:r>
          </w:p>
        </w:tc>
        <w:tc>
          <w:tcPr>
            <w:tcW w:w="1558" w:type="pct"/>
            <w:tcBorders>
              <w:bottom w:val="single" w:sz="4" w:space="0" w:color="auto"/>
            </w:tcBorders>
            <w:shd w:val="clear" w:color="auto" w:fill="auto"/>
            <w:vAlign w:val="center"/>
          </w:tcPr>
          <w:p w14:paraId="222297B4" w14:textId="3CE1E37A" w:rsidR="00FE628E" w:rsidRPr="007508A6" w:rsidRDefault="00FE628E" w:rsidP="0078506F">
            <w:pPr>
              <w:spacing w:before="0" w:after="0"/>
              <w:rPr>
                <w:rFonts w:eastAsia="Times New Roman" w:cstheme="minorHAnsi"/>
                <w:b/>
                <w:bCs/>
                <w:color w:val="000000"/>
                <w:sz w:val="20"/>
                <w:szCs w:val="20"/>
                <w:lang w:eastAsia="es-MX"/>
              </w:rPr>
            </w:pPr>
            <w:r w:rsidRPr="005A149C">
              <w:rPr>
                <w:rFonts w:eastAsia="Times New Roman" w:cstheme="minorHAnsi"/>
                <w:color w:val="000000"/>
                <w:sz w:val="20"/>
                <w:szCs w:val="20"/>
                <w:lang w:eastAsia="es-MX"/>
              </w:rPr>
              <w:t xml:space="preserve">Sin </w:t>
            </w:r>
            <w:r>
              <w:rPr>
                <w:rFonts w:eastAsia="Times New Roman" w:cstheme="minorHAnsi"/>
                <w:color w:val="000000"/>
                <w:sz w:val="20"/>
                <w:szCs w:val="20"/>
                <w:lang w:eastAsia="es-MX"/>
              </w:rPr>
              <w:t>debilidad o amenaza</w:t>
            </w:r>
          </w:p>
        </w:tc>
        <w:tc>
          <w:tcPr>
            <w:tcW w:w="468" w:type="pct"/>
            <w:shd w:val="clear" w:color="auto" w:fill="auto"/>
            <w:vAlign w:val="center"/>
          </w:tcPr>
          <w:p w14:paraId="24229A60" w14:textId="40E099AF" w:rsidR="00FE628E" w:rsidRPr="007508A6" w:rsidRDefault="00FE628E" w:rsidP="0078506F">
            <w:pPr>
              <w:spacing w:before="0" w:after="0"/>
              <w:jc w:val="center"/>
              <w:rPr>
                <w:rFonts w:eastAsia="Times New Roman" w:cstheme="minorHAnsi"/>
                <w:b/>
                <w:bCs/>
                <w:color w:val="000000"/>
                <w:sz w:val="20"/>
                <w:szCs w:val="20"/>
                <w:lang w:eastAsia="es-MX"/>
              </w:rPr>
            </w:pPr>
            <w:r>
              <w:rPr>
                <w:rFonts w:eastAsia="Times New Roman" w:cstheme="minorHAnsi"/>
                <w:color w:val="000000"/>
                <w:sz w:val="20"/>
                <w:szCs w:val="20"/>
                <w:lang w:eastAsia="es-MX"/>
              </w:rPr>
              <w:t>-</w:t>
            </w:r>
          </w:p>
        </w:tc>
        <w:tc>
          <w:tcPr>
            <w:tcW w:w="2092" w:type="pct"/>
            <w:gridSpan w:val="2"/>
            <w:shd w:val="clear" w:color="auto" w:fill="auto"/>
            <w:vAlign w:val="center"/>
          </w:tcPr>
          <w:p w14:paraId="5E892160" w14:textId="0374AAAA" w:rsidR="00FE628E" w:rsidRPr="007508A6" w:rsidRDefault="00FE628E" w:rsidP="0078506F">
            <w:pPr>
              <w:spacing w:before="0" w:after="0"/>
              <w:rPr>
                <w:rFonts w:eastAsia="Times New Roman" w:cstheme="minorHAnsi"/>
                <w:b/>
                <w:bCs/>
                <w:color w:val="000000"/>
                <w:sz w:val="20"/>
                <w:szCs w:val="20"/>
                <w:lang w:eastAsia="es-MX"/>
              </w:rPr>
            </w:pPr>
            <w:r>
              <w:rPr>
                <w:rFonts w:eastAsia="Times New Roman" w:cstheme="minorHAnsi"/>
                <w:color w:val="000000"/>
                <w:sz w:val="20"/>
                <w:szCs w:val="20"/>
                <w:lang w:eastAsia="es-MX"/>
              </w:rPr>
              <w:t>Sin recomendación</w:t>
            </w:r>
          </w:p>
        </w:tc>
      </w:tr>
      <w:tr w:rsidR="00FE628E" w:rsidRPr="007508A6" w14:paraId="4C0C5189" w14:textId="77777777" w:rsidTr="008F106F">
        <w:trPr>
          <w:trHeight w:val="300"/>
        </w:trPr>
        <w:tc>
          <w:tcPr>
            <w:tcW w:w="882" w:type="pct"/>
            <w:tcBorders>
              <w:bottom w:val="single" w:sz="4" w:space="0" w:color="auto"/>
            </w:tcBorders>
            <w:shd w:val="clear" w:color="auto" w:fill="9CC2E5"/>
            <w:vAlign w:val="center"/>
          </w:tcPr>
          <w:p w14:paraId="62662740" w14:textId="3C8A8D5A" w:rsidR="00FE628E"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Tema de la evaluación:</w:t>
            </w:r>
          </w:p>
        </w:tc>
        <w:tc>
          <w:tcPr>
            <w:tcW w:w="1558" w:type="pct"/>
            <w:tcBorders>
              <w:bottom w:val="single" w:sz="4" w:space="0" w:color="auto"/>
            </w:tcBorders>
            <w:shd w:val="clear" w:color="auto" w:fill="9CC2E5"/>
            <w:vAlign w:val="center"/>
          </w:tcPr>
          <w:p w14:paraId="2A5D8B1D" w14:textId="77777777" w:rsidR="00FE628E"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03FCA11D" w14:textId="61AEB412" w:rsidR="00FE628E"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68" w:type="pct"/>
            <w:shd w:val="clear" w:color="auto" w:fill="9CC2E5"/>
            <w:vAlign w:val="center"/>
          </w:tcPr>
          <w:p w14:paraId="0DBD875E" w14:textId="063EFCE5" w:rsidR="00FE628E"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Referencia (Pregunta específica)</w:t>
            </w:r>
          </w:p>
        </w:tc>
        <w:tc>
          <w:tcPr>
            <w:tcW w:w="2092" w:type="pct"/>
            <w:gridSpan w:val="2"/>
            <w:shd w:val="clear" w:color="auto" w:fill="9CC2E5"/>
            <w:vAlign w:val="center"/>
          </w:tcPr>
          <w:p w14:paraId="2843CC96" w14:textId="39789550" w:rsidR="00FE628E"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 xml:space="preserve">Recomendación concreta </w:t>
            </w:r>
          </w:p>
        </w:tc>
      </w:tr>
      <w:tr w:rsidR="00FE628E" w:rsidRPr="007508A6" w14:paraId="1CFC7D90" w14:textId="6204F9C6" w:rsidTr="00FE628E">
        <w:trPr>
          <w:trHeight w:val="300"/>
        </w:trPr>
        <w:tc>
          <w:tcPr>
            <w:tcW w:w="5000" w:type="pct"/>
            <w:gridSpan w:val="5"/>
            <w:shd w:val="clear" w:color="000000" w:fill="D9D9D9"/>
            <w:vAlign w:val="center"/>
            <w:hideMark/>
          </w:tcPr>
          <w:p w14:paraId="19EB5FBF" w14:textId="4ADF9A29" w:rsidR="00FE628E" w:rsidRPr="007508A6"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7E0AA7E3" w14:textId="77777777" w:rsidTr="008F106F">
        <w:trPr>
          <w:trHeight w:val="1565"/>
        </w:trPr>
        <w:tc>
          <w:tcPr>
            <w:tcW w:w="882" w:type="pct"/>
            <w:vMerge w:val="restart"/>
            <w:shd w:val="clear" w:color="000000" w:fill="FFFFFF"/>
            <w:vAlign w:val="center"/>
            <w:hideMark/>
          </w:tcPr>
          <w:p w14:paraId="1D69ABFF" w14:textId="02FFABA4" w:rsidR="00FE628E" w:rsidRPr="007508A6" w:rsidRDefault="00FE628E" w:rsidP="0078506F">
            <w:pPr>
              <w:spacing w:before="0" w:after="0"/>
              <w:jc w:val="left"/>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5. Mecanismos de Coordinación</w:t>
            </w:r>
          </w:p>
        </w:tc>
        <w:tc>
          <w:tcPr>
            <w:tcW w:w="1558" w:type="pct"/>
            <w:shd w:val="clear" w:color="000000" w:fill="FFFFFF"/>
            <w:vAlign w:val="center"/>
            <w:hideMark/>
          </w:tcPr>
          <w:p w14:paraId="79F80F54" w14:textId="00FA1D99"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La planeación del destino de los recursos del FAFEF corresponde al Grupo de Trabajo de la Subsecretaría de Egresos, mediante el cual, previo conocimiento del monto que corresponde a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en cada ejercicio fiscal</w:t>
            </w:r>
            <w:r>
              <w:rPr>
                <w:rFonts w:eastAsia="Times New Roman" w:cstheme="minorHAnsi"/>
                <w:color w:val="000000"/>
                <w:sz w:val="20"/>
                <w:szCs w:val="20"/>
                <w:lang w:eastAsia="es-MX"/>
              </w:rPr>
              <w:t>,</w:t>
            </w:r>
            <w:r w:rsidRPr="007508A6">
              <w:rPr>
                <w:rFonts w:eastAsia="Times New Roman" w:cstheme="minorHAnsi"/>
                <w:color w:val="000000"/>
                <w:sz w:val="20"/>
                <w:szCs w:val="20"/>
                <w:lang w:eastAsia="es-MX"/>
              </w:rPr>
              <w:t xml:space="preserve"> </w:t>
            </w:r>
            <w:r>
              <w:rPr>
                <w:rFonts w:eastAsia="Times New Roman" w:cstheme="minorHAnsi"/>
                <w:color w:val="000000"/>
                <w:sz w:val="20"/>
                <w:szCs w:val="20"/>
                <w:lang w:eastAsia="es-MX"/>
              </w:rPr>
              <w:t xml:space="preserve">se </w:t>
            </w:r>
            <w:r w:rsidRPr="007508A6">
              <w:rPr>
                <w:rFonts w:eastAsia="Times New Roman" w:cstheme="minorHAnsi"/>
                <w:color w:val="000000"/>
                <w:sz w:val="20"/>
                <w:szCs w:val="20"/>
                <w:lang w:eastAsia="es-MX"/>
              </w:rPr>
              <w:t>determina</w:t>
            </w:r>
            <w:r>
              <w:rPr>
                <w:rFonts w:eastAsia="Times New Roman" w:cstheme="minorHAnsi"/>
                <w:color w:val="000000"/>
                <w:sz w:val="20"/>
                <w:szCs w:val="20"/>
                <w:lang w:eastAsia="es-MX"/>
              </w:rPr>
              <w:t>n</w:t>
            </w:r>
            <w:r w:rsidRPr="007508A6">
              <w:rPr>
                <w:rFonts w:eastAsia="Times New Roman" w:cstheme="minorHAnsi"/>
                <w:color w:val="000000"/>
                <w:sz w:val="20"/>
                <w:szCs w:val="20"/>
                <w:lang w:eastAsia="es-MX"/>
              </w:rPr>
              <w:t xml:space="preserve"> los Pp que serán financiados con recursos del Fondo y se asignan los montos presupuestales a cada Pp. </w:t>
            </w:r>
          </w:p>
        </w:tc>
        <w:tc>
          <w:tcPr>
            <w:tcW w:w="477" w:type="pct"/>
            <w:gridSpan w:val="2"/>
            <w:shd w:val="clear" w:color="000000" w:fill="FFFFFF"/>
            <w:vAlign w:val="center"/>
            <w:hideMark/>
          </w:tcPr>
          <w:p w14:paraId="3C710479"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15</w:t>
            </w:r>
          </w:p>
        </w:tc>
        <w:tc>
          <w:tcPr>
            <w:tcW w:w="2083" w:type="pct"/>
            <w:shd w:val="clear" w:color="000000" w:fill="FFFFFF"/>
            <w:vAlign w:val="center"/>
            <w:hideMark/>
          </w:tcPr>
          <w:p w14:paraId="56C572A4" w14:textId="2D8CC87B" w:rsidR="00FE628E" w:rsidRPr="00F91427" w:rsidRDefault="00FE628E" w:rsidP="0078506F">
            <w:pPr>
              <w:spacing w:before="0" w:after="0"/>
              <w:rPr>
                <w:rFonts w:eastAsia="Times New Roman" w:cstheme="minorHAnsi"/>
                <w:color w:val="000000"/>
                <w:sz w:val="20"/>
                <w:szCs w:val="20"/>
                <w:lang w:eastAsia="es-MX"/>
              </w:rPr>
            </w:pPr>
            <w:bookmarkStart w:id="193" w:name="_Hlk53119923"/>
            <w:r w:rsidRPr="00F91427">
              <w:rPr>
                <w:rFonts w:eastAsia="Times New Roman" w:cstheme="minorHAnsi"/>
                <w:color w:val="000000"/>
                <w:sz w:val="20"/>
                <w:szCs w:val="20"/>
                <w:lang w:eastAsia="es-MX"/>
              </w:rPr>
              <w:t xml:space="preserve">10. </w:t>
            </w:r>
            <w:r w:rsidR="00F91427" w:rsidRPr="00F91427">
              <w:rPr>
                <w:rFonts w:eastAsia="Times New Roman" w:cstheme="minorHAnsi"/>
                <w:color w:val="000000"/>
                <w:sz w:val="20"/>
                <w:szCs w:val="20"/>
                <w:lang w:eastAsia="es-MX"/>
              </w:rPr>
              <w:t>Formalizar</w:t>
            </w:r>
            <w:r w:rsidRPr="00F91427">
              <w:rPr>
                <w:rFonts w:eastAsia="Times New Roman" w:cstheme="minorHAnsi"/>
                <w:color w:val="000000"/>
                <w:sz w:val="20"/>
                <w:szCs w:val="20"/>
                <w:lang w:eastAsia="es-MX"/>
              </w:rPr>
              <w:t xml:space="preserve"> el proceso de </w:t>
            </w:r>
            <w:r w:rsidR="00F91427" w:rsidRPr="00F91427">
              <w:rPr>
                <w:rFonts w:eastAsia="Times New Roman" w:cstheme="minorHAnsi"/>
                <w:color w:val="000000"/>
                <w:sz w:val="20"/>
                <w:szCs w:val="20"/>
                <w:lang w:eastAsia="es-MX"/>
              </w:rPr>
              <w:t xml:space="preserve">planeación y </w:t>
            </w:r>
            <w:r w:rsidRPr="00F91427">
              <w:rPr>
                <w:rFonts w:eastAsia="Times New Roman" w:cstheme="minorHAnsi"/>
                <w:color w:val="000000"/>
                <w:sz w:val="20"/>
                <w:szCs w:val="20"/>
                <w:lang w:eastAsia="es-MX"/>
              </w:rPr>
              <w:t xml:space="preserve">asignación de recursos del Fondo como parte del proceso de integración del Proyecto de Presupuesto de Egresos de la Entidad (PPE), </w:t>
            </w:r>
            <w:r w:rsidR="00F91427" w:rsidRPr="00F91427">
              <w:rPr>
                <w:rFonts w:eastAsia="Times New Roman" w:cstheme="minorHAnsi"/>
                <w:color w:val="000000"/>
                <w:sz w:val="20"/>
                <w:szCs w:val="20"/>
                <w:lang w:eastAsia="es-MX"/>
              </w:rPr>
              <w:t>mediante</w:t>
            </w:r>
            <w:r w:rsidRPr="00F91427">
              <w:rPr>
                <w:rFonts w:eastAsia="Times New Roman" w:cstheme="minorHAnsi"/>
                <w:color w:val="000000"/>
                <w:sz w:val="20"/>
                <w:szCs w:val="20"/>
                <w:lang w:eastAsia="es-MX"/>
              </w:rPr>
              <w:t xml:space="preserve"> </w:t>
            </w:r>
            <w:r w:rsidR="00F91427" w:rsidRPr="00F91427">
              <w:rPr>
                <w:rFonts w:eastAsia="Times New Roman" w:cstheme="minorHAnsi"/>
                <w:color w:val="000000"/>
                <w:sz w:val="20"/>
                <w:szCs w:val="20"/>
                <w:lang w:eastAsia="es-MX"/>
              </w:rPr>
              <w:t>el</w:t>
            </w:r>
            <w:r w:rsidRPr="00F91427">
              <w:rPr>
                <w:rFonts w:eastAsia="Times New Roman" w:cstheme="minorHAnsi"/>
                <w:color w:val="000000"/>
                <w:sz w:val="20"/>
                <w:szCs w:val="20"/>
                <w:lang w:eastAsia="es-MX"/>
              </w:rPr>
              <w:t xml:space="preserve"> anexo o en el propio proyecto de Decreto, los rubros de gasto a los que se orientará el FAFEF conforme a las necesidades más apremiantes de la entidad federativa. </w:t>
            </w:r>
            <w:bookmarkEnd w:id="193"/>
          </w:p>
        </w:tc>
      </w:tr>
      <w:tr w:rsidR="00FE628E" w:rsidRPr="007508A6" w14:paraId="1893BA98" w14:textId="77777777" w:rsidTr="008F106F">
        <w:trPr>
          <w:trHeight w:val="963"/>
        </w:trPr>
        <w:tc>
          <w:tcPr>
            <w:tcW w:w="882" w:type="pct"/>
            <w:vMerge/>
            <w:vAlign w:val="center"/>
            <w:hideMark/>
          </w:tcPr>
          <w:p w14:paraId="79D7B25D"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62E28036" w14:textId="164E3380"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El Grupo de Trabajo tiene la función de coordinar acciones conducentes a la implementación de la estrategia del PbR implementando acciones y medidas para reforzar la planeación, programación y monitoreo de los </w:t>
            </w:r>
            <w:r w:rsidRPr="007508A6">
              <w:rPr>
                <w:rFonts w:eastAsia="Times New Roman" w:cstheme="minorHAnsi"/>
                <w:color w:val="000000"/>
                <w:sz w:val="20"/>
                <w:szCs w:val="20"/>
                <w:lang w:eastAsia="es-MX"/>
              </w:rPr>
              <w:lastRenderedPageBreak/>
              <w:t>resultados esperados de la aplicación de los recursos del FAFEF en Tamaulipas</w:t>
            </w:r>
          </w:p>
        </w:tc>
        <w:tc>
          <w:tcPr>
            <w:tcW w:w="477" w:type="pct"/>
            <w:gridSpan w:val="2"/>
            <w:shd w:val="clear" w:color="000000" w:fill="FFFFFF"/>
            <w:vAlign w:val="center"/>
            <w:hideMark/>
          </w:tcPr>
          <w:p w14:paraId="265D7D26"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16</w:t>
            </w:r>
          </w:p>
        </w:tc>
        <w:tc>
          <w:tcPr>
            <w:tcW w:w="2083" w:type="pct"/>
            <w:shd w:val="clear" w:color="000000" w:fill="FFFFFF"/>
            <w:vAlign w:val="center"/>
            <w:hideMark/>
          </w:tcPr>
          <w:p w14:paraId="6B96D300" w14:textId="77777777" w:rsidR="00FE628E" w:rsidRPr="007508A6" w:rsidRDefault="00FE628E" w:rsidP="0078506F">
            <w:pPr>
              <w:spacing w:before="0" w:after="0"/>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FE628E" w:rsidRPr="007508A6" w14:paraId="4234DD53" w14:textId="77777777" w:rsidTr="008F106F">
        <w:trPr>
          <w:trHeight w:val="1465"/>
        </w:trPr>
        <w:tc>
          <w:tcPr>
            <w:tcW w:w="882" w:type="pct"/>
            <w:vMerge/>
            <w:vAlign w:val="center"/>
            <w:hideMark/>
          </w:tcPr>
          <w:p w14:paraId="766A1FA6"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604D199D" w14:textId="511A82D4"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Para la operación de los Pp estatales en general, entre los que se encuentran los que reciben recurso del FAFEF, se tienen formatos estandarizados tales como: 1. Formato de Solicitud de Apertura de cuenta; 2. Oficio de Aprobación (Proyectos); 3. Aviso de disponibilidad Bancaria; 4. Recibos de pago; 5. Reportes mensuales ingresos vs egresos; 6. Oficios de Solicitud de Traspaso; y, 7. Oficios de Solicitud de Cancelación Cuentas.</w:t>
            </w:r>
          </w:p>
        </w:tc>
        <w:tc>
          <w:tcPr>
            <w:tcW w:w="477" w:type="pct"/>
            <w:gridSpan w:val="2"/>
            <w:shd w:val="clear" w:color="000000" w:fill="FFFFFF"/>
            <w:vAlign w:val="center"/>
            <w:hideMark/>
          </w:tcPr>
          <w:p w14:paraId="08DC950C"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17</w:t>
            </w:r>
          </w:p>
        </w:tc>
        <w:tc>
          <w:tcPr>
            <w:tcW w:w="2083" w:type="pct"/>
            <w:shd w:val="clear" w:color="000000" w:fill="FFFFFF"/>
            <w:vAlign w:val="center"/>
            <w:hideMark/>
          </w:tcPr>
          <w:p w14:paraId="114EAE40" w14:textId="77777777" w:rsidR="00FE628E" w:rsidRPr="007508A6" w:rsidRDefault="00FE628E" w:rsidP="0078506F">
            <w:pPr>
              <w:spacing w:before="0" w:after="0"/>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FE628E" w:rsidRPr="007508A6" w14:paraId="24C4371B" w14:textId="77777777" w:rsidTr="008F106F">
        <w:trPr>
          <w:trHeight w:val="361"/>
        </w:trPr>
        <w:tc>
          <w:tcPr>
            <w:tcW w:w="882" w:type="pct"/>
            <w:vMerge/>
            <w:vAlign w:val="center"/>
            <w:hideMark/>
          </w:tcPr>
          <w:p w14:paraId="011BA414"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1C724E76" w14:textId="0119CF61"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Los mecanismos de seguimiento a los resultados presentan áreas de mejora en relación con la elaboración de un Plan Estratégico y un programa de trabajo calendarizado que permita obtener información actualizada.</w:t>
            </w:r>
          </w:p>
        </w:tc>
        <w:tc>
          <w:tcPr>
            <w:tcW w:w="477" w:type="pct"/>
            <w:gridSpan w:val="2"/>
            <w:shd w:val="clear" w:color="000000" w:fill="FFFFFF"/>
            <w:vAlign w:val="center"/>
            <w:hideMark/>
          </w:tcPr>
          <w:p w14:paraId="6838CB60"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19</w:t>
            </w:r>
          </w:p>
        </w:tc>
        <w:tc>
          <w:tcPr>
            <w:tcW w:w="2083" w:type="pct"/>
            <w:shd w:val="clear" w:color="000000" w:fill="FFFFFF"/>
            <w:vAlign w:val="center"/>
            <w:hideMark/>
          </w:tcPr>
          <w:p w14:paraId="65DF044B" w14:textId="38D1E101" w:rsidR="00FE628E" w:rsidRPr="007508A6" w:rsidRDefault="00FE628E" w:rsidP="0078506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11. </w:t>
            </w:r>
            <w:r w:rsidRPr="007508A6">
              <w:rPr>
                <w:rFonts w:eastAsia="Times New Roman" w:cstheme="minorHAnsi"/>
                <w:color w:val="000000"/>
                <w:sz w:val="20"/>
                <w:szCs w:val="20"/>
                <w:lang w:eastAsia="es-MX"/>
              </w:rPr>
              <w:t>Actualizar periódicamente el Diagnóstico y demás documentos operativos (plan estratégico, programa de trabajo calendarizado), con la finalidad de contar con información actualizada que permita ratificar o reorientar la priorización futura de recursos.</w:t>
            </w:r>
          </w:p>
        </w:tc>
      </w:tr>
      <w:tr w:rsidR="00FE628E" w:rsidRPr="007508A6" w14:paraId="5973E286" w14:textId="77777777" w:rsidTr="00FE628E">
        <w:trPr>
          <w:trHeight w:val="300"/>
        </w:trPr>
        <w:tc>
          <w:tcPr>
            <w:tcW w:w="5000" w:type="pct"/>
            <w:gridSpan w:val="5"/>
            <w:shd w:val="clear" w:color="000000" w:fill="D9D9D9"/>
            <w:vAlign w:val="center"/>
            <w:hideMark/>
          </w:tcPr>
          <w:p w14:paraId="1682C873" w14:textId="77777777" w:rsidR="00FE628E" w:rsidRPr="007508A6"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Debilidad o amenaza</w:t>
            </w:r>
          </w:p>
        </w:tc>
      </w:tr>
      <w:tr w:rsidR="00FE628E" w:rsidRPr="007508A6" w14:paraId="7A662C1F" w14:textId="77777777" w:rsidTr="008F106F">
        <w:trPr>
          <w:trHeight w:val="2101"/>
        </w:trPr>
        <w:tc>
          <w:tcPr>
            <w:tcW w:w="882" w:type="pct"/>
            <w:vMerge w:val="restart"/>
            <w:shd w:val="clear" w:color="auto" w:fill="auto"/>
            <w:vAlign w:val="center"/>
            <w:hideMark/>
          </w:tcPr>
          <w:p w14:paraId="4DC61D59" w14:textId="26750F30" w:rsidR="00FE628E" w:rsidRPr="007508A6" w:rsidRDefault="00FE628E" w:rsidP="0078506F">
            <w:pPr>
              <w:spacing w:before="0" w:after="0"/>
              <w:jc w:val="left"/>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5. Mecanismos de Coordinación</w:t>
            </w:r>
          </w:p>
        </w:tc>
        <w:tc>
          <w:tcPr>
            <w:tcW w:w="1558" w:type="pct"/>
            <w:shd w:val="clear" w:color="000000" w:fill="FFFFFF"/>
            <w:vAlign w:val="center"/>
            <w:hideMark/>
          </w:tcPr>
          <w:p w14:paraId="4460C409" w14:textId="11B48160" w:rsidR="00FE628E" w:rsidRPr="007508A6" w:rsidRDefault="00FE628E" w:rsidP="0078506F">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Los procesos clave para la operación de las aportaciones del FAFEF en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sobre todo lo referente a ejecución, no cuentan con un procedimiento específico para el ejercicio de los recursos del Fondo, sino que siguen un procedimiento definido según las modalidades de gasto o rubro de destino establecido en los manuales de procedimientos de cada ente ejecutor</w:t>
            </w:r>
          </w:p>
        </w:tc>
        <w:tc>
          <w:tcPr>
            <w:tcW w:w="477" w:type="pct"/>
            <w:gridSpan w:val="2"/>
            <w:shd w:val="clear" w:color="000000" w:fill="FFFFFF"/>
            <w:vAlign w:val="center"/>
            <w:hideMark/>
          </w:tcPr>
          <w:p w14:paraId="4F4D6BE7"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15</w:t>
            </w:r>
          </w:p>
        </w:tc>
        <w:tc>
          <w:tcPr>
            <w:tcW w:w="2083" w:type="pct"/>
            <w:shd w:val="clear" w:color="000000" w:fill="FFFFFF"/>
            <w:vAlign w:val="center"/>
            <w:hideMark/>
          </w:tcPr>
          <w:p w14:paraId="68316691" w14:textId="4CAA3DC7" w:rsidR="00FE628E" w:rsidRPr="007508A6" w:rsidRDefault="00FE628E" w:rsidP="0078506F">
            <w:pPr>
              <w:spacing w:before="0" w:after="0"/>
              <w:rPr>
                <w:rFonts w:eastAsia="Times New Roman" w:cstheme="minorHAnsi"/>
                <w:color w:val="000000"/>
                <w:sz w:val="20"/>
                <w:szCs w:val="20"/>
                <w:lang w:eastAsia="es-MX"/>
              </w:rPr>
            </w:pPr>
            <w:bookmarkStart w:id="194" w:name="_Hlk53119972"/>
            <w:r>
              <w:rPr>
                <w:rFonts w:eastAsia="Times New Roman" w:cstheme="minorHAnsi"/>
                <w:color w:val="000000"/>
                <w:sz w:val="20"/>
                <w:szCs w:val="20"/>
                <w:lang w:eastAsia="es-MX"/>
              </w:rPr>
              <w:t xml:space="preserve">12. </w:t>
            </w:r>
            <w:r w:rsidR="000D1D64">
              <w:rPr>
                <w:rFonts w:eastAsia="Times New Roman" w:cstheme="minorHAnsi"/>
                <w:color w:val="000000"/>
                <w:sz w:val="20"/>
                <w:szCs w:val="20"/>
                <w:lang w:eastAsia="es-MX"/>
              </w:rPr>
              <w:t>E</w:t>
            </w:r>
            <w:r w:rsidRPr="007508A6">
              <w:rPr>
                <w:rFonts w:eastAsia="Times New Roman" w:cstheme="minorHAnsi"/>
                <w:color w:val="000000"/>
                <w:sz w:val="20"/>
                <w:szCs w:val="20"/>
                <w:lang w:eastAsia="es-MX"/>
              </w:rPr>
              <w:t>stablecer un manual de procedimientos o lineamientos que regulen el funcionamiento del Fondo, en donde se determine un mecanismo para la generación de información que permita identificar periódicamente las necesidades que pueden atenderse con recursos del Fondo, los pros y los contra (oportunidades y amenazas) que enfrenta en la operación cada Pp asociado a los rubros de gasto y el cumplimiento de los objetivos y metas a alcanzar; así como las estrategias para implementarlas y alcance de las mismas, la asignación de responsables; y el mecanismo de seguimiento de los procesos y diagramas de flujo.</w:t>
            </w:r>
            <w:r w:rsidR="00826CDE">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Con ello, la entidad </w:t>
            </w:r>
            <w:r>
              <w:rPr>
                <w:rFonts w:eastAsia="Times New Roman" w:cstheme="minorHAnsi"/>
                <w:color w:val="000000"/>
                <w:sz w:val="20"/>
                <w:szCs w:val="20"/>
                <w:lang w:eastAsia="es-MX"/>
              </w:rPr>
              <w:t xml:space="preserve">federativa </w:t>
            </w:r>
            <w:r w:rsidRPr="007508A6">
              <w:rPr>
                <w:rFonts w:eastAsia="Times New Roman" w:cstheme="minorHAnsi"/>
                <w:color w:val="000000"/>
                <w:sz w:val="20"/>
                <w:szCs w:val="20"/>
                <w:lang w:eastAsia="es-MX"/>
              </w:rPr>
              <w:t>contará con una guía para la operación de los recursos del FAFEF que actué bajo los mismos criterios.</w:t>
            </w:r>
            <w:bookmarkEnd w:id="194"/>
          </w:p>
        </w:tc>
      </w:tr>
      <w:tr w:rsidR="00FE628E" w:rsidRPr="007508A6" w14:paraId="58ED2316" w14:textId="77777777" w:rsidTr="008F106F">
        <w:trPr>
          <w:trHeight w:val="724"/>
        </w:trPr>
        <w:tc>
          <w:tcPr>
            <w:tcW w:w="882" w:type="pct"/>
            <w:vMerge/>
            <w:vAlign w:val="center"/>
            <w:hideMark/>
          </w:tcPr>
          <w:p w14:paraId="3CB7982C"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6A55B403" w14:textId="39212B4E" w:rsidR="00FE628E" w:rsidRPr="007508A6" w:rsidRDefault="00FE628E" w:rsidP="0078506F">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La configuración institucional y normativa no contribuye al cumplimiento de objetivos estatales, puesto que no se realizan ejercicios para fomentar una coordinación eficaz y continua entre la dependencia coordinadora y el </w:t>
            </w:r>
            <w:r w:rsidRPr="007508A6">
              <w:rPr>
                <w:rFonts w:eastAsia="Times New Roman" w:cstheme="minorHAnsi"/>
                <w:color w:val="000000"/>
                <w:sz w:val="20"/>
                <w:szCs w:val="20"/>
                <w:lang w:eastAsia="es-MX"/>
              </w:rPr>
              <w:lastRenderedPageBreak/>
              <w:t>gobierno de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ya que la única coordinación que se percibe es para dispersar los pagos mensuales.</w:t>
            </w:r>
          </w:p>
        </w:tc>
        <w:tc>
          <w:tcPr>
            <w:tcW w:w="477" w:type="pct"/>
            <w:gridSpan w:val="2"/>
            <w:shd w:val="clear" w:color="000000" w:fill="FFFFFF"/>
            <w:vAlign w:val="center"/>
            <w:hideMark/>
          </w:tcPr>
          <w:p w14:paraId="74E7C3BC"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20</w:t>
            </w:r>
          </w:p>
        </w:tc>
        <w:tc>
          <w:tcPr>
            <w:tcW w:w="2083" w:type="pct"/>
            <w:shd w:val="clear" w:color="000000" w:fill="FFFFFF"/>
            <w:vAlign w:val="center"/>
            <w:hideMark/>
          </w:tcPr>
          <w:p w14:paraId="7A4CEBAB" w14:textId="7479131F" w:rsidR="00FE628E" w:rsidRPr="007508A6" w:rsidRDefault="00FE628E" w:rsidP="0078506F">
            <w:pPr>
              <w:spacing w:before="0" w:after="0"/>
              <w:rPr>
                <w:rFonts w:eastAsia="Times New Roman" w:cstheme="minorHAnsi"/>
                <w:color w:val="000000"/>
                <w:sz w:val="20"/>
                <w:szCs w:val="20"/>
                <w:lang w:eastAsia="es-MX"/>
              </w:rPr>
            </w:pPr>
            <w:bookmarkStart w:id="195" w:name="_Hlk53120016"/>
            <w:r>
              <w:rPr>
                <w:rFonts w:eastAsia="Times New Roman" w:cstheme="minorHAnsi"/>
                <w:color w:val="000000"/>
                <w:sz w:val="20"/>
                <w:szCs w:val="20"/>
                <w:lang w:eastAsia="es-MX"/>
              </w:rPr>
              <w:t xml:space="preserve">13. </w:t>
            </w:r>
            <w:r w:rsidRPr="007508A6">
              <w:rPr>
                <w:rFonts w:eastAsia="Times New Roman" w:cstheme="minorHAnsi"/>
                <w:color w:val="000000"/>
                <w:sz w:val="20"/>
                <w:szCs w:val="20"/>
                <w:lang w:eastAsia="es-MX"/>
              </w:rPr>
              <w:t xml:space="preserve">Fortalecer las acciones de capacitación y asistencia a la </w:t>
            </w:r>
            <w:r>
              <w:rPr>
                <w:rFonts w:eastAsia="Times New Roman" w:cstheme="minorHAnsi"/>
                <w:color w:val="000000"/>
                <w:sz w:val="20"/>
                <w:szCs w:val="20"/>
                <w:lang w:eastAsia="es-MX"/>
              </w:rPr>
              <w:t>entidad federativa</w:t>
            </w:r>
            <w:r w:rsidRPr="007508A6">
              <w:rPr>
                <w:rFonts w:eastAsia="Times New Roman" w:cstheme="minorHAnsi"/>
                <w:color w:val="000000"/>
                <w:sz w:val="20"/>
                <w:szCs w:val="20"/>
                <w:lang w:eastAsia="es-MX"/>
              </w:rPr>
              <w:t xml:space="preserve"> en materia de administración de la ejecución de obra pública, del manejo de las finanzas públicas y administración de la deuda y sobre un adecuado proceso se ejecución y seguimiento de los recursos del Fondo.</w:t>
            </w:r>
            <w:bookmarkEnd w:id="195"/>
          </w:p>
        </w:tc>
      </w:tr>
      <w:tr w:rsidR="00FE628E" w:rsidRPr="007508A6" w14:paraId="56133446" w14:textId="77777777" w:rsidTr="008F106F">
        <w:trPr>
          <w:trHeight w:val="450"/>
        </w:trPr>
        <w:tc>
          <w:tcPr>
            <w:tcW w:w="882" w:type="pct"/>
            <w:vMerge w:val="restart"/>
            <w:shd w:val="clear" w:color="000000" w:fill="9CC2E5"/>
            <w:noWrap/>
            <w:vAlign w:val="center"/>
            <w:hideMark/>
          </w:tcPr>
          <w:p w14:paraId="1C67F676" w14:textId="77777777" w:rsidR="00FE628E" w:rsidRPr="007508A6" w:rsidRDefault="00FE628E" w:rsidP="0047024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Tema de la evaluación:</w:t>
            </w:r>
          </w:p>
        </w:tc>
        <w:tc>
          <w:tcPr>
            <w:tcW w:w="1558" w:type="pct"/>
            <w:vMerge w:val="restart"/>
            <w:shd w:val="clear" w:color="000000" w:fill="9CC2E5"/>
            <w:noWrap/>
            <w:vAlign w:val="center"/>
            <w:hideMark/>
          </w:tcPr>
          <w:p w14:paraId="1FBC65B7" w14:textId="1996F2D4" w:rsidR="00FE628E" w:rsidRDefault="00FE628E" w:rsidP="0047024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5B66BCD2" w14:textId="52A85B1E" w:rsidR="00FE628E" w:rsidRPr="007508A6" w:rsidRDefault="00FE628E" w:rsidP="0047024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77" w:type="pct"/>
            <w:gridSpan w:val="2"/>
            <w:vMerge w:val="restart"/>
            <w:shd w:val="clear" w:color="000000" w:fill="9CC2E5"/>
            <w:noWrap/>
            <w:vAlign w:val="center"/>
            <w:hideMark/>
          </w:tcPr>
          <w:p w14:paraId="0F66A7B9" w14:textId="77777777" w:rsidR="00FE628E" w:rsidRPr="007508A6" w:rsidRDefault="00FE628E" w:rsidP="0047024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Referencia</w:t>
            </w:r>
          </w:p>
        </w:tc>
        <w:tc>
          <w:tcPr>
            <w:tcW w:w="2083" w:type="pct"/>
            <w:vMerge w:val="restart"/>
            <w:shd w:val="clear" w:color="000000" w:fill="9CC2E5"/>
            <w:noWrap/>
            <w:vAlign w:val="center"/>
            <w:hideMark/>
          </w:tcPr>
          <w:p w14:paraId="703D191B" w14:textId="15FFFB17" w:rsidR="00FE628E" w:rsidRPr="007508A6" w:rsidRDefault="00FE628E" w:rsidP="0047024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Recomendación concreta</w:t>
            </w:r>
          </w:p>
        </w:tc>
      </w:tr>
      <w:tr w:rsidR="00FE628E" w:rsidRPr="007508A6" w14:paraId="7DF2AC76" w14:textId="77777777" w:rsidTr="008F106F">
        <w:trPr>
          <w:trHeight w:val="450"/>
        </w:trPr>
        <w:tc>
          <w:tcPr>
            <w:tcW w:w="882" w:type="pct"/>
            <w:vMerge/>
            <w:vAlign w:val="center"/>
            <w:hideMark/>
          </w:tcPr>
          <w:p w14:paraId="39C93DD1"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vMerge/>
            <w:vAlign w:val="center"/>
            <w:hideMark/>
          </w:tcPr>
          <w:p w14:paraId="78555357"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477" w:type="pct"/>
            <w:gridSpan w:val="2"/>
            <w:vMerge/>
            <w:vAlign w:val="center"/>
            <w:hideMark/>
          </w:tcPr>
          <w:p w14:paraId="7C6B1754"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2083" w:type="pct"/>
            <w:vMerge/>
            <w:vAlign w:val="center"/>
            <w:hideMark/>
          </w:tcPr>
          <w:p w14:paraId="336AF2EB" w14:textId="77777777" w:rsidR="00FE628E" w:rsidRPr="007508A6" w:rsidRDefault="00FE628E" w:rsidP="0078506F">
            <w:pPr>
              <w:spacing w:before="0" w:after="0"/>
              <w:jc w:val="left"/>
              <w:rPr>
                <w:rFonts w:eastAsia="Times New Roman" w:cstheme="minorHAnsi"/>
                <w:b/>
                <w:bCs/>
                <w:color w:val="000000"/>
                <w:sz w:val="20"/>
                <w:szCs w:val="20"/>
                <w:lang w:eastAsia="es-MX"/>
              </w:rPr>
            </w:pPr>
          </w:p>
        </w:tc>
      </w:tr>
      <w:tr w:rsidR="00FE628E" w:rsidRPr="007508A6" w14:paraId="10F8C218" w14:textId="77777777" w:rsidTr="00FE628E">
        <w:trPr>
          <w:trHeight w:val="300"/>
        </w:trPr>
        <w:tc>
          <w:tcPr>
            <w:tcW w:w="5000" w:type="pct"/>
            <w:gridSpan w:val="5"/>
            <w:shd w:val="clear" w:color="000000" w:fill="D9D9D9"/>
            <w:vAlign w:val="center"/>
            <w:hideMark/>
          </w:tcPr>
          <w:p w14:paraId="61CF2154" w14:textId="77777777" w:rsidR="00FE628E" w:rsidRPr="007508A6" w:rsidRDefault="00FE628E" w:rsidP="0078506F">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50D105F3" w14:textId="77777777" w:rsidTr="008F106F">
        <w:trPr>
          <w:trHeight w:val="1200"/>
        </w:trPr>
        <w:tc>
          <w:tcPr>
            <w:tcW w:w="882" w:type="pct"/>
            <w:vMerge w:val="restart"/>
            <w:shd w:val="clear" w:color="000000" w:fill="FFFFFF"/>
            <w:vAlign w:val="center"/>
            <w:hideMark/>
          </w:tcPr>
          <w:p w14:paraId="323AD27C" w14:textId="5978BE82" w:rsidR="00FE628E" w:rsidRPr="007508A6" w:rsidRDefault="00FE628E" w:rsidP="00470249">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6. Complementariedades y coincidencias</w:t>
            </w:r>
          </w:p>
        </w:tc>
        <w:tc>
          <w:tcPr>
            <w:tcW w:w="1558" w:type="pct"/>
            <w:shd w:val="clear" w:color="000000" w:fill="FFFFFF"/>
            <w:vAlign w:val="center"/>
            <w:hideMark/>
          </w:tcPr>
          <w:p w14:paraId="15A9A8A1" w14:textId="56357BA0"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Se identifica que los recursos del FAFEF se complementan con otros programas del mismo ramo 33, principalmente con aquellos con objetivos dirigidos a atender la infraestructura de tipo social. </w:t>
            </w:r>
          </w:p>
        </w:tc>
        <w:tc>
          <w:tcPr>
            <w:tcW w:w="477" w:type="pct"/>
            <w:gridSpan w:val="2"/>
            <w:shd w:val="clear" w:color="000000" w:fill="FFFFFF"/>
            <w:vAlign w:val="center"/>
            <w:hideMark/>
          </w:tcPr>
          <w:p w14:paraId="28B6EA34"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21</w:t>
            </w:r>
          </w:p>
        </w:tc>
        <w:tc>
          <w:tcPr>
            <w:tcW w:w="2083" w:type="pct"/>
            <w:shd w:val="clear" w:color="000000" w:fill="FFFFFF"/>
            <w:vAlign w:val="center"/>
            <w:hideMark/>
          </w:tcPr>
          <w:p w14:paraId="0C438BD5" w14:textId="36486063" w:rsidR="00FE628E" w:rsidRPr="007508A6" w:rsidRDefault="00FE628E" w:rsidP="0078506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14. </w:t>
            </w:r>
            <w:r w:rsidRPr="007508A6">
              <w:rPr>
                <w:rFonts w:eastAsia="Times New Roman" w:cstheme="minorHAnsi"/>
                <w:color w:val="000000"/>
                <w:sz w:val="20"/>
                <w:szCs w:val="20"/>
                <w:lang w:eastAsia="es-MX"/>
              </w:rPr>
              <w:t xml:space="preserve">Verificar que el </w:t>
            </w:r>
            <w:r>
              <w:rPr>
                <w:rFonts w:eastAsia="Times New Roman" w:cstheme="minorHAnsi"/>
                <w:color w:val="000000"/>
                <w:sz w:val="20"/>
                <w:szCs w:val="20"/>
                <w:lang w:eastAsia="es-MX"/>
              </w:rPr>
              <w:t>F</w:t>
            </w:r>
            <w:r w:rsidRPr="007508A6">
              <w:rPr>
                <w:rFonts w:eastAsia="Times New Roman" w:cstheme="minorHAnsi"/>
                <w:color w:val="000000"/>
                <w:sz w:val="20"/>
                <w:szCs w:val="20"/>
                <w:lang w:eastAsia="es-MX"/>
              </w:rPr>
              <w:t xml:space="preserve">ondo se complemente y nunca duplique con otros programas que se aplican en </w:t>
            </w:r>
            <w:r>
              <w:rPr>
                <w:rFonts w:eastAsia="Times New Roman" w:cstheme="minorHAnsi"/>
                <w:color w:val="000000"/>
                <w:sz w:val="20"/>
                <w:szCs w:val="20"/>
                <w:lang w:eastAsia="es-MX"/>
              </w:rPr>
              <w:t>el Estado</w:t>
            </w:r>
            <w:r w:rsidRPr="007508A6">
              <w:rPr>
                <w:rFonts w:eastAsia="Times New Roman" w:cstheme="minorHAnsi"/>
                <w:color w:val="000000"/>
                <w:sz w:val="20"/>
                <w:szCs w:val="20"/>
                <w:lang w:eastAsia="es-MX"/>
              </w:rPr>
              <w:t>. Lo cual se puede lograr mediante la identificación de la población que se beneficia de los proyectos y acciones que se ejecutan con los recursos del Fondo.</w:t>
            </w:r>
          </w:p>
        </w:tc>
      </w:tr>
      <w:tr w:rsidR="00FE628E" w:rsidRPr="007508A6" w14:paraId="2B01269C" w14:textId="77777777" w:rsidTr="008F106F">
        <w:trPr>
          <w:trHeight w:val="342"/>
        </w:trPr>
        <w:tc>
          <w:tcPr>
            <w:tcW w:w="882" w:type="pct"/>
            <w:vMerge/>
            <w:vAlign w:val="center"/>
            <w:hideMark/>
          </w:tcPr>
          <w:p w14:paraId="7DDE1C75" w14:textId="77777777" w:rsidR="00FE628E" w:rsidRPr="007508A6" w:rsidRDefault="00FE628E" w:rsidP="00785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4CF6A4E5" w14:textId="5CD49C97" w:rsidR="00FE628E" w:rsidRPr="007508A6" w:rsidRDefault="00FE628E" w:rsidP="00785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Los conceptos en los que se pueden aplicar los recursos a través de los Pp no tienen, en algunos casos, una relación directa, lo que limita el desarrollo de sinergias que potencien sus impactos; asimismo, esa diversidad de destinos dificulta la evaluación de sus resultados.</w:t>
            </w:r>
          </w:p>
        </w:tc>
        <w:tc>
          <w:tcPr>
            <w:tcW w:w="477" w:type="pct"/>
            <w:gridSpan w:val="2"/>
            <w:shd w:val="clear" w:color="000000" w:fill="FFFFFF"/>
            <w:vAlign w:val="center"/>
            <w:hideMark/>
          </w:tcPr>
          <w:p w14:paraId="2D20D0B7" w14:textId="77777777" w:rsidR="00FE628E" w:rsidRPr="007508A6" w:rsidRDefault="00FE628E" w:rsidP="00785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22</w:t>
            </w:r>
          </w:p>
        </w:tc>
        <w:tc>
          <w:tcPr>
            <w:tcW w:w="2083" w:type="pct"/>
            <w:shd w:val="clear" w:color="000000" w:fill="FFFFFF"/>
            <w:vAlign w:val="center"/>
            <w:hideMark/>
          </w:tcPr>
          <w:p w14:paraId="5EF3C90E" w14:textId="3AB7483D" w:rsidR="00FE628E" w:rsidRPr="007508A6" w:rsidRDefault="00FE628E" w:rsidP="0078506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15. </w:t>
            </w:r>
            <w:r w:rsidRPr="007508A6">
              <w:rPr>
                <w:rFonts w:eastAsia="Times New Roman" w:cstheme="minorHAnsi"/>
                <w:color w:val="000000"/>
                <w:sz w:val="20"/>
                <w:szCs w:val="20"/>
                <w:lang w:eastAsia="es-MX"/>
              </w:rPr>
              <w:t xml:space="preserve">Se propone el desarrollo de la Metodología del Marco Lógico para la planeación presupuestal del Fondo, concluyendo con una MIR específica por Pp, que permita formar parte de la estrategia del PbR y monitorear el comportamiento mediante el Sistema de Evaluación de Desempeño, de tal forma que esta metodología permita identificar las posibles sinergias entre los Pp que pueden contribuir a potenciar y/o fortalecer los resultados de los objetivos o en la población atendida. </w:t>
            </w:r>
          </w:p>
        </w:tc>
      </w:tr>
      <w:tr w:rsidR="00FE628E" w:rsidRPr="007508A6" w14:paraId="61D49846" w14:textId="77777777" w:rsidTr="00FE628E">
        <w:trPr>
          <w:trHeight w:val="212"/>
        </w:trPr>
        <w:tc>
          <w:tcPr>
            <w:tcW w:w="5000" w:type="pct"/>
            <w:gridSpan w:val="5"/>
            <w:shd w:val="clear" w:color="auto" w:fill="D0CECE" w:themeFill="background2" w:themeFillShade="E6"/>
            <w:vAlign w:val="center"/>
          </w:tcPr>
          <w:p w14:paraId="6F59C482" w14:textId="6224641B" w:rsidR="00FE628E" w:rsidRDefault="00FE628E" w:rsidP="005A6833">
            <w:pPr>
              <w:spacing w:before="0" w:after="0"/>
              <w:jc w:val="center"/>
              <w:rPr>
                <w:rFonts w:eastAsia="Times New Roman" w:cstheme="minorHAnsi"/>
                <w:color w:val="000000"/>
                <w:sz w:val="20"/>
                <w:szCs w:val="20"/>
                <w:lang w:eastAsia="es-MX"/>
              </w:rPr>
            </w:pPr>
            <w:r>
              <w:rPr>
                <w:rFonts w:eastAsia="Times New Roman" w:cstheme="minorHAnsi"/>
                <w:b/>
                <w:bCs/>
                <w:color w:val="000000"/>
                <w:sz w:val="20"/>
                <w:szCs w:val="20"/>
                <w:lang w:eastAsia="es-MX"/>
              </w:rPr>
              <w:t>Debilidad o Amenaza</w:t>
            </w:r>
          </w:p>
        </w:tc>
      </w:tr>
      <w:tr w:rsidR="00FE628E" w:rsidRPr="007508A6" w14:paraId="600BD641" w14:textId="77777777" w:rsidTr="008F106F">
        <w:trPr>
          <w:trHeight w:val="825"/>
        </w:trPr>
        <w:tc>
          <w:tcPr>
            <w:tcW w:w="882" w:type="pct"/>
            <w:vAlign w:val="center"/>
          </w:tcPr>
          <w:p w14:paraId="0726FEEC" w14:textId="7B415FAA" w:rsidR="00FE628E" w:rsidRPr="007508A6" w:rsidRDefault="00FE628E" w:rsidP="005A6833">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6. Complementariedades y coincidencias</w:t>
            </w:r>
          </w:p>
        </w:tc>
        <w:tc>
          <w:tcPr>
            <w:tcW w:w="1558" w:type="pct"/>
            <w:shd w:val="clear" w:color="000000" w:fill="FFFFFF"/>
            <w:vAlign w:val="center"/>
          </w:tcPr>
          <w:p w14:paraId="7E0E6585" w14:textId="493A7DC3" w:rsidR="00FE628E" w:rsidRPr="00093C8F" w:rsidRDefault="00FE628E" w:rsidP="005A6833">
            <w:pPr>
              <w:spacing w:before="0" w:after="0"/>
              <w:rPr>
                <w:rFonts w:eastAsia="Times New Roman" w:cstheme="minorHAnsi"/>
                <w:b/>
                <w:bCs/>
                <w:color w:val="000000"/>
                <w:sz w:val="20"/>
                <w:szCs w:val="20"/>
                <w:lang w:eastAsia="es-MX"/>
              </w:rPr>
            </w:pPr>
            <w:r w:rsidRPr="005A149C">
              <w:rPr>
                <w:rFonts w:eastAsia="Times New Roman" w:cstheme="minorHAnsi"/>
                <w:color w:val="000000"/>
                <w:sz w:val="20"/>
                <w:szCs w:val="20"/>
                <w:lang w:eastAsia="es-MX"/>
              </w:rPr>
              <w:t xml:space="preserve">Sin </w:t>
            </w:r>
            <w:r>
              <w:rPr>
                <w:rFonts w:eastAsia="Times New Roman" w:cstheme="minorHAnsi"/>
                <w:color w:val="000000"/>
                <w:sz w:val="20"/>
                <w:szCs w:val="20"/>
                <w:lang w:eastAsia="es-MX"/>
              </w:rPr>
              <w:t>debilidad o amenaza</w:t>
            </w:r>
          </w:p>
        </w:tc>
        <w:tc>
          <w:tcPr>
            <w:tcW w:w="477" w:type="pct"/>
            <w:gridSpan w:val="2"/>
            <w:shd w:val="clear" w:color="000000" w:fill="FFFFFF"/>
            <w:vAlign w:val="center"/>
          </w:tcPr>
          <w:p w14:paraId="09598B97" w14:textId="63F77F59" w:rsidR="00FE628E" w:rsidRPr="007508A6" w:rsidRDefault="00FE628E" w:rsidP="005A6833">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2083" w:type="pct"/>
            <w:shd w:val="clear" w:color="000000" w:fill="FFFFFF"/>
            <w:vAlign w:val="center"/>
          </w:tcPr>
          <w:p w14:paraId="4B4CE577" w14:textId="28DD6D8C" w:rsidR="00FE628E" w:rsidRDefault="00FE628E" w:rsidP="005A6833">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Sin recomendación</w:t>
            </w:r>
          </w:p>
        </w:tc>
      </w:tr>
      <w:tr w:rsidR="00FE628E" w:rsidRPr="007508A6" w14:paraId="77C4AB0E" w14:textId="77777777" w:rsidTr="008F106F">
        <w:trPr>
          <w:trHeight w:val="825"/>
        </w:trPr>
        <w:tc>
          <w:tcPr>
            <w:tcW w:w="882" w:type="pct"/>
            <w:shd w:val="clear" w:color="auto" w:fill="9CC2E5"/>
            <w:vAlign w:val="center"/>
          </w:tcPr>
          <w:p w14:paraId="52CF60ED" w14:textId="01F38628" w:rsidR="00FE628E" w:rsidRPr="007508A6" w:rsidRDefault="00FE628E" w:rsidP="005A6833">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Tema de la evaluación:</w:t>
            </w:r>
          </w:p>
        </w:tc>
        <w:tc>
          <w:tcPr>
            <w:tcW w:w="1558" w:type="pct"/>
            <w:shd w:val="clear" w:color="auto" w:fill="9CC2E5"/>
            <w:vAlign w:val="center"/>
          </w:tcPr>
          <w:p w14:paraId="766E4BB3" w14:textId="77777777" w:rsidR="00FE628E" w:rsidRDefault="00FE628E" w:rsidP="005A6833">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Oportunidad/Debilidad</w:t>
            </w:r>
          </w:p>
          <w:p w14:paraId="78C635C4" w14:textId="005B0174" w:rsidR="00FE628E" w:rsidRPr="00093C8F" w:rsidRDefault="00FE628E" w:rsidP="005A6833">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y Amenaza</w:t>
            </w:r>
          </w:p>
        </w:tc>
        <w:tc>
          <w:tcPr>
            <w:tcW w:w="477" w:type="pct"/>
            <w:gridSpan w:val="2"/>
            <w:shd w:val="clear" w:color="auto" w:fill="9CC2E5"/>
            <w:vAlign w:val="center"/>
          </w:tcPr>
          <w:p w14:paraId="67099FF4" w14:textId="3E536714" w:rsidR="00FE628E" w:rsidRPr="007508A6" w:rsidRDefault="00FE628E" w:rsidP="005A6833">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Referencia</w:t>
            </w:r>
          </w:p>
        </w:tc>
        <w:tc>
          <w:tcPr>
            <w:tcW w:w="2083" w:type="pct"/>
            <w:shd w:val="clear" w:color="auto" w:fill="9CC2E5"/>
            <w:vAlign w:val="center"/>
          </w:tcPr>
          <w:p w14:paraId="774A484D" w14:textId="20A63CFD" w:rsidR="00FE628E" w:rsidRDefault="00FE628E" w:rsidP="005A6833">
            <w:pPr>
              <w:spacing w:before="0" w:after="0"/>
              <w:jc w:val="center"/>
              <w:rPr>
                <w:rFonts w:eastAsia="Times New Roman" w:cstheme="minorHAnsi"/>
                <w:color w:val="000000"/>
                <w:sz w:val="20"/>
                <w:szCs w:val="20"/>
                <w:lang w:eastAsia="es-MX"/>
              </w:rPr>
            </w:pPr>
            <w:r w:rsidRPr="007508A6">
              <w:rPr>
                <w:rFonts w:eastAsia="Times New Roman" w:cstheme="minorHAnsi"/>
                <w:b/>
                <w:bCs/>
                <w:color w:val="000000"/>
                <w:sz w:val="20"/>
                <w:szCs w:val="20"/>
                <w:lang w:eastAsia="es-MX"/>
              </w:rPr>
              <w:t>Recomendación concreta</w:t>
            </w:r>
          </w:p>
        </w:tc>
      </w:tr>
      <w:tr w:rsidR="00FE628E" w:rsidRPr="007508A6" w14:paraId="51924661" w14:textId="247E8C28" w:rsidTr="00FE628E">
        <w:trPr>
          <w:trHeight w:val="300"/>
        </w:trPr>
        <w:tc>
          <w:tcPr>
            <w:tcW w:w="5000" w:type="pct"/>
            <w:gridSpan w:val="5"/>
            <w:shd w:val="clear" w:color="000000" w:fill="D9D9D9"/>
            <w:vAlign w:val="center"/>
            <w:hideMark/>
          </w:tcPr>
          <w:p w14:paraId="27C9111C" w14:textId="77777777" w:rsidR="00FE628E" w:rsidRPr="007508A6" w:rsidRDefault="00FE628E" w:rsidP="005A6833">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Fortaleza y Oportunidad</w:t>
            </w:r>
          </w:p>
        </w:tc>
      </w:tr>
      <w:tr w:rsidR="00FE628E" w:rsidRPr="007508A6" w14:paraId="4188CD20" w14:textId="77777777" w:rsidTr="008F106F">
        <w:trPr>
          <w:trHeight w:val="1500"/>
        </w:trPr>
        <w:tc>
          <w:tcPr>
            <w:tcW w:w="882" w:type="pct"/>
            <w:vMerge w:val="restart"/>
            <w:shd w:val="clear" w:color="000000" w:fill="FFFFFF"/>
            <w:vAlign w:val="center"/>
            <w:hideMark/>
          </w:tcPr>
          <w:p w14:paraId="73A2D2F3" w14:textId="65A799C8" w:rsidR="00FE628E" w:rsidRPr="007508A6" w:rsidRDefault="00FE628E" w:rsidP="005A6833">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7. Calidad de la información</w:t>
            </w:r>
          </w:p>
        </w:tc>
        <w:tc>
          <w:tcPr>
            <w:tcW w:w="1558" w:type="pct"/>
            <w:shd w:val="clear" w:color="000000" w:fill="FFFFFF"/>
            <w:vAlign w:val="center"/>
            <w:hideMark/>
          </w:tcPr>
          <w:p w14:paraId="48839AB4" w14:textId="63882EA3" w:rsidR="00FE628E" w:rsidRPr="007508A6" w:rsidRDefault="00FE628E" w:rsidP="005A6833">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En el portal de transparencia del gobierno del </w:t>
            </w:r>
            <w:r>
              <w:rPr>
                <w:rFonts w:eastAsia="Times New Roman" w:cstheme="minorHAnsi"/>
                <w:color w:val="000000"/>
                <w:sz w:val="20"/>
                <w:szCs w:val="20"/>
                <w:lang w:eastAsia="es-MX"/>
              </w:rPr>
              <w:t>E</w:t>
            </w:r>
            <w:r w:rsidRPr="007508A6">
              <w:rPr>
                <w:rFonts w:eastAsia="Times New Roman" w:cstheme="minorHAnsi"/>
                <w:color w:val="000000"/>
                <w:sz w:val="20"/>
                <w:szCs w:val="20"/>
                <w:lang w:eastAsia="es-MX"/>
              </w:rPr>
              <w:t>stado de Tamaulipas, se pueden consultar los documentos de las evaluaciones realizadas al FAFEF en la entidad</w:t>
            </w:r>
            <w:r>
              <w:rPr>
                <w:rFonts w:eastAsia="Times New Roman" w:cstheme="minorHAnsi"/>
                <w:color w:val="000000"/>
                <w:sz w:val="20"/>
                <w:szCs w:val="20"/>
                <w:lang w:eastAsia="es-MX"/>
              </w:rPr>
              <w:t xml:space="preserve"> federativa</w:t>
            </w:r>
            <w:r w:rsidRPr="007508A6">
              <w:rPr>
                <w:rFonts w:eastAsia="Times New Roman" w:cstheme="minorHAnsi"/>
                <w:color w:val="000000"/>
                <w:sz w:val="20"/>
                <w:szCs w:val="20"/>
                <w:lang w:eastAsia="es-MX"/>
              </w:rPr>
              <w:t xml:space="preserve">. Asimismo, el público en general puede visualizar la </w:t>
            </w:r>
            <w:r w:rsidRPr="007508A6">
              <w:rPr>
                <w:rFonts w:eastAsia="Times New Roman" w:cstheme="minorHAnsi"/>
                <w:color w:val="000000"/>
                <w:sz w:val="20"/>
                <w:szCs w:val="20"/>
                <w:lang w:eastAsia="es-MX"/>
              </w:rPr>
              <w:lastRenderedPageBreak/>
              <w:t>información pública del ejercicio de los recursos del FAFEF por cada trimestre del ejercicio fiscal.</w:t>
            </w:r>
          </w:p>
        </w:tc>
        <w:tc>
          <w:tcPr>
            <w:tcW w:w="477" w:type="pct"/>
            <w:gridSpan w:val="2"/>
            <w:shd w:val="clear" w:color="000000" w:fill="FFFFFF"/>
            <w:vAlign w:val="center"/>
            <w:hideMark/>
          </w:tcPr>
          <w:p w14:paraId="7BD2D0EA" w14:textId="77777777" w:rsidR="00FE628E" w:rsidRPr="007508A6" w:rsidRDefault="00FE628E" w:rsidP="005A6833">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24</w:t>
            </w:r>
          </w:p>
        </w:tc>
        <w:tc>
          <w:tcPr>
            <w:tcW w:w="2083" w:type="pct"/>
            <w:shd w:val="clear" w:color="000000" w:fill="FFFFFF"/>
            <w:vAlign w:val="center"/>
            <w:hideMark/>
          </w:tcPr>
          <w:p w14:paraId="61A5A5EE" w14:textId="77777777" w:rsidR="00FE628E" w:rsidRPr="007508A6" w:rsidRDefault="00FE628E" w:rsidP="005A6833">
            <w:pPr>
              <w:spacing w:before="0" w:after="0"/>
              <w:jc w:val="left"/>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FE628E" w:rsidRPr="007508A6" w14:paraId="30430889" w14:textId="77777777" w:rsidTr="008F106F">
        <w:trPr>
          <w:trHeight w:val="978"/>
        </w:trPr>
        <w:tc>
          <w:tcPr>
            <w:tcW w:w="882" w:type="pct"/>
            <w:vMerge/>
            <w:vAlign w:val="center"/>
            <w:hideMark/>
          </w:tcPr>
          <w:p w14:paraId="38322236" w14:textId="77777777" w:rsidR="00FE628E" w:rsidRPr="007508A6" w:rsidRDefault="00FE628E" w:rsidP="005A6833">
            <w:pPr>
              <w:spacing w:before="0" w:after="0"/>
              <w:jc w:val="left"/>
              <w:rPr>
                <w:rFonts w:eastAsia="Times New Roman" w:cstheme="minorHAnsi"/>
                <w:b/>
                <w:bCs/>
                <w:color w:val="000000"/>
                <w:sz w:val="20"/>
                <w:szCs w:val="20"/>
                <w:lang w:eastAsia="es-MX"/>
              </w:rPr>
            </w:pPr>
            <w:bookmarkStart w:id="196" w:name="_Hlk53120274"/>
          </w:p>
        </w:tc>
        <w:tc>
          <w:tcPr>
            <w:tcW w:w="1558" w:type="pct"/>
            <w:shd w:val="clear" w:color="000000" w:fill="FFFFFF"/>
            <w:vAlign w:val="center"/>
            <w:hideMark/>
          </w:tcPr>
          <w:p w14:paraId="7657466F" w14:textId="4CF737C9" w:rsidR="00FE628E" w:rsidRPr="007508A6" w:rsidRDefault="00FE628E" w:rsidP="005A6833">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La información con que cuenta la </w:t>
            </w:r>
            <w:r>
              <w:rPr>
                <w:rFonts w:eastAsia="Times New Roman" w:cstheme="minorHAnsi"/>
                <w:color w:val="000000"/>
                <w:sz w:val="20"/>
                <w:szCs w:val="20"/>
                <w:lang w:eastAsia="es-MX"/>
              </w:rPr>
              <w:t>entidad federativa</w:t>
            </w:r>
            <w:r w:rsidRPr="007508A6">
              <w:rPr>
                <w:rFonts w:eastAsia="Times New Roman" w:cstheme="minorHAnsi"/>
                <w:color w:val="000000"/>
                <w:sz w:val="20"/>
                <w:szCs w:val="20"/>
                <w:lang w:eastAsia="es-MX"/>
              </w:rPr>
              <w:t xml:space="preserve"> además de los indicadores de la MIR federal reportados a través del SRFT, para monitorear el desempeño del Fondo, es la que se genera a partir de la ejecución de los Pp que reciben recursos del FAFEF</w:t>
            </w:r>
            <w:r w:rsidR="00285CF9">
              <w:rPr>
                <w:rFonts w:eastAsia="Times New Roman" w:cstheme="minorHAnsi"/>
                <w:color w:val="000000"/>
                <w:sz w:val="20"/>
                <w:szCs w:val="20"/>
                <w:lang w:eastAsia="es-MX"/>
              </w:rPr>
              <w:t>.</w:t>
            </w:r>
          </w:p>
        </w:tc>
        <w:tc>
          <w:tcPr>
            <w:tcW w:w="477" w:type="pct"/>
            <w:gridSpan w:val="2"/>
            <w:shd w:val="clear" w:color="000000" w:fill="FFFFFF"/>
            <w:vAlign w:val="center"/>
            <w:hideMark/>
          </w:tcPr>
          <w:p w14:paraId="0D3601D8" w14:textId="77777777" w:rsidR="00FE628E" w:rsidRPr="007508A6" w:rsidRDefault="00FE628E" w:rsidP="005A6833">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25</w:t>
            </w:r>
          </w:p>
        </w:tc>
        <w:tc>
          <w:tcPr>
            <w:tcW w:w="2083" w:type="pct"/>
            <w:shd w:val="clear" w:color="000000" w:fill="FFFFFF"/>
            <w:vAlign w:val="center"/>
          </w:tcPr>
          <w:p w14:paraId="6BF17623" w14:textId="4D3034E5" w:rsidR="00FE628E" w:rsidRPr="007508A6" w:rsidRDefault="00285CF9" w:rsidP="005A6833">
            <w:pPr>
              <w:spacing w:before="0" w:after="0"/>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bookmarkEnd w:id="196"/>
      <w:tr w:rsidR="008F106F" w:rsidRPr="007508A6" w14:paraId="7F9F6784" w14:textId="77777777" w:rsidTr="008F106F">
        <w:trPr>
          <w:trHeight w:val="768"/>
        </w:trPr>
        <w:tc>
          <w:tcPr>
            <w:tcW w:w="882" w:type="pct"/>
            <w:vMerge/>
            <w:vAlign w:val="center"/>
            <w:hideMark/>
          </w:tcPr>
          <w:p w14:paraId="16AB4989" w14:textId="77777777" w:rsidR="008F106F" w:rsidRPr="007508A6" w:rsidRDefault="008F106F" w:rsidP="008F106F">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4430D779" w14:textId="2E2B67B5" w:rsidR="008F106F" w:rsidRPr="007508A6" w:rsidRDefault="008F106F" w:rsidP="008F106F">
            <w:pPr>
              <w:spacing w:before="0" w:after="0"/>
              <w:rPr>
                <w:rFonts w:eastAsia="Times New Roman" w:cstheme="minorHAnsi"/>
                <w:color w:val="000000"/>
                <w:sz w:val="20"/>
                <w:szCs w:val="20"/>
                <w:lang w:eastAsia="es-MX"/>
              </w:rPr>
            </w:pPr>
            <w:r w:rsidRPr="00093C8F">
              <w:rPr>
                <w:rFonts w:eastAsia="Times New Roman" w:cstheme="minorHAnsi"/>
                <w:b/>
                <w:bCs/>
                <w:color w:val="000000"/>
                <w:sz w:val="20"/>
                <w:szCs w:val="20"/>
                <w:lang w:eastAsia="es-MX"/>
              </w:rPr>
              <w:t>Fortaleza:</w:t>
            </w:r>
            <w:r>
              <w:rPr>
                <w:rFonts w:eastAsia="Times New Roman" w:cstheme="minorHAnsi"/>
                <w:color w:val="000000"/>
                <w:sz w:val="20"/>
                <w:szCs w:val="20"/>
                <w:lang w:eastAsia="es-MX"/>
              </w:rPr>
              <w:t xml:space="preserve"> </w:t>
            </w:r>
            <w:r w:rsidRPr="007508A6">
              <w:rPr>
                <w:rFonts w:eastAsia="Times New Roman" w:cstheme="minorHAnsi"/>
                <w:color w:val="000000"/>
                <w:sz w:val="20"/>
                <w:szCs w:val="20"/>
                <w:lang w:eastAsia="es-MX"/>
              </w:rPr>
              <w:t xml:space="preserve">La información que se reporta sobre el ejercicio de los recursos en </w:t>
            </w:r>
            <w:r>
              <w:rPr>
                <w:rFonts w:eastAsia="Times New Roman" w:cstheme="minorHAnsi"/>
                <w:color w:val="000000"/>
                <w:sz w:val="20"/>
                <w:szCs w:val="20"/>
                <w:lang w:eastAsia="es-MX"/>
              </w:rPr>
              <w:t>Tamaulipas</w:t>
            </w:r>
            <w:r w:rsidRPr="007508A6">
              <w:rPr>
                <w:rFonts w:eastAsia="Times New Roman" w:cstheme="minorHAnsi"/>
                <w:color w:val="000000"/>
                <w:sz w:val="20"/>
                <w:szCs w:val="20"/>
                <w:lang w:eastAsia="es-MX"/>
              </w:rPr>
              <w:t xml:space="preserve"> obedece a la presentación de los informes trimestrales a través del SRFT, por lo que esta información cumple, en el ámbito federal, con los documentos normativos y la sistematización que se establece en este mismo ámbito. En el ámbito estatal se da cuenta a través de las minutas de reunión del Grupo de Trabajo y recientemente a través del SIMIR.</w:t>
            </w:r>
          </w:p>
        </w:tc>
        <w:tc>
          <w:tcPr>
            <w:tcW w:w="477" w:type="pct"/>
            <w:gridSpan w:val="2"/>
            <w:shd w:val="clear" w:color="000000" w:fill="FFFFFF"/>
            <w:vAlign w:val="center"/>
            <w:hideMark/>
          </w:tcPr>
          <w:p w14:paraId="20C71A78" w14:textId="77777777" w:rsidR="008F106F" w:rsidRPr="007508A6" w:rsidRDefault="008F106F" w:rsidP="008F106F">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26 y 28</w:t>
            </w:r>
          </w:p>
        </w:tc>
        <w:tc>
          <w:tcPr>
            <w:tcW w:w="2083" w:type="pct"/>
            <w:shd w:val="clear" w:color="000000" w:fill="FFFFFF"/>
            <w:noWrap/>
            <w:vAlign w:val="center"/>
            <w:hideMark/>
          </w:tcPr>
          <w:p w14:paraId="114F3B73" w14:textId="6FCADBD5" w:rsidR="008F106F" w:rsidRPr="007508A6" w:rsidRDefault="008F106F" w:rsidP="008F106F">
            <w:pPr>
              <w:spacing w:before="0" w:after="0"/>
              <w:rPr>
                <w:rFonts w:eastAsia="Times New Roman" w:cstheme="minorHAnsi"/>
                <w:color w:val="000000"/>
                <w:sz w:val="20"/>
                <w:szCs w:val="20"/>
                <w:lang w:eastAsia="es-MX"/>
              </w:rPr>
            </w:pPr>
            <w:r w:rsidRPr="007508A6">
              <w:rPr>
                <w:rFonts w:eastAsia="Times New Roman" w:cstheme="minorHAnsi"/>
                <w:color w:val="000000"/>
                <w:sz w:val="20"/>
                <w:szCs w:val="20"/>
                <w:lang w:eastAsia="es-MX"/>
              </w:rPr>
              <w:t>Sin recomendación</w:t>
            </w:r>
          </w:p>
        </w:tc>
      </w:tr>
      <w:tr w:rsidR="00285CF9" w:rsidRPr="007508A6" w14:paraId="18BEC9BD" w14:textId="77777777" w:rsidTr="00FE628E">
        <w:trPr>
          <w:trHeight w:val="300"/>
        </w:trPr>
        <w:tc>
          <w:tcPr>
            <w:tcW w:w="5000" w:type="pct"/>
            <w:gridSpan w:val="5"/>
            <w:shd w:val="clear" w:color="000000" w:fill="D9D9D9"/>
            <w:vAlign w:val="center"/>
            <w:hideMark/>
          </w:tcPr>
          <w:p w14:paraId="21533854" w14:textId="77777777" w:rsidR="00285CF9" w:rsidRPr="007508A6" w:rsidRDefault="00285CF9" w:rsidP="00285CF9">
            <w:pPr>
              <w:spacing w:before="0" w:after="0"/>
              <w:jc w:val="center"/>
              <w:rPr>
                <w:rFonts w:eastAsia="Times New Roman" w:cstheme="minorHAnsi"/>
                <w:b/>
                <w:bCs/>
                <w:color w:val="000000"/>
                <w:sz w:val="20"/>
                <w:szCs w:val="20"/>
                <w:lang w:eastAsia="es-MX"/>
              </w:rPr>
            </w:pPr>
            <w:r w:rsidRPr="007508A6">
              <w:rPr>
                <w:rFonts w:eastAsia="Times New Roman" w:cstheme="minorHAnsi"/>
                <w:b/>
                <w:bCs/>
                <w:color w:val="000000"/>
                <w:sz w:val="20"/>
                <w:szCs w:val="20"/>
                <w:lang w:eastAsia="es-MX"/>
              </w:rPr>
              <w:t>Debilidad o Amenaza</w:t>
            </w:r>
          </w:p>
        </w:tc>
      </w:tr>
      <w:tr w:rsidR="00285CF9" w:rsidRPr="007508A6" w14:paraId="4879A0A1" w14:textId="77777777" w:rsidTr="008F106F">
        <w:trPr>
          <w:trHeight w:val="785"/>
        </w:trPr>
        <w:tc>
          <w:tcPr>
            <w:tcW w:w="882" w:type="pct"/>
            <w:vMerge w:val="restart"/>
            <w:shd w:val="clear" w:color="000000" w:fill="FFFFFF"/>
            <w:vAlign w:val="center"/>
            <w:hideMark/>
          </w:tcPr>
          <w:p w14:paraId="6A4E195F" w14:textId="4925B20E" w:rsidR="00285CF9" w:rsidRPr="007508A6" w:rsidRDefault="00285CF9" w:rsidP="00285CF9">
            <w:pPr>
              <w:spacing w:before="0" w:after="0"/>
              <w:rPr>
                <w:rFonts w:eastAsia="Times New Roman" w:cstheme="minorHAnsi"/>
                <w:b/>
                <w:bCs/>
                <w:color w:val="000000"/>
                <w:sz w:val="20"/>
                <w:szCs w:val="20"/>
                <w:lang w:eastAsia="es-MX"/>
              </w:rPr>
            </w:pPr>
            <w:r w:rsidRPr="00DD514D">
              <w:rPr>
                <w:rFonts w:eastAsia="Times New Roman" w:cstheme="minorHAnsi"/>
                <w:b/>
                <w:bCs/>
                <w:color w:val="000000"/>
                <w:sz w:val="20"/>
                <w:szCs w:val="20"/>
                <w:lang w:eastAsia="es-MX"/>
              </w:rPr>
              <w:t>Módulo 7. Calidad de la información</w:t>
            </w:r>
          </w:p>
        </w:tc>
        <w:tc>
          <w:tcPr>
            <w:tcW w:w="1558" w:type="pct"/>
            <w:shd w:val="clear" w:color="000000" w:fill="FFFFFF"/>
            <w:vAlign w:val="center"/>
            <w:hideMark/>
          </w:tcPr>
          <w:p w14:paraId="513036D0" w14:textId="52AA82FB" w:rsidR="00285CF9" w:rsidRPr="007508A6" w:rsidRDefault="00285CF9" w:rsidP="00285CF9">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No se encontró evidencia documental que permita identificar la contribución del FAFEF a la atenuación o solución de las problemáticas de la </w:t>
            </w:r>
            <w:r>
              <w:rPr>
                <w:rFonts w:eastAsia="Times New Roman" w:cstheme="minorHAnsi"/>
                <w:color w:val="000000"/>
                <w:sz w:val="20"/>
                <w:szCs w:val="20"/>
                <w:lang w:eastAsia="es-MX"/>
              </w:rPr>
              <w:t>entidad federativa</w:t>
            </w:r>
            <w:r w:rsidRPr="007508A6">
              <w:rPr>
                <w:rFonts w:eastAsia="Times New Roman" w:cstheme="minorHAnsi"/>
                <w:color w:val="000000"/>
                <w:sz w:val="20"/>
                <w:szCs w:val="20"/>
                <w:lang w:eastAsia="es-MX"/>
              </w:rPr>
              <w:t>.</w:t>
            </w:r>
          </w:p>
        </w:tc>
        <w:tc>
          <w:tcPr>
            <w:tcW w:w="477" w:type="pct"/>
            <w:gridSpan w:val="2"/>
            <w:shd w:val="clear" w:color="000000" w:fill="FFFFFF"/>
            <w:vAlign w:val="center"/>
            <w:hideMark/>
          </w:tcPr>
          <w:p w14:paraId="41B3B995" w14:textId="77777777" w:rsidR="00285CF9" w:rsidRPr="007508A6" w:rsidRDefault="00285CF9" w:rsidP="00285CF9">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23</w:t>
            </w:r>
          </w:p>
        </w:tc>
        <w:tc>
          <w:tcPr>
            <w:tcW w:w="2083" w:type="pct"/>
            <w:shd w:val="clear" w:color="000000" w:fill="FFFFFF"/>
            <w:vAlign w:val="center"/>
            <w:hideMark/>
          </w:tcPr>
          <w:p w14:paraId="26E351D0" w14:textId="1D705C98" w:rsidR="00285CF9" w:rsidRPr="007508A6" w:rsidRDefault="00285CF9" w:rsidP="00285CF9">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17. </w:t>
            </w:r>
            <w:r w:rsidRPr="007508A6">
              <w:rPr>
                <w:rFonts w:eastAsia="Times New Roman" w:cstheme="minorHAnsi"/>
                <w:color w:val="000000"/>
                <w:sz w:val="20"/>
                <w:szCs w:val="20"/>
                <w:lang w:eastAsia="es-MX"/>
              </w:rPr>
              <w:t>Publicar los avances en la solución de la problemática que se está atendiendo con la aplicación del Fondo, diferenciando cuando hay mezcla de recursos el nivel de contribución del FAFEF en la solución o atenuación de la problemática atendida.</w:t>
            </w:r>
          </w:p>
        </w:tc>
      </w:tr>
      <w:tr w:rsidR="00285CF9" w:rsidRPr="007508A6" w14:paraId="6A445318" w14:textId="77777777" w:rsidTr="008F106F">
        <w:trPr>
          <w:trHeight w:val="799"/>
        </w:trPr>
        <w:tc>
          <w:tcPr>
            <w:tcW w:w="882" w:type="pct"/>
            <w:vMerge/>
            <w:vAlign w:val="center"/>
            <w:hideMark/>
          </w:tcPr>
          <w:p w14:paraId="7D142C02" w14:textId="77777777" w:rsidR="00285CF9" w:rsidRPr="007508A6" w:rsidRDefault="00285CF9" w:rsidP="00285CF9">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09E93BAC" w14:textId="55C19401" w:rsidR="00285CF9" w:rsidRPr="007508A6" w:rsidRDefault="00285CF9" w:rsidP="00285CF9">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No </w:t>
            </w:r>
            <w:r>
              <w:rPr>
                <w:rFonts w:eastAsia="Times New Roman" w:cstheme="minorHAnsi"/>
                <w:color w:val="000000"/>
                <w:sz w:val="20"/>
                <w:szCs w:val="20"/>
                <w:lang w:eastAsia="es-MX"/>
              </w:rPr>
              <w:t>se tiene</w:t>
            </w:r>
            <w:r w:rsidRPr="007508A6">
              <w:rPr>
                <w:rFonts w:eastAsia="Times New Roman" w:cstheme="minorHAnsi"/>
                <w:color w:val="000000"/>
                <w:sz w:val="20"/>
                <w:szCs w:val="20"/>
                <w:lang w:eastAsia="es-MX"/>
              </w:rPr>
              <w:t xml:space="preserve"> identifica</w:t>
            </w:r>
            <w:r>
              <w:rPr>
                <w:rFonts w:eastAsia="Times New Roman" w:cstheme="minorHAnsi"/>
                <w:color w:val="000000"/>
                <w:sz w:val="20"/>
                <w:szCs w:val="20"/>
                <w:lang w:eastAsia="es-MX"/>
              </w:rPr>
              <w:t xml:space="preserve">da ni </w:t>
            </w:r>
            <w:r w:rsidRPr="007508A6">
              <w:rPr>
                <w:rFonts w:eastAsia="Times New Roman" w:cstheme="minorHAnsi"/>
                <w:color w:val="000000"/>
                <w:sz w:val="20"/>
                <w:szCs w:val="20"/>
                <w:lang w:eastAsia="es-MX"/>
              </w:rPr>
              <w:t>caracteriza</w:t>
            </w:r>
            <w:r>
              <w:rPr>
                <w:rFonts w:eastAsia="Times New Roman" w:cstheme="minorHAnsi"/>
                <w:color w:val="000000"/>
                <w:sz w:val="20"/>
                <w:szCs w:val="20"/>
                <w:lang w:eastAsia="es-MX"/>
              </w:rPr>
              <w:t xml:space="preserve">da a </w:t>
            </w:r>
            <w:r w:rsidRPr="007508A6">
              <w:rPr>
                <w:rFonts w:eastAsia="Times New Roman" w:cstheme="minorHAnsi"/>
                <w:color w:val="000000"/>
                <w:sz w:val="20"/>
                <w:szCs w:val="20"/>
                <w:lang w:eastAsia="es-MX"/>
              </w:rPr>
              <w:t xml:space="preserve">la población potencial </w:t>
            </w:r>
            <w:r>
              <w:rPr>
                <w:rFonts w:eastAsia="Times New Roman" w:cstheme="minorHAnsi"/>
                <w:color w:val="000000"/>
                <w:sz w:val="20"/>
                <w:szCs w:val="20"/>
                <w:lang w:eastAsia="es-MX"/>
              </w:rPr>
              <w:t xml:space="preserve">y objetivo de los Pp </w:t>
            </w:r>
            <w:r w:rsidR="004B7151">
              <w:rPr>
                <w:rFonts w:eastAsia="Times New Roman" w:cstheme="minorHAnsi"/>
                <w:color w:val="000000"/>
                <w:sz w:val="20"/>
                <w:szCs w:val="20"/>
                <w:lang w:eastAsia="es-MX"/>
              </w:rPr>
              <w:t>que reciben recursos del</w:t>
            </w:r>
            <w:r w:rsidRPr="007508A6">
              <w:rPr>
                <w:rFonts w:eastAsia="Times New Roman" w:cstheme="minorHAnsi"/>
                <w:color w:val="000000"/>
                <w:sz w:val="20"/>
                <w:szCs w:val="20"/>
                <w:lang w:eastAsia="es-MX"/>
              </w:rPr>
              <w:t xml:space="preserve"> FAFEF.</w:t>
            </w:r>
          </w:p>
        </w:tc>
        <w:tc>
          <w:tcPr>
            <w:tcW w:w="477" w:type="pct"/>
            <w:gridSpan w:val="2"/>
            <w:shd w:val="clear" w:color="000000" w:fill="FFFFFF"/>
            <w:vAlign w:val="center"/>
            <w:hideMark/>
          </w:tcPr>
          <w:p w14:paraId="53A2DB2C" w14:textId="77777777" w:rsidR="00285CF9" w:rsidRPr="007508A6" w:rsidRDefault="00285CF9" w:rsidP="00285CF9">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26</w:t>
            </w:r>
          </w:p>
        </w:tc>
        <w:tc>
          <w:tcPr>
            <w:tcW w:w="2083" w:type="pct"/>
            <w:shd w:val="clear" w:color="000000" w:fill="FFFFFF"/>
            <w:vAlign w:val="center"/>
            <w:hideMark/>
          </w:tcPr>
          <w:p w14:paraId="29BF0ED6" w14:textId="191FB8E9" w:rsidR="00285CF9" w:rsidRPr="007508A6" w:rsidRDefault="00285CF9" w:rsidP="00285CF9">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18. </w:t>
            </w:r>
            <w:r w:rsidR="005F6986" w:rsidRPr="005F6986">
              <w:rPr>
                <w:rFonts w:eastAsia="Times New Roman" w:cstheme="minorHAnsi"/>
                <w:color w:val="000000"/>
                <w:sz w:val="20"/>
                <w:szCs w:val="20"/>
                <w:lang w:eastAsia="es-MX"/>
              </w:rPr>
              <w:t xml:space="preserve">Incluir en el diagnóstico estatal de FAFEF la definición, caracterización y cuantificación de las poblaciones Potencial, Objetivo y Atendida por los </w:t>
            </w:r>
            <w:proofErr w:type="spellStart"/>
            <w:r w:rsidR="005F6986" w:rsidRPr="005F6986">
              <w:rPr>
                <w:rFonts w:eastAsia="Times New Roman" w:cstheme="minorHAnsi"/>
                <w:color w:val="000000"/>
                <w:sz w:val="20"/>
                <w:szCs w:val="20"/>
                <w:lang w:eastAsia="es-MX"/>
              </w:rPr>
              <w:t>Pp</w:t>
            </w:r>
            <w:proofErr w:type="spellEnd"/>
            <w:r w:rsidR="005F6986" w:rsidRPr="005F6986">
              <w:rPr>
                <w:rFonts w:eastAsia="Times New Roman" w:cstheme="minorHAnsi"/>
                <w:color w:val="000000"/>
                <w:sz w:val="20"/>
                <w:szCs w:val="20"/>
                <w:lang w:eastAsia="es-MX"/>
              </w:rPr>
              <w:t xml:space="preserve"> o intervenciones públicas susceptibles de recibir recursos del Fondo</w:t>
            </w:r>
            <w:r w:rsidRPr="005F6986">
              <w:rPr>
                <w:rFonts w:eastAsia="Times New Roman" w:cstheme="minorHAnsi"/>
                <w:color w:val="000000"/>
                <w:sz w:val="20"/>
                <w:szCs w:val="20"/>
                <w:lang w:eastAsia="es-MX"/>
              </w:rPr>
              <w:t>.</w:t>
            </w:r>
          </w:p>
        </w:tc>
      </w:tr>
      <w:tr w:rsidR="00285CF9" w:rsidRPr="007508A6" w14:paraId="7A132D50" w14:textId="77777777" w:rsidTr="008F106F">
        <w:trPr>
          <w:trHeight w:val="697"/>
        </w:trPr>
        <w:tc>
          <w:tcPr>
            <w:tcW w:w="882" w:type="pct"/>
            <w:vMerge/>
            <w:vAlign w:val="center"/>
            <w:hideMark/>
          </w:tcPr>
          <w:p w14:paraId="5A34ADA3" w14:textId="77777777" w:rsidR="00285CF9" w:rsidRPr="007508A6" w:rsidRDefault="00285CF9" w:rsidP="00285CF9">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31F631F7" w14:textId="37641A29" w:rsidR="00285CF9" w:rsidRPr="007508A6" w:rsidRDefault="00285CF9" w:rsidP="00285CF9">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7508A6">
              <w:rPr>
                <w:rFonts w:eastAsia="Times New Roman" w:cstheme="minorHAnsi"/>
                <w:color w:val="000000"/>
                <w:sz w:val="20"/>
                <w:szCs w:val="20"/>
                <w:lang w:eastAsia="es-MX"/>
              </w:rPr>
              <w:t xml:space="preserve">En dos indicadores del Fondo no alcanzan el 80% del cumplimiento de las metas programadas, mismos que se presentan a continuación: Índice en el Ejercicio de Recursos y el </w:t>
            </w:r>
            <w:r w:rsidRPr="007508A6">
              <w:rPr>
                <w:rFonts w:eastAsia="Times New Roman" w:cstheme="minorHAnsi"/>
                <w:color w:val="000000"/>
                <w:sz w:val="20"/>
                <w:szCs w:val="20"/>
                <w:lang w:eastAsia="es-MX"/>
              </w:rPr>
              <w:lastRenderedPageBreak/>
              <w:t>Índice de Impulso al Gasto de Inversión el avance de ellos es de 72.65% y 46.7%, respectivamente.</w:t>
            </w:r>
          </w:p>
        </w:tc>
        <w:tc>
          <w:tcPr>
            <w:tcW w:w="477" w:type="pct"/>
            <w:gridSpan w:val="2"/>
            <w:shd w:val="clear" w:color="000000" w:fill="FFFFFF"/>
            <w:vAlign w:val="center"/>
            <w:hideMark/>
          </w:tcPr>
          <w:p w14:paraId="4CE78BD9" w14:textId="77777777" w:rsidR="00285CF9" w:rsidRPr="007508A6" w:rsidRDefault="00285CF9" w:rsidP="00285CF9">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lastRenderedPageBreak/>
              <w:t>28</w:t>
            </w:r>
          </w:p>
        </w:tc>
        <w:tc>
          <w:tcPr>
            <w:tcW w:w="2083" w:type="pct"/>
            <w:shd w:val="clear" w:color="000000" w:fill="FFFFFF"/>
            <w:vAlign w:val="center"/>
            <w:hideMark/>
          </w:tcPr>
          <w:p w14:paraId="69ECE9BB" w14:textId="6A529E38" w:rsidR="00285CF9" w:rsidRPr="007508A6" w:rsidRDefault="00285CF9" w:rsidP="00285CF9">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19. </w:t>
            </w:r>
            <w:r w:rsidRPr="007508A6">
              <w:rPr>
                <w:rFonts w:eastAsia="Times New Roman" w:cstheme="minorHAnsi"/>
                <w:color w:val="000000"/>
                <w:sz w:val="20"/>
                <w:szCs w:val="20"/>
                <w:lang w:eastAsia="es-MX"/>
              </w:rPr>
              <w:t>Evaluar la programación de metas acordes a las posibilidades para dar cumplimiento total o mayor al programado.</w:t>
            </w:r>
          </w:p>
        </w:tc>
      </w:tr>
      <w:tr w:rsidR="00285CF9" w:rsidRPr="007508A6" w14:paraId="24E4AA6B" w14:textId="77777777" w:rsidTr="008F106F">
        <w:trPr>
          <w:trHeight w:val="1848"/>
        </w:trPr>
        <w:tc>
          <w:tcPr>
            <w:tcW w:w="882" w:type="pct"/>
            <w:vMerge/>
            <w:vAlign w:val="center"/>
            <w:hideMark/>
          </w:tcPr>
          <w:p w14:paraId="4CBE609B" w14:textId="77777777" w:rsidR="00285CF9" w:rsidRPr="007508A6" w:rsidRDefault="00285CF9" w:rsidP="00285CF9">
            <w:pPr>
              <w:spacing w:before="0" w:after="0"/>
              <w:jc w:val="left"/>
              <w:rPr>
                <w:rFonts w:eastAsia="Times New Roman" w:cstheme="minorHAnsi"/>
                <w:b/>
                <w:bCs/>
                <w:color w:val="000000"/>
                <w:sz w:val="20"/>
                <w:szCs w:val="20"/>
                <w:lang w:eastAsia="es-MX"/>
              </w:rPr>
            </w:pPr>
          </w:p>
        </w:tc>
        <w:tc>
          <w:tcPr>
            <w:tcW w:w="1558" w:type="pct"/>
            <w:shd w:val="clear" w:color="000000" w:fill="FFFFFF"/>
            <w:vAlign w:val="center"/>
            <w:hideMark/>
          </w:tcPr>
          <w:p w14:paraId="3E8CEE9A" w14:textId="446581B4" w:rsidR="00285CF9" w:rsidRPr="007508A6" w:rsidRDefault="00285CF9" w:rsidP="00285CF9">
            <w:pPr>
              <w:spacing w:before="0" w:after="0"/>
              <w:rPr>
                <w:rFonts w:eastAsia="Times New Roman" w:cstheme="minorHAnsi"/>
                <w:color w:val="000000"/>
                <w:sz w:val="20"/>
                <w:szCs w:val="20"/>
                <w:lang w:eastAsia="es-MX"/>
              </w:rPr>
            </w:pPr>
            <w:r w:rsidRPr="00DD514D">
              <w:rPr>
                <w:rFonts w:eastAsia="Calibri" w:cstheme="minorHAnsi"/>
                <w:b/>
                <w:bCs/>
                <w:sz w:val="20"/>
                <w:szCs w:val="20"/>
              </w:rPr>
              <w:t>Debilidad:</w:t>
            </w:r>
            <w:r w:rsidRPr="00DD514D">
              <w:rPr>
                <w:rFonts w:eastAsia="Calibri" w:cstheme="minorHAnsi"/>
                <w:sz w:val="20"/>
                <w:szCs w:val="20"/>
              </w:rPr>
              <w:t xml:space="preserve"> </w:t>
            </w:r>
            <w:r w:rsidRPr="00467D5B">
              <w:rPr>
                <w:rFonts w:eastAsia="Times New Roman" w:cstheme="minorHAnsi"/>
                <w:color w:val="000000"/>
                <w:sz w:val="20"/>
                <w:szCs w:val="20"/>
                <w:lang w:eastAsia="es-MX"/>
              </w:rPr>
              <w:t>No obstante que se han llevado a cabo ejercicios de evaluaciones externas al FAFEF, aún se hace necesario que éstas abunden más en el desempeño obtenido por el Fondo, ya que todas las evaluaciones practicadas han sido del corte metodológico de Consistencia y Resultados y de Desempeñ</w:t>
            </w:r>
            <w:r>
              <w:rPr>
                <w:rFonts w:eastAsia="Times New Roman" w:cstheme="minorHAnsi"/>
                <w:color w:val="000000"/>
                <w:sz w:val="20"/>
                <w:szCs w:val="20"/>
                <w:lang w:eastAsia="es-MX"/>
              </w:rPr>
              <w:t>o.</w:t>
            </w:r>
          </w:p>
        </w:tc>
        <w:tc>
          <w:tcPr>
            <w:tcW w:w="477" w:type="pct"/>
            <w:gridSpan w:val="2"/>
            <w:shd w:val="clear" w:color="000000" w:fill="FFFFFF"/>
            <w:vAlign w:val="center"/>
            <w:hideMark/>
          </w:tcPr>
          <w:p w14:paraId="3FAA710C" w14:textId="77777777" w:rsidR="00285CF9" w:rsidRPr="007508A6" w:rsidRDefault="00285CF9" w:rsidP="00285CF9">
            <w:pPr>
              <w:spacing w:before="0" w:after="0"/>
              <w:jc w:val="center"/>
              <w:rPr>
                <w:rFonts w:eastAsia="Times New Roman" w:cstheme="minorHAnsi"/>
                <w:color w:val="000000"/>
                <w:sz w:val="20"/>
                <w:szCs w:val="20"/>
                <w:lang w:eastAsia="es-MX"/>
              </w:rPr>
            </w:pPr>
            <w:r w:rsidRPr="007508A6">
              <w:rPr>
                <w:rFonts w:eastAsia="Times New Roman" w:cstheme="minorHAnsi"/>
                <w:color w:val="000000"/>
                <w:sz w:val="20"/>
                <w:szCs w:val="20"/>
                <w:lang w:eastAsia="es-MX"/>
              </w:rPr>
              <w:t>29</w:t>
            </w:r>
          </w:p>
        </w:tc>
        <w:tc>
          <w:tcPr>
            <w:tcW w:w="2083" w:type="pct"/>
            <w:shd w:val="clear" w:color="000000" w:fill="FFFFFF"/>
            <w:vAlign w:val="center"/>
            <w:hideMark/>
          </w:tcPr>
          <w:p w14:paraId="08BFB0CE" w14:textId="2A7536B7" w:rsidR="00285CF9" w:rsidRPr="007508A6" w:rsidRDefault="00285CF9" w:rsidP="00285CF9">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20. </w:t>
            </w:r>
            <w:r w:rsidRPr="00467D5B">
              <w:rPr>
                <w:rFonts w:eastAsia="Times New Roman" w:cstheme="minorHAnsi"/>
                <w:color w:val="000000"/>
                <w:sz w:val="20"/>
                <w:szCs w:val="20"/>
                <w:lang w:eastAsia="es-MX"/>
              </w:rPr>
              <w:t>Se recomienda que se efectúe una evaluación Específica de Desempeño, por medio de la cual se analice el FAFEF a través de los Pp que reciben recursos de éste, en donde se determine el origen y destino del financiamiento de los Pp, el comportamiento del presupuesto en el tiempo, se revise el proceso de planificación para el cumplimiento de los objetivos del Fondo y de los Pp, se elabore un reporte sobre los principales resultados de la operación de cada uno de los Pp en términos de eficacia y eficiencia, se obtenga la evolución en el tiempo de la cobertura de los Pp</w:t>
            </w:r>
            <w:r>
              <w:rPr>
                <w:rFonts w:eastAsia="Times New Roman" w:cstheme="minorHAnsi"/>
                <w:color w:val="000000"/>
                <w:sz w:val="20"/>
                <w:szCs w:val="20"/>
                <w:lang w:eastAsia="es-MX"/>
              </w:rPr>
              <w:t xml:space="preserve"> </w:t>
            </w:r>
            <w:r w:rsidRPr="00467D5B">
              <w:rPr>
                <w:rFonts w:eastAsia="Times New Roman" w:cstheme="minorHAnsi"/>
                <w:color w:val="000000"/>
                <w:sz w:val="20"/>
                <w:szCs w:val="20"/>
                <w:lang w:eastAsia="es-MX"/>
              </w:rPr>
              <w:t>y se elabore el avance y evolución de los indicadores de resultados que se encuentran establecidos en las MIR federal y en las MIR de los Pp, estableciendo el vínculo entre ambos indicadores.</w:t>
            </w:r>
          </w:p>
        </w:tc>
      </w:tr>
    </w:tbl>
    <w:p w14:paraId="52FC4613" w14:textId="77777777" w:rsidR="00D65666" w:rsidRDefault="00D65666" w:rsidP="00D65666">
      <w:pPr>
        <w:spacing w:before="60" w:after="240"/>
        <w:jc w:val="left"/>
        <w:rPr>
          <w:i/>
          <w:iCs/>
          <w:sz w:val="18"/>
          <w:szCs w:val="18"/>
        </w:rPr>
      </w:pPr>
      <w:r w:rsidRPr="005B4515">
        <w:rPr>
          <w:i/>
          <w:iCs/>
          <w:sz w:val="18"/>
          <w:szCs w:val="18"/>
        </w:rPr>
        <w:t>1/Se debe realizar un cuadro por cada uno de los temas de la Evaluación.</w:t>
      </w:r>
    </w:p>
    <w:p w14:paraId="70115EE6" w14:textId="13E097E9" w:rsidR="00B96A63" w:rsidRDefault="00B96A63">
      <w:pPr>
        <w:spacing w:before="0" w:after="160" w:line="259" w:lineRule="auto"/>
        <w:jc w:val="left"/>
        <w:rPr>
          <w:rFonts w:ascii="Calibri" w:eastAsia="Times New Roman" w:hAnsi="Calibri"/>
          <w:color w:val="000000"/>
          <w:lang w:eastAsia="es-MX"/>
        </w:rPr>
      </w:pPr>
      <w:r w:rsidRPr="00B96A63">
        <w:rPr>
          <w:rFonts w:ascii="Calibri" w:eastAsia="Times New Roman" w:hAnsi="Calibri"/>
          <w:color w:val="000000"/>
          <w:lang w:eastAsia="es-MX"/>
        </w:rPr>
        <w:t>Se anexa archivo</w:t>
      </w:r>
      <w:r w:rsidR="006223EB">
        <w:rPr>
          <w:rFonts w:ascii="Calibri" w:eastAsia="Times New Roman" w:hAnsi="Calibri"/>
          <w:color w:val="000000"/>
          <w:lang w:eastAsia="es-MX"/>
        </w:rPr>
        <w:t xml:space="preserve"> en</w:t>
      </w:r>
      <w:r w:rsidRPr="00B96A63">
        <w:rPr>
          <w:rFonts w:ascii="Calibri" w:eastAsia="Times New Roman" w:hAnsi="Calibri"/>
          <w:color w:val="000000"/>
          <w:lang w:eastAsia="es-MX"/>
        </w:rPr>
        <w:t xml:space="preserve"> Excel.</w:t>
      </w:r>
    </w:p>
    <w:p w14:paraId="3D175CDB" w14:textId="15476A7A" w:rsidR="00B96A63" w:rsidRDefault="00B96A63">
      <w:pPr>
        <w:spacing w:before="0" w:after="160" w:line="259" w:lineRule="auto"/>
        <w:jc w:val="left"/>
        <w:rPr>
          <w:rFonts w:ascii="Calibri" w:eastAsia="Times New Roman" w:hAnsi="Calibri"/>
          <w:color w:val="000000"/>
          <w:lang w:eastAsia="es-MX"/>
        </w:rPr>
        <w:sectPr w:rsidR="00B96A63" w:rsidSect="003C6346">
          <w:pgSz w:w="15840" w:h="12240" w:orient="landscape" w:code="1"/>
          <w:pgMar w:top="1134" w:right="1134" w:bottom="1134" w:left="1134" w:header="425" w:footer="709" w:gutter="0"/>
          <w:cols w:space="708"/>
          <w:docGrid w:linePitch="360"/>
        </w:sectPr>
      </w:pPr>
    </w:p>
    <w:p w14:paraId="69F23982" w14:textId="5F3FAE19" w:rsidR="00EE2253" w:rsidRDefault="00EE2253" w:rsidP="005B684A">
      <w:pPr>
        <w:pStyle w:val="Anexo"/>
      </w:pPr>
      <w:bookmarkStart w:id="197" w:name="_Toc47933876"/>
      <w:bookmarkStart w:id="198" w:name="_Toc51291536"/>
      <w:bookmarkStart w:id="199" w:name="_Toc55411215"/>
      <w:bookmarkStart w:id="200" w:name="_Toc55580114"/>
      <w:bookmarkStart w:id="201" w:name="_Toc56496639"/>
      <w:bookmarkStart w:id="202" w:name="_Toc61633665"/>
      <w:r w:rsidRPr="00B11F24">
        <w:lastRenderedPageBreak/>
        <w:t>Anexo 10</w:t>
      </w:r>
      <w:r w:rsidR="00097405">
        <w:t xml:space="preserve">. </w:t>
      </w:r>
      <w:bookmarkEnd w:id="197"/>
      <w:bookmarkEnd w:id="198"/>
      <w:bookmarkEnd w:id="199"/>
      <w:bookmarkEnd w:id="200"/>
      <w:r w:rsidR="00707A13" w:rsidRPr="00707A13">
        <w:t>Valoración Final del Fondo en la Entidad Federativa</w:t>
      </w:r>
      <w:bookmarkEnd w:id="201"/>
      <w:bookmarkEnd w:id="202"/>
    </w:p>
    <w:p w14:paraId="3C2DC085" w14:textId="77777777" w:rsidR="00356C18" w:rsidRPr="00356C18" w:rsidRDefault="00356C18" w:rsidP="00356C18">
      <w:pPr>
        <w:contextualSpacing/>
        <w:rPr>
          <w:sz w:val="20"/>
          <w:szCs w:val="20"/>
        </w:rPr>
      </w:pPr>
      <w:r w:rsidRPr="00356C18">
        <w:rPr>
          <w:sz w:val="20"/>
          <w:szCs w:val="20"/>
        </w:rPr>
        <w:t xml:space="preserve">Nombre del Fondo: </w:t>
      </w:r>
      <w:r w:rsidRPr="00356C18">
        <w:rPr>
          <w:b/>
          <w:bCs/>
          <w:sz w:val="20"/>
          <w:szCs w:val="20"/>
        </w:rPr>
        <w:t>Fondo de Aportaciones para el Fortalecimiento de las Entidades Federativas (FAFEF)</w:t>
      </w:r>
    </w:p>
    <w:p w14:paraId="7CBC25D4" w14:textId="77777777" w:rsidR="00D57CE4" w:rsidRPr="00C217D0" w:rsidRDefault="00D57CE4" w:rsidP="00D57CE4">
      <w:pPr>
        <w:autoSpaceDE w:val="0"/>
        <w:autoSpaceDN w:val="0"/>
        <w:adjustRightInd w:val="0"/>
        <w:snapToGrid w:val="0"/>
        <w:spacing w:before="0" w:after="0"/>
        <w:rPr>
          <w:rFonts w:cs="Arial"/>
          <w:b/>
          <w:sz w:val="20"/>
          <w:szCs w:val="21"/>
        </w:rPr>
      </w:pPr>
      <w:r>
        <w:rPr>
          <w:rFonts w:cs="Arial"/>
          <w:bCs/>
          <w:sz w:val="20"/>
          <w:szCs w:val="21"/>
        </w:rPr>
        <w:t xml:space="preserve">Modalidad: </w:t>
      </w:r>
      <w:r w:rsidRPr="00C217D0">
        <w:rPr>
          <w:rFonts w:cs="Arial"/>
          <w:b/>
          <w:sz w:val="20"/>
          <w:szCs w:val="21"/>
        </w:rPr>
        <w:t>I-Gasto federalizado</w:t>
      </w:r>
    </w:p>
    <w:p w14:paraId="423F8BFA" w14:textId="0ABED0A3" w:rsidR="00356C18" w:rsidRPr="00356C18" w:rsidRDefault="00356C18" w:rsidP="00356C18">
      <w:pPr>
        <w:contextualSpacing/>
        <w:rPr>
          <w:b/>
          <w:bCs/>
          <w:sz w:val="20"/>
          <w:szCs w:val="20"/>
        </w:rPr>
      </w:pPr>
      <w:r w:rsidRPr="00356C18">
        <w:rPr>
          <w:sz w:val="20"/>
          <w:szCs w:val="20"/>
        </w:rPr>
        <w:t xml:space="preserve">Clave(s) presupuestaria(s): </w:t>
      </w:r>
      <w:r w:rsidRPr="00356C18">
        <w:rPr>
          <w:b/>
          <w:bCs/>
          <w:sz w:val="20"/>
          <w:szCs w:val="20"/>
        </w:rPr>
        <w:t>I012</w:t>
      </w:r>
    </w:p>
    <w:p w14:paraId="1AE9D19C" w14:textId="77777777" w:rsidR="00356C18" w:rsidRPr="00356C18" w:rsidRDefault="00356C18" w:rsidP="00356C18">
      <w:pPr>
        <w:contextualSpacing/>
        <w:rPr>
          <w:sz w:val="20"/>
          <w:szCs w:val="20"/>
        </w:rPr>
      </w:pPr>
      <w:r w:rsidRPr="00356C18">
        <w:rPr>
          <w:sz w:val="20"/>
          <w:szCs w:val="20"/>
        </w:rPr>
        <w:t xml:space="preserve">Entidad Federativa: </w:t>
      </w:r>
      <w:r w:rsidRPr="00356C18">
        <w:rPr>
          <w:b/>
          <w:bCs/>
          <w:sz w:val="20"/>
          <w:szCs w:val="20"/>
        </w:rPr>
        <w:t>Tamaulipas</w:t>
      </w:r>
    </w:p>
    <w:p w14:paraId="171B14B5" w14:textId="77777777" w:rsidR="00356C18" w:rsidRPr="00356C18" w:rsidRDefault="00356C18" w:rsidP="00356C18">
      <w:pPr>
        <w:contextualSpacing/>
        <w:rPr>
          <w:b/>
          <w:bCs/>
          <w:sz w:val="20"/>
          <w:szCs w:val="20"/>
        </w:rPr>
      </w:pPr>
      <w:r w:rsidRPr="00356C18">
        <w:rPr>
          <w:sz w:val="20"/>
          <w:szCs w:val="20"/>
        </w:rPr>
        <w:t xml:space="preserve">Dependencia Coordinadora: </w:t>
      </w:r>
      <w:r w:rsidRPr="00356C18">
        <w:rPr>
          <w:b/>
          <w:bCs/>
          <w:sz w:val="20"/>
          <w:szCs w:val="20"/>
        </w:rPr>
        <w:t>Dirección General de Programación y Presupuesto “A” (DGPyP “A”)</w:t>
      </w:r>
    </w:p>
    <w:p w14:paraId="04F61EBA" w14:textId="2906E15B" w:rsidR="00356C18" w:rsidRPr="00356C18" w:rsidRDefault="00356C18" w:rsidP="00356C18">
      <w:pPr>
        <w:contextualSpacing/>
        <w:rPr>
          <w:sz w:val="20"/>
          <w:szCs w:val="20"/>
        </w:rPr>
      </w:pPr>
      <w:r w:rsidRPr="00356C18">
        <w:rPr>
          <w:sz w:val="20"/>
          <w:szCs w:val="20"/>
        </w:rPr>
        <w:t xml:space="preserve">Unidad(es) Responsable(s) o Ejecutora(s): </w:t>
      </w:r>
      <w:r w:rsidRPr="00356C18">
        <w:rPr>
          <w:b/>
          <w:bCs/>
          <w:sz w:val="20"/>
          <w:szCs w:val="20"/>
        </w:rPr>
        <w:t>Secretaría de Finanzas de Tamaulipas</w:t>
      </w:r>
    </w:p>
    <w:p w14:paraId="7105772C" w14:textId="77777777" w:rsidR="00356C18" w:rsidRPr="00356C18" w:rsidRDefault="00356C18" w:rsidP="00356C18">
      <w:pPr>
        <w:contextualSpacing/>
        <w:rPr>
          <w:sz w:val="20"/>
          <w:szCs w:val="20"/>
        </w:rPr>
      </w:pPr>
      <w:r w:rsidRPr="00356C18">
        <w:rPr>
          <w:sz w:val="20"/>
          <w:szCs w:val="20"/>
        </w:rPr>
        <w:t xml:space="preserve">Tipo de Evaluación: </w:t>
      </w:r>
      <w:r w:rsidRPr="00356C18">
        <w:rPr>
          <w:b/>
          <w:bCs/>
          <w:sz w:val="20"/>
          <w:szCs w:val="20"/>
        </w:rPr>
        <w:t>Estratégica</w:t>
      </w:r>
      <w:r w:rsidRPr="00356C18">
        <w:rPr>
          <w:sz w:val="20"/>
          <w:szCs w:val="20"/>
        </w:rPr>
        <w:t xml:space="preserve"> </w:t>
      </w:r>
    </w:p>
    <w:p w14:paraId="3ABDFAAB" w14:textId="79B9B643" w:rsidR="00496B4C" w:rsidRPr="00356C18" w:rsidRDefault="00356C18" w:rsidP="006223EB">
      <w:pPr>
        <w:spacing w:before="0" w:after="240"/>
        <w:rPr>
          <w:sz w:val="20"/>
          <w:szCs w:val="20"/>
        </w:rPr>
      </w:pPr>
      <w:r w:rsidRPr="00356C18">
        <w:rPr>
          <w:sz w:val="20"/>
          <w:szCs w:val="20"/>
        </w:rPr>
        <w:t xml:space="preserve">Año de la Evaluación: </w:t>
      </w:r>
      <w:r w:rsidRPr="00356C18">
        <w:rPr>
          <w:b/>
          <w:bCs/>
          <w:sz w:val="20"/>
          <w:szCs w:val="20"/>
        </w:rPr>
        <w:t>2018</w:t>
      </w:r>
    </w:p>
    <w:p w14:paraId="2494C44B" w14:textId="77777777" w:rsidR="0018417F" w:rsidRPr="0018417F" w:rsidRDefault="0018417F" w:rsidP="00AA562B">
      <w:pPr>
        <w:spacing w:before="0" w:after="160" w:line="259" w:lineRule="auto"/>
        <w:jc w:val="left"/>
        <w:rPr>
          <w:rFonts w:ascii="Calibri" w:eastAsia="Times New Roman" w:hAnsi="Calibri"/>
          <w:color w:val="000000"/>
          <w:sz w:val="2"/>
          <w:szCs w:val="2"/>
          <w:lang w:eastAsia="es-MX"/>
        </w:rPr>
      </w:pPr>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70" w:type="dxa"/>
          <w:right w:w="70" w:type="dxa"/>
        </w:tblCellMar>
        <w:tblLook w:val="04A0" w:firstRow="1" w:lastRow="0" w:firstColumn="1" w:lastColumn="0" w:noHBand="0" w:noVBand="1"/>
      </w:tblPr>
      <w:tblGrid>
        <w:gridCol w:w="3960"/>
        <w:gridCol w:w="1133"/>
        <w:gridCol w:w="8459"/>
      </w:tblGrid>
      <w:tr w:rsidR="003E7FD4" w:rsidRPr="0018417F" w14:paraId="6BD9B32C" w14:textId="77777777" w:rsidTr="00507A8E">
        <w:trPr>
          <w:trHeight w:val="315"/>
          <w:tblHeader/>
        </w:trPr>
        <w:tc>
          <w:tcPr>
            <w:tcW w:w="1461" w:type="pct"/>
            <w:shd w:val="clear" w:color="auto" w:fill="9CC2E5"/>
            <w:noWrap/>
            <w:vAlign w:val="center"/>
            <w:hideMark/>
          </w:tcPr>
          <w:p w14:paraId="0E5FC716" w14:textId="77777777" w:rsidR="003E7FD4" w:rsidRPr="0018417F" w:rsidRDefault="003E7FD4" w:rsidP="008F58B0">
            <w:pPr>
              <w:spacing w:before="0" w:after="0"/>
              <w:jc w:val="center"/>
              <w:rPr>
                <w:rFonts w:eastAsia="Times New Roman" w:cstheme="minorHAnsi"/>
                <w:b/>
                <w:bCs/>
                <w:color w:val="000000" w:themeColor="text1"/>
                <w:sz w:val="20"/>
                <w:szCs w:val="20"/>
                <w:lang w:eastAsia="es-MX"/>
              </w:rPr>
            </w:pPr>
            <w:r w:rsidRPr="0018417F">
              <w:rPr>
                <w:rFonts w:eastAsia="Times New Roman" w:cstheme="minorHAnsi"/>
                <w:b/>
                <w:bCs/>
                <w:color w:val="000000" w:themeColor="text1"/>
                <w:sz w:val="20"/>
                <w:szCs w:val="20"/>
                <w:lang w:eastAsia="es-MX"/>
              </w:rPr>
              <w:t>Módulo/submódulo</w:t>
            </w:r>
          </w:p>
        </w:tc>
        <w:tc>
          <w:tcPr>
            <w:tcW w:w="418" w:type="pct"/>
            <w:shd w:val="clear" w:color="auto" w:fill="9CC2E5"/>
            <w:vAlign w:val="center"/>
            <w:hideMark/>
          </w:tcPr>
          <w:p w14:paraId="0B6552A3" w14:textId="77777777" w:rsidR="003E7FD4" w:rsidRPr="0018417F" w:rsidRDefault="003E7FD4" w:rsidP="008F58B0">
            <w:pPr>
              <w:spacing w:before="0" w:after="0"/>
              <w:jc w:val="center"/>
              <w:rPr>
                <w:rFonts w:eastAsia="Times New Roman" w:cstheme="minorHAnsi"/>
                <w:b/>
                <w:bCs/>
                <w:color w:val="000000" w:themeColor="text1"/>
                <w:sz w:val="20"/>
                <w:szCs w:val="20"/>
                <w:lang w:eastAsia="es-MX"/>
              </w:rPr>
            </w:pPr>
            <w:r w:rsidRPr="0018417F">
              <w:rPr>
                <w:rFonts w:eastAsia="Times New Roman" w:cstheme="minorHAnsi"/>
                <w:b/>
                <w:bCs/>
                <w:color w:val="000000" w:themeColor="text1"/>
                <w:sz w:val="20"/>
                <w:szCs w:val="20"/>
                <w:lang w:eastAsia="es-MX"/>
              </w:rPr>
              <w:t>Nivel promedio</w:t>
            </w:r>
          </w:p>
        </w:tc>
        <w:tc>
          <w:tcPr>
            <w:tcW w:w="3121" w:type="pct"/>
            <w:shd w:val="clear" w:color="auto" w:fill="9CC2E5"/>
            <w:noWrap/>
            <w:vAlign w:val="center"/>
            <w:hideMark/>
          </w:tcPr>
          <w:p w14:paraId="4920012B" w14:textId="77777777" w:rsidR="003E7FD4" w:rsidRPr="0018417F" w:rsidRDefault="003E7FD4" w:rsidP="008F58B0">
            <w:pPr>
              <w:spacing w:before="0" w:after="0"/>
              <w:rPr>
                <w:rFonts w:eastAsia="Times New Roman" w:cstheme="minorHAnsi"/>
                <w:b/>
                <w:bCs/>
                <w:color w:val="000000" w:themeColor="text1"/>
                <w:sz w:val="20"/>
                <w:szCs w:val="20"/>
                <w:lang w:eastAsia="es-MX"/>
              </w:rPr>
            </w:pPr>
            <w:r w:rsidRPr="0018417F">
              <w:rPr>
                <w:rFonts w:eastAsia="Times New Roman" w:cstheme="minorHAnsi"/>
                <w:b/>
                <w:bCs/>
                <w:color w:val="000000" w:themeColor="text1"/>
                <w:sz w:val="20"/>
                <w:szCs w:val="20"/>
                <w:lang w:eastAsia="es-MX"/>
              </w:rPr>
              <w:t>Justificación</w:t>
            </w:r>
          </w:p>
        </w:tc>
      </w:tr>
      <w:tr w:rsidR="003E7FD4" w:rsidRPr="0018417F" w14:paraId="617A8939" w14:textId="77777777" w:rsidTr="00507A8E">
        <w:trPr>
          <w:trHeight w:val="1186"/>
        </w:trPr>
        <w:tc>
          <w:tcPr>
            <w:tcW w:w="1461" w:type="pct"/>
            <w:shd w:val="clear" w:color="auto" w:fill="auto"/>
            <w:vAlign w:val="center"/>
            <w:hideMark/>
          </w:tcPr>
          <w:p w14:paraId="19BB960C" w14:textId="77777777" w:rsidR="003E7FD4" w:rsidRPr="0018417F" w:rsidRDefault="003E7FD4" w:rsidP="00507A8E">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1. Justificación del diseño del Fondo y de su mecanismo de intervención</w:t>
            </w:r>
          </w:p>
          <w:p w14:paraId="4C7815F6" w14:textId="4CB57505" w:rsidR="003E7FD4" w:rsidRPr="0018417F" w:rsidRDefault="00507A8E" w:rsidP="00507A8E">
            <w:pPr>
              <w:spacing w:before="0" w:after="0"/>
              <w:ind w:left="209"/>
              <w:rPr>
                <w:rFonts w:eastAsia="Times New Roman" w:cstheme="minorHAnsi"/>
                <w:color w:val="000000"/>
                <w:sz w:val="20"/>
                <w:szCs w:val="20"/>
                <w:lang w:eastAsia="es-MX"/>
              </w:rPr>
            </w:pPr>
            <w:r>
              <w:rPr>
                <w:rFonts w:eastAsia="Times New Roman" w:cstheme="minorHAnsi"/>
                <w:color w:val="000000"/>
                <w:sz w:val="20"/>
                <w:szCs w:val="20"/>
                <w:lang w:eastAsia="es-MX"/>
              </w:rPr>
              <w:t>-</w:t>
            </w:r>
            <w:r w:rsidR="003E7FD4" w:rsidRPr="0018417F">
              <w:rPr>
                <w:rFonts w:eastAsia="Times New Roman" w:cstheme="minorHAnsi"/>
                <w:color w:val="000000"/>
                <w:sz w:val="20"/>
                <w:szCs w:val="20"/>
                <w:lang w:eastAsia="es-MX"/>
              </w:rPr>
              <w:t xml:space="preserve">Características del Fondo en </w:t>
            </w:r>
            <w:r w:rsidR="003E7FD4">
              <w:rPr>
                <w:rFonts w:eastAsia="Times New Roman" w:cstheme="minorHAnsi"/>
                <w:color w:val="000000"/>
                <w:sz w:val="20"/>
                <w:szCs w:val="20"/>
                <w:lang w:eastAsia="es-MX"/>
              </w:rPr>
              <w:t>Tamaulipas</w:t>
            </w:r>
          </w:p>
          <w:p w14:paraId="35EF62C6" w14:textId="303310FF" w:rsidR="003E7FD4" w:rsidRPr="0018417F" w:rsidRDefault="00507A8E" w:rsidP="00507A8E">
            <w:pPr>
              <w:spacing w:before="0" w:after="0"/>
              <w:ind w:left="209"/>
              <w:rPr>
                <w:rFonts w:eastAsia="Times New Roman" w:cstheme="minorHAnsi"/>
                <w:color w:val="000000"/>
                <w:sz w:val="20"/>
                <w:szCs w:val="20"/>
                <w:lang w:eastAsia="es-MX"/>
              </w:rPr>
            </w:pPr>
            <w:r>
              <w:rPr>
                <w:rFonts w:eastAsia="Times New Roman" w:cstheme="minorHAnsi"/>
                <w:color w:val="000000"/>
                <w:sz w:val="20"/>
                <w:szCs w:val="20"/>
                <w:lang w:eastAsia="es-MX"/>
              </w:rPr>
              <w:t>-</w:t>
            </w:r>
            <w:r w:rsidR="003E7FD4" w:rsidRPr="0018417F">
              <w:rPr>
                <w:rFonts w:eastAsia="Times New Roman" w:cstheme="minorHAnsi"/>
                <w:color w:val="000000"/>
                <w:sz w:val="20"/>
                <w:szCs w:val="20"/>
                <w:lang w:eastAsia="es-MX"/>
              </w:rPr>
              <w:t xml:space="preserve">Valoración de la contribución del FAFEF a la o las </w:t>
            </w:r>
            <w:r w:rsidR="003E7FD4">
              <w:rPr>
                <w:rFonts w:eastAsia="Times New Roman" w:cstheme="minorHAnsi"/>
                <w:color w:val="000000"/>
                <w:sz w:val="20"/>
                <w:szCs w:val="20"/>
                <w:lang w:eastAsia="es-MX"/>
              </w:rPr>
              <w:t>p</w:t>
            </w:r>
            <w:r w:rsidR="003E7FD4" w:rsidRPr="0018417F">
              <w:rPr>
                <w:rFonts w:eastAsia="Times New Roman" w:cstheme="minorHAnsi"/>
                <w:color w:val="000000"/>
                <w:sz w:val="20"/>
                <w:szCs w:val="20"/>
                <w:lang w:eastAsia="es-MX"/>
              </w:rPr>
              <w:t>roblemáticas de la entidad federativa</w:t>
            </w:r>
          </w:p>
        </w:tc>
        <w:tc>
          <w:tcPr>
            <w:tcW w:w="418" w:type="pct"/>
            <w:shd w:val="clear" w:color="auto" w:fill="auto"/>
            <w:noWrap/>
            <w:vAlign w:val="center"/>
            <w:hideMark/>
          </w:tcPr>
          <w:p w14:paraId="3BAD08B1" w14:textId="7777777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0.25</w:t>
            </w:r>
          </w:p>
        </w:tc>
        <w:tc>
          <w:tcPr>
            <w:tcW w:w="3121" w:type="pct"/>
            <w:shd w:val="clear" w:color="auto" w:fill="auto"/>
            <w:vAlign w:val="center"/>
            <w:hideMark/>
          </w:tcPr>
          <w:p w14:paraId="78334211" w14:textId="43FC82B6"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 xml:space="preserve">La problemática en la que se centra el </w:t>
            </w:r>
            <w:r w:rsidR="006B4304">
              <w:rPr>
                <w:rFonts w:eastAsia="Times New Roman" w:cstheme="minorHAnsi"/>
                <w:color w:val="000000"/>
                <w:sz w:val="20"/>
                <w:szCs w:val="20"/>
                <w:lang w:eastAsia="es-MX"/>
              </w:rPr>
              <w:t>d</w:t>
            </w:r>
            <w:r w:rsidRPr="0018417F">
              <w:rPr>
                <w:rFonts w:eastAsia="Times New Roman" w:cstheme="minorHAnsi"/>
                <w:color w:val="000000"/>
                <w:sz w:val="20"/>
                <w:szCs w:val="20"/>
                <w:lang w:eastAsia="es-MX"/>
              </w:rPr>
              <w:t>iagnóstico no está estructurada en un árbol de problemas, en consecuencia, no se define un árbol de objetivos, ya que el objetivo de FAFEF en el Estado está enfocado en fortalecer el presupuesto, así como contribuir a su saneamiento financiero. En el Diagnóstico no se identificó la definición de un plazo para su revisión y actualización, sugiriendo para este punto que al menos cada año se actualice lo concerniente a la MIR.</w:t>
            </w:r>
          </w:p>
        </w:tc>
      </w:tr>
      <w:tr w:rsidR="003E7FD4" w:rsidRPr="0018417F" w14:paraId="1539531E" w14:textId="77777777" w:rsidTr="00507A8E">
        <w:trPr>
          <w:trHeight w:val="589"/>
        </w:trPr>
        <w:tc>
          <w:tcPr>
            <w:tcW w:w="1461" w:type="pct"/>
            <w:shd w:val="clear" w:color="auto" w:fill="auto"/>
            <w:vAlign w:val="center"/>
            <w:hideMark/>
          </w:tcPr>
          <w:p w14:paraId="34EF4412"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2. Matriz de Indicadores para Resultados (MIR)</w:t>
            </w:r>
          </w:p>
        </w:tc>
        <w:tc>
          <w:tcPr>
            <w:tcW w:w="418" w:type="pct"/>
            <w:shd w:val="clear" w:color="auto" w:fill="auto"/>
            <w:noWrap/>
            <w:vAlign w:val="center"/>
            <w:hideMark/>
          </w:tcPr>
          <w:p w14:paraId="5A1343C0" w14:textId="7777777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0.75</w:t>
            </w:r>
          </w:p>
        </w:tc>
        <w:tc>
          <w:tcPr>
            <w:tcW w:w="3121" w:type="pct"/>
            <w:shd w:val="clear" w:color="auto" w:fill="auto"/>
            <w:noWrap/>
            <w:vAlign w:val="center"/>
            <w:hideMark/>
          </w:tcPr>
          <w:p w14:paraId="301AF517"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La entidad federativa documenta el resultado de las aportaciones del FAFEF a través de los indicadores de la MIR federal, informes trimestrales sobre la Situación Económica, las Finanzas Públicas y la Deuda Pública a través del SRFT, a través de las MIR de los Pp, cuyo presupuesto contenga parte o todos sus recursos provenientes del FAFEF, y mediante evaluaciones externas y auditorias en cada ejercicio fiscal.</w:t>
            </w:r>
          </w:p>
        </w:tc>
      </w:tr>
      <w:tr w:rsidR="003E7FD4" w:rsidRPr="0018417F" w14:paraId="7D0DE8AA" w14:textId="77777777" w:rsidTr="00D57CE4">
        <w:trPr>
          <w:trHeight w:val="1625"/>
        </w:trPr>
        <w:tc>
          <w:tcPr>
            <w:tcW w:w="1461" w:type="pct"/>
            <w:tcBorders>
              <w:bottom w:val="single" w:sz="8" w:space="0" w:color="000000" w:themeColor="text1"/>
            </w:tcBorders>
            <w:shd w:val="clear" w:color="auto" w:fill="auto"/>
            <w:vAlign w:val="center"/>
            <w:hideMark/>
          </w:tcPr>
          <w:p w14:paraId="53365E9E"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3. Consistencia entre los elementos del diseño</w:t>
            </w:r>
          </w:p>
        </w:tc>
        <w:tc>
          <w:tcPr>
            <w:tcW w:w="418" w:type="pct"/>
            <w:tcBorders>
              <w:bottom w:val="single" w:sz="8" w:space="0" w:color="000000" w:themeColor="text1"/>
            </w:tcBorders>
            <w:shd w:val="clear" w:color="auto" w:fill="auto"/>
            <w:noWrap/>
            <w:vAlign w:val="center"/>
            <w:hideMark/>
          </w:tcPr>
          <w:p w14:paraId="67D8C07E" w14:textId="7777777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0.5</w:t>
            </w:r>
            <w:r>
              <w:rPr>
                <w:rFonts w:eastAsia="Times New Roman" w:cstheme="minorHAnsi"/>
                <w:color w:val="000000"/>
                <w:sz w:val="20"/>
                <w:szCs w:val="20"/>
                <w:lang w:eastAsia="es-MX"/>
              </w:rPr>
              <w:t>0</w:t>
            </w:r>
          </w:p>
        </w:tc>
        <w:tc>
          <w:tcPr>
            <w:tcW w:w="3121" w:type="pct"/>
            <w:tcBorders>
              <w:bottom w:val="single" w:sz="8" w:space="0" w:color="000000" w:themeColor="text1"/>
            </w:tcBorders>
            <w:shd w:val="clear" w:color="auto" w:fill="auto"/>
            <w:noWrap/>
            <w:vAlign w:val="center"/>
            <w:hideMark/>
          </w:tcPr>
          <w:p w14:paraId="015D8D99"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Se han realizado evaluaciones de Consistencia y Resultados de los Programas Financiados con recursos del FAFEF de los ejercicios fiscales 2014 a 2016, así como una Evaluación Estratégica sobre Planeación, Programación, Monitoreo y Evaluación de este Fondo para 2019. Asimismo, existe evidencia documental de la realización de Auditorías Combinadas de Cumplimiento y Desempeño de los recursos del Fondo del 2013 al 2018, cuyos resultados y recomendaciones de las evaluaciones y auditorías, han sido elementos a considerar en la toma de decisiones, respecto a la operación del Fondo en la entidad.</w:t>
            </w:r>
          </w:p>
        </w:tc>
      </w:tr>
      <w:tr w:rsidR="003E7FD4" w:rsidRPr="0018417F" w14:paraId="4DE587F3" w14:textId="77777777" w:rsidTr="00D57CE4">
        <w:trPr>
          <w:trHeight w:val="450"/>
        </w:trPr>
        <w:tc>
          <w:tcPr>
            <w:tcW w:w="1461" w:type="pct"/>
            <w:vMerge w:val="restart"/>
            <w:tcBorders>
              <w:bottom w:val="single" w:sz="4" w:space="0" w:color="auto"/>
            </w:tcBorders>
            <w:shd w:val="clear" w:color="auto" w:fill="auto"/>
            <w:vAlign w:val="center"/>
            <w:hideMark/>
          </w:tcPr>
          <w:p w14:paraId="19A3C9E8"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4. Alineación del Fondo a la Planeación Nacional y a los Objetivos de Desarrollo Sostenible</w:t>
            </w:r>
          </w:p>
        </w:tc>
        <w:tc>
          <w:tcPr>
            <w:tcW w:w="418" w:type="pct"/>
            <w:vMerge w:val="restart"/>
            <w:tcBorders>
              <w:bottom w:val="single" w:sz="4" w:space="0" w:color="auto"/>
            </w:tcBorders>
            <w:shd w:val="clear" w:color="auto" w:fill="auto"/>
            <w:noWrap/>
            <w:vAlign w:val="center"/>
            <w:hideMark/>
          </w:tcPr>
          <w:p w14:paraId="3B8589F2" w14:textId="7068950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NPVC</w:t>
            </w:r>
          </w:p>
        </w:tc>
        <w:tc>
          <w:tcPr>
            <w:tcW w:w="3121" w:type="pct"/>
            <w:vMerge w:val="restart"/>
            <w:tcBorders>
              <w:bottom w:val="single" w:sz="4" w:space="0" w:color="auto"/>
            </w:tcBorders>
            <w:shd w:val="clear" w:color="auto" w:fill="auto"/>
            <w:noWrap/>
            <w:vAlign w:val="center"/>
            <w:hideMark/>
          </w:tcPr>
          <w:p w14:paraId="0D09D964" w14:textId="34C7596C" w:rsidR="003E7FD4" w:rsidRPr="0018417F" w:rsidRDefault="0043241A" w:rsidP="008F58B0">
            <w:pPr>
              <w:spacing w:before="0" w:after="0"/>
              <w:rPr>
                <w:rFonts w:eastAsia="Times New Roman" w:cstheme="minorHAnsi"/>
                <w:color w:val="000000"/>
                <w:sz w:val="20"/>
                <w:szCs w:val="20"/>
                <w:lang w:eastAsia="es-MX"/>
              </w:rPr>
            </w:pPr>
            <w:r w:rsidRPr="0043241A">
              <w:rPr>
                <w:rFonts w:eastAsia="Times New Roman" w:cstheme="minorHAnsi"/>
                <w:color w:val="000000"/>
                <w:sz w:val="20"/>
                <w:szCs w:val="20"/>
                <w:lang w:eastAsia="es-MX"/>
              </w:rPr>
              <w:t>Las preguntas 13 y 14 referentes al Módulo 4, no se valoran cuantitativamente.</w:t>
            </w:r>
          </w:p>
        </w:tc>
      </w:tr>
      <w:tr w:rsidR="003E7FD4" w:rsidRPr="0018417F" w14:paraId="784AD23E" w14:textId="77777777" w:rsidTr="00D57CE4">
        <w:trPr>
          <w:trHeight w:val="450"/>
        </w:trPr>
        <w:tc>
          <w:tcPr>
            <w:tcW w:w="1461" w:type="pct"/>
            <w:vMerge/>
            <w:tcBorders>
              <w:bottom w:val="single" w:sz="4" w:space="0" w:color="auto"/>
            </w:tcBorders>
            <w:vAlign w:val="center"/>
            <w:hideMark/>
          </w:tcPr>
          <w:p w14:paraId="799D5F13" w14:textId="77777777" w:rsidR="003E7FD4" w:rsidRPr="0018417F" w:rsidRDefault="003E7FD4" w:rsidP="008F58B0">
            <w:pPr>
              <w:spacing w:before="0" w:after="0"/>
              <w:jc w:val="left"/>
              <w:rPr>
                <w:rFonts w:eastAsia="Times New Roman" w:cstheme="minorHAnsi"/>
                <w:color w:val="000000"/>
                <w:sz w:val="20"/>
                <w:szCs w:val="20"/>
                <w:lang w:eastAsia="es-MX"/>
              </w:rPr>
            </w:pPr>
          </w:p>
        </w:tc>
        <w:tc>
          <w:tcPr>
            <w:tcW w:w="418" w:type="pct"/>
            <w:vMerge/>
            <w:tcBorders>
              <w:bottom w:val="single" w:sz="4" w:space="0" w:color="auto"/>
            </w:tcBorders>
            <w:vAlign w:val="center"/>
            <w:hideMark/>
          </w:tcPr>
          <w:p w14:paraId="25554807" w14:textId="77777777" w:rsidR="003E7FD4" w:rsidRPr="0018417F" w:rsidRDefault="003E7FD4" w:rsidP="008F58B0">
            <w:pPr>
              <w:spacing w:before="0" w:after="0"/>
              <w:jc w:val="left"/>
              <w:rPr>
                <w:rFonts w:eastAsia="Times New Roman" w:cstheme="minorHAnsi"/>
                <w:color w:val="000000"/>
                <w:sz w:val="20"/>
                <w:szCs w:val="20"/>
                <w:lang w:eastAsia="es-MX"/>
              </w:rPr>
            </w:pPr>
          </w:p>
        </w:tc>
        <w:tc>
          <w:tcPr>
            <w:tcW w:w="3121" w:type="pct"/>
            <w:vMerge/>
            <w:tcBorders>
              <w:bottom w:val="single" w:sz="4" w:space="0" w:color="auto"/>
            </w:tcBorders>
            <w:vAlign w:val="center"/>
            <w:hideMark/>
          </w:tcPr>
          <w:p w14:paraId="53B8EC37" w14:textId="77777777" w:rsidR="003E7FD4" w:rsidRPr="0018417F" w:rsidRDefault="003E7FD4" w:rsidP="008F58B0">
            <w:pPr>
              <w:spacing w:before="0" w:after="0"/>
              <w:jc w:val="left"/>
              <w:rPr>
                <w:rFonts w:eastAsia="Times New Roman" w:cstheme="minorHAnsi"/>
                <w:color w:val="000000"/>
                <w:sz w:val="20"/>
                <w:szCs w:val="20"/>
                <w:lang w:eastAsia="es-MX"/>
              </w:rPr>
            </w:pPr>
          </w:p>
        </w:tc>
      </w:tr>
      <w:tr w:rsidR="003E7FD4" w:rsidRPr="0018417F" w14:paraId="09436BE2" w14:textId="77777777" w:rsidTr="00D57CE4">
        <w:trPr>
          <w:trHeight w:val="2053"/>
        </w:trPr>
        <w:tc>
          <w:tcPr>
            <w:tcW w:w="1461" w:type="pct"/>
            <w:tcBorders>
              <w:top w:val="single" w:sz="4" w:space="0" w:color="auto"/>
            </w:tcBorders>
            <w:shd w:val="clear" w:color="auto" w:fill="auto"/>
            <w:vAlign w:val="center"/>
            <w:hideMark/>
          </w:tcPr>
          <w:p w14:paraId="697093AD"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lastRenderedPageBreak/>
              <w:t>5. Mecanismos de coordinación </w:t>
            </w:r>
          </w:p>
          <w:p w14:paraId="1EDE3721" w14:textId="3C5CF341" w:rsidR="003E7FD4" w:rsidRPr="0018417F" w:rsidRDefault="00507A8E" w:rsidP="00507A8E">
            <w:pPr>
              <w:spacing w:before="0" w:after="0"/>
              <w:ind w:left="209"/>
              <w:jc w:val="left"/>
              <w:rPr>
                <w:rFonts w:eastAsia="Times New Roman" w:cstheme="minorHAnsi"/>
                <w:color w:val="000000"/>
                <w:sz w:val="20"/>
                <w:szCs w:val="20"/>
                <w:lang w:eastAsia="es-MX"/>
              </w:rPr>
            </w:pPr>
            <w:r>
              <w:rPr>
                <w:rFonts w:eastAsia="Times New Roman" w:cstheme="minorHAnsi"/>
                <w:color w:val="000000"/>
                <w:sz w:val="20"/>
                <w:szCs w:val="20"/>
                <w:lang w:eastAsia="es-MX"/>
              </w:rPr>
              <w:t>-</w:t>
            </w:r>
            <w:r w:rsidR="003E7FD4" w:rsidRPr="0018417F">
              <w:rPr>
                <w:rFonts w:eastAsia="Times New Roman" w:cstheme="minorHAnsi"/>
                <w:color w:val="000000"/>
                <w:sz w:val="20"/>
                <w:szCs w:val="20"/>
                <w:lang w:eastAsia="es-MX"/>
              </w:rPr>
              <w:t>Gestión, operación y planeación</w:t>
            </w:r>
          </w:p>
          <w:p w14:paraId="4DF5BA50" w14:textId="54ECD29D" w:rsidR="003E7FD4" w:rsidRPr="0018417F" w:rsidRDefault="00507A8E" w:rsidP="00507A8E">
            <w:pPr>
              <w:spacing w:before="0" w:after="0"/>
              <w:ind w:left="209"/>
              <w:jc w:val="left"/>
              <w:rPr>
                <w:rFonts w:eastAsia="Times New Roman" w:cstheme="minorHAnsi"/>
                <w:color w:val="000000"/>
                <w:sz w:val="20"/>
                <w:szCs w:val="20"/>
                <w:lang w:eastAsia="es-MX"/>
              </w:rPr>
            </w:pPr>
            <w:r>
              <w:rPr>
                <w:rFonts w:eastAsia="Times New Roman" w:cstheme="minorHAnsi"/>
                <w:color w:val="000000"/>
                <w:sz w:val="20"/>
                <w:szCs w:val="20"/>
                <w:lang w:eastAsia="es-MX"/>
              </w:rPr>
              <w:t>-</w:t>
            </w:r>
            <w:r w:rsidR="003E7FD4" w:rsidRPr="0018417F">
              <w:rPr>
                <w:rFonts w:eastAsia="Times New Roman" w:cstheme="minorHAnsi"/>
                <w:color w:val="000000"/>
                <w:sz w:val="20"/>
                <w:szCs w:val="20"/>
                <w:lang w:eastAsia="es-MX"/>
              </w:rPr>
              <w:t>Obstáculos para la implementación</w:t>
            </w:r>
          </w:p>
        </w:tc>
        <w:tc>
          <w:tcPr>
            <w:tcW w:w="418" w:type="pct"/>
            <w:tcBorders>
              <w:top w:val="single" w:sz="4" w:space="0" w:color="auto"/>
            </w:tcBorders>
            <w:shd w:val="clear" w:color="auto" w:fill="auto"/>
            <w:noWrap/>
            <w:vAlign w:val="center"/>
            <w:hideMark/>
          </w:tcPr>
          <w:p w14:paraId="66F97A48" w14:textId="7777777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1</w:t>
            </w:r>
            <w:r>
              <w:rPr>
                <w:rFonts w:eastAsia="Times New Roman" w:cstheme="minorHAnsi"/>
                <w:color w:val="000000"/>
                <w:sz w:val="20"/>
                <w:szCs w:val="20"/>
                <w:lang w:eastAsia="es-MX"/>
              </w:rPr>
              <w:t>.00</w:t>
            </w:r>
          </w:p>
        </w:tc>
        <w:tc>
          <w:tcPr>
            <w:tcW w:w="3121" w:type="pct"/>
            <w:tcBorders>
              <w:top w:val="single" w:sz="4" w:space="0" w:color="auto"/>
            </w:tcBorders>
            <w:shd w:val="clear" w:color="auto" w:fill="auto"/>
            <w:vAlign w:val="center"/>
            <w:hideMark/>
          </w:tcPr>
          <w:p w14:paraId="0BD51997"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La creación del “Grupo de Trabajo” representa un mecanismo estratégico e institucional para la generación y/o administración de información sobre la operación del FAFEF, que contribuye a mejorar su desempeño, respecto a la identificación de las necesidades y priorización en la asignación de los recursos asignados al Fondo en la entidad para cada ejercicio fiscal, contribuyendo con esta medida a solventar las dificultades que enfrenta la operación del Fondo en materia de asignación y ejercicio de los recursos. Sin embargo, no existe un documento o manual de procedimiento que homologue los procesos inherentes a la planeación, asignación, ejecución y seguimiento del ejercicio de los recursos del Fondo en la entidad.</w:t>
            </w:r>
          </w:p>
        </w:tc>
      </w:tr>
      <w:tr w:rsidR="003E7FD4" w:rsidRPr="0018417F" w14:paraId="7E3DFA81" w14:textId="77777777" w:rsidTr="00507A8E">
        <w:trPr>
          <w:trHeight w:val="443"/>
        </w:trPr>
        <w:tc>
          <w:tcPr>
            <w:tcW w:w="1461" w:type="pct"/>
            <w:shd w:val="clear" w:color="auto" w:fill="auto"/>
            <w:vAlign w:val="center"/>
            <w:hideMark/>
          </w:tcPr>
          <w:p w14:paraId="7A8E6F27"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6. Complementariedades y coincidencias</w:t>
            </w:r>
            <w:r>
              <w:rPr>
                <w:rFonts w:eastAsia="Times New Roman" w:cstheme="minorHAnsi"/>
                <w:color w:val="000000"/>
                <w:sz w:val="20"/>
                <w:szCs w:val="20"/>
                <w:lang w:eastAsia="es-MX"/>
              </w:rPr>
              <w:t>.</w:t>
            </w:r>
          </w:p>
        </w:tc>
        <w:tc>
          <w:tcPr>
            <w:tcW w:w="418" w:type="pct"/>
            <w:shd w:val="clear" w:color="auto" w:fill="auto"/>
            <w:noWrap/>
            <w:vAlign w:val="center"/>
            <w:hideMark/>
          </w:tcPr>
          <w:p w14:paraId="454B11E5" w14:textId="77777777" w:rsidR="003E7FD4" w:rsidRPr="0018417F" w:rsidRDefault="003E7FD4" w:rsidP="008F58B0">
            <w:pPr>
              <w:spacing w:before="0" w:after="0"/>
              <w:jc w:val="center"/>
              <w:rPr>
                <w:rFonts w:eastAsia="Times New Roman" w:cstheme="minorHAnsi"/>
                <w:color w:val="000000"/>
                <w:sz w:val="20"/>
                <w:szCs w:val="20"/>
                <w:lang w:eastAsia="es-MX"/>
              </w:rPr>
            </w:pPr>
            <w:r w:rsidRPr="0018417F">
              <w:rPr>
                <w:rFonts w:eastAsia="Times New Roman" w:cstheme="minorHAnsi"/>
                <w:color w:val="000000"/>
                <w:sz w:val="20"/>
                <w:szCs w:val="20"/>
                <w:lang w:eastAsia="es-MX"/>
              </w:rPr>
              <w:t>NPVC</w:t>
            </w:r>
          </w:p>
        </w:tc>
        <w:tc>
          <w:tcPr>
            <w:tcW w:w="3121" w:type="pct"/>
            <w:shd w:val="clear" w:color="auto" w:fill="auto"/>
            <w:noWrap/>
            <w:vAlign w:val="center"/>
            <w:hideMark/>
          </w:tcPr>
          <w:p w14:paraId="6BFA593A" w14:textId="3BC68667" w:rsidR="003E7FD4" w:rsidRPr="0018417F" w:rsidRDefault="00011780" w:rsidP="008F58B0">
            <w:pPr>
              <w:spacing w:before="0" w:after="0"/>
              <w:rPr>
                <w:rFonts w:eastAsia="Times New Roman" w:cstheme="minorHAnsi"/>
                <w:color w:val="000000"/>
                <w:sz w:val="20"/>
                <w:szCs w:val="20"/>
                <w:lang w:eastAsia="es-MX"/>
              </w:rPr>
            </w:pPr>
            <w:r w:rsidRPr="00011780">
              <w:rPr>
                <w:rFonts w:eastAsia="Times New Roman" w:cstheme="minorHAnsi"/>
                <w:color w:val="000000"/>
                <w:sz w:val="20"/>
                <w:szCs w:val="20"/>
                <w:lang w:eastAsia="es-MX"/>
              </w:rPr>
              <w:t>Las preguntas 21 y 22 referentes al Módulo 6, no se valoran cuantitativamente</w:t>
            </w:r>
            <w:r>
              <w:rPr>
                <w:rFonts w:eastAsia="Times New Roman" w:cstheme="minorHAnsi"/>
                <w:color w:val="000000"/>
                <w:sz w:val="20"/>
                <w:szCs w:val="20"/>
                <w:lang w:eastAsia="es-MX"/>
              </w:rPr>
              <w:t>.</w:t>
            </w:r>
          </w:p>
        </w:tc>
      </w:tr>
      <w:tr w:rsidR="003E7FD4" w:rsidRPr="0018417F" w14:paraId="7CCE226F" w14:textId="77777777" w:rsidTr="00507A8E">
        <w:trPr>
          <w:trHeight w:val="1005"/>
        </w:trPr>
        <w:tc>
          <w:tcPr>
            <w:tcW w:w="1461" w:type="pct"/>
            <w:shd w:val="clear" w:color="auto" w:fill="auto"/>
            <w:vAlign w:val="center"/>
            <w:hideMark/>
          </w:tcPr>
          <w:p w14:paraId="2AC0318F" w14:textId="77777777" w:rsidR="003E7FD4" w:rsidRPr="003E7FD4" w:rsidRDefault="003E7FD4" w:rsidP="00507A8E">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7. </w:t>
            </w:r>
            <w:r w:rsidRPr="003E7FD4">
              <w:rPr>
                <w:rFonts w:eastAsia="Times New Roman" w:cstheme="minorHAnsi"/>
                <w:color w:val="000000"/>
                <w:sz w:val="20"/>
                <w:szCs w:val="20"/>
                <w:lang w:eastAsia="es-MX"/>
              </w:rPr>
              <w:t>Calidad de la información</w:t>
            </w:r>
          </w:p>
          <w:p w14:paraId="2A39F6D2" w14:textId="78F8A3B5" w:rsidR="003E7FD4" w:rsidRPr="003E7FD4" w:rsidRDefault="00507A8E" w:rsidP="00507A8E">
            <w:pPr>
              <w:spacing w:before="0" w:after="0"/>
              <w:ind w:left="351"/>
              <w:rPr>
                <w:rFonts w:eastAsia="Times New Roman" w:cstheme="minorHAnsi"/>
                <w:color w:val="000000"/>
                <w:sz w:val="20"/>
                <w:szCs w:val="20"/>
                <w:lang w:eastAsia="es-MX"/>
              </w:rPr>
            </w:pPr>
            <w:r>
              <w:rPr>
                <w:rFonts w:eastAsia="Times New Roman" w:cstheme="minorHAnsi"/>
                <w:color w:val="000000"/>
                <w:sz w:val="20"/>
                <w:szCs w:val="20"/>
                <w:lang w:eastAsia="es-MX"/>
              </w:rPr>
              <w:t>-</w:t>
            </w:r>
            <w:r w:rsidR="003E7FD4" w:rsidRPr="003E7FD4">
              <w:rPr>
                <w:rFonts w:eastAsia="Times New Roman" w:cstheme="minorHAnsi"/>
                <w:color w:val="000000"/>
                <w:sz w:val="20"/>
                <w:szCs w:val="20"/>
                <w:lang w:eastAsia="es-MX"/>
              </w:rPr>
              <w:t>Generación de información, rendición de cuentas y medición de resultados</w:t>
            </w:r>
          </w:p>
        </w:tc>
        <w:tc>
          <w:tcPr>
            <w:tcW w:w="418" w:type="pct"/>
            <w:shd w:val="clear" w:color="auto" w:fill="auto"/>
            <w:noWrap/>
            <w:vAlign w:val="center"/>
            <w:hideMark/>
          </w:tcPr>
          <w:p w14:paraId="0CBE8ECA" w14:textId="0B1A6630" w:rsidR="003E7FD4" w:rsidRPr="0018417F" w:rsidRDefault="00D173E1" w:rsidP="008F58B0">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0.42</w:t>
            </w:r>
          </w:p>
        </w:tc>
        <w:tc>
          <w:tcPr>
            <w:tcW w:w="3121" w:type="pct"/>
            <w:shd w:val="clear" w:color="auto" w:fill="auto"/>
            <w:noWrap/>
            <w:vAlign w:val="center"/>
            <w:hideMark/>
          </w:tcPr>
          <w:p w14:paraId="05788D37"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El Estado cuenta con mecanismos de transparencia y rendición de cuentas como el portal de transparencia presupuestaria, un mecanismo para el seguimiento de ASM. Sin embrago se enfatiza que los indicadores de la MIR federal no son de mucha utilidad para su uso específico en una entidad federativa, ya que no permiten identificar de manera particular los efectos del Fondo en población beneficiaria o atendida.</w:t>
            </w:r>
          </w:p>
        </w:tc>
      </w:tr>
      <w:tr w:rsidR="00DF0456" w:rsidRPr="0018417F" w14:paraId="7149CC13" w14:textId="77777777" w:rsidTr="00DF0456">
        <w:trPr>
          <w:trHeight w:val="395"/>
        </w:trPr>
        <w:tc>
          <w:tcPr>
            <w:tcW w:w="1461" w:type="pct"/>
            <w:shd w:val="clear" w:color="auto" w:fill="auto"/>
            <w:vAlign w:val="center"/>
          </w:tcPr>
          <w:p w14:paraId="7E5A1BC7" w14:textId="55E0A2A6" w:rsidR="00DF0456" w:rsidRDefault="00DF0456" w:rsidP="00DF0456">
            <w:pPr>
              <w:spacing w:before="0" w:after="0"/>
              <w:rPr>
                <w:rFonts w:eastAsia="Times New Roman" w:cstheme="minorHAnsi"/>
                <w:color w:val="000000"/>
                <w:sz w:val="20"/>
                <w:szCs w:val="20"/>
                <w:lang w:eastAsia="es-MX"/>
              </w:rPr>
            </w:pPr>
            <w:r w:rsidRPr="0021403C">
              <w:rPr>
                <w:rFonts w:eastAsia="Times New Roman" w:cstheme="minorHAnsi"/>
                <w:color w:val="000000"/>
                <w:sz w:val="20"/>
                <w:szCs w:val="20"/>
                <w:lang w:eastAsia="es-MX"/>
              </w:rPr>
              <w:t>Elementos adicionales (en su caso)</w:t>
            </w:r>
          </w:p>
        </w:tc>
        <w:tc>
          <w:tcPr>
            <w:tcW w:w="418" w:type="pct"/>
            <w:shd w:val="clear" w:color="auto" w:fill="auto"/>
            <w:noWrap/>
            <w:vAlign w:val="center"/>
          </w:tcPr>
          <w:p w14:paraId="61E892E3" w14:textId="25CCA90D" w:rsidR="00DF0456" w:rsidRPr="0018417F" w:rsidRDefault="00DF0456" w:rsidP="00DF0456">
            <w:pPr>
              <w:spacing w:before="0" w:after="0"/>
              <w:jc w:val="center"/>
              <w:rPr>
                <w:rFonts w:eastAsia="Times New Roman" w:cstheme="minorHAnsi"/>
                <w:color w:val="000000"/>
                <w:sz w:val="20"/>
                <w:szCs w:val="20"/>
                <w:lang w:eastAsia="es-MX"/>
              </w:rPr>
            </w:pPr>
            <w:r w:rsidRPr="00FC431E">
              <w:rPr>
                <w:rFonts w:eastAsia="Times New Roman" w:cstheme="minorHAnsi"/>
                <w:color w:val="000000"/>
                <w:sz w:val="20"/>
                <w:szCs w:val="20"/>
                <w:lang w:eastAsia="es-MX"/>
              </w:rPr>
              <w:t>-</w:t>
            </w:r>
          </w:p>
        </w:tc>
        <w:tc>
          <w:tcPr>
            <w:tcW w:w="3121" w:type="pct"/>
            <w:shd w:val="clear" w:color="auto" w:fill="auto"/>
            <w:noWrap/>
            <w:vAlign w:val="center"/>
          </w:tcPr>
          <w:p w14:paraId="3257E71B" w14:textId="377E1D08" w:rsidR="00DF0456" w:rsidRPr="0018417F" w:rsidRDefault="00DF0456" w:rsidP="00DF0456">
            <w:pPr>
              <w:spacing w:before="0" w:after="0"/>
              <w:rPr>
                <w:rFonts w:eastAsia="Times New Roman" w:cstheme="minorHAnsi"/>
                <w:color w:val="000000"/>
                <w:sz w:val="20"/>
                <w:szCs w:val="20"/>
                <w:lang w:eastAsia="es-MX"/>
              </w:rPr>
            </w:pPr>
            <w:r w:rsidRPr="00FC431E">
              <w:rPr>
                <w:rFonts w:eastAsia="Times New Roman" w:cstheme="minorHAnsi"/>
                <w:color w:val="000000"/>
                <w:sz w:val="20"/>
                <w:szCs w:val="20"/>
                <w:lang w:eastAsia="es-MX"/>
              </w:rPr>
              <w:t>-</w:t>
            </w:r>
          </w:p>
        </w:tc>
      </w:tr>
      <w:tr w:rsidR="003E7FD4" w:rsidRPr="0018417F" w14:paraId="21E670A1" w14:textId="77777777" w:rsidTr="00DF0456">
        <w:trPr>
          <w:trHeight w:val="315"/>
        </w:trPr>
        <w:tc>
          <w:tcPr>
            <w:tcW w:w="1461" w:type="pct"/>
            <w:shd w:val="clear" w:color="auto" w:fill="auto"/>
            <w:noWrap/>
            <w:vAlign w:val="center"/>
            <w:hideMark/>
          </w:tcPr>
          <w:p w14:paraId="0B0C0A04" w14:textId="5EA0191D" w:rsidR="003E7FD4" w:rsidRPr="0018417F" w:rsidRDefault="003E7FD4" w:rsidP="008F58B0">
            <w:pPr>
              <w:spacing w:before="0" w:after="0"/>
              <w:jc w:val="left"/>
              <w:rPr>
                <w:rFonts w:eastAsia="Times New Roman" w:cstheme="minorHAnsi"/>
                <w:b/>
                <w:bCs/>
                <w:color w:val="000000"/>
                <w:sz w:val="20"/>
                <w:szCs w:val="20"/>
                <w:lang w:eastAsia="es-MX"/>
              </w:rPr>
            </w:pPr>
            <w:r w:rsidRPr="0018417F">
              <w:rPr>
                <w:rFonts w:eastAsia="Times New Roman" w:cstheme="minorHAnsi"/>
                <w:b/>
                <w:bCs/>
                <w:color w:val="000000"/>
                <w:sz w:val="20"/>
                <w:szCs w:val="20"/>
                <w:lang w:eastAsia="es-MX"/>
              </w:rPr>
              <w:t xml:space="preserve">Valoración </w:t>
            </w:r>
            <w:r w:rsidR="00DF0456" w:rsidRPr="0018417F">
              <w:rPr>
                <w:rFonts w:eastAsia="Times New Roman" w:cstheme="minorHAnsi"/>
                <w:b/>
                <w:bCs/>
                <w:color w:val="000000"/>
                <w:sz w:val="20"/>
                <w:szCs w:val="20"/>
                <w:lang w:eastAsia="es-MX"/>
              </w:rPr>
              <w:t>Final</w:t>
            </w:r>
          </w:p>
        </w:tc>
        <w:tc>
          <w:tcPr>
            <w:tcW w:w="418" w:type="pct"/>
            <w:shd w:val="clear" w:color="auto" w:fill="auto"/>
            <w:noWrap/>
            <w:vAlign w:val="center"/>
            <w:hideMark/>
          </w:tcPr>
          <w:p w14:paraId="67E90182" w14:textId="4153EDDC" w:rsidR="003E7FD4" w:rsidRPr="0018417F" w:rsidRDefault="003E7FD4" w:rsidP="008F58B0">
            <w:pPr>
              <w:spacing w:before="0" w:after="0"/>
              <w:jc w:val="center"/>
              <w:rPr>
                <w:rFonts w:eastAsia="Times New Roman" w:cstheme="minorHAnsi"/>
                <w:b/>
                <w:bCs/>
                <w:color w:val="000000"/>
                <w:sz w:val="20"/>
                <w:szCs w:val="20"/>
                <w:lang w:eastAsia="es-MX"/>
              </w:rPr>
            </w:pPr>
            <w:r w:rsidRPr="0018417F">
              <w:rPr>
                <w:rFonts w:eastAsia="Times New Roman" w:cstheme="minorHAnsi"/>
                <w:b/>
                <w:bCs/>
                <w:color w:val="000000"/>
                <w:sz w:val="20"/>
                <w:szCs w:val="20"/>
                <w:lang w:eastAsia="es-MX"/>
              </w:rPr>
              <w:t>0.</w:t>
            </w:r>
            <w:r w:rsidR="00D173E1">
              <w:rPr>
                <w:rFonts w:eastAsia="Times New Roman" w:cstheme="minorHAnsi"/>
                <w:b/>
                <w:bCs/>
                <w:color w:val="000000"/>
                <w:sz w:val="20"/>
                <w:szCs w:val="20"/>
                <w:lang w:eastAsia="es-MX"/>
              </w:rPr>
              <w:t>48</w:t>
            </w:r>
          </w:p>
        </w:tc>
        <w:tc>
          <w:tcPr>
            <w:tcW w:w="3121" w:type="pct"/>
            <w:shd w:val="clear" w:color="auto" w:fill="auto"/>
            <w:noWrap/>
            <w:vAlign w:val="center"/>
            <w:hideMark/>
          </w:tcPr>
          <w:p w14:paraId="70EBD20F" w14:textId="77777777" w:rsidR="003E7FD4" w:rsidRPr="0018417F" w:rsidRDefault="003E7FD4" w:rsidP="008F58B0">
            <w:pPr>
              <w:spacing w:before="0" w:after="0"/>
              <w:rPr>
                <w:rFonts w:eastAsia="Times New Roman" w:cstheme="minorHAnsi"/>
                <w:color w:val="000000"/>
                <w:sz w:val="20"/>
                <w:szCs w:val="20"/>
                <w:lang w:eastAsia="es-MX"/>
              </w:rPr>
            </w:pPr>
            <w:r w:rsidRPr="0018417F">
              <w:rPr>
                <w:rFonts w:eastAsia="Times New Roman" w:cstheme="minorHAnsi"/>
                <w:color w:val="000000"/>
                <w:sz w:val="20"/>
                <w:szCs w:val="20"/>
                <w:lang w:eastAsia="es-MX"/>
              </w:rPr>
              <w:t> </w:t>
            </w:r>
          </w:p>
        </w:tc>
      </w:tr>
    </w:tbl>
    <w:p w14:paraId="5C95B1C5" w14:textId="1B7EC3A3" w:rsidR="00B96A63" w:rsidRDefault="00B96A63" w:rsidP="00AA562B">
      <w:pPr>
        <w:spacing w:before="0" w:after="160" w:line="259" w:lineRule="auto"/>
        <w:jc w:val="left"/>
        <w:rPr>
          <w:rFonts w:ascii="Calibri" w:eastAsia="Times New Roman" w:hAnsi="Calibri"/>
          <w:color w:val="000000"/>
          <w:lang w:eastAsia="es-MX"/>
        </w:rPr>
      </w:pPr>
      <w:r>
        <w:rPr>
          <w:rFonts w:ascii="Calibri" w:eastAsia="Times New Roman" w:hAnsi="Calibri"/>
          <w:color w:val="000000"/>
          <w:lang w:eastAsia="es-MX"/>
        </w:rPr>
        <w:t xml:space="preserve">Nota: </w:t>
      </w:r>
      <w:r w:rsidR="00AA562B">
        <w:rPr>
          <w:rFonts w:ascii="Calibri" w:eastAsia="Times New Roman" w:hAnsi="Calibri"/>
          <w:color w:val="000000"/>
          <w:lang w:eastAsia="es-MX"/>
        </w:rPr>
        <w:t>*</w:t>
      </w:r>
      <w:r>
        <w:rPr>
          <w:rFonts w:ascii="Calibri" w:eastAsia="Times New Roman" w:hAnsi="Calibri"/>
          <w:color w:val="000000"/>
          <w:lang w:eastAsia="es-MX"/>
        </w:rPr>
        <w:t xml:space="preserve">NPVC: </w:t>
      </w:r>
      <w:r w:rsidR="00AA562B">
        <w:rPr>
          <w:rFonts w:ascii="Calibri" w:eastAsia="Times New Roman" w:hAnsi="Calibri"/>
          <w:color w:val="000000"/>
          <w:lang w:eastAsia="es-MX"/>
        </w:rPr>
        <w:t>No procede valoración cuantitativa.</w:t>
      </w:r>
    </w:p>
    <w:p w14:paraId="64A4D7DF" w14:textId="240D65E0" w:rsidR="00B96A63" w:rsidRDefault="00B96A63" w:rsidP="00B96A63">
      <w:pPr>
        <w:spacing w:before="0" w:after="160" w:line="259" w:lineRule="auto"/>
        <w:jc w:val="left"/>
        <w:rPr>
          <w:rFonts w:ascii="Calibri" w:eastAsia="Times New Roman" w:hAnsi="Calibri"/>
          <w:color w:val="000000"/>
          <w:lang w:eastAsia="es-MX"/>
        </w:rPr>
      </w:pPr>
      <w:r w:rsidRPr="00B96A63">
        <w:rPr>
          <w:rFonts w:ascii="Calibri" w:eastAsia="Times New Roman" w:hAnsi="Calibri"/>
          <w:color w:val="000000"/>
          <w:lang w:eastAsia="es-MX"/>
        </w:rPr>
        <w:t>Se anexa archivo</w:t>
      </w:r>
      <w:r w:rsidR="00496B4C">
        <w:rPr>
          <w:rFonts w:ascii="Calibri" w:eastAsia="Times New Roman" w:hAnsi="Calibri"/>
          <w:color w:val="000000"/>
          <w:lang w:eastAsia="es-MX"/>
        </w:rPr>
        <w:t xml:space="preserve"> en Excel</w:t>
      </w:r>
      <w:r w:rsidRPr="00B96A63">
        <w:rPr>
          <w:rFonts w:ascii="Calibri" w:eastAsia="Times New Roman" w:hAnsi="Calibri"/>
          <w:color w:val="000000"/>
          <w:lang w:eastAsia="es-MX"/>
        </w:rPr>
        <w:t>.</w:t>
      </w:r>
    </w:p>
    <w:p w14:paraId="2D79C30F" w14:textId="77777777" w:rsidR="00E46FC8" w:rsidRDefault="00E46FC8" w:rsidP="00AA562B">
      <w:pPr>
        <w:spacing w:before="0" w:after="160" w:line="259" w:lineRule="auto"/>
        <w:jc w:val="left"/>
        <w:rPr>
          <w:rFonts w:ascii="Calibri" w:eastAsia="Times New Roman" w:hAnsi="Calibri"/>
          <w:color w:val="000000"/>
          <w:lang w:eastAsia="es-MX"/>
        </w:rPr>
        <w:sectPr w:rsidR="00E46FC8" w:rsidSect="00BE7251">
          <w:headerReference w:type="default" r:id="rId52"/>
          <w:footerReference w:type="default" r:id="rId53"/>
          <w:pgSz w:w="15840" w:h="12240" w:orient="landscape" w:code="1"/>
          <w:pgMar w:top="1134" w:right="1134" w:bottom="1134" w:left="1134" w:header="709" w:footer="709" w:gutter="0"/>
          <w:cols w:space="708"/>
          <w:docGrid w:linePitch="360"/>
        </w:sectPr>
      </w:pPr>
    </w:p>
    <w:p w14:paraId="0C5C9754" w14:textId="71ABA9C0" w:rsidR="007951A9" w:rsidRDefault="00DB11D4" w:rsidP="007951A9">
      <w:pPr>
        <w:pStyle w:val="Descripcin"/>
        <w:spacing w:before="120" w:after="360"/>
        <w:jc w:val="center"/>
        <w:rPr>
          <w:b/>
          <w:bCs/>
          <w:i w:val="0"/>
          <w:iCs w:val="0"/>
          <w:sz w:val="22"/>
          <w:szCs w:val="22"/>
        </w:rPr>
      </w:pPr>
      <w:bookmarkStart w:id="203" w:name="_Toc42577610"/>
      <w:r w:rsidRPr="007951A9">
        <w:rPr>
          <w:b/>
          <w:bCs/>
          <w:i w:val="0"/>
          <w:iCs w:val="0"/>
          <w:sz w:val="22"/>
          <w:szCs w:val="22"/>
        </w:rPr>
        <w:lastRenderedPageBreak/>
        <w:t>Gráfica</w:t>
      </w:r>
      <w:bookmarkEnd w:id="203"/>
      <w:r w:rsidR="000267E5" w:rsidRPr="007951A9">
        <w:rPr>
          <w:b/>
          <w:bCs/>
          <w:i w:val="0"/>
          <w:iCs w:val="0"/>
          <w:sz w:val="22"/>
          <w:szCs w:val="22"/>
        </w:rPr>
        <w:t>. Valoración final cuantitativa del Fondo</w:t>
      </w:r>
    </w:p>
    <w:p w14:paraId="619C2123" w14:textId="07107A42" w:rsidR="00501489" w:rsidRDefault="00501489" w:rsidP="00501489">
      <w:r>
        <w:rPr>
          <w:noProof/>
          <w:lang w:eastAsia="es-MX"/>
        </w:rPr>
        <w:drawing>
          <wp:inline distT="0" distB="0" distL="0" distR="0" wp14:anchorId="1E2EDBBE" wp14:editId="13376047">
            <wp:extent cx="6305550" cy="6188149"/>
            <wp:effectExtent l="0" t="0" r="0" b="3175"/>
            <wp:docPr id="15" name="Gráfico 15">
              <a:extLst xmlns:a="http://schemas.openxmlformats.org/drawingml/2006/main">
                <a:ext uri="{FF2B5EF4-FFF2-40B4-BE49-F238E27FC236}">
                  <a16:creationId xmlns:a16="http://schemas.microsoft.com/office/drawing/2014/main" id="{B65CD06C-6BD9-4090-B9BF-A03CFC9B56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72C3AC7" w14:textId="77777777" w:rsidR="00501489" w:rsidRPr="00501489" w:rsidRDefault="00501489" w:rsidP="00501489"/>
    <w:p w14:paraId="1F17C89C" w14:textId="5E644A01" w:rsidR="00B853FF" w:rsidRPr="00113F95" w:rsidRDefault="00113F95" w:rsidP="00776AB6">
      <w:pPr>
        <w:spacing w:after="360"/>
        <w:jc w:val="center"/>
        <w:rPr>
          <w:rFonts w:ascii="Calibri" w:eastAsia="Times New Roman" w:hAnsi="Calibri"/>
          <w:b/>
          <w:bCs/>
          <w:color w:val="000000"/>
          <w:lang w:eastAsia="es-MX"/>
        </w:rPr>
      </w:pPr>
      <w:r w:rsidRPr="00113F95">
        <w:rPr>
          <w:rFonts w:ascii="Calibri" w:eastAsia="Times New Roman" w:hAnsi="Calibri"/>
          <w:b/>
          <w:bCs/>
          <w:color w:val="000000"/>
          <w:lang w:eastAsia="es-MX"/>
        </w:rPr>
        <w:t xml:space="preserve">Valoración final: </w:t>
      </w:r>
      <w:r w:rsidR="006C0E7A">
        <w:rPr>
          <w:rFonts w:ascii="Calibri" w:eastAsia="Times New Roman" w:hAnsi="Calibri"/>
          <w:b/>
          <w:bCs/>
          <w:color w:val="000000"/>
          <w:lang w:eastAsia="es-MX"/>
        </w:rPr>
        <w:t>0.</w:t>
      </w:r>
      <w:r w:rsidR="00501489">
        <w:rPr>
          <w:rFonts w:ascii="Calibri" w:eastAsia="Times New Roman" w:hAnsi="Calibri"/>
          <w:b/>
          <w:bCs/>
          <w:color w:val="000000"/>
          <w:lang w:eastAsia="es-MX"/>
        </w:rPr>
        <w:t>48</w:t>
      </w:r>
    </w:p>
    <w:p w14:paraId="63A74A98" w14:textId="3A11E542" w:rsidR="00C3299F" w:rsidRDefault="00603709" w:rsidP="00603709">
      <w:pPr>
        <w:spacing w:before="0" w:after="160" w:line="259" w:lineRule="auto"/>
        <w:rPr>
          <w:rFonts w:ascii="Calibri" w:eastAsia="Times New Roman" w:hAnsi="Calibri"/>
          <w:color w:val="000000"/>
          <w:sz w:val="18"/>
          <w:szCs w:val="18"/>
          <w:lang w:eastAsia="es-MX"/>
        </w:rPr>
      </w:pPr>
      <w:r w:rsidRPr="005D22BC">
        <w:rPr>
          <w:rFonts w:ascii="Calibri" w:eastAsia="Times New Roman" w:hAnsi="Calibri"/>
          <w:color w:val="000000"/>
          <w:sz w:val="18"/>
          <w:szCs w:val="18"/>
          <w:lang w:eastAsia="es-MX"/>
        </w:rPr>
        <w:t>Nota: De acuerdo con el Modelo de Términos de Referencia para la Evaluación Estratégica al FAFEF, ámbito estatal 2018, no procede la valoración cuantitativa en los Módulos 4. Alineación del Fondo a la Planeación Nacional y a los Objetivos de Desarrollo Sostenible (Preguntas 13 y 14) y 6. Complementariedades y coincidencias (Preguntas 21 y 22).</w:t>
      </w:r>
    </w:p>
    <w:p w14:paraId="3A09DFA9" w14:textId="77777777" w:rsidR="0043585F" w:rsidRDefault="0043585F">
      <w:pPr>
        <w:spacing w:before="0" w:after="160" w:line="259" w:lineRule="auto"/>
        <w:jc w:val="left"/>
        <w:rPr>
          <w:b/>
          <w:iCs/>
        </w:rPr>
      </w:pPr>
      <w:bookmarkStart w:id="204" w:name="_Toc47933877"/>
      <w:bookmarkStart w:id="205" w:name="_Toc51291537"/>
      <w:bookmarkStart w:id="206" w:name="_Toc55411216"/>
      <w:bookmarkStart w:id="207" w:name="_Toc55580115"/>
      <w:r>
        <w:br w:type="page"/>
      </w:r>
    </w:p>
    <w:p w14:paraId="4F0BA4B0" w14:textId="78644722" w:rsidR="00EE2253" w:rsidRPr="00B11F24" w:rsidRDefault="00EE2253" w:rsidP="005B684A">
      <w:pPr>
        <w:pStyle w:val="Anexo"/>
      </w:pPr>
      <w:bookmarkStart w:id="208" w:name="_Toc56496640"/>
      <w:bookmarkStart w:id="209" w:name="_Toc61633666"/>
      <w:r w:rsidRPr="00B11F24">
        <w:lastRenderedPageBreak/>
        <w:t>Anexo 11</w:t>
      </w:r>
      <w:r w:rsidR="008D5E7C">
        <w:t xml:space="preserve">. </w:t>
      </w:r>
      <w:r w:rsidRPr="00B11F24">
        <w:t>Ficha Técnica con los datos generales de la evaluación.</w:t>
      </w:r>
      <w:bookmarkEnd w:id="204"/>
      <w:bookmarkEnd w:id="205"/>
      <w:bookmarkEnd w:id="206"/>
      <w:bookmarkEnd w:id="207"/>
      <w:bookmarkEnd w:id="208"/>
      <w:bookmarkEnd w:id="209"/>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42"/>
        <w:gridCol w:w="5369"/>
      </w:tblGrid>
      <w:tr w:rsidR="00706847" w:rsidRPr="00776AF2" w14:paraId="6A452809" w14:textId="77777777" w:rsidTr="006A22F0">
        <w:trPr>
          <w:trHeight w:val="659"/>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7AC2C2A2" w14:textId="77777777" w:rsidR="00706847" w:rsidRPr="00776AF2" w:rsidRDefault="00706847">
            <w:pPr>
              <w:spacing w:before="0" w:after="0" w:line="256" w:lineRule="auto"/>
              <w:rPr>
                <w:rFonts w:cstheme="minorHAnsi"/>
                <w:b/>
                <w:bCs/>
                <w:sz w:val="20"/>
                <w:szCs w:val="20"/>
                <w:lang w:eastAsia="es-MX"/>
              </w:rPr>
            </w:pPr>
            <w:bookmarkStart w:id="210" w:name="_Toc490179733"/>
            <w:r w:rsidRPr="00776AF2">
              <w:rPr>
                <w:rFonts w:cstheme="minorHAnsi"/>
                <w:b/>
                <w:bCs/>
                <w:sz w:val="20"/>
                <w:szCs w:val="20"/>
                <w:lang w:eastAsia="es-MX"/>
              </w:rPr>
              <w:t>Nombre o denominación de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1CB1C0FB" w14:textId="07344E11" w:rsidR="00706847" w:rsidRPr="00776AF2" w:rsidRDefault="00EE4A60">
            <w:pPr>
              <w:tabs>
                <w:tab w:val="left" w:pos="2268"/>
              </w:tabs>
              <w:spacing w:before="0" w:after="0" w:line="256" w:lineRule="auto"/>
              <w:rPr>
                <w:rFonts w:cstheme="minorHAnsi"/>
                <w:bCs/>
                <w:sz w:val="20"/>
                <w:szCs w:val="20"/>
              </w:rPr>
            </w:pPr>
            <w:r w:rsidRPr="00EE4A60">
              <w:rPr>
                <w:rFonts w:cstheme="minorHAnsi"/>
                <w:bCs/>
                <w:sz w:val="20"/>
                <w:szCs w:val="20"/>
              </w:rPr>
              <w:t xml:space="preserve">Evaluación Estratégica </w:t>
            </w:r>
            <w:r w:rsidR="00C50815" w:rsidRPr="00EE4A60">
              <w:rPr>
                <w:rFonts w:cstheme="minorHAnsi"/>
                <w:bCs/>
                <w:sz w:val="20"/>
                <w:szCs w:val="20"/>
              </w:rPr>
              <w:t xml:space="preserve">al </w:t>
            </w:r>
            <w:r w:rsidRPr="00EE4A60">
              <w:rPr>
                <w:rFonts w:cstheme="minorHAnsi"/>
                <w:bCs/>
                <w:sz w:val="20"/>
                <w:szCs w:val="20"/>
              </w:rPr>
              <w:t xml:space="preserve">Fondo </w:t>
            </w:r>
            <w:r w:rsidR="00C50815" w:rsidRPr="00EE4A60">
              <w:rPr>
                <w:rFonts w:cstheme="minorHAnsi"/>
                <w:bCs/>
                <w:sz w:val="20"/>
                <w:szCs w:val="20"/>
              </w:rPr>
              <w:t xml:space="preserve">de </w:t>
            </w:r>
            <w:r w:rsidRPr="00EE4A60">
              <w:rPr>
                <w:rFonts w:cstheme="minorHAnsi"/>
                <w:bCs/>
                <w:sz w:val="20"/>
                <w:szCs w:val="20"/>
              </w:rPr>
              <w:t xml:space="preserve">Aportaciones </w:t>
            </w:r>
            <w:r w:rsidR="00C50815" w:rsidRPr="00EE4A60">
              <w:rPr>
                <w:rFonts w:cstheme="minorHAnsi"/>
                <w:bCs/>
                <w:sz w:val="20"/>
                <w:szCs w:val="20"/>
              </w:rPr>
              <w:t xml:space="preserve">para el </w:t>
            </w:r>
            <w:r w:rsidRPr="00EE4A60">
              <w:rPr>
                <w:rFonts w:cstheme="minorHAnsi"/>
                <w:bCs/>
                <w:sz w:val="20"/>
                <w:szCs w:val="20"/>
              </w:rPr>
              <w:t xml:space="preserve">Fortalecimiento </w:t>
            </w:r>
            <w:r w:rsidR="00C50815" w:rsidRPr="00EE4A60">
              <w:rPr>
                <w:rFonts w:cstheme="minorHAnsi"/>
                <w:bCs/>
                <w:sz w:val="20"/>
                <w:szCs w:val="20"/>
              </w:rPr>
              <w:t xml:space="preserve">de las </w:t>
            </w:r>
            <w:r w:rsidRPr="00EE4A60">
              <w:rPr>
                <w:rFonts w:cstheme="minorHAnsi"/>
                <w:bCs/>
                <w:sz w:val="20"/>
                <w:szCs w:val="20"/>
              </w:rPr>
              <w:t>Entidades Federativas (</w:t>
            </w:r>
            <w:r w:rsidR="00C50815" w:rsidRPr="00EE4A60">
              <w:rPr>
                <w:rFonts w:cstheme="minorHAnsi"/>
                <w:bCs/>
                <w:sz w:val="20"/>
                <w:szCs w:val="20"/>
              </w:rPr>
              <w:t>FAFEF</w:t>
            </w:r>
            <w:r w:rsidRPr="00EE4A60">
              <w:rPr>
                <w:rFonts w:cstheme="minorHAnsi"/>
                <w:bCs/>
                <w:sz w:val="20"/>
                <w:szCs w:val="20"/>
              </w:rPr>
              <w:t xml:space="preserve">) </w:t>
            </w:r>
            <w:r w:rsidR="00C50815" w:rsidRPr="00EE4A60">
              <w:rPr>
                <w:rFonts w:cstheme="minorHAnsi"/>
                <w:bCs/>
                <w:sz w:val="20"/>
                <w:szCs w:val="20"/>
              </w:rPr>
              <w:t xml:space="preserve">en el </w:t>
            </w:r>
            <w:r w:rsidRPr="00EE4A60">
              <w:rPr>
                <w:rFonts w:cstheme="minorHAnsi"/>
                <w:bCs/>
                <w:sz w:val="20"/>
                <w:szCs w:val="20"/>
              </w:rPr>
              <w:t xml:space="preserve">Ámbito Estatal </w:t>
            </w:r>
            <w:r w:rsidR="00C50815" w:rsidRPr="00EE4A60">
              <w:rPr>
                <w:rFonts w:cstheme="minorHAnsi"/>
                <w:bCs/>
                <w:sz w:val="20"/>
                <w:szCs w:val="20"/>
              </w:rPr>
              <w:t xml:space="preserve">para </w:t>
            </w:r>
            <w:r w:rsidRPr="00EE4A60">
              <w:rPr>
                <w:rFonts w:cstheme="minorHAnsi"/>
                <w:bCs/>
                <w:sz w:val="20"/>
                <w:szCs w:val="20"/>
              </w:rPr>
              <w:t xml:space="preserve">Tamaulipas, </w:t>
            </w:r>
            <w:r w:rsidR="00C50815" w:rsidRPr="00EE4A60">
              <w:rPr>
                <w:rFonts w:cstheme="minorHAnsi"/>
                <w:bCs/>
                <w:sz w:val="20"/>
                <w:szCs w:val="20"/>
              </w:rPr>
              <w:t xml:space="preserve">en el </w:t>
            </w:r>
            <w:r w:rsidR="00C50815">
              <w:rPr>
                <w:rFonts w:cstheme="minorHAnsi"/>
                <w:bCs/>
                <w:sz w:val="20"/>
                <w:szCs w:val="20"/>
              </w:rPr>
              <w:t>m</w:t>
            </w:r>
            <w:r w:rsidRPr="00EE4A60">
              <w:rPr>
                <w:rFonts w:cstheme="minorHAnsi"/>
                <w:bCs/>
                <w:sz w:val="20"/>
                <w:szCs w:val="20"/>
              </w:rPr>
              <w:t xml:space="preserve">arco </w:t>
            </w:r>
            <w:r w:rsidR="00C50815" w:rsidRPr="00EE4A60">
              <w:rPr>
                <w:rFonts w:cstheme="minorHAnsi"/>
                <w:bCs/>
                <w:sz w:val="20"/>
                <w:szCs w:val="20"/>
              </w:rPr>
              <w:t xml:space="preserve">del PAE </w:t>
            </w:r>
            <w:r w:rsidRPr="00EE4A60">
              <w:rPr>
                <w:rFonts w:cstheme="minorHAnsi"/>
                <w:bCs/>
                <w:sz w:val="20"/>
                <w:szCs w:val="20"/>
              </w:rPr>
              <w:t>2018</w:t>
            </w:r>
          </w:p>
        </w:tc>
      </w:tr>
      <w:tr w:rsidR="00706847" w:rsidRPr="00776AF2" w14:paraId="0AD7563E" w14:textId="77777777" w:rsidTr="006A22F0">
        <w:trPr>
          <w:trHeight w:val="272"/>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7A1DCCB7" w14:textId="77777777" w:rsidR="00706847" w:rsidRPr="00776AF2" w:rsidRDefault="00706847">
            <w:pPr>
              <w:spacing w:before="0" w:after="0" w:line="256" w:lineRule="auto"/>
              <w:rPr>
                <w:rFonts w:cstheme="minorHAnsi"/>
                <w:b/>
                <w:bCs/>
                <w:sz w:val="20"/>
                <w:szCs w:val="20"/>
                <w:lang w:eastAsia="es-MX"/>
              </w:rPr>
            </w:pPr>
            <w:r w:rsidRPr="00776AF2">
              <w:rPr>
                <w:rFonts w:cstheme="minorHAnsi"/>
                <w:b/>
                <w:bCs/>
                <w:sz w:val="20"/>
                <w:szCs w:val="20"/>
                <w:lang w:eastAsia="es-MX"/>
              </w:rPr>
              <w:t xml:space="preserve">Nombre o denominación del Fondo </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4437473" w14:textId="77777777" w:rsidR="00706847" w:rsidRPr="00776AF2" w:rsidRDefault="00706847">
            <w:pPr>
              <w:tabs>
                <w:tab w:val="left" w:pos="2268"/>
              </w:tabs>
              <w:spacing w:before="0" w:after="0" w:line="256" w:lineRule="auto"/>
              <w:rPr>
                <w:rFonts w:cstheme="minorHAnsi"/>
                <w:bCs/>
                <w:sz w:val="20"/>
                <w:szCs w:val="20"/>
              </w:rPr>
            </w:pPr>
            <w:r w:rsidRPr="00776AF2">
              <w:rPr>
                <w:rFonts w:cstheme="minorHAnsi"/>
                <w:bCs/>
                <w:sz w:val="20"/>
                <w:szCs w:val="20"/>
              </w:rPr>
              <w:t>Ramo 33, modalidad I-Gasto federalizado y Clave Presupuestaria I012 Fondo de Aportaciones para el Fortalecimiento de las Entidades Federativas (FAFEF)</w:t>
            </w:r>
          </w:p>
        </w:tc>
      </w:tr>
      <w:tr w:rsidR="00706847" w:rsidRPr="00776AF2" w14:paraId="027E7926" w14:textId="77777777" w:rsidTr="006A22F0">
        <w:trPr>
          <w:trHeight w:val="214"/>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021442AC" w14:textId="77777777" w:rsidR="00706847" w:rsidRPr="00776AF2" w:rsidRDefault="00706847">
            <w:pPr>
              <w:spacing w:before="0" w:after="0" w:line="256" w:lineRule="auto"/>
              <w:rPr>
                <w:rFonts w:cstheme="minorHAnsi"/>
                <w:b/>
                <w:bCs/>
                <w:sz w:val="20"/>
                <w:szCs w:val="20"/>
                <w:lang w:eastAsia="es-MX"/>
              </w:rPr>
            </w:pPr>
            <w:r w:rsidRPr="00776AF2">
              <w:rPr>
                <w:rFonts w:cstheme="minorHAnsi"/>
                <w:b/>
                <w:bCs/>
                <w:sz w:val="20"/>
                <w:szCs w:val="20"/>
                <w:lang w:eastAsia="es-MX"/>
              </w:rPr>
              <w:t>Dependencia Coordinadora del Fondo</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5E4E7229" w14:textId="77777777" w:rsidR="00706847" w:rsidRPr="00776AF2" w:rsidRDefault="00706847">
            <w:pPr>
              <w:autoSpaceDE w:val="0"/>
              <w:autoSpaceDN w:val="0"/>
              <w:adjustRightInd w:val="0"/>
              <w:snapToGrid w:val="0"/>
              <w:spacing w:before="0" w:after="0" w:line="256" w:lineRule="auto"/>
              <w:rPr>
                <w:rFonts w:cstheme="minorHAnsi"/>
                <w:bCs/>
                <w:sz w:val="20"/>
                <w:szCs w:val="20"/>
              </w:rPr>
            </w:pPr>
            <w:r w:rsidRPr="00776AF2">
              <w:rPr>
                <w:rFonts w:cstheme="minorHAnsi"/>
                <w:bCs/>
                <w:sz w:val="20"/>
                <w:szCs w:val="20"/>
              </w:rPr>
              <w:t xml:space="preserve">Secretaría de Hacienda y Crédito Público (SHCP) </w:t>
            </w:r>
          </w:p>
        </w:tc>
      </w:tr>
      <w:tr w:rsidR="00706847" w:rsidRPr="00776AF2" w14:paraId="5825D71D" w14:textId="77777777" w:rsidTr="006A22F0">
        <w:trPr>
          <w:trHeight w:val="488"/>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8FA60A6"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 xml:space="preserve">Unidad(es) Responsable(s) de la coordinación del Fondo </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85AA2D6" w14:textId="77777777" w:rsidR="00706847" w:rsidRPr="00776AF2" w:rsidRDefault="00706847">
            <w:pPr>
              <w:shd w:val="clear" w:color="auto" w:fill="FFFFFF"/>
              <w:spacing w:before="0" w:after="0" w:line="256" w:lineRule="auto"/>
              <w:textAlignment w:val="center"/>
              <w:rPr>
                <w:rFonts w:cstheme="minorHAnsi"/>
                <w:i/>
                <w:iCs/>
                <w:sz w:val="20"/>
                <w:szCs w:val="20"/>
                <w:shd w:val="clear" w:color="auto" w:fill="F2F2F2"/>
                <w:lang w:val="es-ES"/>
              </w:rPr>
            </w:pPr>
            <w:r w:rsidRPr="00776AF2">
              <w:rPr>
                <w:rFonts w:cstheme="minorHAnsi"/>
                <w:bCs/>
                <w:sz w:val="20"/>
                <w:szCs w:val="20"/>
              </w:rPr>
              <w:t>Dirección General de Programación y Presupuesto “A” (DGPYP “A”)</w:t>
            </w:r>
          </w:p>
        </w:tc>
      </w:tr>
      <w:tr w:rsidR="00706847" w:rsidRPr="00776AF2" w14:paraId="4DCE6CB0" w14:textId="77777777" w:rsidTr="006A22F0">
        <w:trPr>
          <w:trHeight w:val="272"/>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EBA588A"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Titular(es) de la(s) unidad(es) responsable(s) de la coordinación del Fondo</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0DE37A48" w14:textId="77777777" w:rsidR="00706847" w:rsidRPr="00776AF2" w:rsidRDefault="00706847">
            <w:pPr>
              <w:shd w:val="clear" w:color="auto" w:fill="FFFFFF"/>
              <w:spacing w:before="0" w:after="0" w:line="256" w:lineRule="auto"/>
              <w:textAlignment w:val="center"/>
              <w:rPr>
                <w:rFonts w:cstheme="minorHAnsi"/>
                <w:bCs/>
                <w:sz w:val="20"/>
                <w:szCs w:val="20"/>
              </w:rPr>
            </w:pPr>
            <w:r w:rsidRPr="00776AF2">
              <w:rPr>
                <w:rFonts w:cstheme="minorHAnsi"/>
                <w:bCs/>
                <w:sz w:val="20"/>
                <w:szCs w:val="20"/>
              </w:rPr>
              <w:t>Omar Antonio Nicolás Tovar Ornelas</w:t>
            </w:r>
          </w:p>
          <w:p w14:paraId="6AD6CEF5" w14:textId="77777777" w:rsidR="00706847" w:rsidRPr="00776AF2" w:rsidRDefault="00706847">
            <w:pPr>
              <w:shd w:val="clear" w:color="auto" w:fill="FFFFFF"/>
              <w:spacing w:before="0" w:after="0" w:line="256" w:lineRule="auto"/>
              <w:textAlignment w:val="center"/>
              <w:rPr>
                <w:rFonts w:cstheme="minorHAnsi"/>
                <w:sz w:val="20"/>
                <w:szCs w:val="20"/>
                <w:shd w:val="clear" w:color="auto" w:fill="F2F2F2"/>
                <w:lang w:val="es-ES"/>
              </w:rPr>
            </w:pPr>
            <w:r w:rsidRPr="00776AF2">
              <w:rPr>
                <w:rFonts w:cstheme="minorHAnsi"/>
                <w:bCs/>
                <w:sz w:val="20"/>
                <w:szCs w:val="20"/>
              </w:rPr>
              <w:t>Titular de la Dirección General de Programación y Presupuesto “A” (DGPYP “A”)</w:t>
            </w:r>
          </w:p>
        </w:tc>
      </w:tr>
      <w:tr w:rsidR="00706847" w:rsidRPr="00776AF2" w14:paraId="6F1CD786" w14:textId="77777777" w:rsidTr="006A22F0">
        <w:trPr>
          <w:trHeight w:val="492"/>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032C7422"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Año del Programa Anual de Evaluación (PAE) en que fue considerada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5B6FE7CF" w14:textId="77777777" w:rsidR="00706847" w:rsidRPr="00776AF2" w:rsidRDefault="00706847">
            <w:pPr>
              <w:shd w:val="clear" w:color="auto" w:fill="FFFFFF"/>
              <w:spacing w:before="0" w:after="0" w:line="256" w:lineRule="auto"/>
              <w:textAlignment w:val="center"/>
              <w:rPr>
                <w:rFonts w:cstheme="minorHAnsi"/>
                <w:sz w:val="20"/>
                <w:szCs w:val="20"/>
                <w:shd w:val="clear" w:color="auto" w:fill="F2F2F2"/>
                <w:lang w:val="es-ES"/>
              </w:rPr>
            </w:pPr>
            <w:r w:rsidRPr="00776AF2">
              <w:rPr>
                <w:rFonts w:cstheme="minorHAnsi"/>
                <w:bCs/>
                <w:sz w:val="20"/>
                <w:szCs w:val="20"/>
              </w:rPr>
              <w:t>PAE 2018</w:t>
            </w:r>
          </w:p>
        </w:tc>
      </w:tr>
      <w:tr w:rsidR="00706847" w:rsidRPr="00776AF2" w14:paraId="0DEF3E9A" w14:textId="77777777" w:rsidTr="006A22F0">
        <w:trPr>
          <w:trHeight w:val="371"/>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0853307"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Instancia de Coordinación de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51037D6A" w14:textId="77777777" w:rsidR="00706847" w:rsidRPr="00776AF2" w:rsidRDefault="00706847">
            <w:pPr>
              <w:shd w:val="clear" w:color="auto" w:fill="FFFFFF"/>
              <w:spacing w:before="0" w:after="0" w:line="256" w:lineRule="auto"/>
              <w:textAlignment w:val="center"/>
              <w:rPr>
                <w:rFonts w:cstheme="minorHAnsi"/>
                <w:i/>
                <w:iCs/>
                <w:sz w:val="20"/>
                <w:szCs w:val="20"/>
                <w:shd w:val="clear" w:color="auto" w:fill="F2F2F2"/>
                <w:lang w:val="es-ES"/>
              </w:rPr>
            </w:pPr>
            <w:r w:rsidRPr="00776AF2">
              <w:rPr>
                <w:rFonts w:cstheme="minorHAnsi"/>
                <w:bCs/>
                <w:sz w:val="20"/>
                <w:szCs w:val="20"/>
              </w:rPr>
              <w:t>Secretaría de Hacienda y Crédito Público a través de la Unidad de Evaluación del Desempeño.</w:t>
            </w:r>
          </w:p>
        </w:tc>
      </w:tr>
      <w:tr w:rsidR="00706847" w:rsidRPr="00776AF2" w14:paraId="3CD712AC" w14:textId="77777777" w:rsidTr="006A22F0">
        <w:trPr>
          <w:trHeight w:val="170"/>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2E414D6C"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Año de conclusión y entrega de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1A43F9E9" w14:textId="77777777" w:rsidR="00706847" w:rsidRPr="00776AF2" w:rsidRDefault="00706847">
            <w:pPr>
              <w:shd w:val="clear" w:color="auto" w:fill="FFFFFF"/>
              <w:spacing w:before="0" w:after="0" w:line="256" w:lineRule="auto"/>
              <w:textAlignment w:val="center"/>
              <w:rPr>
                <w:rFonts w:cstheme="minorHAnsi"/>
                <w:i/>
                <w:iCs/>
                <w:sz w:val="20"/>
                <w:szCs w:val="20"/>
                <w:shd w:val="clear" w:color="auto" w:fill="F2F2F2"/>
                <w:lang w:val="es-ES"/>
              </w:rPr>
            </w:pPr>
            <w:r w:rsidRPr="00776AF2">
              <w:rPr>
                <w:rFonts w:cstheme="minorHAnsi"/>
                <w:bCs/>
                <w:sz w:val="20"/>
                <w:szCs w:val="20"/>
              </w:rPr>
              <w:t>2020</w:t>
            </w:r>
          </w:p>
        </w:tc>
      </w:tr>
      <w:tr w:rsidR="00706847" w:rsidRPr="00776AF2" w14:paraId="3013F1FE" w14:textId="77777777" w:rsidTr="006A22F0">
        <w:trPr>
          <w:trHeight w:val="200"/>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21F41EB6"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Tipo de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2D4AF7DF" w14:textId="77777777" w:rsidR="00706847" w:rsidRPr="00776AF2" w:rsidRDefault="00706847">
            <w:pPr>
              <w:shd w:val="clear" w:color="auto" w:fill="FFFFFF"/>
              <w:spacing w:before="0" w:after="0" w:line="256" w:lineRule="auto"/>
              <w:textAlignment w:val="center"/>
              <w:rPr>
                <w:rFonts w:cstheme="minorHAnsi"/>
                <w:i/>
                <w:iCs/>
                <w:sz w:val="20"/>
                <w:szCs w:val="20"/>
                <w:shd w:val="clear" w:color="auto" w:fill="F2F2F2"/>
                <w:lang w:val="es-ES"/>
              </w:rPr>
            </w:pPr>
            <w:r w:rsidRPr="00776AF2">
              <w:rPr>
                <w:rFonts w:cstheme="minorHAnsi"/>
                <w:bCs/>
                <w:sz w:val="20"/>
                <w:szCs w:val="20"/>
              </w:rPr>
              <w:t>Evaluación Estratégica</w:t>
            </w:r>
          </w:p>
        </w:tc>
      </w:tr>
      <w:tr w:rsidR="00706847" w:rsidRPr="00776AF2" w14:paraId="1CFB9559" w14:textId="77777777" w:rsidTr="006A22F0">
        <w:trPr>
          <w:trHeight w:val="228"/>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083757CC"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Nombre de la instancia evaluadora</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E2FDB44" w14:textId="77777777" w:rsidR="00706847" w:rsidRPr="00776AF2" w:rsidRDefault="00706847">
            <w:pPr>
              <w:spacing w:before="0" w:after="0" w:line="256" w:lineRule="auto"/>
              <w:rPr>
                <w:rFonts w:cstheme="minorHAnsi"/>
                <w:sz w:val="20"/>
                <w:szCs w:val="20"/>
                <w:lang w:eastAsia="es-MX"/>
              </w:rPr>
            </w:pPr>
            <w:r w:rsidRPr="00776AF2">
              <w:rPr>
                <w:rFonts w:cstheme="minorHAnsi"/>
                <w:sz w:val="20"/>
                <w:szCs w:val="20"/>
                <w:lang w:eastAsia="es-MX"/>
              </w:rPr>
              <w:t>Servicios Profesionales para el Desarrollo Económico, S.C</w:t>
            </w:r>
          </w:p>
        </w:tc>
      </w:tr>
      <w:tr w:rsidR="00706847" w:rsidRPr="00776AF2" w14:paraId="4FEB4809" w14:textId="77777777" w:rsidTr="006A22F0">
        <w:trPr>
          <w:trHeight w:val="373"/>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7A9D4268"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Nombre del(a) coordinador(a) externo(a) de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7E099021" w14:textId="77777777" w:rsidR="00706847" w:rsidRPr="00776AF2" w:rsidRDefault="00706847">
            <w:pPr>
              <w:shd w:val="clear" w:color="auto" w:fill="FFFFFF"/>
              <w:spacing w:before="0" w:after="0" w:line="256" w:lineRule="auto"/>
              <w:textAlignment w:val="center"/>
              <w:rPr>
                <w:rFonts w:cstheme="minorHAnsi"/>
                <w:sz w:val="20"/>
                <w:szCs w:val="20"/>
                <w:shd w:val="clear" w:color="auto" w:fill="F2F2F2"/>
                <w:lang w:val="es-ES"/>
              </w:rPr>
            </w:pPr>
            <w:r w:rsidRPr="00776AF2">
              <w:rPr>
                <w:rFonts w:cstheme="minorHAnsi"/>
                <w:bCs/>
                <w:sz w:val="20"/>
                <w:szCs w:val="20"/>
              </w:rPr>
              <w:t>M.C. Noé Hernández Quijada</w:t>
            </w:r>
          </w:p>
        </w:tc>
      </w:tr>
      <w:tr w:rsidR="00706847" w:rsidRPr="00776AF2" w14:paraId="7B65A843" w14:textId="77777777" w:rsidTr="006A22F0">
        <w:trPr>
          <w:trHeight w:val="444"/>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10375977"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Nombre de los(as) principales colaboradores(as) del(a) coordinador(a) de la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696B629" w14:textId="77777777" w:rsidR="00706847" w:rsidRPr="00776AF2" w:rsidRDefault="00250BA1">
            <w:pPr>
              <w:shd w:val="clear" w:color="auto" w:fill="FFFFFF"/>
              <w:spacing w:before="0" w:after="0" w:line="256" w:lineRule="auto"/>
              <w:textAlignment w:val="center"/>
              <w:rPr>
                <w:rFonts w:cstheme="minorHAnsi"/>
                <w:bCs/>
                <w:sz w:val="20"/>
                <w:szCs w:val="20"/>
              </w:rPr>
            </w:pPr>
            <w:r w:rsidRPr="00776AF2">
              <w:rPr>
                <w:rFonts w:cstheme="minorHAnsi"/>
                <w:bCs/>
                <w:sz w:val="20"/>
                <w:szCs w:val="20"/>
              </w:rPr>
              <w:t>Efraín Sánchez Ramírez</w:t>
            </w:r>
          </w:p>
          <w:p w14:paraId="366FD5B1" w14:textId="5A2FA441" w:rsidR="00250BA1" w:rsidRPr="00776AF2" w:rsidRDefault="00250BA1">
            <w:pPr>
              <w:shd w:val="clear" w:color="auto" w:fill="FFFFFF"/>
              <w:spacing w:before="0" w:after="0" w:line="256" w:lineRule="auto"/>
              <w:textAlignment w:val="center"/>
              <w:rPr>
                <w:rFonts w:cstheme="minorHAnsi"/>
                <w:bCs/>
                <w:sz w:val="20"/>
                <w:szCs w:val="20"/>
              </w:rPr>
            </w:pPr>
            <w:r w:rsidRPr="00776AF2">
              <w:rPr>
                <w:rFonts w:cstheme="minorHAnsi"/>
                <w:bCs/>
                <w:sz w:val="20"/>
                <w:szCs w:val="20"/>
              </w:rPr>
              <w:t xml:space="preserve">Luis Ángel Ortiz Herrera </w:t>
            </w:r>
          </w:p>
        </w:tc>
      </w:tr>
      <w:tr w:rsidR="00706847" w:rsidRPr="00776AF2" w14:paraId="57C7DDBA" w14:textId="77777777" w:rsidTr="006A22F0">
        <w:trPr>
          <w:trHeight w:val="374"/>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05F4FEB1"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Nombre de la Unidad Administrativa Responsable de dar seguimiento a la evaluación (Área de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7A416A8A" w14:textId="77777777" w:rsidR="00706847" w:rsidRPr="00776AF2" w:rsidRDefault="00F17FC5">
            <w:pPr>
              <w:shd w:val="clear" w:color="auto" w:fill="FFFFFF"/>
              <w:spacing w:before="0" w:after="0" w:line="256" w:lineRule="auto"/>
              <w:textAlignment w:val="center"/>
              <w:rPr>
                <w:rFonts w:cstheme="minorHAnsi"/>
                <w:bCs/>
                <w:sz w:val="20"/>
                <w:szCs w:val="20"/>
              </w:rPr>
            </w:pPr>
            <w:r w:rsidRPr="00776AF2">
              <w:rPr>
                <w:rFonts w:cstheme="minorHAnsi"/>
                <w:bCs/>
                <w:sz w:val="20"/>
                <w:szCs w:val="20"/>
              </w:rPr>
              <w:t>Dirección de Planeación Estratégica</w:t>
            </w:r>
          </w:p>
          <w:p w14:paraId="22DB7297" w14:textId="07A31F22" w:rsidR="00F17FC5" w:rsidRPr="00776AF2" w:rsidRDefault="00F17FC5" w:rsidP="00565BD2">
            <w:pPr>
              <w:shd w:val="clear" w:color="auto" w:fill="FFFFFF"/>
              <w:spacing w:before="0" w:after="0" w:line="256" w:lineRule="auto"/>
              <w:textAlignment w:val="center"/>
              <w:rPr>
                <w:rFonts w:cstheme="minorHAnsi"/>
                <w:bCs/>
                <w:sz w:val="20"/>
                <w:szCs w:val="20"/>
              </w:rPr>
            </w:pPr>
            <w:r w:rsidRPr="00776AF2">
              <w:rPr>
                <w:rFonts w:cstheme="minorHAnsi"/>
                <w:bCs/>
                <w:sz w:val="20"/>
                <w:szCs w:val="20"/>
              </w:rPr>
              <w:t>Subsecretaría de Egresos</w:t>
            </w:r>
            <w:r w:rsidR="00565BD2">
              <w:rPr>
                <w:rFonts w:cstheme="minorHAnsi"/>
                <w:bCs/>
                <w:sz w:val="20"/>
                <w:szCs w:val="20"/>
              </w:rPr>
              <w:t xml:space="preserve"> de la </w:t>
            </w:r>
            <w:r w:rsidRPr="00776AF2">
              <w:rPr>
                <w:rFonts w:cstheme="minorHAnsi"/>
                <w:bCs/>
                <w:sz w:val="20"/>
                <w:szCs w:val="20"/>
              </w:rPr>
              <w:t>Secretaría de Finanzas</w:t>
            </w:r>
            <w:r w:rsidR="00565BD2">
              <w:rPr>
                <w:rFonts w:cstheme="minorHAnsi"/>
                <w:bCs/>
                <w:sz w:val="20"/>
                <w:szCs w:val="20"/>
              </w:rPr>
              <w:t xml:space="preserve"> del Estado de Tamaulipas</w:t>
            </w:r>
          </w:p>
        </w:tc>
      </w:tr>
      <w:tr w:rsidR="00706847" w:rsidRPr="00776AF2" w14:paraId="321BB795" w14:textId="77777777" w:rsidTr="006A22F0">
        <w:trPr>
          <w:trHeight w:val="1106"/>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2991FE5D"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Nombre del(a) Titular de la unidad administrativa responsable de dar seguimiento a la evaluación (Área de Evaluación)</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CC0935D" w14:textId="17097B12" w:rsidR="00706847" w:rsidRPr="00776AF2" w:rsidRDefault="00F17FC5" w:rsidP="00F17FC5">
            <w:pPr>
              <w:shd w:val="clear" w:color="auto" w:fill="FFFFFF"/>
              <w:spacing w:before="0" w:after="0" w:line="256" w:lineRule="auto"/>
              <w:textAlignment w:val="center"/>
              <w:rPr>
                <w:rFonts w:cstheme="minorHAnsi"/>
                <w:bCs/>
                <w:sz w:val="20"/>
                <w:szCs w:val="20"/>
              </w:rPr>
            </w:pPr>
            <w:r w:rsidRPr="00776AF2">
              <w:rPr>
                <w:rFonts w:cstheme="minorHAnsi"/>
                <w:bCs/>
                <w:sz w:val="20"/>
                <w:szCs w:val="20"/>
              </w:rPr>
              <w:t>Lic. Juan Antonio Ramírez Torres</w:t>
            </w:r>
          </w:p>
          <w:p w14:paraId="1180DF67" w14:textId="3DEFE2F5" w:rsidR="00F17FC5" w:rsidRDefault="00F17FC5" w:rsidP="00F17FC5">
            <w:pPr>
              <w:shd w:val="clear" w:color="auto" w:fill="FFFFFF"/>
              <w:spacing w:before="0" w:after="0" w:line="256" w:lineRule="auto"/>
              <w:textAlignment w:val="center"/>
              <w:rPr>
                <w:rFonts w:cstheme="minorHAnsi"/>
                <w:bCs/>
                <w:sz w:val="20"/>
                <w:szCs w:val="20"/>
              </w:rPr>
            </w:pPr>
            <w:r w:rsidRPr="00776AF2">
              <w:rPr>
                <w:rFonts w:cstheme="minorHAnsi"/>
                <w:bCs/>
                <w:sz w:val="20"/>
                <w:szCs w:val="20"/>
              </w:rPr>
              <w:t>Director de Planeación Estratégica</w:t>
            </w:r>
            <w:r w:rsidR="00565BD2">
              <w:rPr>
                <w:rFonts w:cstheme="minorHAnsi"/>
                <w:bCs/>
                <w:sz w:val="20"/>
                <w:szCs w:val="20"/>
              </w:rPr>
              <w:t xml:space="preserve"> de la S</w:t>
            </w:r>
            <w:r w:rsidR="00565BD2" w:rsidRPr="00565BD2">
              <w:rPr>
                <w:rFonts w:cstheme="minorHAnsi"/>
                <w:bCs/>
                <w:sz w:val="20"/>
                <w:szCs w:val="20"/>
              </w:rPr>
              <w:t>ecretaría de Finanzas del Estado de Tamaulipas</w:t>
            </w:r>
          </w:p>
          <w:p w14:paraId="5779DA8D" w14:textId="523FAD6A" w:rsidR="00083550" w:rsidRDefault="00EC553A" w:rsidP="00F17FC5">
            <w:pPr>
              <w:shd w:val="clear" w:color="auto" w:fill="FFFFFF"/>
              <w:spacing w:before="0" w:after="0" w:line="256" w:lineRule="auto"/>
              <w:textAlignment w:val="center"/>
              <w:rPr>
                <w:rFonts w:cstheme="minorHAnsi"/>
                <w:bCs/>
                <w:sz w:val="20"/>
                <w:szCs w:val="20"/>
              </w:rPr>
            </w:pPr>
            <w:hyperlink r:id="rId55" w:history="1">
              <w:r w:rsidR="00083550" w:rsidRPr="00271E20">
                <w:rPr>
                  <w:rStyle w:val="Hipervnculo"/>
                  <w:rFonts w:cstheme="minorHAnsi"/>
                  <w:bCs/>
                  <w:sz w:val="20"/>
                  <w:szCs w:val="20"/>
                </w:rPr>
                <w:t>juan.ramirez@tam.gob.mx</w:t>
              </w:r>
            </w:hyperlink>
          </w:p>
          <w:p w14:paraId="7020B70F" w14:textId="420F3286" w:rsidR="00083550" w:rsidRPr="00776AF2" w:rsidRDefault="00083550" w:rsidP="00F17FC5">
            <w:pPr>
              <w:shd w:val="clear" w:color="auto" w:fill="FFFFFF"/>
              <w:spacing w:before="0" w:after="0" w:line="256" w:lineRule="auto"/>
              <w:textAlignment w:val="center"/>
              <w:rPr>
                <w:rFonts w:cstheme="minorHAnsi"/>
                <w:bCs/>
                <w:sz w:val="20"/>
                <w:szCs w:val="20"/>
              </w:rPr>
            </w:pPr>
            <w:r>
              <w:rPr>
                <w:rFonts w:cstheme="minorHAnsi"/>
                <w:bCs/>
                <w:sz w:val="20"/>
                <w:szCs w:val="20"/>
              </w:rPr>
              <w:t>(</w:t>
            </w:r>
            <w:r w:rsidRPr="00083550">
              <w:rPr>
                <w:rFonts w:cstheme="minorHAnsi"/>
                <w:bCs/>
                <w:sz w:val="20"/>
                <w:szCs w:val="20"/>
              </w:rPr>
              <w:t>834</w:t>
            </w:r>
            <w:r>
              <w:rPr>
                <w:rFonts w:cstheme="minorHAnsi"/>
                <w:bCs/>
                <w:sz w:val="20"/>
                <w:szCs w:val="20"/>
              </w:rPr>
              <w:t>)</w:t>
            </w:r>
            <w:r w:rsidRPr="00083550">
              <w:rPr>
                <w:rFonts w:cstheme="minorHAnsi"/>
                <w:bCs/>
                <w:sz w:val="20"/>
                <w:szCs w:val="20"/>
              </w:rPr>
              <w:t xml:space="preserve"> 318 84</w:t>
            </w:r>
            <w:r>
              <w:rPr>
                <w:rFonts w:cstheme="minorHAnsi"/>
                <w:bCs/>
                <w:sz w:val="20"/>
                <w:szCs w:val="20"/>
              </w:rPr>
              <w:t xml:space="preserve"> </w:t>
            </w:r>
            <w:r w:rsidRPr="00083550">
              <w:rPr>
                <w:rFonts w:cstheme="minorHAnsi"/>
                <w:bCs/>
                <w:sz w:val="20"/>
                <w:szCs w:val="20"/>
              </w:rPr>
              <w:t>65</w:t>
            </w:r>
          </w:p>
        </w:tc>
      </w:tr>
      <w:tr w:rsidR="00706847" w:rsidRPr="00776AF2" w14:paraId="42FAFE54" w14:textId="77777777" w:rsidTr="006A22F0">
        <w:trPr>
          <w:trHeight w:val="545"/>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C5E8FCA"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 xml:space="preserve">Nombres de los(as) servidores(as) públicos(as), adscritos(as) a la unidad administrativa responsable de dar seguimiento a la evaluación, que coadyuvaron con la revisión técnica de la evaluación </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442220A" w14:textId="09C6F689" w:rsidR="00083550" w:rsidRPr="00776AF2" w:rsidRDefault="00083550" w:rsidP="00083550">
            <w:pPr>
              <w:shd w:val="clear" w:color="auto" w:fill="FFFFFF"/>
              <w:spacing w:before="0" w:after="0" w:line="256" w:lineRule="auto"/>
              <w:textAlignment w:val="center"/>
              <w:rPr>
                <w:rFonts w:cstheme="minorHAnsi"/>
                <w:bCs/>
                <w:sz w:val="20"/>
                <w:szCs w:val="20"/>
              </w:rPr>
            </w:pPr>
            <w:r w:rsidRPr="00776AF2">
              <w:rPr>
                <w:rFonts w:cstheme="minorHAnsi"/>
                <w:bCs/>
                <w:sz w:val="20"/>
                <w:szCs w:val="20"/>
              </w:rPr>
              <w:t>Lic. Juan Antonio Ramírez Torres</w:t>
            </w:r>
          </w:p>
          <w:p w14:paraId="4820A430" w14:textId="004F9119" w:rsidR="00083550" w:rsidRDefault="00083550" w:rsidP="00083550">
            <w:pPr>
              <w:shd w:val="clear" w:color="auto" w:fill="FFFFFF"/>
              <w:spacing w:before="0" w:after="0" w:line="256" w:lineRule="auto"/>
              <w:textAlignment w:val="center"/>
              <w:rPr>
                <w:rFonts w:cstheme="minorHAnsi"/>
                <w:bCs/>
                <w:sz w:val="20"/>
                <w:szCs w:val="20"/>
              </w:rPr>
            </w:pPr>
            <w:r w:rsidRPr="00776AF2">
              <w:rPr>
                <w:rFonts w:cstheme="minorHAnsi"/>
                <w:bCs/>
                <w:sz w:val="20"/>
                <w:szCs w:val="20"/>
              </w:rPr>
              <w:t>Director de Planeación Estratégica</w:t>
            </w:r>
            <w:r w:rsidR="00565BD2">
              <w:rPr>
                <w:rFonts w:cstheme="minorHAnsi"/>
                <w:bCs/>
                <w:sz w:val="20"/>
                <w:szCs w:val="20"/>
              </w:rPr>
              <w:t xml:space="preserve"> de la S</w:t>
            </w:r>
            <w:r w:rsidR="00565BD2" w:rsidRPr="00565BD2">
              <w:rPr>
                <w:rFonts w:cstheme="minorHAnsi"/>
                <w:bCs/>
                <w:sz w:val="20"/>
                <w:szCs w:val="20"/>
              </w:rPr>
              <w:t>ecretaría de Finanzas del Estado de Tamaulipas</w:t>
            </w:r>
          </w:p>
          <w:p w14:paraId="27479503" w14:textId="315D2019" w:rsidR="00083550" w:rsidRDefault="00EC553A" w:rsidP="00083550">
            <w:pPr>
              <w:shd w:val="clear" w:color="auto" w:fill="FFFFFF"/>
              <w:spacing w:before="0" w:after="0" w:line="256" w:lineRule="auto"/>
              <w:textAlignment w:val="center"/>
              <w:rPr>
                <w:rFonts w:cstheme="minorHAnsi"/>
                <w:bCs/>
                <w:sz w:val="20"/>
                <w:szCs w:val="20"/>
              </w:rPr>
            </w:pPr>
            <w:hyperlink r:id="rId56" w:history="1">
              <w:r w:rsidR="00083550" w:rsidRPr="00271E20">
                <w:rPr>
                  <w:rStyle w:val="Hipervnculo"/>
                  <w:rFonts w:cstheme="minorHAnsi"/>
                  <w:bCs/>
                  <w:sz w:val="20"/>
                  <w:szCs w:val="20"/>
                </w:rPr>
                <w:t>juan.ramirez@tam.gob.mx</w:t>
              </w:r>
            </w:hyperlink>
          </w:p>
          <w:p w14:paraId="501EA70A" w14:textId="44876256" w:rsidR="00706847" w:rsidRPr="00776AF2" w:rsidRDefault="00083550" w:rsidP="00083550">
            <w:pPr>
              <w:shd w:val="clear" w:color="auto" w:fill="FFFFFF"/>
              <w:spacing w:before="0" w:after="0" w:line="256" w:lineRule="auto"/>
              <w:textAlignment w:val="center"/>
              <w:rPr>
                <w:rFonts w:cstheme="minorHAnsi"/>
                <w:bCs/>
                <w:sz w:val="20"/>
                <w:szCs w:val="20"/>
              </w:rPr>
            </w:pPr>
            <w:r>
              <w:rPr>
                <w:rFonts w:cstheme="minorHAnsi"/>
                <w:bCs/>
                <w:sz w:val="20"/>
                <w:szCs w:val="20"/>
              </w:rPr>
              <w:t>(</w:t>
            </w:r>
            <w:r w:rsidRPr="00083550">
              <w:rPr>
                <w:rFonts w:cstheme="minorHAnsi"/>
                <w:bCs/>
                <w:sz w:val="20"/>
                <w:szCs w:val="20"/>
              </w:rPr>
              <w:t>834</w:t>
            </w:r>
            <w:r>
              <w:rPr>
                <w:rFonts w:cstheme="minorHAnsi"/>
                <w:bCs/>
                <w:sz w:val="20"/>
                <w:szCs w:val="20"/>
              </w:rPr>
              <w:t>)</w:t>
            </w:r>
            <w:r w:rsidRPr="00083550">
              <w:rPr>
                <w:rFonts w:cstheme="minorHAnsi"/>
                <w:bCs/>
                <w:sz w:val="20"/>
                <w:szCs w:val="20"/>
              </w:rPr>
              <w:t xml:space="preserve"> 318 84</w:t>
            </w:r>
            <w:r>
              <w:rPr>
                <w:rFonts w:cstheme="minorHAnsi"/>
                <w:bCs/>
                <w:sz w:val="20"/>
                <w:szCs w:val="20"/>
              </w:rPr>
              <w:t xml:space="preserve"> </w:t>
            </w:r>
            <w:r w:rsidRPr="00083550">
              <w:rPr>
                <w:rFonts w:cstheme="minorHAnsi"/>
                <w:bCs/>
                <w:sz w:val="20"/>
                <w:szCs w:val="20"/>
              </w:rPr>
              <w:t>65</w:t>
            </w:r>
          </w:p>
        </w:tc>
      </w:tr>
      <w:tr w:rsidR="00706847" w:rsidRPr="00776AF2" w14:paraId="0DDC2957" w14:textId="77777777" w:rsidTr="006A22F0">
        <w:trPr>
          <w:trHeight w:val="183"/>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1FBB23C"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Forma de contratación de la instancia evaluadora</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1FF179D8" w14:textId="0485D7C4" w:rsidR="00706847" w:rsidRPr="00776AF2" w:rsidRDefault="00250BA1">
            <w:pPr>
              <w:shd w:val="clear" w:color="auto" w:fill="FFFFFF"/>
              <w:spacing w:before="0" w:after="0" w:line="256" w:lineRule="auto"/>
              <w:textAlignment w:val="center"/>
              <w:rPr>
                <w:rFonts w:cstheme="minorHAnsi"/>
                <w:sz w:val="20"/>
                <w:szCs w:val="20"/>
                <w:shd w:val="clear" w:color="auto" w:fill="F2F2F2"/>
                <w:lang w:val="es-ES"/>
              </w:rPr>
            </w:pPr>
            <w:r w:rsidRPr="00776AF2">
              <w:rPr>
                <w:rFonts w:cstheme="minorHAnsi"/>
                <w:bCs/>
                <w:sz w:val="20"/>
                <w:szCs w:val="20"/>
              </w:rPr>
              <w:t xml:space="preserve">Licitación </w:t>
            </w:r>
            <w:r w:rsidR="001279E1">
              <w:rPr>
                <w:rFonts w:cstheme="minorHAnsi"/>
                <w:bCs/>
                <w:sz w:val="20"/>
                <w:szCs w:val="20"/>
              </w:rPr>
              <w:t>Pública</w:t>
            </w:r>
          </w:p>
        </w:tc>
      </w:tr>
      <w:tr w:rsidR="00706847" w:rsidRPr="00776AF2" w14:paraId="7C303B65" w14:textId="77777777" w:rsidTr="006A22F0">
        <w:trPr>
          <w:trHeight w:val="225"/>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522AA839"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Costo total de la evaluación con IVA incluido</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98486B2" w14:textId="3DEA2CCB" w:rsidR="00706847" w:rsidRPr="00776AF2" w:rsidRDefault="00706847">
            <w:pPr>
              <w:shd w:val="clear" w:color="auto" w:fill="FFFFFF"/>
              <w:spacing w:before="0" w:after="0" w:line="256" w:lineRule="auto"/>
              <w:textAlignment w:val="center"/>
              <w:rPr>
                <w:rFonts w:eastAsia="Times New Roman" w:cstheme="minorHAnsi"/>
                <w:sz w:val="20"/>
                <w:szCs w:val="20"/>
                <w:shd w:val="clear" w:color="auto" w:fill="F2F2F2"/>
                <w:lang w:val="es-ES" w:eastAsia="es-ES"/>
              </w:rPr>
            </w:pPr>
            <w:r w:rsidRPr="00776AF2">
              <w:rPr>
                <w:rFonts w:cstheme="minorHAnsi"/>
                <w:bCs/>
                <w:sz w:val="20"/>
                <w:szCs w:val="20"/>
              </w:rPr>
              <w:t>$</w:t>
            </w:r>
            <w:r w:rsidR="0046201B" w:rsidRPr="00776AF2">
              <w:rPr>
                <w:rFonts w:cstheme="minorHAnsi"/>
                <w:bCs/>
                <w:sz w:val="20"/>
                <w:szCs w:val="20"/>
              </w:rPr>
              <w:t>198,360.00 (</w:t>
            </w:r>
            <w:r w:rsidR="00AC3B6D" w:rsidRPr="00776AF2">
              <w:rPr>
                <w:rFonts w:cstheme="minorHAnsi"/>
                <w:bCs/>
                <w:sz w:val="20"/>
                <w:szCs w:val="20"/>
              </w:rPr>
              <w:t xml:space="preserve">Ciento </w:t>
            </w:r>
            <w:r w:rsidR="0046201B" w:rsidRPr="00776AF2">
              <w:rPr>
                <w:rFonts w:cstheme="minorHAnsi"/>
                <w:bCs/>
                <w:sz w:val="20"/>
                <w:szCs w:val="20"/>
              </w:rPr>
              <w:t>noventa y ocho</w:t>
            </w:r>
            <w:r w:rsidR="00AC3B6D" w:rsidRPr="00776AF2">
              <w:rPr>
                <w:rFonts w:cstheme="minorHAnsi"/>
                <w:bCs/>
                <w:sz w:val="20"/>
                <w:szCs w:val="20"/>
              </w:rPr>
              <w:t xml:space="preserve"> mil </w:t>
            </w:r>
            <w:r w:rsidR="0046201B" w:rsidRPr="00776AF2">
              <w:rPr>
                <w:rFonts w:cstheme="minorHAnsi"/>
                <w:bCs/>
                <w:sz w:val="20"/>
                <w:szCs w:val="20"/>
              </w:rPr>
              <w:t xml:space="preserve">trescientos sesenta </w:t>
            </w:r>
            <w:r w:rsidR="00AC3B6D" w:rsidRPr="00776AF2">
              <w:rPr>
                <w:rFonts w:cstheme="minorHAnsi"/>
                <w:bCs/>
                <w:sz w:val="20"/>
                <w:szCs w:val="20"/>
              </w:rPr>
              <w:t>pesos 00/100 M.N)</w:t>
            </w:r>
            <w:r w:rsidRPr="00776AF2">
              <w:rPr>
                <w:rFonts w:cstheme="minorHAnsi"/>
                <w:bCs/>
                <w:i/>
                <w:iCs/>
                <w:sz w:val="20"/>
                <w:szCs w:val="20"/>
              </w:rPr>
              <w:t xml:space="preserve"> </w:t>
            </w:r>
            <w:r w:rsidRPr="00776AF2">
              <w:rPr>
                <w:rFonts w:cstheme="minorHAnsi"/>
                <w:bCs/>
                <w:sz w:val="20"/>
                <w:szCs w:val="20"/>
              </w:rPr>
              <w:t>IVA incluido</w:t>
            </w:r>
          </w:p>
        </w:tc>
      </w:tr>
      <w:tr w:rsidR="00706847" w:rsidRPr="00776AF2" w14:paraId="6DE89C83" w14:textId="77777777" w:rsidTr="006A22F0">
        <w:trPr>
          <w:trHeight w:val="112"/>
          <w:jc w:val="center"/>
        </w:trPr>
        <w:tc>
          <w:tcPr>
            <w:tcW w:w="234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1637EA3" w14:textId="77777777" w:rsidR="00706847" w:rsidRPr="00776AF2" w:rsidRDefault="00706847">
            <w:pPr>
              <w:shd w:val="clear" w:color="auto" w:fill="FFFFFF"/>
              <w:spacing w:before="0" w:after="0" w:line="256" w:lineRule="auto"/>
              <w:textAlignment w:val="center"/>
              <w:rPr>
                <w:rFonts w:cstheme="minorHAnsi"/>
                <w:b/>
                <w:bCs/>
                <w:sz w:val="20"/>
                <w:szCs w:val="20"/>
                <w:lang w:eastAsia="es-MX"/>
              </w:rPr>
            </w:pPr>
            <w:r w:rsidRPr="00776AF2">
              <w:rPr>
                <w:rFonts w:cstheme="minorHAnsi"/>
                <w:b/>
                <w:bCs/>
                <w:sz w:val="20"/>
                <w:szCs w:val="20"/>
                <w:lang w:eastAsia="es-MX"/>
              </w:rPr>
              <w:t>Fuente de financiamiento</w:t>
            </w:r>
          </w:p>
        </w:tc>
        <w:tc>
          <w:tcPr>
            <w:tcW w:w="265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14:paraId="40FE1140" w14:textId="61691AF1" w:rsidR="00706847" w:rsidRPr="00776AF2" w:rsidRDefault="00706847" w:rsidP="004A50AC">
            <w:pPr>
              <w:shd w:val="clear" w:color="auto" w:fill="FFFFFF"/>
              <w:tabs>
                <w:tab w:val="center" w:pos="2575"/>
              </w:tabs>
              <w:spacing w:before="0" w:after="0" w:line="256" w:lineRule="auto"/>
              <w:textAlignment w:val="center"/>
              <w:rPr>
                <w:rFonts w:cstheme="minorHAnsi"/>
                <w:bCs/>
                <w:sz w:val="20"/>
                <w:szCs w:val="20"/>
              </w:rPr>
            </w:pPr>
            <w:r w:rsidRPr="00776AF2">
              <w:rPr>
                <w:rFonts w:cstheme="minorHAnsi"/>
                <w:bCs/>
                <w:sz w:val="20"/>
                <w:szCs w:val="20"/>
              </w:rPr>
              <w:t>Recursos Fiscales</w:t>
            </w:r>
            <w:r w:rsidR="004A50AC" w:rsidRPr="00776AF2">
              <w:rPr>
                <w:rFonts w:cstheme="minorHAnsi"/>
                <w:bCs/>
                <w:sz w:val="20"/>
                <w:szCs w:val="20"/>
              </w:rPr>
              <w:tab/>
            </w:r>
          </w:p>
        </w:tc>
      </w:tr>
    </w:tbl>
    <w:p w14:paraId="7FBCC0A5" w14:textId="77777777" w:rsidR="001564DA" w:rsidRDefault="001564DA" w:rsidP="004A50AC">
      <w:pPr>
        <w:pStyle w:val="Descripcin"/>
        <w:rPr>
          <w:b/>
          <w:i w:val="0"/>
          <w:color w:val="auto"/>
          <w:sz w:val="22"/>
        </w:rPr>
      </w:pPr>
      <w:bookmarkStart w:id="211" w:name="_Toc429986362"/>
      <w:bookmarkStart w:id="212" w:name="_Toc430123704"/>
      <w:bookmarkEnd w:id="210"/>
      <w:bookmarkEnd w:id="211"/>
      <w:bookmarkEnd w:id="212"/>
    </w:p>
    <w:sectPr w:rsidR="001564DA" w:rsidSect="00E46FC8">
      <w:headerReference w:type="default" r:id="rId57"/>
      <w:pgSz w:w="12240" w:h="15840" w:code="1"/>
      <w:pgMar w:top="1134" w:right="1134" w:bottom="1134" w:left="1134" w:header="425"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48CC9C" w14:textId="77777777" w:rsidR="00B1305B" w:rsidRDefault="00B1305B" w:rsidP="0026073C">
      <w:r>
        <w:separator/>
      </w:r>
    </w:p>
  </w:endnote>
  <w:endnote w:type="continuationSeparator" w:id="0">
    <w:p w14:paraId="1FCA2964" w14:textId="77777777" w:rsidR="00B1305B" w:rsidRDefault="00B1305B" w:rsidP="002607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auto"/>
    <w:pitch w:val="variable"/>
    <w:sig w:usb0="E00002FF" w:usb1="5000205A" w:usb2="00000000" w:usb3="00000000" w:csb0="0000019F" w:csb1="00000000"/>
  </w:font>
  <w:font w:name="CIDFont+F1">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LiberationSans">
    <w:altName w:val="Yu Goth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BEF89" w14:textId="77777777" w:rsidR="00E84080" w:rsidRPr="0026073C" w:rsidRDefault="00E84080" w:rsidP="009428F0">
    <w:pPr>
      <w:pStyle w:val="Piedepgina"/>
      <w:tabs>
        <w:tab w:val="clear" w:pos="4419"/>
        <w:tab w:val="center" w:pos="5670"/>
      </w:tabs>
      <w:spacing w:before="0"/>
      <w:jc w:val="right"/>
      <w:rPr>
        <w:b/>
      </w:rPr>
    </w:pPr>
    <w:r>
      <w:rPr>
        <w:b/>
        <w:noProof/>
        <w:lang w:eastAsia="es-MX"/>
      </w:rPr>
      <mc:AlternateContent>
        <mc:Choice Requires="wps">
          <w:drawing>
            <wp:anchor distT="0" distB="0" distL="114300" distR="114300" simplePos="0" relativeHeight="251655168" behindDoc="0" locked="0" layoutInCell="1" allowOverlap="1" wp14:anchorId="1619965D" wp14:editId="6EAA1F29">
              <wp:simplePos x="0" y="0"/>
              <wp:positionH relativeFrom="margin">
                <wp:align>right</wp:align>
              </wp:positionH>
              <wp:positionV relativeFrom="paragraph">
                <wp:posOffset>-295275</wp:posOffset>
              </wp:positionV>
              <wp:extent cx="5600700" cy="19050"/>
              <wp:effectExtent l="0" t="0" r="0" b="0"/>
              <wp:wrapNone/>
              <wp:docPr id="3"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00700" cy="19050"/>
                      </a:xfrm>
                      <a:prstGeom prst="line">
                        <a:avLst/>
                      </a:prstGeom>
                      <a:ln w="12700">
                        <a:solidFill>
                          <a:schemeClr val="accent5">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EF752C" id="Conector recto 2" o:spid="_x0000_s1026" style="position:absolute;flip:y;z-index:251655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89.8pt,-23.25pt" to="830.8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" strokecolor="#1f3763 [1608]" strokeweight="1pt">
              <v:stroke joinstyle="miter"/>
              <o:lock v:ext="edit" shapetype="f"/>
              <w10:wrap anchorx="margin"/>
            </v:line>
          </w:pict>
        </mc:Fallback>
      </mc:AlternateContent>
    </w:r>
    <w:r>
      <w:rPr>
        <w:b/>
      </w:rPr>
      <w:tab/>
    </w:r>
    <w:sdt>
      <w:sdtPr>
        <w:rPr>
          <w:b/>
        </w:rPr>
        <w:id w:val="96985267"/>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Pr="00A0499E">
          <w:rPr>
            <w:b/>
            <w:noProof/>
            <w:lang w:val="es-ES"/>
          </w:rPr>
          <w:t>2</w:t>
        </w:r>
        <w:r w:rsidRPr="0026073C">
          <w:rPr>
            <w:b/>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4645B" w14:textId="436A4E4C" w:rsidR="00E84080" w:rsidRPr="0026073C" w:rsidRDefault="00E84080" w:rsidP="008F0A14">
    <w:pPr>
      <w:pStyle w:val="Piedepgina"/>
      <w:pBdr>
        <w:top w:val="single" w:sz="8" w:space="1" w:color="1F3864" w:themeColor="accent5" w:themeShade="80"/>
      </w:pBdr>
      <w:tabs>
        <w:tab w:val="clear" w:pos="4419"/>
        <w:tab w:val="center" w:pos="5670"/>
      </w:tabs>
      <w:spacing w:before="0"/>
      <w:jc w:val="right"/>
      <w:rPr>
        <w:b/>
      </w:rPr>
    </w:pPr>
    <w:r>
      <w:rPr>
        <w:b/>
      </w:rPr>
      <w:tab/>
    </w:r>
    <w:sdt>
      <w:sdtPr>
        <w:rPr>
          <w:b/>
        </w:rPr>
        <w:id w:val="2017722125"/>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Pr="00377158">
          <w:rPr>
            <w:b/>
            <w:noProof/>
            <w:lang w:val="es-ES"/>
          </w:rPr>
          <w:t>81</w:t>
        </w:r>
        <w:r w:rsidRPr="0026073C">
          <w:rPr>
            <w:b/>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891693" w14:textId="137D5731" w:rsidR="00E84080" w:rsidRPr="0026073C" w:rsidRDefault="00E84080" w:rsidP="008F0A14">
    <w:pPr>
      <w:pStyle w:val="Piedepgina"/>
      <w:pBdr>
        <w:top w:val="single" w:sz="8" w:space="1" w:color="1F3864" w:themeColor="accent5" w:themeShade="80"/>
      </w:pBdr>
      <w:tabs>
        <w:tab w:val="clear" w:pos="4419"/>
        <w:tab w:val="center" w:pos="5670"/>
      </w:tabs>
      <w:spacing w:before="0"/>
      <w:jc w:val="right"/>
      <w:rPr>
        <w:b/>
      </w:rPr>
    </w:pPr>
    <w:r>
      <w:rPr>
        <w:b/>
      </w:rPr>
      <w:tab/>
    </w:r>
    <w:sdt>
      <w:sdtPr>
        <w:rPr>
          <w:b/>
        </w:rPr>
        <w:id w:val="470104136"/>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Pr="00377158">
          <w:rPr>
            <w:b/>
            <w:noProof/>
            <w:lang w:val="es-ES"/>
          </w:rPr>
          <w:t>92</w:t>
        </w:r>
        <w:r w:rsidRPr="0026073C">
          <w:rPr>
            <w:b/>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C6E725" w14:textId="21DB54D6" w:rsidR="00E84080" w:rsidRPr="0026073C" w:rsidRDefault="00E84080" w:rsidP="008F0A14">
    <w:pPr>
      <w:pStyle w:val="Piedepgina"/>
      <w:pBdr>
        <w:top w:val="single" w:sz="8" w:space="1" w:color="1F3864" w:themeColor="accent5" w:themeShade="80"/>
      </w:pBdr>
      <w:tabs>
        <w:tab w:val="clear" w:pos="4419"/>
        <w:tab w:val="center" w:pos="5670"/>
      </w:tabs>
      <w:spacing w:before="0"/>
      <w:jc w:val="right"/>
      <w:rPr>
        <w:b/>
      </w:rPr>
    </w:pPr>
    <w:r>
      <w:rPr>
        <w:b/>
      </w:rPr>
      <w:tab/>
    </w:r>
    <w:sdt>
      <w:sdtPr>
        <w:rPr>
          <w:b/>
        </w:rPr>
        <w:id w:val="678542600"/>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Pr="00377158">
          <w:rPr>
            <w:b/>
            <w:noProof/>
            <w:lang w:val="es-ES"/>
          </w:rPr>
          <w:t>114</w:t>
        </w:r>
        <w:r w:rsidRPr="0026073C">
          <w:rPr>
            <w:b/>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5FB59C" w14:textId="77777777" w:rsidR="00B1305B" w:rsidRDefault="00B1305B" w:rsidP="0026073C">
      <w:bookmarkStart w:id="0" w:name="_Hlk35605700"/>
      <w:bookmarkEnd w:id="0"/>
      <w:r>
        <w:separator/>
      </w:r>
    </w:p>
  </w:footnote>
  <w:footnote w:type="continuationSeparator" w:id="0">
    <w:p w14:paraId="154C4401" w14:textId="77777777" w:rsidR="00B1305B" w:rsidRDefault="00B1305B" w:rsidP="0026073C">
      <w:r>
        <w:continuationSeparator/>
      </w:r>
    </w:p>
  </w:footnote>
  <w:footnote w:id="1">
    <w:p w14:paraId="6CF9DEA0" w14:textId="77777777" w:rsidR="00E84080" w:rsidRPr="009220C3" w:rsidRDefault="00E84080" w:rsidP="00170C37">
      <w:pPr>
        <w:pStyle w:val="Textonotapie"/>
      </w:pPr>
      <w:r w:rsidRPr="009220C3">
        <w:rPr>
          <w:rStyle w:val="Refdenotaalpie"/>
          <w:vertAlign w:val="baseline"/>
        </w:rPr>
        <w:footnoteRef/>
      </w:r>
      <w:r w:rsidRPr="009220C3">
        <w:t xml:space="preserve"> Diario Oficial de la Federación. 25 de abril del 2013. </w:t>
      </w:r>
    </w:p>
  </w:footnote>
  <w:footnote w:id="2">
    <w:p w14:paraId="48DE8581" w14:textId="77777777" w:rsidR="00E84080" w:rsidRPr="00145F9D" w:rsidRDefault="00E84080" w:rsidP="00170C37">
      <w:pPr>
        <w:pStyle w:val="Cuestio"/>
        <w:jc w:val="both"/>
        <w:rPr>
          <w:rStyle w:val="Referenciasutil"/>
        </w:rPr>
      </w:pPr>
      <w:r w:rsidRPr="00145F9D">
        <w:rPr>
          <w:rStyle w:val="Referenciasutil"/>
        </w:rPr>
        <w:footnoteRef/>
      </w:r>
      <w:r w:rsidRPr="00145F9D">
        <w:rPr>
          <w:rStyle w:val="Referenciasutil"/>
        </w:rPr>
        <w:t xml:space="preserve"> DOF. Acuerdo por el que se da a conocer a los gobiernos de las entidades federativas la distribución y calendarización para la ministración durante el Ejercicio Fiscal correspondiente, de los recursos de los Ramos Generales 28 “Participaciones a Entidades Federativas y Municipios”, y 33 “Aportaciones Federales para Entidades Federativas y Municipios”.</w:t>
      </w:r>
    </w:p>
    <w:p w14:paraId="1BB47690" w14:textId="77777777" w:rsidR="00E84080" w:rsidRDefault="00E84080" w:rsidP="00170C37">
      <w:pPr>
        <w:pStyle w:val="Textonotapie"/>
      </w:pPr>
    </w:p>
  </w:footnote>
  <w:footnote w:id="3">
    <w:p w14:paraId="75353DD6" w14:textId="7357365E" w:rsidR="00E84080" w:rsidRPr="00BD4EA4" w:rsidRDefault="00E84080" w:rsidP="00170C37">
      <w:pPr>
        <w:pStyle w:val="Textonotapie"/>
        <w:rPr>
          <w:rStyle w:val="Referenciasutil1"/>
        </w:rPr>
      </w:pPr>
      <w:r w:rsidRPr="00BD4EA4">
        <w:rPr>
          <w:rStyle w:val="Referenciasutil1"/>
        </w:rPr>
        <w:footnoteRef/>
      </w:r>
      <w:r w:rsidRPr="00BD4EA4">
        <w:rPr>
          <w:rStyle w:val="Referenciasutil1"/>
        </w:rPr>
        <w:t xml:space="preserve"> </w:t>
      </w:r>
      <w:r w:rsidRPr="008D17A3">
        <w:rPr>
          <w:rStyle w:val="Referenciasutil1"/>
        </w:rPr>
        <w:t>ILPES-CEPAL. 2011. Formulación de Programas con la Metodología del Marco</w:t>
      </w:r>
      <w:r w:rsidRPr="00DE0B5E">
        <w:rPr>
          <w:rStyle w:val="Referenciasutil1"/>
        </w:rPr>
        <w:t xml:space="preserve"> Lógico </w:t>
      </w:r>
      <w:r w:rsidRPr="00E14BB0">
        <w:rPr>
          <w:rStyle w:val="Hipervnculo"/>
          <w:szCs w:val="18"/>
        </w:rPr>
        <w:t>https://repositorio.cepal.org/bitstream/handle/11362/5507/1/S1100211_es.pdf</w:t>
      </w:r>
    </w:p>
  </w:footnote>
  <w:footnote w:id="4">
    <w:p w14:paraId="257619F0" w14:textId="2F3AA471" w:rsidR="00E84080" w:rsidRPr="00617F25" w:rsidRDefault="00E84080" w:rsidP="002B3391">
      <w:pPr>
        <w:pStyle w:val="Textonotapie"/>
        <w:rPr>
          <w:szCs w:val="18"/>
        </w:rPr>
      </w:pPr>
      <w:r w:rsidRPr="00617F25">
        <w:rPr>
          <w:rStyle w:val="Refdenotaalpie"/>
          <w:szCs w:val="18"/>
        </w:rPr>
        <w:footnoteRef/>
      </w:r>
      <w:r w:rsidRPr="00617F25">
        <w:rPr>
          <w:szCs w:val="18"/>
        </w:rPr>
        <w:t xml:space="preserve"> Artículo 46 de la L</w:t>
      </w:r>
      <w:r>
        <w:rPr>
          <w:szCs w:val="18"/>
        </w:rPr>
        <w:t xml:space="preserve">ey de </w:t>
      </w:r>
      <w:r w:rsidRPr="00617F25">
        <w:rPr>
          <w:szCs w:val="18"/>
        </w:rPr>
        <w:t>C</w:t>
      </w:r>
      <w:r>
        <w:rPr>
          <w:szCs w:val="18"/>
        </w:rPr>
        <w:t xml:space="preserve">oordinación </w:t>
      </w:r>
      <w:r w:rsidRPr="00617F25">
        <w:rPr>
          <w:szCs w:val="18"/>
        </w:rPr>
        <w:t>F</w:t>
      </w:r>
      <w:r>
        <w:rPr>
          <w:szCs w:val="18"/>
        </w:rPr>
        <w:t>iscal</w:t>
      </w:r>
      <w:r w:rsidRPr="00617F25">
        <w:rPr>
          <w:szCs w:val="18"/>
        </w:rPr>
        <w:t>.</w:t>
      </w:r>
    </w:p>
  </w:footnote>
  <w:footnote w:id="5">
    <w:p w14:paraId="3ECDCAFA" w14:textId="77777777" w:rsidR="00E84080" w:rsidRDefault="00E84080" w:rsidP="002B3391">
      <w:pPr>
        <w:pStyle w:val="Textonotapie"/>
      </w:pPr>
      <w:r>
        <w:rPr>
          <w:rStyle w:val="Refdenotaalpie"/>
        </w:rPr>
        <w:footnoteRef/>
      </w:r>
      <w:r>
        <w:t xml:space="preserve"> </w:t>
      </w:r>
      <w:r w:rsidRPr="00816154">
        <w:rPr>
          <w:rFonts w:cstheme="minorHAnsi"/>
          <w:szCs w:val="18"/>
        </w:rPr>
        <w:t xml:space="preserve">De acuerdo con lo establecido en los </w:t>
      </w:r>
      <w:r w:rsidRPr="00816154">
        <w:rPr>
          <w:rFonts w:cs="Times New Roman"/>
          <w:i/>
          <w:szCs w:val="18"/>
        </w:rPr>
        <w:t>Lineamientos para informar sobre los recursos federales transferidos a las entidades federativas, municipios y demarcaciones territoriales del Distrito Federal, y de operación de los recursos del Ramo General 33</w:t>
      </w:r>
      <w:r w:rsidRPr="00816154">
        <w:rPr>
          <w:rFonts w:cstheme="minorHAnsi"/>
          <w:szCs w:val="18"/>
        </w:rPr>
        <w:t>.</w:t>
      </w:r>
    </w:p>
  </w:footnote>
  <w:footnote w:id="6">
    <w:p w14:paraId="77F0BAE6" w14:textId="77777777" w:rsidR="00E84080" w:rsidRDefault="00E84080" w:rsidP="002B3391">
      <w:pPr>
        <w:pStyle w:val="Textonotapie"/>
      </w:pPr>
      <w:r>
        <w:rPr>
          <w:rStyle w:val="Refdenotaalpie"/>
        </w:rPr>
        <w:footnoteRef/>
      </w:r>
      <w:r>
        <w:t xml:space="preserve"> </w:t>
      </w:r>
      <w:r>
        <w:rPr>
          <w:szCs w:val="18"/>
        </w:rPr>
        <w:t>Ley de Coordinación Fiscal. Última Reforma DOF 30-01-2018.</w:t>
      </w:r>
      <w:hyperlink r:id="rId1" w:history="1">
        <w:r w:rsidRPr="00DF448B">
          <w:rPr>
            <w:rStyle w:val="Hipervnculo"/>
            <w:szCs w:val="18"/>
          </w:rPr>
          <w:t>http://www.diputados.gob.mx/LeyesBiblio/pdf/31_300118.pdf</w:t>
        </w:r>
      </w:hyperlink>
    </w:p>
  </w:footnote>
  <w:footnote w:id="7">
    <w:p w14:paraId="693F00D7" w14:textId="77777777" w:rsidR="00E84080" w:rsidRPr="001F0DD4" w:rsidRDefault="00E84080" w:rsidP="002B3391">
      <w:pPr>
        <w:pStyle w:val="Textonotapie"/>
        <w:rPr>
          <w:rStyle w:val="Referenciasutil"/>
        </w:rPr>
      </w:pPr>
      <w:r w:rsidRPr="001F0DD4">
        <w:rPr>
          <w:rStyle w:val="Referenciasutil"/>
        </w:rPr>
        <w:footnoteRef/>
      </w:r>
      <w:r w:rsidRPr="001F0DD4">
        <w:rPr>
          <w:rStyle w:val="Referenciasutil"/>
        </w:rPr>
        <w:t xml:space="preserve"> Artículo 47 de la L</w:t>
      </w:r>
      <w:r>
        <w:rPr>
          <w:rStyle w:val="Referenciasutil"/>
        </w:rPr>
        <w:t xml:space="preserve">ey de </w:t>
      </w:r>
      <w:r w:rsidRPr="001F0DD4">
        <w:rPr>
          <w:rStyle w:val="Referenciasutil"/>
        </w:rPr>
        <w:t>C</w:t>
      </w:r>
      <w:r>
        <w:rPr>
          <w:rStyle w:val="Referenciasutil"/>
        </w:rPr>
        <w:t xml:space="preserve">oordinación </w:t>
      </w:r>
      <w:r w:rsidRPr="001F0DD4">
        <w:rPr>
          <w:rStyle w:val="Referenciasutil"/>
        </w:rPr>
        <w:t>F</w:t>
      </w:r>
      <w:r>
        <w:rPr>
          <w:rStyle w:val="Referenciasutil"/>
        </w:rPr>
        <w:t>iscal</w:t>
      </w:r>
      <w:r w:rsidRPr="001F0DD4">
        <w:rPr>
          <w:rStyle w:val="Referenciasutil"/>
        </w:rPr>
        <w:t>.</w:t>
      </w:r>
    </w:p>
  </w:footnote>
  <w:footnote w:id="8">
    <w:p w14:paraId="3110188A" w14:textId="77777777" w:rsidR="00E84080" w:rsidRPr="004E7B77" w:rsidRDefault="00E84080" w:rsidP="002B3391">
      <w:pPr>
        <w:pStyle w:val="Textonotapie"/>
        <w:rPr>
          <w:rStyle w:val="Referenciasutil"/>
        </w:rPr>
      </w:pPr>
      <w:r w:rsidRPr="004E7B77">
        <w:rPr>
          <w:rStyle w:val="Referenciasutil"/>
        </w:rPr>
        <w:footnoteRef/>
      </w:r>
      <w:r w:rsidRPr="004E7B77">
        <w:rPr>
          <w:rStyle w:val="Referenciasutil"/>
        </w:rPr>
        <w:t xml:space="preserve"> La recaudación federal participable (RFP) es el conjunto de recursos que percibe la Federación por concepto de impuestos federales, derechos de minería y una parte de los ingresos petroleros provenientes del Fondo Mexicano del Petróleo</w:t>
      </w:r>
      <w:r>
        <w:rPr>
          <w:rStyle w:val="Referenciasutil"/>
        </w:rPr>
        <w:t xml:space="preserve"> (</w:t>
      </w:r>
      <w:r w:rsidRPr="00E14BB0">
        <w:rPr>
          <w:rStyle w:val="Hipervnculo"/>
          <w:szCs w:val="18"/>
        </w:rPr>
        <w:t>https://www.gob.mx/inafed</w:t>
      </w:r>
      <w:r w:rsidRPr="00E14BB0">
        <w:rPr>
          <w:rStyle w:val="Hipervnculo"/>
          <w:color w:val="000000" w:themeColor="text1"/>
          <w:szCs w:val="18"/>
        </w:rPr>
        <w:t>)</w:t>
      </w:r>
      <w:r w:rsidRPr="00E14BB0">
        <w:rPr>
          <w:rStyle w:val="Hipervnculo"/>
          <w:szCs w:val="18"/>
        </w:rPr>
        <w:t>.</w:t>
      </w:r>
    </w:p>
  </w:footnote>
  <w:footnote w:id="9">
    <w:p w14:paraId="518A3734" w14:textId="77777777" w:rsidR="00E84080" w:rsidRPr="000E66DD" w:rsidRDefault="00E84080" w:rsidP="002B3391">
      <w:pPr>
        <w:pStyle w:val="Textonotapie"/>
        <w:rPr>
          <w:rStyle w:val="Referenciasutil"/>
        </w:rPr>
      </w:pPr>
      <w:r w:rsidRPr="000E66DD">
        <w:rPr>
          <w:rStyle w:val="Referenciasutil"/>
        </w:rPr>
        <w:footnoteRef/>
      </w:r>
      <w:r w:rsidRPr="000E66DD">
        <w:rPr>
          <w:rStyle w:val="Referenciasutil"/>
        </w:rPr>
        <w:t xml:space="preserve"> </w:t>
      </w:r>
      <w:r w:rsidRPr="00E14BB0">
        <w:rPr>
          <w:rStyle w:val="Hipervnculo"/>
          <w:szCs w:val="18"/>
        </w:rPr>
        <w:t>https://dof.gob.mx/nota_detalle.php?codigo=5297066&amp;fecha=25/04/2013</w:t>
      </w:r>
    </w:p>
  </w:footnote>
  <w:footnote w:id="10">
    <w:p w14:paraId="4FB0716C" w14:textId="3CBCE961" w:rsidR="00E84080" w:rsidRDefault="00E84080" w:rsidP="005B1E16">
      <w:pPr>
        <w:pStyle w:val="Textonotapie"/>
      </w:pPr>
      <w:r w:rsidRPr="00BD4EA4">
        <w:rPr>
          <w:rStyle w:val="Referenciasutil"/>
        </w:rPr>
        <w:footnoteRef/>
      </w:r>
      <w:r w:rsidRPr="00BD4EA4">
        <w:rPr>
          <w:rStyle w:val="Referenciasutil"/>
        </w:rPr>
        <w:t xml:space="preserve"> Auditoría Combinada de Cumplimiento y Desempeño: 2018-A-28000-21-1410-2019</w:t>
      </w:r>
      <w:r>
        <w:rPr>
          <w:rStyle w:val="Referenciasutil"/>
        </w:rPr>
        <w:t xml:space="preserve"> </w:t>
      </w:r>
      <w:r w:rsidRPr="00BD4EA4">
        <w:rPr>
          <w:rStyle w:val="Referenciasutil"/>
        </w:rPr>
        <w:t>1410-DS-GF</w:t>
      </w:r>
    </w:p>
  </w:footnote>
  <w:footnote w:id="11">
    <w:p w14:paraId="54355BBD" w14:textId="154231CC" w:rsidR="00E84080" w:rsidRPr="00296A97" w:rsidRDefault="00E84080" w:rsidP="002B3391">
      <w:pPr>
        <w:pStyle w:val="Textonotapie"/>
        <w:rPr>
          <w:rStyle w:val="Referenciasutil"/>
        </w:rPr>
      </w:pPr>
      <w:r w:rsidRPr="00296A97">
        <w:rPr>
          <w:rStyle w:val="Referenciasutil"/>
        </w:rPr>
        <w:footnoteRef/>
      </w:r>
      <w:r w:rsidRPr="00296A97">
        <w:rPr>
          <w:rStyle w:val="Referenciasutil"/>
        </w:rPr>
        <w:t xml:space="preserve"> DOF. ACUERDO por el que se da a conocer a los gobiernos de las entidades federativas la distribución y calendarización para la ministración, de los recursos correspondientes a los Ramos Generales 28 Participaciones a Entidades Federativas y Municipios, y 33 Aportaciones Federales para Entidades Federativas y Municipios ejercicios 2014-2020.</w:t>
      </w:r>
    </w:p>
  </w:footnote>
  <w:footnote w:id="12">
    <w:p w14:paraId="1E0D49D0" w14:textId="724DA65C" w:rsidR="00E84080" w:rsidRDefault="00E84080" w:rsidP="002B3391">
      <w:pPr>
        <w:pStyle w:val="Textonotapie"/>
      </w:pPr>
      <w:r w:rsidRPr="00AB334B">
        <w:rPr>
          <w:rStyle w:val="Referenciasutil"/>
        </w:rPr>
        <w:footnoteRef/>
      </w:r>
      <w:r w:rsidRPr="00AB334B">
        <w:rPr>
          <w:rStyle w:val="Referenciasutil"/>
        </w:rPr>
        <w:t xml:space="preserve"> </w:t>
      </w:r>
      <w:r w:rsidRPr="00E14BB0">
        <w:rPr>
          <w:rStyle w:val="Hipervnculo"/>
          <w:szCs w:val="18"/>
        </w:rPr>
        <w:t>http://transparencia.tamaulipas.gob.mx/wp-content/uploads/2019/01/P.-DE-EGRESOS-2014-2018</w:t>
      </w:r>
    </w:p>
  </w:footnote>
  <w:footnote w:id="13">
    <w:p w14:paraId="25349383" w14:textId="77777777" w:rsidR="00E84080" w:rsidRDefault="00E84080" w:rsidP="00321247">
      <w:pPr>
        <w:pStyle w:val="Textonotapie"/>
      </w:pPr>
      <w:r>
        <w:rPr>
          <w:rStyle w:val="Refdenotaalpie"/>
        </w:rPr>
        <w:footnoteRef/>
      </w:r>
      <w:r>
        <w:t xml:space="preserve"> </w:t>
      </w:r>
      <w:r w:rsidRPr="00E14BB0">
        <w:rPr>
          <w:rStyle w:val="Hipervnculo"/>
          <w:szCs w:val="18"/>
        </w:rPr>
        <w:t>http://transparencia.tamaulipas.gob.mx/armonizacion_contable/obligaciones_f_f/info2013/</w:t>
      </w:r>
    </w:p>
  </w:footnote>
  <w:footnote w:id="14">
    <w:p w14:paraId="0419B175" w14:textId="564B34F9" w:rsidR="00E84080" w:rsidRDefault="00E84080">
      <w:pPr>
        <w:pStyle w:val="Textonotapie"/>
      </w:pPr>
      <w:r>
        <w:rPr>
          <w:rStyle w:val="Refdenotaalpie"/>
        </w:rPr>
        <w:footnoteRef/>
      </w:r>
      <w:r>
        <w:t xml:space="preserve"> </w:t>
      </w:r>
      <w:r w:rsidRPr="007C1D04">
        <w:t>Informes sobre la Situación Económica, las Finanzas Públicas y la Deuda Pública</w:t>
      </w:r>
      <w:r>
        <w:t xml:space="preserve"> (informe al cuarto trimestre de 2017).</w:t>
      </w:r>
    </w:p>
  </w:footnote>
  <w:footnote w:id="15">
    <w:p w14:paraId="6789F288" w14:textId="4CCE00E8" w:rsidR="00E84080" w:rsidRPr="00964CAE" w:rsidRDefault="00E84080" w:rsidP="0080307D">
      <w:pPr>
        <w:pStyle w:val="Textonotapie"/>
        <w:jc w:val="left"/>
        <w:rPr>
          <w:rStyle w:val="Referenciasutil1"/>
        </w:rPr>
      </w:pPr>
      <w:r w:rsidRPr="00106D47">
        <w:rPr>
          <w:rStyle w:val="Referenciasutil1"/>
          <w:vertAlign w:val="superscript"/>
        </w:rPr>
        <w:footnoteRef/>
      </w:r>
      <w:r w:rsidRPr="00964CAE">
        <w:rPr>
          <w:rStyle w:val="Referenciasutil1"/>
        </w:rPr>
        <w:t xml:space="preserve"> Aspectos a considerar para la elaboración del diagnóstico, disponible en: </w:t>
      </w:r>
      <w:r w:rsidRPr="00E14BB0">
        <w:rPr>
          <w:rStyle w:val="Hipervnculo"/>
          <w:szCs w:val="18"/>
        </w:rPr>
        <w:t>https://www.gob.mx/cms/uploads/attachment/file/541072/Oficio_No._419-A-19-0788_VQZ.SE.164.19.pdf</w:t>
      </w:r>
    </w:p>
  </w:footnote>
  <w:footnote w:id="16">
    <w:p w14:paraId="3B7960D6" w14:textId="04DA1ECC" w:rsidR="00E84080" w:rsidRPr="00BD4EA4" w:rsidRDefault="00E84080">
      <w:pPr>
        <w:pStyle w:val="Textonotapie"/>
        <w:rPr>
          <w:rStyle w:val="Referenciasutil"/>
        </w:rPr>
      </w:pPr>
      <w:r w:rsidRPr="00106D47">
        <w:rPr>
          <w:rStyle w:val="Referenciasutil1"/>
          <w:vertAlign w:val="superscript"/>
        </w:rPr>
        <w:footnoteRef/>
      </w:r>
      <w:r>
        <w:rPr>
          <w:rStyle w:val="Referenciasutil1"/>
        </w:rPr>
        <w:t xml:space="preserve"> </w:t>
      </w:r>
      <w:bookmarkStart w:id="39" w:name="_Hlk53580929"/>
      <w:r w:rsidRPr="00964CAE">
        <w:rPr>
          <w:rStyle w:val="Referenciasutil1"/>
        </w:rPr>
        <w:t xml:space="preserve">ILPES-CEPAL. 2011. Formulación de Programas con la Metodología del Marco Lógico </w:t>
      </w:r>
      <w:r w:rsidRPr="00E14BB0">
        <w:rPr>
          <w:rStyle w:val="Hipervnculo"/>
          <w:szCs w:val="18"/>
        </w:rPr>
        <w:t>https://repositorio.cepal.org/bitstream/handle/11362/5507/1/S1100211_es.pdf</w:t>
      </w:r>
      <w:bookmarkEnd w:id="39"/>
    </w:p>
  </w:footnote>
  <w:footnote w:id="17">
    <w:p w14:paraId="11FEDE3B" w14:textId="77777777" w:rsidR="00E84080" w:rsidRPr="00106D47" w:rsidRDefault="00E84080" w:rsidP="009220C3">
      <w:pPr>
        <w:pStyle w:val="Textonotapie"/>
        <w:rPr>
          <w:rStyle w:val="Referenciasutil1"/>
        </w:rPr>
      </w:pPr>
      <w:r w:rsidRPr="00106D47">
        <w:rPr>
          <w:rStyle w:val="Referenciasutil1"/>
          <w:vertAlign w:val="superscript"/>
        </w:rPr>
        <w:footnoteRef/>
      </w:r>
      <w:r w:rsidRPr="00106D47">
        <w:rPr>
          <w:rStyle w:val="Referenciasutil1"/>
        </w:rPr>
        <w:t xml:space="preserve"> Diario Oficial de la Federación. 25 de abril del 2013. </w:t>
      </w:r>
    </w:p>
  </w:footnote>
  <w:footnote w:id="18">
    <w:p w14:paraId="48CF948D" w14:textId="49522D87" w:rsidR="00E84080" w:rsidRPr="00106D47" w:rsidRDefault="00E84080">
      <w:pPr>
        <w:pStyle w:val="Textonotapie"/>
        <w:rPr>
          <w:rStyle w:val="Referenciasutil1"/>
        </w:rPr>
      </w:pPr>
      <w:r w:rsidRPr="00106D47">
        <w:rPr>
          <w:rStyle w:val="Referenciasutil1"/>
          <w:vertAlign w:val="superscript"/>
        </w:rPr>
        <w:footnoteRef/>
      </w:r>
      <w:r w:rsidRPr="00106D47">
        <w:rPr>
          <w:rStyle w:val="Referenciasutil1"/>
          <w:vertAlign w:val="superscript"/>
        </w:rPr>
        <w:t xml:space="preserve"> </w:t>
      </w:r>
      <w:r w:rsidRPr="00E14BB0">
        <w:rPr>
          <w:rStyle w:val="Hipervnculo"/>
          <w:szCs w:val="18"/>
        </w:rPr>
        <w:t>http://po.tamaulipas.gob.mx/wp-content/uploads/2018/12/cxliii-150-131218F-ANEXO.pdf</w:t>
      </w:r>
    </w:p>
  </w:footnote>
  <w:footnote w:id="19">
    <w:p w14:paraId="4100C5E0" w14:textId="1FB4A8D7" w:rsidR="00E84080" w:rsidRDefault="00E84080" w:rsidP="00676AEB">
      <w:pPr>
        <w:pStyle w:val="Textonotapie"/>
      </w:pPr>
      <w:r>
        <w:rPr>
          <w:rStyle w:val="Refdenotaalpie"/>
        </w:rPr>
        <w:footnoteRef/>
      </w:r>
      <w:r>
        <w:t xml:space="preserve"> </w:t>
      </w:r>
      <w:r w:rsidRPr="00106D47">
        <w:rPr>
          <w:rStyle w:val="Referenciasutil1"/>
        </w:rPr>
        <w:t>Informes sobre la Situación Económica, las Finanzas Públicas y la Deuda Pública (informe al cuarto trimestre de 2017).</w:t>
      </w:r>
    </w:p>
  </w:footnote>
  <w:footnote w:id="20">
    <w:p w14:paraId="0AB72FC4" w14:textId="0624807E" w:rsidR="00E84080" w:rsidRPr="00B71ABF" w:rsidRDefault="00E84080" w:rsidP="006007DC">
      <w:pPr>
        <w:pStyle w:val="Textonotapie"/>
        <w:rPr>
          <w:rStyle w:val="Hipervnculo"/>
          <w:szCs w:val="18"/>
        </w:rPr>
      </w:pPr>
      <w:r>
        <w:rPr>
          <w:rStyle w:val="Refdenotaalpie"/>
        </w:rPr>
        <w:footnoteRef/>
      </w:r>
      <w:r w:rsidRPr="00106D47">
        <w:rPr>
          <w:rStyle w:val="Referenciasutil1"/>
        </w:rPr>
        <w:t xml:space="preserve">ILPES-CEPAL. 2011. Formulación de Programas con la Metodología del Marco Lógico </w:t>
      </w:r>
      <w:hyperlink r:id="rId2" w:history="1">
        <w:r w:rsidRPr="00B71ABF">
          <w:rPr>
            <w:rStyle w:val="Hipervnculo"/>
            <w:szCs w:val="18"/>
          </w:rPr>
          <w:t>https://repositorio.cepal.org/bitstream/handle/11362/5507/1/S1100211_es.pdf</w:t>
        </w:r>
      </w:hyperlink>
    </w:p>
  </w:footnote>
  <w:footnote w:id="21">
    <w:p w14:paraId="76DEC4A0" w14:textId="5C0F7CDC" w:rsidR="00E84080" w:rsidRPr="00106D47" w:rsidRDefault="00E84080">
      <w:pPr>
        <w:pStyle w:val="Textonotapie"/>
        <w:rPr>
          <w:rStyle w:val="Referenciasutil1"/>
        </w:rPr>
      </w:pPr>
      <w:r w:rsidRPr="00106D47">
        <w:rPr>
          <w:rStyle w:val="Referenciasutil1"/>
          <w:vertAlign w:val="superscript"/>
        </w:rPr>
        <w:footnoteRef/>
      </w:r>
      <w:r w:rsidRPr="00106D47">
        <w:rPr>
          <w:rStyle w:val="Referenciasutil1"/>
          <w:vertAlign w:val="superscript"/>
        </w:rPr>
        <w:t xml:space="preserve"> </w:t>
      </w:r>
      <w:hyperlink r:id="rId3" w:history="1">
        <w:r w:rsidRPr="00271E20">
          <w:rPr>
            <w:rStyle w:val="Hipervnculo"/>
            <w:rFonts w:ascii="Calibri" w:hAnsi="Calibri"/>
          </w:rPr>
          <w:t>http://transparencia.tamaulipas.gob.mx/prontuario/estatal/manuales/</w:t>
        </w:r>
      </w:hyperlink>
      <w:r>
        <w:rPr>
          <w:rStyle w:val="Referenciasutil1"/>
        </w:rPr>
        <w:t xml:space="preserve"> </w:t>
      </w:r>
    </w:p>
  </w:footnote>
  <w:footnote w:id="22">
    <w:p w14:paraId="667EB3FD" w14:textId="7F0B84D2" w:rsidR="00E84080" w:rsidRPr="00CE2092" w:rsidRDefault="00E84080">
      <w:pPr>
        <w:pStyle w:val="Textonotapie"/>
        <w:rPr>
          <w:rStyle w:val="Referenciasutil"/>
        </w:rPr>
      </w:pPr>
      <w:r w:rsidRPr="00106D47">
        <w:rPr>
          <w:rStyle w:val="Referenciasutil1"/>
          <w:vertAlign w:val="superscript"/>
        </w:rPr>
        <w:footnoteRef/>
      </w:r>
      <w:r w:rsidRPr="00106D47">
        <w:rPr>
          <w:rStyle w:val="Referenciasutil1"/>
          <w:vertAlign w:val="superscript"/>
        </w:rPr>
        <w:t xml:space="preserve"> </w:t>
      </w:r>
      <w:hyperlink r:id="rId4" w:history="1">
        <w:r w:rsidRPr="00271E20">
          <w:rPr>
            <w:rStyle w:val="Hipervnculo"/>
            <w:rFonts w:ascii="Calibri" w:hAnsi="Calibri"/>
          </w:rPr>
          <w:t>http://po.tamaulipas.gob.mx/wp-content/uploads/2016/09/Ley_Deuda_Publica.pdf</w:t>
        </w:r>
      </w:hyperlink>
      <w:r>
        <w:rPr>
          <w:rStyle w:val="Referenciasutil1"/>
        </w:rPr>
        <w:t xml:space="preserve"> </w:t>
      </w:r>
    </w:p>
  </w:footnote>
  <w:footnote w:id="23">
    <w:p w14:paraId="4E4EB143" w14:textId="6147FDDC" w:rsidR="00E84080" w:rsidRDefault="00E84080">
      <w:pPr>
        <w:pStyle w:val="Textonotapie"/>
      </w:pPr>
      <w:r>
        <w:rPr>
          <w:rStyle w:val="Refdenotaalpie"/>
        </w:rPr>
        <w:footnoteRef/>
      </w:r>
      <w:r>
        <w:t xml:space="preserve"> E</w:t>
      </w:r>
      <w:r w:rsidRPr="004B44E8">
        <w:t>jercicio y destino de los recursos federales (SFU) histórico</w:t>
      </w:r>
      <w:r>
        <w:t xml:space="preserve">: </w:t>
      </w:r>
      <w:r w:rsidRPr="004B44E8">
        <w:t>https://transparencia.tamaulipas.gob.mx/informacion-publica/tema/recursos-federales/ejercicio-y-destino-de-los-recursos-federales-sfu-historico/</w:t>
      </w:r>
    </w:p>
  </w:footnote>
  <w:footnote w:id="24">
    <w:p w14:paraId="410A02E6" w14:textId="77777777" w:rsidR="00E84080" w:rsidRDefault="00E84080" w:rsidP="00CF0ADC">
      <w:pPr>
        <w:pStyle w:val="Textonotapie"/>
      </w:pPr>
      <w:r>
        <w:rPr>
          <w:rStyle w:val="Refdenotaalpie"/>
        </w:rPr>
        <w:footnoteRef/>
      </w:r>
      <w:r>
        <w:t xml:space="preserve"> </w:t>
      </w:r>
      <w:r w:rsidRPr="00006653">
        <w:rPr>
          <w:szCs w:val="18"/>
        </w:rPr>
        <w:t xml:space="preserve">Para los años 2014, 2015 y 2016 se indicó la meta de beneficiarios </w:t>
      </w:r>
      <w:r>
        <w:rPr>
          <w:szCs w:val="18"/>
        </w:rPr>
        <w:t xml:space="preserve">registrada en el </w:t>
      </w:r>
      <w:r w:rsidRPr="00006653">
        <w:rPr>
          <w:szCs w:val="18"/>
        </w:rPr>
        <w:t>Componente C01 del POA, para los años 2017 y 2018 el POA no señala el valor logrado de la meta de beneficiarios, sino que lo presenta en ceros.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52DF0" w14:textId="703A678D" w:rsidR="00E84080" w:rsidRPr="001564DA" w:rsidRDefault="00E84080" w:rsidP="008F0A14">
    <w:pPr>
      <w:pStyle w:val="Encabezado"/>
      <w:pBdr>
        <w:bottom w:val="single" w:sz="8" w:space="1" w:color="1F3864" w:themeColor="accent5" w:themeShade="80"/>
      </w:pBdr>
      <w:spacing w:before="0"/>
      <w:jc w:val="center"/>
      <w:rPr>
        <w:b/>
      </w:rPr>
    </w:pPr>
    <w:r>
      <w:rPr>
        <w:b/>
        <w:noProof/>
        <w:sz w:val="20"/>
        <w:szCs w:val="20"/>
        <w:lang w:eastAsia="es-MX"/>
      </w:rPr>
      <mc:AlternateContent>
        <mc:Choice Requires="wps">
          <w:drawing>
            <wp:anchor distT="4294967293" distB="4294967293" distL="114300" distR="114300" simplePos="0" relativeHeight="251692032" behindDoc="0" locked="0" layoutInCell="1" allowOverlap="1" wp14:anchorId="067005AB" wp14:editId="2CF1D144">
              <wp:simplePos x="0" y="0"/>
              <wp:positionH relativeFrom="margin">
                <wp:posOffset>-262890</wp:posOffset>
              </wp:positionH>
              <wp:positionV relativeFrom="paragraph">
                <wp:posOffset>9655810</wp:posOffset>
              </wp:positionV>
              <wp:extent cx="8458200" cy="7620"/>
              <wp:effectExtent l="0" t="0" r="19050" b="30480"/>
              <wp:wrapNone/>
              <wp:docPr id="10"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458200" cy="762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4C40C1" id="Conector recto 13" o:spid="_x0000_s1026" style="position:absolute;flip:y;z-index:251692032;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20.7pt,760.3pt" to="645.3pt,7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" strokecolor="#203864" strokeweight="1pt">
              <v:stroke joinstyle="miter"/>
              <o:lock v:ext="edit" shapetype="f"/>
              <w10:wrap anchorx="margin"/>
            </v:line>
          </w:pict>
        </mc:Fallback>
      </mc:AlternateContent>
    </w:r>
    <w:r w:rsidRPr="001564DA">
      <w:rPr>
        <w:b/>
      </w:rPr>
      <w:t xml:space="preserve">Evaluación Estratégica al Fondo de Aportaciones para el Fortalecimiento de las Entidades Federativas (FAFEF) </w:t>
    </w:r>
    <w:bookmarkStart w:id="1" w:name="_Hlk51659349"/>
    <w:r>
      <w:rPr>
        <w:b/>
      </w:rPr>
      <w:t>en el ámbito estatal para Tamaulipas</w:t>
    </w:r>
    <w:bookmarkEnd w:id="1"/>
  </w:p>
  <w:p w14:paraId="0093870C" w14:textId="509E8020" w:rsidR="00E84080" w:rsidRPr="00693039" w:rsidRDefault="00E84080" w:rsidP="0026073C">
    <w:pPr>
      <w:pStyle w:val="Encabezado"/>
      <w:spacing w:before="0"/>
      <w:jc w:val="center"/>
      <w:rPr>
        <w:b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1042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4"/>
      <w:gridCol w:w="3421"/>
      <w:gridCol w:w="3332"/>
    </w:tblGrid>
    <w:tr w:rsidR="00E84080" w14:paraId="53BD13E4" w14:textId="77777777" w:rsidTr="00E01B94">
      <w:trPr>
        <w:trHeight w:val="1730"/>
      </w:trPr>
      <w:tc>
        <w:tcPr>
          <w:tcW w:w="3475" w:type="dxa"/>
          <w:vAlign w:val="center"/>
        </w:tcPr>
        <w:p w14:paraId="65BB71ED" w14:textId="5B957C6A" w:rsidR="00E84080" w:rsidRDefault="00E84080" w:rsidP="00E01B94">
          <w:pPr>
            <w:pStyle w:val="Encabezado"/>
            <w:tabs>
              <w:tab w:val="center" w:pos="4820"/>
            </w:tabs>
            <w:jc w:val="center"/>
            <w:rPr>
              <w:b/>
              <w:noProof/>
              <w:sz w:val="40"/>
              <w:szCs w:val="40"/>
            </w:rPr>
          </w:pPr>
          <w:r>
            <w:rPr>
              <w:b/>
              <w:noProof/>
              <w:sz w:val="40"/>
              <w:szCs w:val="40"/>
              <w:lang w:eastAsia="es-MX"/>
            </w:rPr>
            <w:drawing>
              <wp:inline distT="0" distB="0" distL="0" distR="0" wp14:anchorId="2EA69AD3" wp14:editId="33EDD51E">
                <wp:extent cx="2196000" cy="5040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6000" cy="504000"/>
                        </a:xfrm>
                        <a:prstGeom prst="rect">
                          <a:avLst/>
                        </a:prstGeom>
                        <a:noFill/>
                      </pic:spPr>
                    </pic:pic>
                  </a:graphicData>
                </a:graphic>
              </wp:inline>
            </w:drawing>
          </w:r>
        </w:p>
      </w:tc>
      <w:tc>
        <w:tcPr>
          <w:tcW w:w="3476" w:type="dxa"/>
          <w:vAlign w:val="center"/>
        </w:tcPr>
        <w:p w14:paraId="630E6BE9" w14:textId="1790DDBD" w:rsidR="00E84080" w:rsidRDefault="00E84080" w:rsidP="00783135">
          <w:pPr>
            <w:pStyle w:val="Encabezado"/>
            <w:tabs>
              <w:tab w:val="center" w:pos="4820"/>
            </w:tabs>
            <w:jc w:val="center"/>
            <w:rPr>
              <w:b/>
              <w:noProof/>
              <w:sz w:val="40"/>
              <w:szCs w:val="40"/>
            </w:rPr>
          </w:pPr>
          <w:r>
            <w:rPr>
              <w:noProof/>
              <w:lang w:eastAsia="es-MX"/>
            </w:rPr>
            <w:drawing>
              <wp:inline distT="0" distB="0" distL="0" distR="0" wp14:anchorId="2B976B76" wp14:editId="248B9570">
                <wp:extent cx="1281600" cy="565200"/>
                <wp:effectExtent l="0" t="0" r="0" b="6350"/>
                <wp:docPr id="2" name="Imagen 2" descr="Gobierno del Estado de Tamauli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bierno del Estado de Tamaulip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81600" cy="565200"/>
                        </a:xfrm>
                        <a:prstGeom prst="rect">
                          <a:avLst/>
                        </a:prstGeom>
                        <a:noFill/>
                        <a:ln>
                          <a:noFill/>
                        </a:ln>
                      </pic:spPr>
                    </pic:pic>
                  </a:graphicData>
                </a:graphic>
              </wp:inline>
            </w:drawing>
          </w:r>
        </w:p>
      </w:tc>
      <w:tc>
        <w:tcPr>
          <w:tcW w:w="3476" w:type="dxa"/>
          <w:vAlign w:val="center"/>
        </w:tcPr>
        <w:p w14:paraId="3B4EA92E" w14:textId="5529B3A9" w:rsidR="00E84080" w:rsidRDefault="00E84080" w:rsidP="00EA0EED">
          <w:pPr>
            <w:pStyle w:val="Encabezado"/>
            <w:tabs>
              <w:tab w:val="center" w:pos="4820"/>
            </w:tabs>
            <w:rPr>
              <w:b/>
              <w:noProof/>
              <w:sz w:val="40"/>
              <w:szCs w:val="40"/>
            </w:rPr>
          </w:pPr>
          <w:r w:rsidRPr="00A2170D">
            <w:rPr>
              <w:b/>
              <w:noProof/>
              <w:sz w:val="40"/>
              <w:szCs w:val="40"/>
              <w:lang w:eastAsia="es-MX"/>
            </w:rPr>
            <w:drawing>
              <wp:anchor distT="0" distB="0" distL="114300" distR="114300" simplePos="0" relativeHeight="251683840" behindDoc="1" locked="0" layoutInCell="1" allowOverlap="1" wp14:anchorId="39DB8797" wp14:editId="4615B372">
                <wp:simplePos x="0" y="0"/>
                <wp:positionH relativeFrom="column">
                  <wp:posOffset>290830</wp:posOffset>
                </wp:positionH>
                <wp:positionV relativeFrom="paragraph">
                  <wp:posOffset>-3810</wp:posOffset>
                </wp:positionV>
                <wp:extent cx="1468800" cy="604800"/>
                <wp:effectExtent l="0" t="0" r="0" b="0"/>
                <wp:wrapNone/>
                <wp:docPr id="12" name="Imagen 12" descr="C:\Users\Vision\Documents\SERpro\Imágen Serpro\Nueva imágen\logo_ser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ion\Documents\SERpro\Imágen Serpro\Nueva imágen\logo_serpro.pn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68800" cy="604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E1FC8C5" w14:textId="64DC95C1" w:rsidR="00E84080" w:rsidRDefault="00E84080" w:rsidP="005D53C2">
    <w:pPr>
      <w:pStyle w:val="Encabezado"/>
      <w:tabs>
        <w:tab w:val="clear" w:pos="4419"/>
        <w:tab w:val="center" w:pos="4820"/>
      </w:tabs>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8A25E" w14:textId="6074DA52" w:rsidR="00E84080" w:rsidRDefault="00E84080" w:rsidP="00A64457">
    <w:pPr>
      <w:pStyle w:val="Encabezado"/>
      <w:spacing w:before="0"/>
      <w:jc w:val="center"/>
      <w:rPr>
        <w:b/>
      </w:rPr>
    </w:pPr>
    <w:r w:rsidRPr="001564DA">
      <w:rPr>
        <w:b/>
      </w:rPr>
      <w:t xml:space="preserve">Evaluación Estratégica al Fondo de Aportaciones para el Fortalecimiento de las Entidades Federativas (FAFEF) </w:t>
    </w:r>
    <w:r>
      <w:rPr>
        <w:b/>
      </w:rPr>
      <w:t>en el ámbito estatal para Tamaulipas</w:t>
    </w:r>
  </w:p>
  <w:p w14:paraId="79338297" w14:textId="7DE864D6" w:rsidR="00E84080" w:rsidRPr="001564DA" w:rsidRDefault="00E84080" w:rsidP="00A64457">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94080" behindDoc="0" locked="0" layoutInCell="1" allowOverlap="1" wp14:anchorId="6E46FB18" wp14:editId="1FADCA3E">
              <wp:simplePos x="0" y="0"/>
              <wp:positionH relativeFrom="margin">
                <wp:align>right</wp:align>
              </wp:positionH>
              <wp:positionV relativeFrom="paragraph">
                <wp:posOffset>36195</wp:posOffset>
              </wp:positionV>
              <wp:extent cx="8534400" cy="26670"/>
              <wp:effectExtent l="0" t="0" r="19050" b="30480"/>
              <wp:wrapNone/>
              <wp:docPr id="11"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534400" cy="2667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5722F3" id="Conector recto 13" o:spid="_x0000_s1026" style="position:absolute;flip:y;z-index:251694080;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620.8pt,2.85pt" to="1292.8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" strokecolor="#203864" strokeweight="1pt">
              <v:stroke joinstyle="miter"/>
              <o:lock v:ext="edit" shapetype="f"/>
              <w10:wrap anchorx="margin"/>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299DA" w14:textId="64306BB5" w:rsidR="00E84080" w:rsidRDefault="00E84080" w:rsidP="00A64457">
    <w:pPr>
      <w:pStyle w:val="Encabezado"/>
      <w:spacing w:before="0"/>
      <w:jc w:val="center"/>
      <w:rPr>
        <w:b/>
      </w:rPr>
    </w:pPr>
    <w:r w:rsidRPr="001564DA">
      <w:rPr>
        <w:b/>
      </w:rPr>
      <w:t xml:space="preserve">Evaluación Estratégica al Fondo de Aportaciones para el Fortalecimiento de las Entidades Federativas (FAFEF) </w:t>
    </w:r>
    <w:r>
      <w:rPr>
        <w:b/>
      </w:rPr>
      <w:t>en el ámbito estatal para Tamaulipas</w:t>
    </w:r>
  </w:p>
  <w:p w14:paraId="46F501C2" w14:textId="6516F9C2" w:rsidR="00E84080" w:rsidRPr="001564DA" w:rsidRDefault="00E84080" w:rsidP="00A64457">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96128" behindDoc="0" locked="0" layoutInCell="1" allowOverlap="1" wp14:anchorId="3D7871F3" wp14:editId="4ED4710F">
              <wp:simplePos x="0" y="0"/>
              <wp:positionH relativeFrom="margin">
                <wp:posOffset>66675</wp:posOffset>
              </wp:positionH>
              <wp:positionV relativeFrom="paragraph">
                <wp:posOffset>46990</wp:posOffset>
              </wp:positionV>
              <wp:extent cx="8534400" cy="26670"/>
              <wp:effectExtent l="0" t="0" r="19050" b="30480"/>
              <wp:wrapNone/>
              <wp:docPr id="13"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534400" cy="2667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AE234D" id="Conector recto 13" o:spid="_x0000_s1026" style="position:absolute;flip:y;z-index:251696128;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5.25pt,3.7pt" to="677.2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" strokecolor="#203864" strokeweight="1pt">
              <v:stroke joinstyle="miter"/>
              <o:lock v:ext="edit" shapetype="f"/>
              <w10:wrap anchorx="margin"/>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0A4806" w14:textId="146E314C" w:rsidR="00E84080" w:rsidRDefault="00E84080" w:rsidP="00A64457">
    <w:pPr>
      <w:pStyle w:val="Encabezado"/>
      <w:spacing w:before="0"/>
      <w:jc w:val="center"/>
      <w:rPr>
        <w:b/>
      </w:rPr>
    </w:pPr>
    <w:r w:rsidRPr="001564DA">
      <w:rPr>
        <w:b/>
      </w:rPr>
      <w:t xml:space="preserve">Evaluación Estratégica al Fondo de Aportaciones para el Fortalecimiento de las Entidades Federativas (FAFEF) </w:t>
    </w:r>
    <w:r>
      <w:rPr>
        <w:b/>
      </w:rPr>
      <w:t>en el ámbito estatal para Tamaulipas</w:t>
    </w:r>
  </w:p>
  <w:p w14:paraId="037A1548" w14:textId="6265E056" w:rsidR="00E84080" w:rsidRPr="001564DA" w:rsidRDefault="00E84080" w:rsidP="00A64457">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98176" behindDoc="0" locked="0" layoutInCell="1" allowOverlap="1" wp14:anchorId="18608942" wp14:editId="28AF231C">
              <wp:simplePos x="0" y="0"/>
              <wp:positionH relativeFrom="margin">
                <wp:posOffset>66675</wp:posOffset>
              </wp:positionH>
              <wp:positionV relativeFrom="paragraph">
                <wp:posOffset>66675</wp:posOffset>
              </wp:positionV>
              <wp:extent cx="8534400" cy="26670"/>
              <wp:effectExtent l="0" t="0" r="19050" b="30480"/>
              <wp:wrapNone/>
              <wp:docPr id="14"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534400" cy="2667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40F7302" id="Conector recto 13" o:spid="_x0000_s1026" style="position:absolute;flip:y;z-index:251698176;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5.25pt,5.25pt" to="677.2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" strokecolor="#203864" strokeweight="1pt">
              <v:stroke joinstyle="miter"/>
              <o:lock v:ext="edit" shapetype="f"/>
              <w10:wrap anchorx="margin"/>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5BCC21" w14:textId="69680252" w:rsidR="00E84080" w:rsidRPr="001564DA" w:rsidRDefault="00E84080" w:rsidP="00BE7251">
    <w:pPr>
      <w:pStyle w:val="Encabezado"/>
      <w:spacing w:before="0"/>
      <w:jc w:val="center"/>
      <w:rPr>
        <w:b/>
      </w:rPr>
    </w:pPr>
    <w:r w:rsidRPr="001564DA">
      <w:rPr>
        <w:b/>
      </w:rPr>
      <w:t xml:space="preserve">Evaluación Estratégica al Fondo de Aportaciones para el Fortalecimiento de las Entidades Federativas (FAFEF) </w:t>
    </w:r>
    <w:r>
      <w:rPr>
        <w:b/>
      </w:rPr>
      <w:t>en el ámbito estatal para Tamaulipas</w:t>
    </w:r>
  </w:p>
  <w:p w14:paraId="2AB2D65F" w14:textId="562DE917" w:rsidR="00E84080" w:rsidRPr="00693039" w:rsidRDefault="00E84080" w:rsidP="0026073C">
    <w:pPr>
      <w:pStyle w:val="Encabezado"/>
      <w:spacing w:before="0"/>
      <w:jc w:val="center"/>
      <w:rPr>
        <w:bCs/>
      </w:rPr>
    </w:pPr>
    <w:r>
      <w:rPr>
        <w:b/>
        <w:noProof/>
        <w:sz w:val="20"/>
        <w:szCs w:val="20"/>
        <w:lang w:eastAsia="es-MX"/>
      </w:rPr>
      <mc:AlternateContent>
        <mc:Choice Requires="wps">
          <w:drawing>
            <wp:anchor distT="4294967293" distB="4294967293" distL="114300" distR="114300" simplePos="0" relativeHeight="251685888" behindDoc="0" locked="0" layoutInCell="1" allowOverlap="1" wp14:anchorId="11DEE900" wp14:editId="407358E9">
              <wp:simplePos x="0" y="0"/>
              <wp:positionH relativeFrom="margin">
                <wp:align>right</wp:align>
              </wp:positionH>
              <wp:positionV relativeFrom="paragraph">
                <wp:posOffset>55245</wp:posOffset>
              </wp:positionV>
              <wp:extent cx="8505825" cy="17145"/>
              <wp:effectExtent l="0" t="0" r="28575" b="20955"/>
              <wp:wrapNone/>
              <wp:docPr id="6"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505825" cy="17145"/>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D565BF" id="Conector recto 13" o:spid="_x0000_s1026" style="position:absolute;flip:y;z-index:251685888;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618.55pt,4.35pt" to="1288.3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" strokecolor="#203864" strokeweight="1pt">
              <v:stroke joinstyle="miter"/>
              <o:lock v:ext="edit" shapetype="f"/>
              <w10:wrap anchorx="margin"/>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B98C77" w14:textId="0DF89B8D" w:rsidR="00E84080" w:rsidRPr="001564DA" w:rsidRDefault="00E84080" w:rsidP="00BE7251">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87936" behindDoc="0" locked="0" layoutInCell="1" allowOverlap="1" wp14:anchorId="43A22C98" wp14:editId="34FD3AB6">
              <wp:simplePos x="0" y="0"/>
              <wp:positionH relativeFrom="margin">
                <wp:posOffset>0</wp:posOffset>
              </wp:positionH>
              <wp:positionV relativeFrom="paragraph">
                <wp:posOffset>-331470</wp:posOffset>
              </wp:positionV>
              <wp:extent cx="8458200" cy="7620"/>
              <wp:effectExtent l="0" t="0" r="19050" b="30480"/>
              <wp:wrapNone/>
              <wp:docPr id="8"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458200" cy="762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5ABB055" id="Conector recto 13" o:spid="_x0000_s1026" style="position:absolute;flip:y;z-index:251687936;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0,-26.1pt" to="66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" strokecolor="#203864" strokeweight="1pt">
              <v:stroke joinstyle="miter"/>
              <o:lock v:ext="edit" shapetype="f"/>
              <w10:wrap anchorx="margin"/>
            </v:line>
          </w:pict>
        </mc:Fallback>
      </mc:AlternateContent>
    </w:r>
    <w:r w:rsidRPr="001564DA">
      <w:rPr>
        <w:b/>
      </w:rPr>
      <w:t xml:space="preserve">Evaluación Estratégica al Fondo de Aportaciones para el Fortalecimiento de las Entidades Federativas (FAFEF) </w:t>
    </w:r>
    <w:r>
      <w:rPr>
        <w:b/>
      </w:rPr>
      <w:t>en el ámbito estatal para Tamaulipas</w:t>
    </w:r>
  </w:p>
  <w:p w14:paraId="134E7318" w14:textId="15742713" w:rsidR="00E84080" w:rsidRPr="00693039" w:rsidRDefault="00E84080" w:rsidP="0026073C">
    <w:pPr>
      <w:pStyle w:val="Encabezado"/>
      <w:spacing w:before="0"/>
      <w:jc w:val="center"/>
      <w:rPr>
        <w:bCs/>
      </w:rPr>
    </w:pPr>
    <w:r>
      <w:rPr>
        <w:b/>
        <w:noProof/>
        <w:sz w:val="20"/>
        <w:szCs w:val="20"/>
        <w:lang w:eastAsia="es-MX"/>
      </w:rPr>
      <mc:AlternateContent>
        <mc:Choice Requires="wps">
          <w:drawing>
            <wp:anchor distT="4294967293" distB="4294967293" distL="114300" distR="114300" simplePos="0" relativeHeight="251689984" behindDoc="0" locked="0" layoutInCell="1" allowOverlap="1" wp14:anchorId="27389358" wp14:editId="1DE424CB">
              <wp:simplePos x="0" y="0"/>
              <wp:positionH relativeFrom="margin">
                <wp:align>right</wp:align>
              </wp:positionH>
              <wp:positionV relativeFrom="paragraph">
                <wp:posOffset>36830</wp:posOffset>
              </wp:positionV>
              <wp:extent cx="6305550" cy="9525"/>
              <wp:effectExtent l="0" t="0" r="19050" b="28575"/>
              <wp:wrapNone/>
              <wp:docPr id="9"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05550" cy="9525"/>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F7A90BD" id="Conector recto 13" o:spid="_x0000_s1026" style="position:absolute;flip:y;z-index:251689984;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445.3pt,2.9pt" to="941.8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" strokecolor="#203864" strokeweight="1pt">
              <v:stroke joinstyle="miter"/>
              <o:lock v:ext="edit" shapetype="f"/>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623B3"/>
    <w:multiLevelType w:val="hybridMultilevel"/>
    <w:tmpl w:val="A6941D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A756687"/>
    <w:multiLevelType w:val="hybridMultilevel"/>
    <w:tmpl w:val="2070F52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 w15:restartNumberingAfterBreak="0">
    <w:nsid w:val="0AD40C28"/>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3" w15:restartNumberingAfterBreak="0">
    <w:nsid w:val="0C8749DE"/>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4" w15:restartNumberingAfterBreak="0">
    <w:nsid w:val="10326ED8"/>
    <w:multiLevelType w:val="hybridMultilevel"/>
    <w:tmpl w:val="707004EC"/>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15:restartNumberingAfterBreak="0">
    <w:nsid w:val="11231991"/>
    <w:multiLevelType w:val="hybridMultilevel"/>
    <w:tmpl w:val="E74251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2FE53F6"/>
    <w:multiLevelType w:val="hybridMultilevel"/>
    <w:tmpl w:val="C67C083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3C4051B"/>
    <w:multiLevelType w:val="hybridMultilevel"/>
    <w:tmpl w:val="A392C90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D2844BC"/>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9" w15:restartNumberingAfterBreak="0">
    <w:nsid w:val="1E205676"/>
    <w:multiLevelType w:val="hybridMultilevel"/>
    <w:tmpl w:val="780AA0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EBC3A05"/>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1" w15:restartNumberingAfterBreak="0">
    <w:nsid w:val="1F652417"/>
    <w:multiLevelType w:val="hybridMultilevel"/>
    <w:tmpl w:val="87E85DC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1C36459"/>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3" w15:restartNumberingAfterBreak="0">
    <w:nsid w:val="252418D4"/>
    <w:multiLevelType w:val="hybridMultilevel"/>
    <w:tmpl w:val="1C9255B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7CF789E"/>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5" w15:restartNumberingAfterBreak="0">
    <w:nsid w:val="27ED742F"/>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6" w15:restartNumberingAfterBreak="0">
    <w:nsid w:val="294F0797"/>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7" w15:restartNumberingAfterBreak="0">
    <w:nsid w:val="2C4B7383"/>
    <w:multiLevelType w:val="hybridMultilevel"/>
    <w:tmpl w:val="701684AE"/>
    <w:lvl w:ilvl="0" w:tplc="080A0017">
      <w:start w:val="1"/>
      <w:numFmt w:val="lowerLetter"/>
      <w:lvlText w:val="%1)"/>
      <w:lvlJc w:val="left"/>
      <w:pPr>
        <w:ind w:left="1440" w:hanging="360"/>
      </w:pPr>
    </w:lvl>
    <w:lvl w:ilvl="1" w:tplc="6C4897A0">
      <w:start w:val="1"/>
      <w:numFmt w:val="lowerLetter"/>
      <w:lvlText w:val="%2)"/>
      <w:lvlJc w:val="left"/>
      <w:pPr>
        <w:ind w:left="643" w:hanging="360"/>
      </w:pPr>
      <w:rPr>
        <w:rFonts w:hint="default"/>
        <w:b/>
        <w:bCs/>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8" w15:restartNumberingAfterBreak="0">
    <w:nsid w:val="2F91165A"/>
    <w:multiLevelType w:val="hybridMultilevel"/>
    <w:tmpl w:val="3C0E2D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2FFB5D42"/>
    <w:multiLevelType w:val="multilevel"/>
    <w:tmpl w:val="D940E378"/>
    <w:lvl w:ilvl="0">
      <w:start w:val="1"/>
      <w:numFmt w:val="decimal"/>
      <w:lvlText w:val="%1."/>
      <w:lvlJc w:val="left"/>
      <w:pPr>
        <w:ind w:left="360" w:hanging="360"/>
      </w:pPr>
      <w:rPr>
        <w:rFonts w:eastAsiaTheme="minorHAnsi" w:hint="default"/>
        <w:color w:val="0563C1" w:themeColor="hyperlink"/>
        <w:u w:val="single"/>
      </w:rPr>
    </w:lvl>
    <w:lvl w:ilvl="1">
      <w:start w:val="1"/>
      <w:numFmt w:val="decimal"/>
      <w:lvlText w:val="%1.%2."/>
      <w:lvlJc w:val="left"/>
      <w:pPr>
        <w:ind w:left="580" w:hanging="360"/>
      </w:pPr>
      <w:rPr>
        <w:rFonts w:eastAsiaTheme="minorHAnsi" w:hint="default"/>
        <w:color w:val="0563C1" w:themeColor="hyperlink"/>
        <w:u w:val="single"/>
      </w:rPr>
    </w:lvl>
    <w:lvl w:ilvl="2">
      <w:start w:val="1"/>
      <w:numFmt w:val="decimal"/>
      <w:lvlText w:val="%1.%2.%3."/>
      <w:lvlJc w:val="left"/>
      <w:pPr>
        <w:ind w:left="1160" w:hanging="720"/>
      </w:pPr>
      <w:rPr>
        <w:rFonts w:eastAsiaTheme="minorHAnsi" w:hint="default"/>
        <w:color w:val="0563C1" w:themeColor="hyperlink"/>
        <w:u w:val="single"/>
      </w:rPr>
    </w:lvl>
    <w:lvl w:ilvl="3">
      <w:start w:val="1"/>
      <w:numFmt w:val="decimal"/>
      <w:lvlText w:val="%1.%2.%3.%4."/>
      <w:lvlJc w:val="left"/>
      <w:pPr>
        <w:ind w:left="1380" w:hanging="720"/>
      </w:pPr>
      <w:rPr>
        <w:rFonts w:eastAsiaTheme="minorHAnsi" w:hint="default"/>
        <w:color w:val="0563C1" w:themeColor="hyperlink"/>
        <w:u w:val="single"/>
      </w:rPr>
    </w:lvl>
    <w:lvl w:ilvl="4">
      <w:start w:val="1"/>
      <w:numFmt w:val="decimal"/>
      <w:lvlText w:val="%1.%2.%3.%4.%5."/>
      <w:lvlJc w:val="left"/>
      <w:pPr>
        <w:ind w:left="1960" w:hanging="1080"/>
      </w:pPr>
      <w:rPr>
        <w:rFonts w:eastAsiaTheme="minorHAnsi" w:hint="default"/>
        <w:color w:val="0563C1" w:themeColor="hyperlink"/>
        <w:u w:val="single"/>
      </w:rPr>
    </w:lvl>
    <w:lvl w:ilvl="5">
      <w:start w:val="1"/>
      <w:numFmt w:val="decimal"/>
      <w:lvlText w:val="%1.%2.%3.%4.%5.%6."/>
      <w:lvlJc w:val="left"/>
      <w:pPr>
        <w:ind w:left="2180" w:hanging="1080"/>
      </w:pPr>
      <w:rPr>
        <w:rFonts w:eastAsiaTheme="minorHAnsi" w:hint="default"/>
        <w:color w:val="0563C1" w:themeColor="hyperlink"/>
        <w:u w:val="single"/>
      </w:rPr>
    </w:lvl>
    <w:lvl w:ilvl="6">
      <w:start w:val="1"/>
      <w:numFmt w:val="decimal"/>
      <w:lvlText w:val="%1.%2.%3.%4.%5.%6.%7."/>
      <w:lvlJc w:val="left"/>
      <w:pPr>
        <w:ind w:left="2760" w:hanging="1440"/>
      </w:pPr>
      <w:rPr>
        <w:rFonts w:eastAsiaTheme="minorHAnsi" w:hint="default"/>
        <w:color w:val="0563C1" w:themeColor="hyperlink"/>
        <w:u w:val="single"/>
      </w:rPr>
    </w:lvl>
    <w:lvl w:ilvl="7">
      <w:start w:val="1"/>
      <w:numFmt w:val="decimal"/>
      <w:lvlText w:val="%1.%2.%3.%4.%5.%6.%7.%8."/>
      <w:lvlJc w:val="left"/>
      <w:pPr>
        <w:ind w:left="2980" w:hanging="1440"/>
      </w:pPr>
      <w:rPr>
        <w:rFonts w:eastAsiaTheme="minorHAnsi" w:hint="default"/>
        <w:color w:val="0563C1" w:themeColor="hyperlink"/>
        <w:u w:val="single"/>
      </w:rPr>
    </w:lvl>
    <w:lvl w:ilvl="8">
      <w:start w:val="1"/>
      <w:numFmt w:val="decimal"/>
      <w:lvlText w:val="%1.%2.%3.%4.%5.%6.%7.%8.%9."/>
      <w:lvlJc w:val="left"/>
      <w:pPr>
        <w:ind w:left="3560" w:hanging="1800"/>
      </w:pPr>
      <w:rPr>
        <w:rFonts w:eastAsiaTheme="minorHAnsi" w:hint="default"/>
        <w:color w:val="0563C1" w:themeColor="hyperlink"/>
        <w:u w:val="single"/>
      </w:rPr>
    </w:lvl>
  </w:abstractNum>
  <w:abstractNum w:abstractNumId="20" w15:restartNumberingAfterBreak="0">
    <w:nsid w:val="348B0632"/>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21" w15:restartNumberingAfterBreak="0">
    <w:nsid w:val="40402B1E"/>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22" w15:restartNumberingAfterBreak="0">
    <w:nsid w:val="44495ED5"/>
    <w:multiLevelType w:val="hybridMultilevel"/>
    <w:tmpl w:val="F218426E"/>
    <w:lvl w:ilvl="0" w:tplc="080A000F">
      <w:start w:val="1"/>
      <w:numFmt w:val="decimal"/>
      <w:lvlText w:val="%1."/>
      <w:lvlJc w:val="left"/>
      <w:pPr>
        <w:ind w:left="240" w:hanging="360"/>
      </w:pPr>
    </w:lvl>
    <w:lvl w:ilvl="1" w:tplc="080A0019" w:tentative="1">
      <w:start w:val="1"/>
      <w:numFmt w:val="lowerLetter"/>
      <w:lvlText w:val="%2."/>
      <w:lvlJc w:val="left"/>
      <w:pPr>
        <w:ind w:left="960" w:hanging="360"/>
      </w:pPr>
    </w:lvl>
    <w:lvl w:ilvl="2" w:tplc="080A001B" w:tentative="1">
      <w:start w:val="1"/>
      <w:numFmt w:val="lowerRoman"/>
      <w:lvlText w:val="%3."/>
      <w:lvlJc w:val="right"/>
      <w:pPr>
        <w:ind w:left="1680" w:hanging="180"/>
      </w:pPr>
    </w:lvl>
    <w:lvl w:ilvl="3" w:tplc="080A000F" w:tentative="1">
      <w:start w:val="1"/>
      <w:numFmt w:val="decimal"/>
      <w:lvlText w:val="%4."/>
      <w:lvlJc w:val="left"/>
      <w:pPr>
        <w:ind w:left="2400" w:hanging="360"/>
      </w:pPr>
    </w:lvl>
    <w:lvl w:ilvl="4" w:tplc="080A0019" w:tentative="1">
      <w:start w:val="1"/>
      <w:numFmt w:val="lowerLetter"/>
      <w:lvlText w:val="%5."/>
      <w:lvlJc w:val="left"/>
      <w:pPr>
        <w:ind w:left="3120" w:hanging="360"/>
      </w:pPr>
    </w:lvl>
    <w:lvl w:ilvl="5" w:tplc="080A001B" w:tentative="1">
      <w:start w:val="1"/>
      <w:numFmt w:val="lowerRoman"/>
      <w:lvlText w:val="%6."/>
      <w:lvlJc w:val="right"/>
      <w:pPr>
        <w:ind w:left="3840" w:hanging="180"/>
      </w:pPr>
    </w:lvl>
    <w:lvl w:ilvl="6" w:tplc="080A000F" w:tentative="1">
      <w:start w:val="1"/>
      <w:numFmt w:val="decimal"/>
      <w:lvlText w:val="%7."/>
      <w:lvlJc w:val="left"/>
      <w:pPr>
        <w:ind w:left="4560" w:hanging="360"/>
      </w:pPr>
    </w:lvl>
    <w:lvl w:ilvl="7" w:tplc="080A0019" w:tentative="1">
      <w:start w:val="1"/>
      <w:numFmt w:val="lowerLetter"/>
      <w:lvlText w:val="%8."/>
      <w:lvlJc w:val="left"/>
      <w:pPr>
        <w:ind w:left="5280" w:hanging="360"/>
      </w:pPr>
    </w:lvl>
    <w:lvl w:ilvl="8" w:tplc="080A001B" w:tentative="1">
      <w:start w:val="1"/>
      <w:numFmt w:val="lowerRoman"/>
      <w:lvlText w:val="%9."/>
      <w:lvlJc w:val="right"/>
      <w:pPr>
        <w:ind w:left="6000" w:hanging="180"/>
      </w:pPr>
    </w:lvl>
  </w:abstractNum>
  <w:abstractNum w:abstractNumId="23" w15:restartNumberingAfterBreak="0">
    <w:nsid w:val="4AA02D1F"/>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24" w15:restartNumberingAfterBreak="0">
    <w:nsid w:val="4BF24F3B"/>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25" w15:restartNumberingAfterBreak="0">
    <w:nsid w:val="50E10E9F"/>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26" w15:restartNumberingAfterBreak="0">
    <w:nsid w:val="511A2824"/>
    <w:multiLevelType w:val="hybridMultilevel"/>
    <w:tmpl w:val="4A8067F8"/>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27" w15:restartNumberingAfterBreak="0">
    <w:nsid w:val="56C51678"/>
    <w:multiLevelType w:val="multilevel"/>
    <w:tmpl w:val="661240A2"/>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8C12226"/>
    <w:multiLevelType w:val="hybridMultilevel"/>
    <w:tmpl w:val="64A8E3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A0E0B7E"/>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30" w15:restartNumberingAfterBreak="0">
    <w:nsid w:val="65024814"/>
    <w:multiLevelType w:val="multilevel"/>
    <w:tmpl w:val="E8C8E2B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679E6105"/>
    <w:multiLevelType w:val="hybridMultilevel"/>
    <w:tmpl w:val="3EFA612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67A623D9"/>
    <w:multiLevelType w:val="hybridMultilevel"/>
    <w:tmpl w:val="40CA00A0"/>
    <w:lvl w:ilvl="0" w:tplc="6C4897A0">
      <w:start w:val="1"/>
      <w:numFmt w:val="lowerLetter"/>
      <w:lvlText w:val="%1)"/>
      <w:lvlJc w:val="left"/>
      <w:pPr>
        <w:ind w:left="643" w:hanging="360"/>
      </w:pPr>
      <w:rPr>
        <w:rFonts w:hint="default"/>
        <w:b/>
        <w:bCs/>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33" w15:restartNumberingAfterBreak="0">
    <w:nsid w:val="6A4E7245"/>
    <w:multiLevelType w:val="hybridMultilevel"/>
    <w:tmpl w:val="FF04EEB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72B55A35"/>
    <w:multiLevelType w:val="hybridMultilevel"/>
    <w:tmpl w:val="1A00F35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5BE40AC"/>
    <w:multiLevelType w:val="hybridMultilevel"/>
    <w:tmpl w:val="F44CC608"/>
    <w:lvl w:ilvl="0" w:tplc="3120091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8871D13"/>
    <w:multiLevelType w:val="hybridMultilevel"/>
    <w:tmpl w:val="40602454"/>
    <w:lvl w:ilvl="0" w:tplc="080A0001">
      <w:start w:val="1"/>
      <w:numFmt w:val="bullet"/>
      <w:lvlText w:val=""/>
      <w:lvlJc w:val="left"/>
      <w:pPr>
        <w:ind w:left="240" w:hanging="360"/>
      </w:pPr>
      <w:rPr>
        <w:rFonts w:ascii="Symbol" w:hAnsi="Symbol" w:hint="default"/>
      </w:rPr>
    </w:lvl>
    <w:lvl w:ilvl="1" w:tplc="080A0019" w:tentative="1">
      <w:start w:val="1"/>
      <w:numFmt w:val="lowerLetter"/>
      <w:lvlText w:val="%2."/>
      <w:lvlJc w:val="left"/>
      <w:pPr>
        <w:ind w:left="960" w:hanging="360"/>
      </w:pPr>
    </w:lvl>
    <w:lvl w:ilvl="2" w:tplc="080A001B" w:tentative="1">
      <w:start w:val="1"/>
      <w:numFmt w:val="lowerRoman"/>
      <w:lvlText w:val="%3."/>
      <w:lvlJc w:val="right"/>
      <w:pPr>
        <w:ind w:left="1680" w:hanging="180"/>
      </w:pPr>
    </w:lvl>
    <w:lvl w:ilvl="3" w:tplc="080A000F" w:tentative="1">
      <w:start w:val="1"/>
      <w:numFmt w:val="decimal"/>
      <w:lvlText w:val="%4."/>
      <w:lvlJc w:val="left"/>
      <w:pPr>
        <w:ind w:left="2400" w:hanging="360"/>
      </w:pPr>
    </w:lvl>
    <w:lvl w:ilvl="4" w:tplc="080A0019" w:tentative="1">
      <w:start w:val="1"/>
      <w:numFmt w:val="lowerLetter"/>
      <w:lvlText w:val="%5."/>
      <w:lvlJc w:val="left"/>
      <w:pPr>
        <w:ind w:left="3120" w:hanging="360"/>
      </w:pPr>
    </w:lvl>
    <w:lvl w:ilvl="5" w:tplc="080A001B" w:tentative="1">
      <w:start w:val="1"/>
      <w:numFmt w:val="lowerRoman"/>
      <w:lvlText w:val="%6."/>
      <w:lvlJc w:val="right"/>
      <w:pPr>
        <w:ind w:left="3840" w:hanging="180"/>
      </w:pPr>
    </w:lvl>
    <w:lvl w:ilvl="6" w:tplc="080A000F" w:tentative="1">
      <w:start w:val="1"/>
      <w:numFmt w:val="decimal"/>
      <w:lvlText w:val="%7."/>
      <w:lvlJc w:val="left"/>
      <w:pPr>
        <w:ind w:left="4560" w:hanging="360"/>
      </w:pPr>
    </w:lvl>
    <w:lvl w:ilvl="7" w:tplc="080A0019" w:tentative="1">
      <w:start w:val="1"/>
      <w:numFmt w:val="lowerLetter"/>
      <w:lvlText w:val="%8."/>
      <w:lvlJc w:val="left"/>
      <w:pPr>
        <w:ind w:left="5280" w:hanging="360"/>
      </w:pPr>
    </w:lvl>
    <w:lvl w:ilvl="8" w:tplc="080A001B" w:tentative="1">
      <w:start w:val="1"/>
      <w:numFmt w:val="lowerRoman"/>
      <w:lvlText w:val="%9."/>
      <w:lvlJc w:val="right"/>
      <w:pPr>
        <w:ind w:left="6000" w:hanging="180"/>
      </w:pPr>
    </w:lvl>
  </w:abstractNum>
  <w:abstractNum w:abstractNumId="37" w15:restartNumberingAfterBreak="0">
    <w:nsid w:val="79756332"/>
    <w:multiLevelType w:val="hybridMultilevel"/>
    <w:tmpl w:val="AE0439B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7C2E438E"/>
    <w:multiLevelType w:val="hybridMultilevel"/>
    <w:tmpl w:val="ADE6D5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7CAA577D"/>
    <w:multiLevelType w:val="hybridMultilevel"/>
    <w:tmpl w:val="414EAA5E"/>
    <w:lvl w:ilvl="0" w:tplc="C296AA50">
      <w:start w:val="5"/>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6"/>
  </w:num>
  <w:num w:numId="2">
    <w:abstractNumId w:val="35"/>
  </w:num>
  <w:num w:numId="3">
    <w:abstractNumId w:val="34"/>
  </w:num>
  <w:num w:numId="4">
    <w:abstractNumId w:val="11"/>
  </w:num>
  <w:num w:numId="5">
    <w:abstractNumId w:val="33"/>
  </w:num>
  <w:num w:numId="6">
    <w:abstractNumId w:val="9"/>
  </w:num>
  <w:num w:numId="7">
    <w:abstractNumId w:val="7"/>
  </w:num>
  <w:num w:numId="8">
    <w:abstractNumId w:val="37"/>
  </w:num>
  <w:num w:numId="9">
    <w:abstractNumId w:val="31"/>
  </w:num>
  <w:num w:numId="10">
    <w:abstractNumId w:val="27"/>
  </w:num>
  <w:num w:numId="11">
    <w:abstractNumId w:val="0"/>
  </w:num>
  <w:num w:numId="12">
    <w:abstractNumId w:val="28"/>
  </w:num>
  <w:num w:numId="13">
    <w:abstractNumId w:val="38"/>
  </w:num>
  <w:num w:numId="14">
    <w:abstractNumId w:val="17"/>
  </w:num>
  <w:num w:numId="15">
    <w:abstractNumId w:val="14"/>
  </w:num>
  <w:num w:numId="16">
    <w:abstractNumId w:val="10"/>
  </w:num>
  <w:num w:numId="17">
    <w:abstractNumId w:val="29"/>
  </w:num>
  <w:num w:numId="18">
    <w:abstractNumId w:val="25"/>
  </w:num>
  <w:num w:numId="19">
    <w:abstractNumId w:val="15"/>
  </w:num>
  <w:num w:numId="20">
    <w:abstractNumId w:val="8"/>
  </w:num>
  <w:num w:numId="21">
    <w:abstractNumId w:val="23"/>
  </w:num>
  <w:num w:numId="22">
    <w:abstractNumId w:val="16"/>
  </w:num>
  <w:num w:numId="23">
    <w:abstractNumId w:val="20"/>
  </w:num>
  <w:num w:numId="24">
    <w:abstractNumId w:val="24"/>
  </w:num>
  <w:num w:numId="25">
    <w:abstractNumId w:val="21"/>
  </w:num>
  <w:num w:numId="26">
    <w:abstractNumId w:val="12"/>
  </w:num>
  <w:num w:numId="27">
    <w:abstractNumId w:val="32"/>
  </w:num>
  <w:num w:numId="28">
    <w:abstractNumId w:val="3"/>
  </w:num>
  <w:num w:numId="29">
    <w:abstractNumId w:val="2"/>
  </w:num>
  <w:num w:numId="30">
    <w:abstractNumId w:val="39"/>
  </w:num>
  <w:num w:numId="31">
    <w:abstractNumId w:val="1"/>
  </w:num>
  <w:num w:numId="32">
    <w:abstractNumId w:val="13"/>
  </w:num>
  <w:num w:numId="33">
    <w:abstractNumId w:val="5"/>
  </w:num>
  <w:num w:numId="34">
    <w:abstractNumId w:val="19"/>
  </w:num>
  <w:num w:numId="35">
    <w:abstractNumId w:val="4"/>
  </w:num>
  <w:num w:numId="36">
    <w:abstractNumId w:val="22"/>
  </w:num>
  <w:num w:numId="37">
    <w:abstractNumId w:val="36"/>
  </w:num>
  <w:num w:numId="38">
    <w:abstractNumId w:val="30"/>
  </w:num>
  <w:num w:numId="39">
    <w:abstractNumId w:val="18"/>
  </w:num>
  <w:num w:numId="40">
    <w:abstractNumId w:val="2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E90"/>
    <w:rsid w:val="00000479"/>
    <w:rsid w:val="000007C9"/>
    <w:rsid w:val="0000083D"/>
    <w:rsid w:val="00001217"/>
    <w:rsid w:val="0000187F"/>
    <w:rsid w:val="000019F0"/>
    <w:rsid w:val="00001C08"/>
    <w:rsid w:val="00001F68"/>
    <w:rsid w:val="000023BD"/>
    <w:rsid w:val="000025E8"/>
    <w:rsid w:val="00002A08"/>
    <w:rsid w:val="00002C5C"/>
    <w:rsid w:val="00003097"/>
    <w:rsid w:val="0000329D"/>
    <w:rsid w:val="000032D7"/>
    <w:rsid w:val="000034EE"/>
    <w:rsid w:val="0000379D"/>
    <w:rsid w:val="000038A3"/>
    <w:rsid w:val="00003D4F"/>
    <w:rsid w:val="00004390"/>
    <w:rsid w:val="0000460F"/>
    <w:rsid w:val="0000493E"/>
    <w:rsid w:val="0000518D"/>
    <w:rsid w:val="000053FD"/>
    <w:rsid w:val="000055D3"/>
    <w:rsid w:val="000059AE"/>
    <w:rsid w:val="00006019"/>
    <w:rsid w:val="00006193"/>
    <w:rsid w:val="000064E4"/>
    <w:rsid w:val="000066BA"/>
    <w:rsid w:val="000069E5"/>
    <w:rsid w:val="0000723C"/>
    <w:rsid w:val="00007842"/>
    <w:rsid w:val="00007B06"/>
    <w:rsid w:val="00007CEA"/>
    <w:rsid w:val="00007E37"/>
    <w:rsid w:val="00010848"/>
    <w:rsid w:val="000109EF"/>
    <w:rsid w:val="00010C28"/>
    <w:rsid w:val="00010C9E"/>
    <w:rsid w:val="00010EF9"/>
    <w:rsid w:val="00011212"/>
    <w:rsid w:val="000113D8"/>
    <w:rsid w:val="00011780"/>
    <w:rsid w:val="0001182C"/>
    <w:rsid w:val="00011CA4"/>
    <w:rsid w:val="000124E7"/>
    <w:rsid w:val="00012B24"/>
    <w:rsid w:val="00012FD3"/>
    <w:rsid w:val="000136A5"/>
    <w:rsid w:val="000139A1"/>
    <w:rsid w:val="00013A9E"/>
    <w:rsid w:val="00013BC7"/>
    <w:rsid w:val="00013F78"/>
    <w:rsid w:val="000144FC"/>
    <w:rsid w:val="000146C8"/>
    <w:rsid w:val="000148BF"/>
    <w:rsid w:val="00014B00"/>
    <w:rsid w:val="00014E81"/>
    <w:rsid w:val="000151A5"/>
    <w:rsid w:val="000151F1"/>
    <w:rsid w:val="00015349"/>
    <w:rsid w:val="00015AFF"/>
    <w:rsid w:val="00015BDD"/>
    <w:rsid w:val="00015C81"/>
    <w:rsid w:val="00015C9C"/>
    <w:rsid w:val="00015DD9"/>
    <w:rsid w:val="000160C4"/>
    <w:rsid w:val="000162A1"/>
    <w:rsid w:val="0001673E"/>
    <w:rsid w:val="0001688F"/>
    <w:rsid w:val="000168E6"/>
    <w:rsid w:val="00016A5F"/>
    <w:rsid w:val="00016DEA"/>
    <w:rsid w:val="00017010"/>
    <w:rsid w:val="00017122"/>
    <w:rsid w:val="000173FC"/>
    <w:rsid w:val="0001746B"/>
    <w:rsid w:val="00017634"/>
    <w:rsid w:val="000176CA"/>
    <w:rsid w:val="00017A9D"/>
    <w:rsid w:val="00017DA3"/>
    <w:rsid w:val="00017DE4"/>
    <w:rsid w:val="000200A4"/>
    <w:rsid w:val="0002049F"/>
    <w:rsid w:val="00020756"/>
    <w:rsid w:val="000207C0"/>
    <w:rsid w:val="00020B8A"/>
    <w:rsid w:val="000211E2"/>
    <w:rsid w:val="0002189E"/>
    <w:rsid w:val="00021938"/>
    <w:rsid w:val="00021F56"/>
    <w:rsid w:val="0002232D"/>
    <w:rsid w:val="0002250C"/>
    <w:rsid w:val="0002275F"/>
    <w:rsid w:val="00022EBB"/>
    <w:rsid w:val="00022ECD"/>
    <w:rsid w:val="00022FC0"/>
    <w:rsid w:val="0002333F"/>
    <w:rsid w:val="00023D92"/>
    <w:rsid w:val="00023DFE"/>
    <w:rsid w:val="000247B9"/>
    <w:rsid w:val="000247D6"/>
    <w:rsid w:val="00024A77"/>
    <w:rsid w:val="000257E4"/>
    <w:rsid w:val="00025B23"/>
    <w:rsid w:val="00026347"/>
    <w:rsid w:val="000264EE"/>
    <w:rsid w:val="000267E5"/>
    <w:rsid w:val="00026933"/>
    <w:rsid w:val="00026B1E"/>
    <w:rsid w:val="00026DA5"/>
    <w:rsid w:val="00027520"/>
    <w:rsid w:val="00027F75"/>
    <w:rsid w:val="0003048A"/>
    <w:rsid w:val="000307EC"/>
    <w:rsid w:val="00030D07"/>
    <w:rsid w:val="00030D56"/>
    <w:rsid w:val="000313D7"/>
    <w:rsid w:val="00031423"/>
    <w:rsid w:val="00031711"/>
    <w:rsid w:val="000318E2"/>
    <w:rsid w:val="00031928"/>
    <w:rsid w:val="00031A75"/>
    <w:rsid w:val="00031FF9"/>
    <w:rsid w:val="000325EE"/>
    <w:rsid w:val="000326AC"/>
    <w:rsid w:val="000326FF"/>
    <w:rsid w:val="000327AE"/>
    <w:rsid w:val="0003385B"/>
    <w:rsid w:val="000338AD"/>
    <w:rsid w:val="00034230"/>
    <w:rsid w:val="00034761"/>
    <w:rsid w:val="000352A0"/>
    <w:rsid w:val="00035378"/>
    <w:rsid w:val="000353B7"/>
    <w:rsid w:val="000353FD"/>
    <w:rsid w:val="0003543A"/>
    <w:rsid w:val="0003587B"/>
    <w:rsid w:val="00035B74"/>
    <w:rsid w:val="00035D00"/>
    <w:rsid w:val="00035DBB"/>
    <w:rsid w:val="0003606E"/>
    <w:rsid w:val="00036931"/>
    <w:rsid w:val="00036C34"/>
    <w:rsid w:val="000407A7"/>
    <w:rsid w:val="00040B2C"/>
    <w:rsid w:val="00040B70"/>
    <w:rsid w:val="00040D7D"/>
    <w:rsid w:val="000412D4"/>
    <w:rsid w:val="00041708"/>
    <w:rsid w:val="00041A08"/>
    <w:rsid w:val="00041A75"/>
    <w:rsid w:val="0004204D"/>
    <w:rsid w:val="0004257C"/>
    <w:rsid w:val="000425D2"/>
    <w:rsid w:val="00042768"/>
    <w:rsid w:val="00042C76"/>
    <w:rsid w:val="00042F0C"/>
    <w:rsid w:val="000437A8"/>
    <w:rsid w:val="0004390D"/>
    <w:rsid w:val="00043C98"/>
    <w:rsid w:val="00043F1F"/>
    <w:rsid w:val="00044160"/>
    <w:rsid w:val="00044802"/>
    <w:rsid w:val="00044C68"/>
    <w:rsid w:val="0004530E"/>
    <w:rsid w:val="0004534B"/>
    <w:rsid w:val="00045540"/>
    <w:rsid w:val="0004572E"/>
    <w:rsid w:val="00045782"/>
    <w:rsid w:val="00045804"/>
    <w:rsid w:val="00045832"/>
    <w:rsid w:val="000459EB"/>
    <w:rsid w:val="00045BFA"/>
    <w:rsid w:val="000460F4"/>
    <w:rsid w:val="000463AB"/>
    <w:rsid w:val="0004661D"/>
    <w:rsid w:val="00046DD7"/>
    <w:rsid w:val="00046F18"/>
    <w:rsid w:val="00047500"/>
    <w:rsid w:val="0004756E"/>
    <w:rsid w:val="00047C18"/>
    <w:rsid w:val="00047CDD"/>
    <w:rsid w:val="00050304"/>
    <w:rsid w:val="00050695"/>
    <w:rsid w:val="00050989"/>
    <w:rsid w:val="00050A79"/>
    <w:rsid w:val="000513D1"/>
    <w:rsid w:val="000519AC"/>
    <w:rsid w:val="00051DB3"/>
    <w:rsid w:val="000523AE"/>
    <w:rsid w:val="00052491"/>
    <w:rsid w:val="000526B0"/>
    <w:rsid w:val="00052AF9"/>
    <w:rsid w:val="00052EBD"/>
    <w:rsid w:val="00052ECC"/>
    <w:rsid w:val="000531EC"/>
    <w:rsid w:val="000534A2"/>
    <w:rsid w:val="000534E5"/>
    <w:rsid w:val="00053970"/>
    <w:rsid w:val="00053A74"/>
    <w:rsid w:val="00053D17"/>
    <w:rsid w:val="00053E7F"/>
    <w:rsid w:val="000544A6"/>
    <w:rsid w:val="00054D0A"/>
    <w:rsid w:val="000552BB"/>
    <w:rsid w:val="000555F5"/>
    <w:rsid w:val="0005565D"/>
    <w:rsid w:val="00055904"/>
    <w:rsid w:val="000559EE"/>
    <w:rsid w:val="00055C8E"/>
    <w:rsid w:val="00056174"/>
    <w:rsid w:val="00056889"/>
    <w:rsid w:val="0005763E"/>
    <w:rsid w:val="0005779A"/>
    <w:rsid w:val="00057E42"/>
    <w:rsid w:val="0006059A"/>
    <w:rsid w:val="000608AF"/>
    <w:rsid w:val="0006097C"/>
    <w:rsid w:val="00060A2B"/>
    <w:rsid w:val="000611D1"/>
    <w:rsid w:val="000613AD"/>
    <w:rsid w:val="00061955"/>
    <w:rsid w:val="00061E4E"/>
    <w:rsid w:val="000620B1"/>
    <w:rsid w:val="0006271E"/>
    <w:rsid w:val="00062BC9"/>
    <w:rsid w:val="00062ECD"/>
    <w:rsid w:val="000636F3"/>
    <w:rsid w:val="00063D40"/>
    <w:rsid w:val="00063EF3"/>
    <w:rsid w:val="000640E9"/>
    <w:rsid w:val="0006414D"/>
    <w:rsid w:val="00064736"/>
    <w:rsid w:val="0006489A"/>
    <w:rsid w:val="000649C3"/>
    <w:rsid w:val="00064A01"/>
    <w:rsid w:val="000651DB"/>
    <w:rsid w:val="00065306"/>
    <w:rsid w:val="0006543F"/>
    <w:rsid w:val="00065837"/>
    <w:rsid w:val="00065C2D"/>
    <w:rsid w:val="00066409"/>
    <w:rsid w:val="000668B1"/>
    <w:rsid w:val="00066B3B"/>
    <w:rsid w:val="00066FB2"/>
    <w:rsid w:val="000673F4"/>
    <w:rsid w:val="0006741B"/>
    <w:rsid w:val="00067869"/>
    <w:rsid w:val="000679AF"/>
    <w:rsid w:val="00067E5A"/>
    <w:rsid w:val="0007028D"/>
    <w:rsid w:val="00070CF9"/>
    <w:rsid w:val="00071A3C"/>
    <w:rsid w:val="00071C22"/>
    <w:rsid w:val="0007229C"/>
    <w:rsid w:val="0007232D"/>
    <w:rsid w:val="00072572"/>
    <w:rsid w:val="000725B8"/>
    <w:rsid w:val="00072E24"/>
    <w:rsid w:val="00072F02"/>
    <w:rsid w:val="000732BD"/>
    <w:rsid w:val="00073B2A"/>
    <w:rsid w:val="00073C6F"/>
    <w:rsid w:val="00073D99"/>
    <w:rsid w:val="00073F98"/>
    <w:rsid w:val="000742E4"/>
    <w:rsid w:val="00075F37"/>
    <w:rsid w:val="00076019"/>
    <w:rsid w:val="00076387"/>
    <w:rsid w:val="00076C5E"/>
    <w:rsid w:val="00076D40"/>
    <w:rsid w:val="0007740F"/>
    <w:rsid w:val="0007744B"/>
    <w:rsid w:val="0007759E"/>
    <w:rsid w:val="00080388"/>
    <w:rsid w:val="0008046C"/>
    <w:rsid w:val="000805A9"/>
    <w:rsid w:val="00080D77"/>
    <w:rsid w:val="00080FE4"/>
    <w:rsid w:val="00081A0A"/>
    <w:rsid w:val="000829F4"/>
    <w:rsid w:val="00082C5C"/>
    <w:rsid w:val="000834C7"/>
    <w:rsid w:val="00083550"/>
    <w:rsid w:val="00083682"/>
    <w:rsid w:val="00083CBA"/>
    <w:rsid w:val="00083D7D"/>
    <w:rsid w:val="00084D4A"/>
    <w:rsid w:val="00084FFC"/>
    <w:rsid w:val="000853DB"/>
    <w:rsid w:val="000855E7"/>
    <w:rsid w:val="0008573F"/>
    <w:rsid w:val="00085861"/>
    <w:rsid w:val="00086374"/>
    <w:rsid w:val="000877EC"/>
    <w:rsid w:val="00087952"/>
    <w:rsid w:val="00087AF0"/>
    <w:rsid w:val="00087DBC"/>
    <w:rsid w:val="00087F18"/>
    <w:rsid w:val="000900BB"/>
    <w:rsid w:val="00090432"/>
    <w:rsid w:val="0009057C"/>
    <w:rsid w:val="00090917"/>
    <w:rsid w:val="00090C5D"/>
    <w:rsid w:val="000915E0"/>
    <w:rsid w:val="00091642"/>
    <w:rsid w:val="00091795"/>
    <w:rsid w:val="00091C08"/>
    <w:rsid w:val="00091FA0"/>
    <w:rsid w:val="0009224F"/>
    <w:rsid w:val="0009253F"/>
    <w:rsid w:val="00092C77"/>
    <w:rsid w:val="00093741"/>
    <w:rsid w:val="00093B84"/>
    <w:rsid w:val="00093C86"/>
    <w:rsid w:val="00093C8F"/>
    <w:rsid w:val="00093CBF"/>
    <w:rsid w:val="00093E7C"/>
    <w:rsid w:val="00093F83"/>
    <w:rsid w:val="000941BC"/>
    <w:rsid w:val="00094785"/>
    <w:rsid w:val="0009495E"/>
    <w:rsid w:val="00094FE1"/>
    <w:rsid w:val="000951AD"/>
    <w:rsid w:val="000951EA"/>
    <w:rsid w:val="00095597"/>
    <w:rsid w:val="00095E6C"/>
    <w:rsid w:val="000963A6"/>
    <w:rsid w:val="00096767"/>
    <w:rsid w:val="00096D98"/>
    <w:rsid w:val="00097245"/>
    <w:rsid w:val="00097372"/>
    <w:rsid w:val="000973FB"/>
    <w:rsid w:val="00097405"/>
    <w:rsid w:val="00097574"/>
    <w:rsid w:val="00097757"/>
    <w:rsid w:val="000A0049"/>
    <w:rsid w:val="000A0466"/>
    <w:rsid w:val="000A04BE"/>
    <w:rsid w:val="000A09AE"/>
    <w:rsid w:val="000A0C11"/>
    <w:rsid w:val="000A0DC9"/>
    <w:rsid w:val="000A1366"/>
    <w:rsid w:val="000A157B"/>
    <w:rsid w:val="000A1670"/>
    <w:rsid w:val="000A179A"/>
    <w:rsid w:val="000A2087"/>
    <w:rsid w:val="000A227C"/>
    <w:rsid w:val="000A2473"/>
    <w:rsid w:val="000A27FB"/>
    <w:rsid w:val="000A336B"/>
    <w:rsid w:val="000A3851"/>
    <w:rsid w:val="000A4080"/>
    <w:rsid w:val="000A4189"/>
    <w:rsid w:val="000A468F"/>
    <w:rsid w:val="000A51AB"/>
    <w:rsid w:val="000A5584"/>
    <w:rsid w:val="000A584C"/>
    <w:rsid w:val="000A5EDE"/>
    <w:rsid w:val="000A6217"/>
    <w:rsid w:val="000A67E8"/>
    <w:rsid w:val="000A7284"/>
    <w:rsid w:val="000A73A4"/>
    <w:rsid w:val="000A748C"/>
    <w:rsid w:val="000A7677"/>
    <w:rsid w:val="000A7998"/>
    <w:rsid w:val="000A7B95"/>
    <w:rsid w:val="000B0144"/>
    <w:rsid w:val="000B0AC6"/>
    <w:rsid w:val="000B0D1C"/>
    <w:rsid w:val="000B11D7"/>
    <w:rsid w:val="000B140A"/>
    <w:rsid w:val="000B1F7B"/>
    <w:rsid w:val="000B283C"/>
    <w:rsid w:val="000B2DB6"/>
    <w:rsid w:val="000B2DE5"/>
    <w:rsid w:val="000B4268"/>
    <w:rsid w:val="000B48BD"/>
    <w:rsid w:val="000B4E7A"/>
    <w:rsid w:val="000B4F4A"/>
    <w:rsid w:val="000B50B9"/>
    <w:rsid w:val="000B5492"/>
    <w:rsid w:val="000B59EA"/>
    <w:rsid w:val="000B619D"/>
    <w:rsid w:val="000B6279"/>
    <w:rsid w:val="000B632F"/>
    <w:rsid w:val="000B662A"/>
    <w:rsid w:val="000B6755"/>
    <w:rsid w:val="000B6861"/>
    <w:rsid w:val="000B6A60"/>
    <w:rsid w:val="000B6EEB"/>
    <w:rsid w:val="000B74A5"/>
    <w:rsid w:val="000B787A"/>
    <w:rsid w:val="000B7E8A"/>
    <w:rsid w:val="000C00E1"/>
    <w:rsid w:val="000C01DB"/>
    <w:rsid w:val="000C0356"/>
    <w:rsid w:val="000C0AAB"/>
    <w:rsid w:val="000C0C45"/>
    <w:rsid w:val="000C13DF"/>
    <w:rsid w:val="000C181F"/>
    <w:rsid w:val="000C183D"/>
    <w:rsid w:val="000C1F38"/>
    <w:rsid w:val="000C1FD0"/>
    <w:rsid w:val="000C25B5"/>
    <w:rsid w:val="000C279A"/>
    <w:rsid w:val="000C2EB5"/>
    <w:rsid w:val="000C302F"/>
    <w:rsid w:val="000C370E"/>
    <w:rsid w:val="000C372D"/>
    <w:rsid w:val="000C38A3"/>
    <w:rsid w:val="000C47CC"/>
    <w:rsid w:val="000C5017"/>
    <w:rsid w:val="000C5961"/>
    <w:rsid w:val="000C687C"/>
    <w:rsid w:val="000C68F2"/>
    <w:rsid w:val="000C6A7F"/>
    <w:rsid w:val="000C6C22"/>
    <w:rsid w:val="000C6FA1"/>
    <w:rsid w:val="000C7102"/>
    <w:rsid w:val="000C73ED"/>
    <w:rsid w:val="000C75B3"/>
    <w:rsid w:val="000C78CB"/>
    <w:rsid w:val="000C7C21"/>
    <w:rsid w:val="000C7F1A"/>
    <w:rsid w:val="000D012F"/>
    <w:rsid w:val="000D0864"/>
    <w:rsid w:val="000D08D1"/>
    <w:rsid w:val="000D0902"/>
    <w:rsid w:val="000D09F2"/>
    <w:rsid w:val="000D0B06"/>
    <w:rsid w:val="000D0B87"/>
    <w:rsid w:val="000D0EBB"/>
    <w:rsid w:val="000D0ECD"/>
    <w:rsid w:val="000D117B"/>
    <w:rsid w:val="000D1287"/>
    <w:rsid w:val="000D1B97"/>
    <w:rsid w:val="000D1D64"/>
    <w:rsid w:val="000D2012"/>
    <w:rsid w:val="000D234B"/>
    <w:rsid w:val="000D25D0"/>
    <w:rsid w:val="000D27A3"/>
    <w:rsid w:val="000D29CC"/>
    <w:rsid w:val="000D3655"/>
    <w:rsid w:val="000D3A79"/>
    <w:rsid w:val="000D3B5A"/>
    <w:rsid w:val="000D3BEF"/>
    <w:rsid w:val="000D3F33"/>
    <w:rsid w:val="000D4A05"/>
    <w:rsid w:val="000D4A20"/>
    <w:rsid w:val="000D50B5"/>
    <w:rsid w:val="000D51C0"/>
    <w:rsid w:val="000D55C1"/>
    <w:rsid w:val="000D590D"/>
    <w:rsid w:val="000D6525"/>
    <w:rsid w:val="000D6D73"/>
    <w:rsid w:val="000D6EBD"/>
    <w:rsid w:val="000D718C"/>
    <w:rsid w:val="000D7311"/>
    <w:rsid w:val="000D7786"/>
    <w:rsid w:val="000D7DAE"/>
    <w:rsid w:val="000E014F"/>
    <w:rsid w:val="000E0439"/>
    <w:rsid w:val="000E07EC"/>
    <w:rsid w:val="000E0A6E"/>
    <w:rsid w:val="000E0AD9"/>
    <w:rsid w:val="000E0B63"/>
    <w:rsid w:val="000E0DDE"/>
    <w:rsid w:val="000E12BA"/>
    <w:rsid w:val="000E1C6F"/>
    <w:rsid w:val="000E223A"/>
    <w:rsid w:val="000E2E3C"/>
    <w:rsid w:val="000E3103"/>
    <w:rsid w:val="000E3666"/>
    <w:rsid w:val="000E3674"/>
    <w:rsid w:val="000E3967"/>
    <w:rsid w:val="000E3DDA"/>
    <w:rsid w:val="000E4628"/>
    <w:rsid w:val="000E46E8"/>
    <w:rsid w:val="000E46FD"/>
    <w:rsid w:val="000E4E0F"/>
    <w:rsid w:val="000E4F1B"/>
    <w:rsid w:val="000E4FCB"/>
    <w:rsid w:val="000E504F"/>
    <w:rsid w:val="000E65B4"/>
    <w:rsid w:val="000E660D"/>
    <w:rsid w:val="000E6796"/>
    <w:rsid w:val="000E6990"/>
    <w:rsid w:val="000E6BAC"/>
    <w:rsid w:val="000E6EBB"/>
    <w:rsid w:val="000E7026"/>
    <w:rsid w:val="000E714B"/>
    <w:rsid w:val="000E7971"/>
    <w:rsid w:val="000E7D9D"/>
    <w:rsid w:val="000F0236"/>
    <w:rsid w:val="000F02F2"/>
    <w:rsid w:val="000F0462"/>
    <w:rsid w:val="000F09E2"/>
    <w:rsid w:val="000F0E35"/>
    <w:rsid w:val="000F10A6"/>
    <w:rsid w:val="000F15BB"/>
    <w:rsid w:val="000F1B61"/>
    <w:rsid w:val="000F1CFE"/>
    <w:rsid w:val="000F1FDF"/>
    <w:rsid w:val="000F2062"/>
    <w:rsid w:val="000F2341"/>
    <w:rsid w:val="000F251F"/>
    <w:rsid w:val="000F30C5"/>
    <w:rsid w:val="000F3271"/>
    <w:rsid w:val="000F354C"/>
    <w:rsid w:val="000F373F"/>
    <w:rsid w:val="000F4367"/>
    <w:rsid w:val="000F4EF5"/>
    <w:rsid w:val="000F518E"/>
    <w:rsid w:val="000F590E"/>
    <w:rsid w:val="000F5DFB"/>
    <w:rsid w:val="000F6853"/>
    <w:rsid w:val="000F6C59"/>
    <w:rsid w:val="000F7139"/>
    <w:rsid w:val="000F79C6"/>
    <w:rsid w:val="001001C1"/>
    <w:rsid w:val="0010052B"/>
    <w:rsid w:val="0010053D"/>
    <w:rsid w:val="00100BEA"/>
    <w:rsid w:val="001011AF"/>
    <w:rsid w:val="00101683"/>
    <w:rsid w:val="0010172C"/>
    <w:rsid w:val="001018A6"/>
    <w:rsid w:val="00101F1E"/>
    <w:rsid w:val="001021D3"/>
    <w:rsid w:val="0010249A"/>
    <w:rsid w:val="001025F1"/>
    <w:rsid w:val="00102906"/>
    <w:rsid w:val="00102918"/>
    <w:rsid w:val="00102943"/>
    <w:rsid w:val="00103287"/>
    <w:rsid w:val="001036AC"/>
    <w:rsid w:val="001037B9"/>
    <w:rsid w:val="00103C9A"/>
    <w:rsid w:val="00104919"/>
    <w:rsid w:val="0010551F"/>
    <w:rsid w:val="0010553C"/>
    <w:rsid w:val="0010648F"/>
    <w:rsid w:val="001067D8"/>
    <w:rsid w:val="00106A64"/>
    <w:rsid w:val="00106C45"/>
    <w:rsid w:val="00106D47"/>
    <w:rsid w:val="00106F22"/>
    <w:rsid w:val="00107547"/>
    <w:rsid w:val="001100D3"/>
    <w:rsid w:val="001103E0"/>
    <w:rsid w:val="0011053C"/>
    <w:rsid w:val="001105F1"/>
    <w:rsid w:val="00110998"/>
    <w:rsid w:val="00110DC9"/>
    <w:rsid w:val="00110E79"/>
    <w:rsid w:val="0011118D"/>
    <w:rsid w:val="00111229"/>
    <w:rsid w:val="001115D1"/>
    <w:rsid w:val="001115F7"/>
    <w:rsid w:val="00111BFB"/>
    <w:rsid w:val="001121CE"/>
    <w:rsid w:val="00112524"/>
    <w:rsid w:val="001130D3"/>
    <w:rsid w:val="001130EB"/>
    <w:rsid w:val="00113267"/>
    <w:rsid w:val="00113304"/>
    <w:rsid w:val="001133BC"/>
    <w:rsid w:val="00113446"/>
    <w:rsid w:val="0011369B"/>
    <w:rsid w:val="00113B56"/>
    <w:rsid w:val="00113F95"/>
    <w:rsid w:val="0011442D"/>
    <w:rsid w:val="001145A9"/>
    <w:rsid w:val="00114710"/>
    <w:rsid w:val="00114CD1"/>
    <w:rsid w:val="00114CDE"/>
    <w:rsid w:val="00114D17"/>
    <w:rsid w:val="00115008"/>
    <w:rsid w:val="001159CF"/>
    <w:rsid w:val="00115C67"/>
    <w:rsid w:val="00115CFA"/>
    <w:rsid w:val="0011621C"/>
    <w:rsid w:val="001165F6"/>
    <w:rsid w:val="001168CD"/>
    <w:rsid w:val="00116A22"/>
    <w:rsid w:val="00116BAF"/>
    <w:rsid w:val="00116FE8"/>
    <w:rsid w:val="00117075"/>
    <w:rsid w:val="001170CA"/>
    <w:rsid w:val="001176EA"/>
    <w:rsid w:val="001177B8"/>
    <w:rsid w:val="00117CBA"/>
    <w:rsid w:val="001204B7"/>
    <w:rsid w:val="00120611"/>
    <w:rsid w:val="001206A5"/>
    <w:rsid w:val="00120C30"/>
    <w:rsid w:val="00120ED8"/>
    <w:rsid w:val="00121328"/>
    <w:rsid w:val="0012146B"/>
    <w:rsid w:val="001218A3"/>
    <w:rsid w:val="001219D6"/>
    <w:rsid w:val="00121D76"/>
    <w:rsid w:val="00122566"/>
    <w:rsid w:val="00122926"/>
    <w:rsid w:val="00122FCF"/>
    <w:rsid w:val="00123313"/>
    <w:rsid w:val="00123436"/>
    <w:rsid w:val="0012361C"/>
    <w:rsid w:val="00123A4D"/>
    <w:rsid w:val="00123B18"/>
    <w:rsid w:val="00123D4C"/>
    <w:rsid w:val="00123D83"/>
    <w:rsid w:val="001245EC"/>
    <w:rsid w:val="001247D2"/>
    <w:rsid w:val="00124B92"/>
    <w:rsid w:val="00124FD4"/>
    <w:rsid w:val="001250D0"/>
    <w:rsid w:val="0012528C"/>
    <w:rsid w:val="001257D5"/>
    <w:rsid w:val="00125951"/>
    <w:rsid w:val="00125C04"/>
    <w:rsid w:val="00125C58"/>
    <w:rsid w:val="00125FB7"/>
    <w:rsid w:val="00126250"/>
    <w:rsid w:val="001263EC"/>
    <w:rsid w:val="0012652F"/>
    <w:rsid w:val="00126630"/>
    <w:rsid w:val="001268FA"/>
    <w:rsid w:val="00126CE9"/>
    <w:rsid w:val="00127201"/>
    <w:rsid w:val="00127207"/>
    <w:rsid w:val="001273EF"/>
    <w:rsid w:val="0012768E"/>
    <w:rsid w:val="001279E1"/>
    <w:rsid w:val="00127C6C"/>
    <w:rsid w:val="00127E82"/>
    <w:rsid w:val="00127FE0"/>
    <w:rsid w:val="001301C3"/>
    <w:rsid w:val="00130213"/>
    <w:rsid w:val="00130477"/>
    <w:rsid w:val="001306E0"/>
    <w:rsid w:val="00130A57"/>
    <w:rsid w:val="00130E48"/>
    <w:rsid w:val="00130F19"/>
    <w:rsid w:val="001310E7"/>
    <w:rsid w:val="001316D1"/>
    <w:rsid w:val="0013189A"/>
    <w:rsid w:val="00131E95"/>
    <w:rsid w:val="00131F91"/>
    <w:rsid w:val="001322A5"/>
    <w:rsid w:val="00132441"/>
    <w:rsid w:val="00132599"/>
    <w:rsid w:val="00133376"/>
    <w:rsid w:val="001336A4"/>
    <w:rsid w:val="00133C30"/>
    <w:rsid w:val="00135310"/>
    <w:rsid w:val="0013537C"/>
    <w:rsid w:val="00135B67"/>
    <w:rsid w:val="00135CB8"/>
    <w:rsid w:val="001361CF"/>
    <w:rsid w:val="00136370"/>
    <w:rsid w:val="001368CE"/>
    <w:rsid w:val="001371C4"/>
    <w:rsid w:val="001371CD"/>
    <w:rsid w:val="0013794E"/>
    <w:rsid w:val="00137993"/>
    <w:rsid w:val="001401FD"/>
    <w:rsid w:val="001403ED"/>
    <w:rsid w:val="00140624"/>
    <w:rsid w:val="001407C9"/>
    <w:rsid w:val="001407D6"/>
    <w:rsid w:val="001411F7"/>
    <w:rsid w:val="00141288"/>
    <w:rsid w:val="00141763"/>
    <w:rsid w:val="00141B77"/>
    <w:rsid w:val="0014292A"/>
    <w:rsid w:val="00142EF3"/>
    <w:rsid w:val="0014310E"/>
    <w:rsid w:val="001432C1"/>
    <w:rsid w:val="001439FC"/>
    <w:rsid w:val="00143A9A"/>
    <w:rsid w:val="00143E80"/>
    <w:rsid w:val="00143F87"/>
    <w:rsid w:val="00143F96"/>
    <w:rsid w:val="00144211"/>
    <w:rsid w:val="001443DB"/>
    <w:rsid w:val="0014440A"/>
    <w:rsid w:val="00144B44"/>
    <w:rsid w:val="00144CF3"/>
    <w:rsid w:val="00144E3F"/>
    <w:rsid w:val="00144FB1"/>
    <w:rsid w:val="00145063"/>
    <w:rsid w:val="00145200"/>
    <w:rsid w:val="001452BE"/>
    <w:rsid w:val="00146362"/>
    <w:rsid w:val="0014645A"/>
    <w:rsid w:val="00146744"/>
    <w:rsid w:val="0014799F"/>
    <w:rsid w:val="00147A15"/>
    <w:rsid w:val="00147E03"/>
    <w:rsid w:val="00147FB6"/>
    <w:rsid w:val="00150221"/>
    <w:rsid w:val="0015043E"/>
    <w:rsid w:val="00151365"/>
    <w:rsid w:val="001518F2"/>
    <w:rsid w:val="001518FF"/>
    <w:rsid w:val="00151E46"/>
    <w:rsid w:val="00151EBC"/>
    <w:rsid w:val="00151F6E"/>
    <w:rsid w:val="0015255A"/>
    <w:rsid w:val="001526F6"/>
    <w:rsid w:val="00152AC1"/>
    <w:rsid w:val="001530F4"/>
    <w:rsid w:val="001534B4"/>
    <w:rsid w:val="00153A0B"/>
    <w:rsid w:val="00153F66"/>
    <w:rsid w:val="001541B5"/>
    <w:rsid w:val="00154F0B"/>
    <w:rsid w:val="00155270"/>
    <w:rsid w:val="001555A3"/>
    <w:rsid w:val="001555AD"/>
    <w:rsid w:val="00155F2B"/>
    <w:rsid w:val="0015612A"/>
    <w:rsid w:val="001564DA"/>
    <w:rsid w:val="00157E04"/>
    <w:rsid w:val="00157E10"/>
    <w:rsid w:val="00160185"/>
    <w:rsid w:val="001601AC"/>
    <w:rsid w:val="001602CF"/>
    <w:rsid w:val="00160315"/>
    <w:rsid w:val="00160C0D"/>
    <w:rsid w:val="00160E56"/>
    <w:rsid w:val="00161056"/>
    <w:rsid w:val="0016168F"/>
    <w:rsid w:val="001619E9"/>
    <w:rsid w:val="00161E15"/>
    <w:rsid w:val="00161FFB"/>
    <w:rsid w:val="00162100"/>
    <w:rsid w:val="001622CC"/>
    <w:rsid w:val="00163715"/>
    <w:rsid w:val="00163A2F"/>
    <w:rsid w:val="00163F22"/>
    <w:rsid w:val="0016435F"/>
    <w:rsid w:val="001644A8"/>
    <w:rsid w:val="001646A1"/>
    <w:rsid w:val="00164FCA"/>
    <w:rsid w:val="00165258"/>
    <w:rsid w:val="001652A2"/>
    <w:rsid w:val="0016577A"/>
    <w:rsid w:val="00165C66"/>
    <w:rsid w:val="00165EDE"/>
    <w:rsid w:val="00166064"/>
    <w:rsid w:val="0016638C"/>
    <w:rsid w:val="001663DB"/>
    <w:rsid w:val="00166C33"/>
    <w:rsid w:val="001670BC"/>
    <w:rsid w:val="00167325"/>
    <w:rsid w:val="00167335"/>
    <w:rsid w:val="00167636"/>
    <w:rsid w:val="001678F8"/>
    <w:rsid w:val="00167927"/>
    <w:rsid w:val="00167C8B"/>
    <w:rsid w:val="00167D7C"/>
    <w:rsid w:val="00167FBE"/>
    <w:rsid w:val="001705D2"/>
    <w:rsid w:val="001708D9"/>
    <w:rsid w:val="00170BBF"/>
    <w:rsid w:val="00170C37"/>
    <w:rsid w:val="00171CC5"/>
    <w:rsid w:val="001720D9"/>
    <w:rsid w:val="00172142"/>
    <w:rsid w:val="0017285E"/>
    <w:rsid w:val="00172BFF"/>
    <w:rsid w:val="0017392B"/>
    <w:rsid w:val="00173BD3"/>
    <w:rsid w:val="00173BE1"/>
    <w:rsid w:val="00173E89"/>
    <w:rsid w:val="00174054"/>
    <w:rsid w:val="00174282"/>
    <w:rsid w:val="00174510"/>
    <w:rsid w:val="00175025"/>
    <w:rsid w:val="001750B1"/>
    <w:rsid w:val="0017554E"/>
    <w:rsid w:val="00175864"/>
    <w:rsid w:val="00175B08"/>
    <w:rsid w:val="00175B2B"/>
    <w:rsid w:val="00175F20"/>
    <w:rsid w:val="00175FD5"/>
    <w:rsid w:val="00176765"/>
    <w:rsid w:val="001767D6"/>
    <w:rsid w:val="00176AAF"/>
    <w:rsid w:val="00176F49"/>
    <w:rsid w:val="0017713C"/>
    <w:rsid w:val="0017755A"/>
    <w:rsid w:val="00180084"/>
    <w:rsid w:val="00180573"/>
    <w:rsid w:val="0018085B"/>
    <w:rsid w:val="00180905"/>
    <w:rsid w:val="00180BBC"/>
    <w:rsid w:val="00181056"/>
    <w:rsid w:val="0018126E"/>
    <w:rsid w:val="00181480"/>
    <w:rsid w:val="00181714"/>
    <w:rsid w:val="00181C05"/>
    <w:rsid w:val="00181C49"/>
    <w:rsid w:val="00181D0E"/>
    <w:rsid w:val="001823F8"/>
    <w:rsid w:val="001834B9"/>
    <w:rsid w:val="001837D0"/>
    <w:rsid w:val="0018417F"/>
    <w:rsid w:val="001848CF"/>
    <w:rsid w:val="00184B1C"/>
    <w:rsid w:val="00184F56"/>
    <w:rsid w:val="00185259"/>
    <w:rsid w:val="00185677"/>
    <w:rsid w:val="001857D4"/>
    <w:rsid w:val="0018583C"/>
    <w:rsid w:val="00185897"/>
    <w:rsid w:val="001859CC"/>
    <w:rsid w:val="001863FF"/>
    <w:rsid w:val="00186A3B"/>
    <w:rsid w:val="00186B74"/>
    <w:rsid w:val="00187007"/>
    <w:rsid w:val="001873A9"/>
    <w:rsid w:val="00187BCC"/>
    <w:rsid w:val="00187E93"/>
    <w:rsid w:val="001900A8"/>
    <w:rsid w:val="001903DB"/>
    <w:rsid w:val="0019043B"/>
    <w:rsid w:val="001907C3"/>
    <w:rsid w:val="001907E0"/>
    <w:rsid w:val="00190876"/>
    <w:rsid w:val="00190D54"/>
    <w:rsid w:val="00190D9F"/>
    <w:rsid w:val="00191169"/>
    <w:rsid w:val="001911D5"/>
    <w:rsid w:val="001919C0"/>
    <w:rsid w:val="00191A2F"/>
    <w:rsid w:val="00191C3B"/>
    <w:rsid w:val="00191D4A"/>
    <w:rsid w:val="0019238E"/>
    <w:rsid w:val="001923FB"/>
    <w:rsid w:val="00192B0F"/>
    <w:rsid w:val="00192EFA"/>
    <w:rsid w:val="00192F9B"/>
    <w:rsid w:val="0019436E"/>
    <w:rsid w:val="00194F9E"/>
    <w:rsid w:val="001950AA"/>
    <w:rsid w:val="00195AF9"/>
    <w:rsid w:val="00195B78"/>
    <w:rsid w:val="00195F38"/>
    <w:rsid w:val="0019618A"/>
    <w:rsid w:val="00196215"/>
    <w:rsid w:val="00196732"/>
    <w:rsid w:val="0019749D"/>
    <w:rsid w:val="00197AD5"/>
    <w:rsid w:val="001A0178"/>
    <w:rsid w:val="001A045F"/>
    <w:rsid w:val="001A04F4"/>
    <w:rsid w:val="001A06BB"/>
    <w:rsid w:val="001A079E"/>
    <w:rsid w:val="001A0DE0"/>
    <w:rsid w:val="001A101F"/>
    <w:rsid w:val="001A112F"/>
    <w:rsid w:val="001A118D"/>
    <w:rsid w:val="001A1241"/>
    <w:rsid w:val="001A2170"/>
    <w:rsid w:val="001A2481"/>
    <w:rsid w:val="001A280F"/>
    <w:rsid w:val="001A2941"/>
    <w:rsid w:val="001A2A2D"/>
    <w:rsid w:val="001A2F1A"/>
    <w:rsid w:val="001A31C6"/>
    <w:rsid w:val="001A31D4"/>
    <w:rsid w:val="001A342C"/>
    <w:rsid w:val="001A3659"/>
    <w:rsid w:val="001A40FF"/>
    <w:rsid w:val="001A41FC"/>
    <w:rsid w:val="001A42D9"/>
    <w:rsid w:val="001A466C"/>
    <w:rsid w:val="001A47CC"/>
    <w:rsid w:val="001A4D97"/>
    <w:rsid w:val="001A4DB7"/>
    <w:rsid w:val="001A517D"/>
    <w:rsid w:val="001A5412"/>
    <w:rsid w:val="001A5526"/>
    <w:rsid w:val="001A57AC"/>
    <w:rsid w:val="001A5953"/>
    <w:rsid w:val="001A5AED"/>
    <w:rsid w:val="001A5B0A"/>
    <w:rsid w:val="001A5C6F"/>
    <w:rsid w:val="001A5F70"/>
    <w:rsid w:val="001A61EF"/>
    <w:rsid w:val="001A66B3"/>
    <w:rsid w:val="001A683C"/>
    <w:rsid w:val="001A6C1F"/>
    <w:rsid w:val="001A759D"/>
    <w:rsid w:val="001A7ACF"/>
    <w:rsid w:val="001B00E2"/>
    <w:rsid w:val="001B0746"/>
    <w:rsid w:val="001B0EC5"/>
    <w:rsid w:val="001B10F2"/>
    <w:rsid w:val="001B18D8"/>
    <w:rsid w:val="001B1AF5"/>
    <w:rsid w:val="001B1D9F"/>
    <w:rsid w:val="001B2757"/>
    <w:rsid w:val="001B2A39"/>
    <w:rsid w:val="001B2AC3"/>
    <w:rsid w:val="001B2E9C"/>
    <w:rsid w:val="001B3074"/>
    <w:rsid w:val="001B30B8"/>
    <w:rsid w:val="001B3179"/>
    <w:rsid w:val="001B3250"/>
    <w:rsid w:val="001B3982"/>
    <w:rsid w:val="001B3A0D"/>
    <w:rsid w:val="001B3C15"/>
    <w:rsid w:val="001B4433"/>
    <w:rsid w:val="001B48E8"/>
    <w:rsid w:val="001B4B37"/>
    <w:rsid w:val="001B5377"/>
    <w:rsid w:val="001B7247"/>
    <w:rsid w:val="001B73A8"/>
    <w:rsid w:val="001B759C"/>
    <w:rsid w:val="001B799E"/>
    <w:rsid w:val="001B7B39"/>
    <w:rsid w:val="001B7D68"/>
    <w:rsid w:val="001C0585"/>
    <w:rsid w:val="001C0D34"/>
    <w:rsid w:val="001C0DAB"/>
    <w:rsid w:val="001C0FFE"/>
    <w:rsid w:val="001C11B7"/>
    <w:rsid w:val="001C12C5"/>
    <w:rsid w:val="001C143E"/>
    <w:rsid w:val="001C1601"/>
    <w:rsid w:val="001C16F8"/>
    <w:rsid w:val="001C17AB"/>
    <w:rsid w:val="001C19F7"/>
    <w:rsid w:val="001C1A29"/>
    <w:rsid w:val="001C23E4"/>
    <w:rsid w:val="001C247C"/>
    <w:rsid w:val="001C2A81"/>
    <w:rsid w:val="001C2D81"/>
    <w:rsid w:val="001C338D"/>
    <w:rsid w:val="001C3927"/>
    <w:rsid w:val="001C3E3A"/>
    <w:rsid w:val="001C4207"/>
    <w:rsid w:val="001C43BD"/>
    <w:rsid w:val="001C492E"/>
    <w:rsid w:val="001C4B39"/>
    <w:rsid w:val="001C51CB"/>
    <w:rsid w:val="001C5242"/>
    <w:rsid w:val="001C568B"/>
    <w:rsid w:val="001C5733"/>
    <w:rsid w:val="001C5BB3"/>
    <w:rsid w:val="001C5E70"/>
    <w:rsid w:val="001C6425"/>
    <w:rsid w:val="001C64CD"/>
    <w:rsid w:val="001C661F"/>
    <w:rsid w:val="001C7001"/>
    <w:rsid w:val="001C7561"/>
    <w:rsid w:val="001C758B"/>
    <w:rsid w:val="001C75E7"/>
    <w:rsid w:val="001C7EDC"/>
    <w:rsid w:val="001C7EE1"/>
    <w:rsid w:val="001D0346"/>
    <w:rsid w:val="001D03EC"/>
    <w:rsid w:val="001D04DF"/>
    <w:rsid w:val="001D08BC"/>
    <w:rsid w:val="001D0969"/>
    <w:rsid w:val="001D10E9"/>
    <w:rsid w:val="001D1268"/>
    <w:rsid w:val="001D16B4"/>
    <w:rsid w:val="001D1761"/>
    <w:rsid w:val="001D19FD"/>
    <w:rsid w:val="001D20E2"/>
    <w:rsid w:val="001D21C2"/>
    <w:rsid w:val="001D22AD"/>
    <w:rsid w:val="001D347B"/>
    <w:rsid w:val="001D37AC"/>
    <w:rsid w:val="001D3928"/>
    <w:rsid w:val="001D3F35"/>
    <w:rsid w:val="001D4177"/>
    <w:rsid w:val="001D484B"/>
    <w:rsid w:val="001D4888"/>
    <w:rsid w:val="001D4A66"/>
    <w:rsid w:val="001D6124"/>
    <w:rsid w:val="001D6C6E"/>
    <w:rsid w:val="001D71B8"/>
    <w:rsid w:val="001D7247"/>
    <w:rsid w:val="001D73E1"/>
    <w:rsid w:val="001D753E"/>
    <w:rsid w:val="001D76AD"/>
    <w:rsid w:val="001D7C1B"/>
    <w:rsid w:val="001D7C5B"/>
    <w:rsid w:val="001D7CF9"/>
    <w:rsid w:val="001D7F79"/>
    <w:rsid w:val="001E00DE"/>
    <w:rsid w:val="001E0360"/>
    <w:rsid w:val="001E0535"/>
    <w:rsid w:val="001E06D8"/>
    <w:rsid w:val="001E087B"/>
    <w:rsid w:val="001E0962"/>
    <w:rsid w:val="001E0BD5"/>
    <w:rsid w:val="001E0BEC"/>
    <w:rsid w:val="001E1258"/>
    <w:rsid w:val="001E1322"/>
    <w:rsid w:val="001E1614"/>
    <w:rsid w:val="001E25DE"/>
    <w:rsid w:val="001E27ED"/>
    <w:rsid w:val="001E2BE3"/>
    <w:rsid w:val="001E2EF8"/>
    <w:rsid w:val="001E32E6"/>
    <w:rsid w:val="001E3A94"/>
    <w:rsid w:val="001E3B4E"/>
    <w:rsid w:val="001E4013"/>
    <w:rsid w:val="001E4343"/>
    <w:rsid w:val="001E4410"/>
    <w:rsid w:val="001E466B"/>
    <w:rsid w:val="001E5432"/>
    <w:rsid w:val="001E5CC8"/>
    <w:rsid w:val="001E6315"/>
    <w:rsid w:val="001E641A"/>
    <w:rsid w:val="001E66D9"/>
    <w:rsid w:val="001E6E08"/>
    <w:rsid w:val="001E6F38"/>
    <w:rsid w:val="001E7342"/>
    <w:rsid w:val="001E74E3"/>
    <w:rsid w:val="001E75EF"/>
    <w:rsid w:val="001E7711"/>
    <w:rsid w:val="001E790D"/>
    <w:rsid w:val="001E7E7F"/>
    <w:rsid w:val="001E7F36"/>
    <w:rsid w:val="001F0396"/>
    <w:rsid w:val="001F0503"/>
    <w:rsid w:val="001F065F"/>
    <w:rsid w:val="001F0F8E"/>
    <w:rsid w:val="001F1184"/>
    <w:rsid w:val="001F1693"/>
    <w:rsid w:val="001F175A"/>
    <w:rsid w:val="001F1ACB"/>
    <w:rsid w:val="001F1C31"/>
    <w:rsid w:val="001F1CEF"/>
    <w:rsid w:val="001F1FF1"/>
    <w:rsid w:val="001F2079"/>
    <w:rsid w:val="001F23BF"/>
    <w:rsid w:val="001F23F6"/>
    <w:rsid w:val="001F2863"/>
    <w:rsid w:val="001F2A20"/>
    <w:rsid w:val="001F2B49"/>
    <w:rsid w:val="001F3CA7"/>
    <w:rsid w:val="001F46F1"/>
    <w:rsid w:val="001F492D"/>
    <w:rsid w:val="001F4CBC"/>
    <w:rsid w:val="001F5032"/>
    <w:rsid w:val="001F5180"/>
    <w:rsid w:val="001F5298"/>
    <w:rsid w:val="001F5985"/>
    <w:rsid w:val="001F5BC8"/>
    <w:rsid w:val="001F5BF5"/>
    <w:rsid w:val="001F5C28"/>
    <w:rsid w:val="001F640E"/>
    <w:rsid w:val="001F7551"/>
    <w:rsid w:val="001F7B82"/>
    <w:rsid w:val="001F7E5B"/>
    <w:rsid w:val="00200395"/>
    <w:rsid w:val="002005F7"/>
    <w:rsid w:val="00200672"/>
    <w:rsid w:val="002006D9"/>
    <w:rsid w:val="0020076E"/>
    <w:rsid w:val="00200BF1"/>
    <w:rsid w:val="00200F72"/>
    <w:rsid w:val="0020103B"/>
    <w:rsid w:val="00201344"/>
    <w:rsid w:val="002015EB"/>
    <w:rsid w:val="00201805"/>
    <w:rsid w:val="00201DEE"/>
    <w:rsid w:val="002023C9"/>
    <w:rsid w:val="0020267E"/>
    <w:rsid w:val="0020269E"/>
    <w:rsid w:val="00202959"/>
    <w:rsid w:val="00202BDB"/>
    <w:rsid w:val="002031E3"/>
    <w:rsid w:val="002032B8"/>
    <w:rsid w:val="00203502"/>
    <w:rsid w:val="00203669"/>
    <w:rsid w:val="002042A9"/>
    <w:rsid w:val="00204595"/>
    <w:rsid w:val="002047F0"/>
    <w:rsid w:val="0020498F"/>
    <w:rsid w:val="00204C2D"/>
    <w:rsid w:val="00204FDE"/>
    <w:rsid w:val="002050A0"/>
    <w:rsid w:val="002055D3"/>
    <w:rsid w:val="00205DFB"/>
    <w:rsid w:val="00205E10"/>
    <w:rsid w:val="002065C0"/>
    <w:rsid w:val="00206A00"/>
    <w:rsid w:val="00206C7B"/>
    <w:rsid w:val="00207109"/>
    <w:rsid w:val="002072AA"/>
    <w:rsid w:val="00207454"/>
    <w:rsid w:val="00207982"/>
    <w:rsid w:val="00207C12"/>
    <w:rsid w:val="00207EF7"/>
    <w:rsid w:val="002100A7"/>
    <w:rsid w:val="00210BE8"/>
    <w:rsid w:val="00210BED"/>
    <w:rsid w:val="00210CB2"/>
    <w:rsid w:val="00211031"/>
    <w:rsid w:val="00211575"/>
    <w:rsid w:val="0021193C"/>
    <w:rsid w:val="0021208D"/>
    <w:rsid w:val="00212251"/>
    <w:rsid w:val="00212559"/>
    <w:rsid w:val="00212668"/>
    <w:rsid w:val="002126EB"/>
    <w:rsid w:val="002127F4"/>
    <w:rsid w:val="00212DCC"/>
    <w:rsid w:val="00212F23"/>
    <w:rsid w:val="00213562"/>
    <w:rsid w:val="00214CB0"/>
    <w:rsid w:val="00214D07"/>
    <w:rsid w:val="00214D21"/>
    <w:rsid w:val="002150BC"/>
    <w:rsid w:val="002157B6"/>
    <w:rsid w:val="00215834"/>
    <w:rsid w:val="00215EFA"/>
    <w:rsid w:val="00216297"/>
    <w:rsid w:val="00216867"/>
    <w:rsid w:val="002169DF"/>
    <w:rsid w:val="00216CB2"/>
    <w:rsid w:val="00216E2A"/>
    <w:rsid w:val="00217483"/>
    <w:rsid w:val="00217AF3"/>
    <w:rsid w:val="00217D24"/>
    <w:rsid w:val="00217FED"/>
    <w:rsid w:val="00220B7B"/>
    <w:rsid w:val="002210BF"/>
    <w:rsid w:val="00221451"/>
    <w:rsid w:val="002215AD"/>
    <w:rsid w:val="002217EC"/>
    <w:rsid w:val="002218B1"/>
    <w:rsid w:val="00221ADD"/>
    <w:rsid w:val="00221F00"/>
    <w:rsid w:val="00221F6A"/>
    <w:rsid w:val="0022244A"/>
    <w:rsid w:val="0022245C"/>
    <w:rsid w:val="002224CC"/>
    <w:rsid w:val="0022275E"/>
    <w:rsid w:val="00222ADB"/>
    <w:rsid w:val="00222B05"/>
    <w:rsid w:val="00222E76"/>
    <w:rsid w:val="00222FCE"/>
    <w:rsid w:val="00223210"/>
    <w:rsid w:val="00223D12"/>
    <w:rsid w:val="002240C8"/>
    <w:rsid w:val="00224492"/>
    <w:rsid w:val="0022469B"/>
    <w:rsid w:val="00224A31"/>
    <w:rsid w:val="00225286"/>
    <w:rsid w:val="002252B2"/>
    <w:rsid w:val="002252FB"/>
    <w:rsid w:val="0022597E"/>
    <w:rsid w:val="00225AE3"/>
    <w:rsid w:val="00226582"/>
    <w:rsid w:val="002270E5"/>
    <w:rsid w:val="00227299"/>
    <w:rsid w:val="00227315"/>
    <w:rsid w:val="00227888"/>
    <w:rsid w:val="00227A4A"/>
    <w:rsid w:val="00227C11"/>
    <w:rsid w:val="00227D97"/>
    <w:rsid w:val="002303E2"/>
    <w:rsid w:val="002306E6"/>
    <w:rsid w:val="00230D38"/>
    <w:rsid w:val="00231A2E"/>
    <w:rsid w:val="00231FF9"/>
    <w:rsid w:val="0023270E"/>
    <w:rsid w:val="002329B2"/>
    <w:rsid w:val="00232E3D"/>
    <w:rsid w:val="00232FCE"/>
    <w:rsid w:val="00233296"/>
    <w:rsid w:val="0023353A"/>
    <w:rsid w:val="00233595"/>
    <w:rsid w:val="0023374F"/>
    <w:rsid w:val="00233C8F"/>
    <w:rsid w:val="00233D30"/>
    <w:rsid w:val="002342AE"/>
    <w:rsid w:val="00234B7F"/>
    <w:rsid w:val="0023527B"/>
    <w:rsid w:val="0023576E"/>
    <w:rsid w:val="00236630"/>
    <w:rsid w:val="002367DC"/>
    <w:rsid w:val="00236B4E"/>
    <w:rsid w:val="00236CF6"/>
    <w:rsid w:val="00236EB3"/>
    <w:rsid w:val="002373C8"/>
    <w:rsid w:val="00237667"/>
    <w:rsid w:val="00237C08"/>
    <w:rsid w:val="00237F9C"/>
    <w:rsid w:val="002402D7"/>
    <w:rsid w:val="002406A3"/>
    <w:rsid w:val="00240A15"/>
    <w:rsid w:val="00240BE5"/>
    <w:rsid w:val="00240D5C"/>
    <w:rsid w:val="002419E6"/>
    <w:rsid w:val="00241C64"/>
    <w:rsid w:val="00242418"/>
    <w:rsid w:val="00242524"/>
    <w:rsid w:val="00242DB8"/>
    <w:rsid w:val="00243069"/>
    <w:rsid w:val="00243993"/>
    <w:rsid w:val="00243B24"/>
    <w:rsid w:val="00243C0F"/>
    <w:rsid w:val="002443D8"/>
    <w:rsid w:val="00244895"/>
    <w:rsid w:val="002448D1"/>
    <w:rsid w:val="002458C5"/>
    <w:rsid w:val="002458E6"/>
    <w:rsid w:val="00245AA9"/>
    <w:rsid w:val="00245AF0"/>
    <w:rsid w:val="00245BB3"/>
    <w:rsid w:val="00245BF3"/>
    <w:rsid w:val="0024637A"/>
    <w:rsid w:val="00246405"/>
    <w:rsid w:val="002466D3"/>
    <w:rsid w:val="00246890"/>
    <w:rsid w:val="00246B4F"/>
    <w:rsid w:val="00246D89"/>
    <w:rsid w:val="00247083"/>
    <w:rsid w:val="002472A4"/>
    <w:rsid w:val="00247348"/>
    <w:rsid w:val="0025085A"/>
    <w:rsid w:val="0025092E"/>
    <w:rsid w:val="00250941"/>
    <w:rsid w:val="00250BA1"/>
    <w:rsid w:val="00250EB2"/>
    <w:rsid w:val="00250ED2"/>
    <w:rsid w:val="002511D3"/>
    <w:rsid w:val="00251647"/>
    <w:rsid w:val="00251F85"/>
    <w:rsid w:val="0025239C"/>
    <w:rsid w:val="002528B3"/>
    <w:rsid w:val="00253DBB"/>
    <w:rsid w:val="00254208"/>
    <w:rsid w:val="002543EE"/>
    <w:rsid w:val="002544AA"/>
    <w:rsid w:val="00254594"/>
    <w:rsid w:val="00254741"/>
    <w:rsid w:val="0025495B"/>
    <w:rsid w:val="00254C09"/>
    <w:rsid w:val="00255668"/>
    <w:rsid w:val="00255E6D"/>
    <w:rsid w:val="002565EF"/>
    <w:rsid w:val="00256D8F"/>
    <w:rsid w:val="00256F29"/>
    <w:rsid w:val="002570B5"/>
    <w:rsid w:val="002571BF"/>
    <w:rsid w:val="00257500"/>
    <w:rsid w:val="00257FE5"/>
    <w:rsid w:val="0026066D"/>
    <w:rsid w:val="0026073C"/>
    <w:rsid w:val="00260820"/>
    <w:rsid w:val="00260902"/>
    <w:rsid w:val="00260AA3"/>
    <w:rsid w:val="00261A54"/>
    <w:rsid w:val="00261D25"/>
    <w:rsid w:val="00261EAA"/>
    <w:rsid w:val="00261F08"/>
    <w:rsid w:val="002623C0"/>
    <w:rsid w:val="002626BA"/>
    <w:rsid w:val="00262E4B"/>
    <w:rsid w:val="00262EC6"/>
    <w:rsid w:val="00262F57"/>
    <w:rsid w:val="00262FF6"/>
    <w:rsid w:val="00263335"/>
    <w:rsid w:val="002633B0"/>
    <w:rsid w:val="00263F73"/>
    <w:rsid w:val="00264471"/>
    <w:rsid w:val="00264643"/>
    <w:rsid w:val="00264700"/>
    <w:rsid w:val="00264867"/>
    <w:rsid w:val="00264B0B"/>
    <w:rsid w:val="00264CCF"/>
    <w:rsid w:val="00264F92"/>
    <w:rsid w:val="0026581F"/>
    <w:rsid w:val="00265C58"/>
    <w:rsid w:val="00265C62"/>
    <w:rsid w:val="00266664"/>
    <w:rsid w:val="00266A4A"/>
    <w:rsid w:val="00266A9D"/>
    <w:rsid w:val="00266AFE"/>
    <w:rsid w:val="002673BB"/>
    <w:rsid w:val="0026749B"/>
    <w:rsid w:val="002675F3"/>
    <w:rsid w:val="002714CE"/>
    <w:rsid w:val="0027154F"/>
    <w:rsid w:val="0027160C"/>
    <w:rsid w:val="00271A16"/>
    <w:rsid w:val="0027201C"/>
    <w:rsid w:val="002726F7"/>
    <w:rsid w:val="00272A3C"/>
    <w:rsid w:val="00272B26"/>
    <w:rsid w:val="00272D90"/>
    <w:rsid w:val="00273A84"/>
    <w:rsid w:val="00274869"/>
    <w:rsid w:val="00275039"/>
    <w:rsid w:val="00275AA5"/>
    <w:rsid w:val="00275AC8"/>
    <w:rsid w:val="00275C05"/>
    <w:rsid w:val="00276605"/>
    <w:rsid w:val="002767CF"/>
    <w:rsid w:val="00276B04"/>
    <w:rsid w:val="00276DCC"/>
    <w:rsid w:val="00276E7A"/>
    <w:rsid w:val="002772F2"/>
    <w:rsid w:val="00277A97"/>
    <w:rsid w:val="00277D19"/>
    <w:rsid w:val="002803C7"/>
    <w:rsid w:val="00280432"/>
    <w:rsid w:val="00280438"/>
    <w:rsid w:val="002806C1"/>
    <w:rsid w:val="0028072C"/>
    <w:rsid w:val="002817BC"/>
    <w:rsid w:val="00281985"/>
    <w:rsid w:val="00281A9A"/>
    <w:rsid w:val="00282448"/>
    <w:rsid w:val="00282803"/>
    <w:rsid w:val="002829CF"/>
    <w:rsid w:val="00282B8F"/>
    <w:rsid w:val="00282BE0"/>
    <w:rsid w:val="00282D03"/>
    <w:rsid w:val="00283231"/>
    <w:rsid w:val="00283497"/>
    <w:rsid w:val="002837F3"/>
    <w:rsid w:val="00283838"/>
    <w:rsid w:val="00283B56"/>
    <w:rsid w:val="00283D5C"/>
    <w:rsid w:val="00284C39"/>
    <w:rsid w:val="00284CAE"/>
    <w:rsid w:val="00284D84"/>
    <w:rsid w:val="00284DE4"/>
    <w:rsid w:val="00284F57"/>
    <w:rsid w:val="0028524B"/>
    <w:rsid w:val="00285CF9"/>
    <w:rsid w:val="002860F2"/>
    <w:rsid w:val="0028633F"/>
    <w:rsid w:val="0028717F"/>
    <w:rsid w:val="002871A0"/>
    <w:rsid w:val="0028728E"/>
    <w:rsid w:val="0028731E"/>
    <w:rsid w:val="00287C58"/>
    <w:rsid w:val="00287D06"/>
    <w:rsid w:val="002900C5"/>
    <w:rsid w:val="00290210"/>
    <w:rsid w:val="0029045E"/>
    <w:rsid w:val="00290528"/>
    <w:rsid w:val="00290B5B"/>
    <w:rsid w:val="00290C1F"/>
    <w:rsid w:val="00290DEA"/>
    <w:rsid w:val="00290F74"/>
    <w:rsid w:val="002911AF"/>
    <w:rsid w:val="00291411"/>
    <w:rsid w:val="002917EF"/>
    <w:rsid w:val="00291A64"/>
    <w:rsid w:val="00291D70"/>
    <w:rsid w:val="00292742"/>
    <w:rsid w:val="00292FB3"/>
    <w:rsid w:val="00293341"/>
    <w:rsid w:val="00293380"/>
    <w:rsid w:val="002938B4"/>
    <w:rsid w:val="00293C56"/>
    <w:rsid w:val="00293F2C"/>
    <w:rsid w:val="0029409C"/>
    <w:rsid w:val="00294453"/>
    <w:rsid w:val="00294819"/>
    <w:rsid w:val="00294856"/>
    <w:rsid w:val="00295113"/>
    <w:rsid w:val="002957FB"/>
    <w:rsid w:val="00295C24"/>
    <w:rsid w:val="002960C0"/>
    <w:rsid w:val="00296833"/>
    <w:rsid w:val="00296BE9"/>
    <w:rsid w:val="00296C6E"/>
    <w:rsid w:val="00296CFE"/>
    <w:rsid w:val="00296E79"/>
    <w:rsid w:val="00297682"/>
    <w:rsid w:val="002A05B1"/>
    <w:rsid w:val="002A1F08"/>
    <w:rsid w:val="002A2211"/>
    <w:rsid w:val="002A2EE4"/>
    <w:rsid w:val="002A326A"/>
    <w:rsid w:val="002A362C"/>
    <w:rsid w:val="002A39FC"/>
    <w:rsid w:val="002A3B17"/>
    <w:rsid w:val="002A3C46"/>
    <w:rsid w:val="002A3E23"/>
    <w:rsid w:val="002A40D8"/>
    <w:rsid w:val="002A51E9"/>
    <w:rsid w:val="002A5AD6"/>
    <w:rsid w:val="002A5C6F"/>
    <w:rsid w:val="002A6254"/>
    <w:rsid w:val="002A6494"/>
    <w:rsid w:val="002A6543"/>
    <w:rsid w:val="002A658D"/>
    <w:rsid w:val="002A7096"/>
    <w:rsid w:val="002B02B1"/>
    <w:rsid w:val="002B02B4"/>
    <w:rsid w:val="002B063F"/>
    <w:rsid w:val="002B0706"/>
    <w:rsid w:val="002B0795"/>
    <w:rsid w:val="002B0EAA"/>
    <w:rsid w:val="002B12DF"/>
    <w:rsid w:val="002B1AA0"/>
    <w:rsid w:val="002B1E45"/>
    <w:rsid w:val="002B218E"/>
    <w:rsid w:val="002B21F5"/>
    <w:rsid w:val="002B2332"/>
    <w:rsid w:val="002B2938"/>
    <w:rsid w:val="002B2BD7"/>
    <w:rsid w:val="002B2DE5"/>
    <w:rsid w:val="002B2EF5"/>
    <w:rsid w:val="002B32D9"/>
    <w:rsid w:val="002B3391"/>
    <w:rsid w:val="002B4624"/>
    <w:rsid w:val="002B4D26"/>
    <w:rsid w:val="002B5061"/>
    <w:rsid w:val="002B5270"/>
    <w:rsid w:val="002B572B"/>
    <w:rsid w:val="002B5812"/>
    <w:rsid w:val="002B5D3F"/>
    <w:rsid w:val="002B5DFA"/>
    <w:rsid w:val="002B5F8B"/>
    <w:rsid w:val="002B6375"/>
    <w:rsid w:val="002B64F5"/>
    <w:rsid w:val="002B6889"/>
    <w:rsid w:val="002B6A1C"/>
    <w:rsid w:val="002B6F4B"/>
    <w:rsid w:val="002B7015"/>
    <w:rsid w:val="002B7464"/>
    <w:rsid w:val="002B7693"/>
    <w:rsid w:val="002B7D2B"/>
    <w:rsid w:val="002C0132"/>
    <w:rsid w:val="002C0291"/>
    <w:rsid w:val="002C03DF"/>
    <w:rsid w:val="002C0418"/>
    <w:rsid w:val="002C1484"/>
    <w:rsid w:val="002C1C19"/>
    <w:rsid w:val="002C2221"/>
    <w:rsid w:val="002C24C2"/>
    <w:rsid w:val="002C2BC0"/>
    <w:rsid w:val="002C2F04"/>
    <w:rsid w:val="002C3BD7"/>
    <w:rsid w:val="002C3C0C"/>
    <w:rsid w:val="002C3CDD"/>
    <w:rsid w:val="002C3E45"/>
    <w:rsid w:val="002C4139"/>
    <w:rsid w:val="002C42C0"/>
    <w:rsid w:val="002C4664"/>
    <w:rsid w:val="002C466F"/>
    <w:rsid w:val="002C4BEE"/>
    <w:rsid w:val="002C4CC2"/>
    <w:rsid w:val="002C51EC"/>
    <w:rsid w:val="002C552B"/>
    <w:rsid w:val="002C588E"/>
    <w:rsid w:val="002C5913"/>
    <w:rsid w:val="002C5D23"/>
    <w:rsid w:val="002C5E1E"/>
    <w:rsid w:val="002C6015"/>
    <w:rsid w:val="002C60FF"/>
    <w:rsid w:val="002C61C4"/>
    <w:rsid w:val="002C64AF"/>
    <w:rsid w:val="002C6C4A"/>
    <w:rsid w:val="002C6D62"/>
    <w:rsid w:val="002C765C"/>
    <w:rsid w:val="002D00A1"/>
    <w:rsid w:val="002D03E7"/>
    <w:rsid w:val="002D0705"/>
    <w:rsid w:val="002D0BE6"/>
    <w:rsid w:val="002D0C0D"/>
    <w:rsid w:val="002D169F"/>
    <w:rsid w:val="002D1A1C"/>
    <w:rsid w:val="002D1E0F"/>
    <w:rsid w:val="002D1F2F"/>
    <w:rsid w:val="002D1F9E"/>
    <w:rsid w:val="002D2045"/>
    <w:rsid w:val="002D2438"/>
    <w:rsid w:val="002D27AC"/>
    <w:rsid w:val="002D2A12"/>
    <w:rsid w:val="002D2C58"/>
    <w:rsid w:val="002D31A9"/>
    <w:rsid w:val="002D31FF"/>
    <w:rsid w:val="002D35CB"/>
    <w:rsid w:val="002D3EC8"/>
    <w:rsid w:val="002D42B5"/>
    <w:rsid w:val="002D439F"/>
    <w:rsid w:val="002D4948"/>
    <w:rsid w:val="002D4C88"/>
    <w:rsid w:val="002D6091"/>
    <w:rsid w:val="002D6C33"/>
    <w:rsid w:val="002D719C"/>
    <w:rsid w:val="002D71AD"/>
    <w:rsid w:val="002D73B3"/>
    <w:rsid w:val="002D759A"/>
    <w:rsid w:val="002D76EE"/>
    <w:rsid w:val="002D7B81"/>
    <w:rsid w:val="002D7EE9"/>
    <w:rsid w:val="002D7F2C"/>
    <w:rsid w:val="002E0702"/>
    <w:rsid w:val="002E106E"/>
    <w:rsid w:val="002E19CC"/>
    <w:rsid w:val="002E1ACB"/>
    <w:rsid w:val="002E1D4A"/>
    <w:rsid w:val="002E1E74"/>
    <w:rsid w:val="002E2147"/>
    <w:rsid w:val="002E2254"/>
    <w:rsid w:val="002E24F8"/>
    <w:rsid w:val="002E28E8"/>
    <w:rsid w:val="002E33F2"/>
    <w:rsid w:val="002E3538"/>
    <w:rsid w:val="002E36AA"/>
    <w:rsid w:val="002E4154"/>
    <w:rsid w:val="002E4509"/>
    <w:rsid w:val="002E51F1"/>
    <w:rsid w:val="002E5520"/>
    <w:rsid w:val="002E55B0"/>
    <w:rsid w:val="002E57CC"/>
    <w:rsid w:val="002E6492"/>
    <w:rsid w:val="002E69D2"/>
    <w:rsid w:val="002E6CF3"/>
    <w:rsid w:val="002E6DFD"/>
    <w:rsid w:val="002E71CD"/>
    <w:rsid w:val="002E7635"/>
    <w:rsid w:val="002F0059"/>
    <w:rsid w:val="002F01FD"/>
    <w:rsid w:val="002F044C"/>
    <w:rsid w:val="002F085C"/>
    <w:rsid w:val="002F1471"/>
    <w:rsid w:val="002F1FFA"/>
    <w:rsid w:val="002F2134"/>
    <w:rsid w:val="002F239F"/>
    <w:rsid w:val="002F2A3C"/>
    <w:rsid w:val="002F2B66"/>
    <w:rsid w:val="002F2D9D"/>
    <w:rsid w:val="002F319B"/>
    <w:rsid w:val="002F36EF"/>
    <w:rsid w:val="002F37C3"/>
    <w:rsid w:val="002F37C7"/>
    <w:rsid w:val="002F4300"/>
    <w:rsid w:val="002F4356"/>
    <w:rsid w:val="002F5333"/>
    <w:rsid w:val="002F59C2"/>
    <w:rsid w:val="002F6015"/>
    <w:rsid w:val="002F6482"/>
    <w:rsid w:val="002F6A4F"/>
    <w:rsid w:val="002F6ABD"/>
    <w:rsid w:val="002F6C12"/>
    <w:rsid w:val="002F6E16"/>
    <w:rsid w:val="002F6EEC"/>
    <w:rsid w:val="002F724B"/>
    <w:rsid w:val="002F73DD"/>
    <w:rsid w:val="002F7887"/>
    <w:rsid w:val="002F7B3A"/>
    <w:rsid w:val="002F7D86"/>
    <w:rsid w:val="003006DD"/>
    <w:rsid w:val="003009C8"/>
    <w:rsid w:val="00300C32"/>
    <w:rsid w:val="00300E85"/>
    <w:rsid w:val="00301114"/>
    <w:rsid w:val="003012D7"/>
    <w:rsid w:val="00301336"/>
    <w:rsid w:val="00301553"/>
    <w:rsid w:val="00301772"/>
    <w:rsid w:val="003017BE"/>
    <w:rsid w:val="0030211F"/>
    <w:rsid w:val="00302922"/>
    <w:rsid w:val="00302A38"/>
    <w:rsid w:val="00302D43"/>
    <w:rsid w:val="00302E6C"/>
    <w:rsid w:val="0030375B"/>
    <w:rsid w:val="0030382C"/>
    <w:rsid w:val="00303B51"/>
    <w:rsid w:val="00303D48"/>
    <w:rsid w:val="0030407C"/>
    <w:rsid w:val="003043EE"/>
    <w:rsid w:val="00304A13"/>
    <w:rsid w:val="00304B7C"/>
    <w:rsid w:val="00304C17"/>
    <w:rsid w:val="00304E72"/>
    <w:rsid w:val="00305950"/>
    <w:rsid w:val="00305C85"/>
    <w:rsid w:val="00305E14"/>
    <w:rsid w:val="00306049"/>
    <w:rsid w:val="003065EB"/>
    <w:rsid w:val="00306680"/>
    <w:rsid w:val="00306CB0"/>
    <w:rsid w:val="003078A8"/>
    <w:rsid w:val="00307FA6"/>
    <w:rsid w:val="00310044"/>
    <w:rsid w:val="0031032E"/>
    <w:rsid w:val="003103EF"/>
    <w:rsid w:val="003106FF"/>
    <w:rsid w:val="00310C9D"/>
    <w:rsid w:val="00310F77"/>
    <w:rsid w:val="003112EE"/>
    <w:rsid w:val="00311601"/>
    <w:rsid w:val="00312105"/>
    <w:rsid w:val="00312E80"/>
    <w:rsid w:val="00312F64"/>
    <w:rsid w:val="003131CE"/>
    <w:rsid w:val="00313702"/>
    <w:rsid w:val="00313A47"/>
    <w:rsid w:val="00313ADE"/>
    <w:rsid w:val="00313D29"/>
    <w:rsid w:val="00314E26"/>
    <w:rsid w:val="003150B0"/>
    <w:rsid w:val="003153F8"/>
    <w:rsid w:val="003154D5"/>
    <w:rsid w:val="003155AF"/>
    <w:rsid w:val="00315E9E"/>
    <w:rsid w:val="00316173"/>
    <w:rsid w:val="00316BE1"/>
    <w:rsid w:val="00316C9F"/>
    <w:rsid w:val="00316EC7"/>
    <w:rsid w:val="00316EEF"/>
    <w:rsid w:val="003171C1"/>
    <w:rsid w:val="0031750B"/>
    <w:rsid w:val="0031759D"/>
    <w:rsid w:val="00317750"/>
    <w:rsid w:val="00317783"/>
    <w:rsid w:val="003177B9"/>
    <w:rsid w:val="00317B30"/>
    <w:rsid w:val="00317E72"/>
    <w:rsid w:val="00320005"/>
    <w:rsid w:val="0032009E"/>
    <w:rsid w:val="00320551"/>
    <w:rsid w:val="00320637"/>
    <w:rsid w:val="003209F3"/>
    <w:rsid w:val="00320DE6"/>
    <w:rsid w:val="00320E68"/>
    <w:rsid w:val="00321247"/>
    <w:rsid w:val="0032128A"/>
    <w:rsid w:val="003214D2"/>
    <w:rsid w:val="00321651"/>
    <w:rsid w:val="0032192D"/>
    <w:rsid w:val="003221BE"/>
    <w:rsid w:val="003225F6"/>
    <w:rsid w:val="00323374"/>
    <w:rsid w:val="003234B7"/>
    <w:rsid w:val="00323A71"/>
    <w:rsid w:val="00324096"/>
    <w:rsid w:val="00324271"/>
    <w:rsid w:val="00324D9F"/>
    <w:rsid w:val="00324F40"/>
    <w:rsid w:val="00324F5B"/>
    <w:rsid w:val="0032500C"/>
    <w:rsid w:val="003252CB"/>
    <w:rsid w:val="00325426"/>
    <w:rsid w:val="003255DF"/>
    <w:rsid w:val="00325A79"/>
    <w:rsid w:val="00325B4A"/>
    <w:rsid w:val="003269CA"/>
    <w:rsid w:val="00326F3F"/>
    <w:rsid w:val="0032713F"/>
    <w:rsid w:val="00327323"/>
    <w:rsid w:val="00330859"/>
    <w:rsid w:val="00330864"/>
    <w:rsid w:val="00330E81"/>
    <w:rsid w:val="00330F8B"/>
    <w:rsid w:val="0033121F"/>
    <w:rsid w:val="0033126C"/>
    <w:rsid w:val="00331738"/>
    <w:rsid w:val="00331779"/>
    <w:rsid w:val="00331806"/>
    <w:rsid w:val="003321B9"/>
    <w:rsid w:val="00332620"/>
    <w:rsid w:val="003326BC"/>
    <w:rsid w:val="00332A4C"/>
    <w:rsid w:val="00332F3F"/>
    <w:rsid w:val="0033334D"/>
    <w:rsid w:val="003338BF"/>
    <w:rsid w:val="00333A57"/>
    <w:rsid w:val="00334416"/>
    <w:rsid w:val="003347DB"/>
    <w:rsid w:val="00335760"/>
    <w:rsid w:val="003359D8"/>
    <w:rsid w:val="00335F5A"/>
    <w:rsid w:val="00336174"/>
    <w:rsid w:val="0033690B"/>
    <w:rsid w:val="0033690F"/>
    <w:rsid w:val="003369DE"/>
    <w:rsid w:val="00336BEA"/>
    <w:rsid w:val="00336BF9"/>
    <w:rsid w:val="00336CF4"/>
    <w:rsid w:val="0033760C"/>
    <w:rsid w:val="00337699"/>
    <w:rsid w:val="00337E57"/>
    <w:rsid w:val="003403FE"/>
    <w:rsid w:val="00340809"/>
    <w:rsid w:val="003408F3"/>
    <w:rsid w:val="00340DCC"/>
    <w:rsid w:val="00341359"/>
    <w:rsid w:val="00341422"/>
    <w:rsid w:val="00341663"/>
    <w:rsid w:val="003418C1"/>
    <w:rsid w:val="003419C6"/>
    <w:rsid w:val="00341B03"/>
    <w:rsid w:val="00341B92"/>
    <w:rsid w:val="00341CF9"/>
    <w:rsid w:val="00341DA8"/>
    <w:rsid w:val="00341DF3"/>
    <w:rsid w:val="00341E59"/>
    <w:rsid w:val="00341E82"/>
    <w:rsid w:val="00342203"/>
    <w:rsid w:val="00342699"/>
    <w:rsid w:val="0034290D"/>
    <w:rsid w:val="00342ABC"/>
    <w:rsid w:val="00342C22"/>
    <w:rsid w:val="00342CEC"/>
    <w:rsid w:val="00343879"/>
    <w:rsid w:val="00343ABB"/>
    <w:rsid w:val="00343D1E"/>
    <w:rsid w:val="00343FBB"/>
    <w:rsid w:val="00344066"/>
    <w:rsid w:val="00344295"/>
    <w:rsid w:val="0034457B"/>
    <w:rsid w:val="003447A4"/>
    <w:rsid w:val="00344A07"/>
    <w:rsid w:val="00344AEF"/>
    <w:rsid w:val="003456B8"/>
    <w:rsid w:val="00345F4D"/>
    <w:rsid w:val="00345FD2"/>
    <w:rsid w:val="003474EC"/>
    <w:rsid w:val="003476B5"/>
    <w:rsid w:val="00347BE3"/>
    <w:rsid w:val="00347CF3"/>
    <w:rsid w:val="00347CFA"/>
    <w:rsid w:val="00347EFA"/>
    <w:rsid w:val="003500D1"/>
    <w:rsid w:val="00350234"/>
    <w:rsid w:val="0035030D"/>
    <w:rsid w:val="00350458"/>
    <w:rsid w:val="0035077D"/>
    <w:rsid w:val="00351395"/>
    <w:rsid w:val="00351EA8"/>
    <w:rsid w:val="0035279D"/>
    <w:rsid w:val="00352998"/>
    <w:rsid w:val="003529D5"/>
    <w:rsid w:val="00352F49"/>
    <w:rsid w:val="00352F7F"/>
    <w:rsid w:val="0035325F"/>
    <w:rsid w:val="003542AE"/>
    <w:rsid w:val="00354395"/>
    <w:rsid w:val="0035497E"/>
    <w:rsid w:val="00354C1E"/>
    <w:rsid w:val="00354F74"/>
    <w:rsid w:val="003555F1"/>
    <w:rsid w:val="00355D97"/>
    <w:rsid w:val="003566D1"/>
    <w:rsid w:val="00356C18"/>
    <w:rsid w:val="00357782"/>
    <w:rsid w:val="00357A28"/>
    <w:rsid w:val="00357BF0"/>
    <w:rsid w:val="00357DC8"/>
    <w:rsid w:val="003618AD"/>
    <w:rsid w:val="00361EB3"/>
    <w:rsid w:val="003628C4"/>
    <w:rsid w:val="00363567"/>
    <w:rsid w:val="0036372C"/>
    <w:rsid w:val="00363F8E"/>
    <w:rsid w:val="003642A2"/>
    <w:rsid w:val="00364303"/>
    <w:rsid w:val="00364816"/>
    <w:rsid w:val="00364ADC"/>
    <w:rsid w:val="00365395"/>
    <w:rsid w:val="003654E8"/>
    <w:rsid w:val="003655C5"/>
    <w:rsid w:val="003657AC"/>
    <w:rsid w:val="00366937"/>
    <w:rsid w:val="00366DEE"/>
    <w:rsid w:val="00366E29"/>
    <w:rsid w:val="00366F94"/>
    <w:rsid w:val="00367BE0"/>
    <w:rsid w:val="00367D89"/>
    <w:rsid w:val="003704A4"/>
    <w:rsid w:val="00370C98"/>
    <w:rsid w:val="003719F1"/>
    <w:rsid w:val="00371F1F"/>
    <w:rsid w:val="003720AC"/>
    <w:rsid w:val="003723D6"/>
    <w:rsid w:val="003732C2"/>
    <w:rsid w:val="003735B2"/>
    <w:rsid w:val="00373A2D"/>
    <w:rsid w:val="00373DE2"/>
    <w:rsid w:val="00374952"/>
    <w:rsid w:val="00374A0E"/>
    <w:rsid w:val="00375080"/>
    <w:rsid w:val="003755D8"/>
    <w:rsid w:val="0037567D"/>
    <w:rsid w:val="00375BC7"/>
    <w:rsid w:val="00375BEA"/>
    <w:rsid w:val="00376044"/>
    <w:rsid w:val="0037645C"/>
    <w:rsid w:val="00376795"/>
    <w:rsid w:val="003768BE"/>
    <w:rsid w:val="003768C3"/>
    <w:rsid w:val="00376B9A"/>
    <w:rsid w:val="00377158"/>
    <w:rsid w:val="0037727F"/>
    <w:rsid w:val="0037769F"/>
    <w:rsid w:val="0037791D"/>
    <w:rsid w:val="0038043D"/>
    <w:rsid w:val="003804F6"/>
    <w:rsid w:val="003809D2"/>
    <w:rsid w:val="0038169A"/>
    <w:rsid w:val="003816CB"/>
    <w:rsid w:val="00381C77"/>
    <w:rsid w:val="00381DA2"/>
    <w:rsid w:val="00381E65"/>
    <w:rsid w:val="003821B6"/>
    <w:rsid w:val="0038263C"/>
    <w:rsid w:val="0038265B"/>
    <w:rsid w:val="003829FA"/>
    <w:rsid w:val="0038310B"/>
    <w:rsid w:val="003834F7"/>
    <w:rsid w:val="00383840"/>
    <w:rsid w:val="00383AF6"/>
    <w:rsid w:val="00383D7A"/>
    <w:rsid w:val="00384246"/>
    <w:rsid w:val="00384472"/>
    <w:rsid w:val="0038452A"/>
    <w:rsid w:val="00384BD7"/>
    <w:rsid w:val="003852FA"/>
    <w:rsid w:val="00385392"/>
    <w:rsid w:val="00385642"/>
    <w:rsid w:val="0038576D"/>
    <w:rsid w:val="003859F9"/>
    <w:rsid w:val="003862C2"/>
    <w:rsid w:val="00386378"/>
    <w:rsid w:val="00386A2F"/>
    <w:rsid w:val="00386AC5"/>
    <w:rsid w:val="00386CF3"/>
    <w:rsid w:val="00387475"/>
    <w:rsid w:val="00387528"/>
    <w:rsid w:val="0038761C"/>
    <w:rsid w:val="00387BA8"/>
    <w:rsid w:val="00387BD3"/>
    <w:rsid w:val="00387BED"/>
    <w:rsid w:val="00387E01"/>
    <w:rsid w:val="003901E2"/>
    <w:rsid w:val="00390810"/>
    <w:rsid w:val="00390B3E"/>
    <w:rsid w:val="00391211"/>
    <w:rsid w:val="00391357"/>
    <w:rsid w:val="00391CE8"/>
    <w:rsid w:val="00391E1D"/>
    <w:rsid w:val="00391F55"/>
    <w:rsid w:val="0039256C"/>
    <w:rsid w:val="0039259E"/>
    <w:rsid w:val="00392687"/>
    <w:rsid w:val="003929C3"/>
    <w:rsid w:val="00392BD6"/>
    <w:rsid w:val="00392CA1"/>
    <w:rsid w:val="0039306D"/>
    <w:rsid w:val="00393670"/>
    <w:rsid w:val="00393843"/>
    <w:rsid w:val="00393848"/>
    <w:rsid w:val="00393BC4"/>
    <w:rsid w:val="00393C7E"/>
    <w:rsid w:val="00393DDC"/>
    <w:rsid w:val="003946CC"/>
    <w:rsid w:val="00394769"/>
    <w:rsid w:val="0039482A"/>
    <w:rsid w:val="003956F2"/>
    <w:rsid w:val="003959C7"/>
    <w:rsid w:val="00395B6E"/>
    <w:rsid w:val="00396283"/>
    <w:rsid w:val="00396594"/>
    <w:rsid w:val="0039726F"/>
    <w:rsid w:val="0039757E"/>
    <w:rsid w:val="0039768C"/>
    <w:rsid w:val="00397839"/>
    <w:rsid w:val="00397A64"/>
    <w:rsid w:val="00397C22"/>
    <w:rsid w:val="003A02DE"/>
    <w:rsid w:val="003A031D"/>
    <w:rsid w:val="003A0477"/>
    <w:rsid w:val="003A0D1C"/>
    <w:rsid w:val="003A167D"/>
    <w:rsid w:val="003A16A0"/>
    <w:rsid w:val="003A1C2C"/>
    <w:rsid w:val="003A249F"/>
    <w:rsid w:val="003A2526"/>
    <w:rsid w:val="003A2A61"/>
    <w:rsid w:val="003A2C92"/>
    <w:rsid w:val="003A2F22"/>
    <w:rsid w:val="003A3629"/>
    <w:rsid w:val="003A377A"/>
    <w:rsid w:val="003A3AFA"/>
    <w:rsid w:val="003A3CB0"/>
    <w:rsid w:val="003A3E79"/>
    <w:rsid w:val="003A4067"/>
    <w:rsid w:val="003A4091"/>
    <w:rsid w:val="003A41B3"/>
    <w:rsid w:val="003A4480"/>
    <w:rsid w:val="003A4BEC"/>
    <w:rsid w:val="003A4E1F"/>
    <w:rsid w:val="003A5074"/>
    <w:rsid w:val="003A53E3"/>
    <w:rsid w:val="003A56DB"/>
    <w:rsid w:val="003A5D57"/>
    <w:rsid w:val="003A6238"/>
    <w:rsid w:val="003A6414"/>
    <w:rsid w:val="003A6469"/>
    <w:rsid w:val="003A6685"/>
    <w:rsid w:val="003A66B7"/>
    <w:rsid w:val="003A69A5"/>
    <w:rsid w:val="003A6EBA"/>
    <w:rsid w:val="003A7C0D"/>
    <w:rsid w:val="003B055F"/>
    <w:rsid w:val="003B0A6D"/>
    <w:rsid w:val="003B0B44"/>
    <w:rsid w:val="003B1160"/>
    <w:rsid w:val="003B1392"/>
    <w:rsid w:val="003B1F3F"/>
    <w:rsid w:val="003B273D"/>
    <w:rsid w:val="003B2CB6"/>
    <w:rsid w:val="003B2D59"/>
    <w:rsid w:val="003B35CC"/>
    <w:rsid w:val="003B3675"/>
    <w:rsid w:val="003B384E"/>
    <w:rsid w:val="003B3D31"/>
    <w:rsid w:val="003B3EF4"/>
    <w:rsid w:val="003B4797"/>
    <w:rsid w:val="003B52D9"/>
    <w:rsid w:val="003B5563"/>
    <w:rsid w:val="003B58A0"/>
    <w:rsid w:val="003B5E62"/>
    <w:rsid w:val="003B6098"/>
    <w:rsid w:val="003B614A"/>
    <w:rsid w:val="003B6168"/>
    <w:rsid w:val="003B685F"/>
    <w:rsid w:val="003B6986"/>
    <w:rsid w:val="003B717F"/>
    <w:rsid w:val="003B73AE"/>
    <w:rsid w:val="003B7EE0"/>
    <w:rsid w:val="003C01B5"/>
    <w:rsid w:val="003C048C"/>
    <w:rsid w:val="003C05BC"/>
    <w:rsid w:val="003C08EE"/>
    <w:rsid w:val="003C0FFD"/>
    <w:rsid w:val="003C1213"/>
    <w:rsid w:val="003C16A7"/>
    <w:rsid w:val="003C1ADC"/>
    <w:rsid w:val="003C1DF7"/>
    <w:rsid w:val="003C1F5C"/>
    <w:rsid w:val="003C1FF8"/>
    <w:rsid w:val="003C224C"/>
    <w:rsid w:val="003C240A"/>
    <w:rsid w:val="003C2B0F"/>
    <w:rsid w:val="003C2B81"/>
    <w:rsid w:val="003C30E0"/>
    <w:rsid w:val="003C4113"/>
    <w:rsid w:val="003C416A"/>
    <w:rsid w:val="003C4987"/>
    <w:rsid w:val="003C4B6F"/>
    <w:rsid w:val="003C5A35"/>
    <w:rsid w:val="003C6346"/>
    <w:rsid w:val="003C6B03"/>
    <w:rsid w:val="003C6B1F"/>
    <w:rsid w:val="003C75D6"/>
    <w:rsid w:val="003C765E"/>
    <w:rsid w:val="003C7778"/>
    <w:rsid w:val="003C77FD"/>
    <w:rsid w:val="003C7A61"/>
    <w:rsid w:val="003D00BD"/>
    <w:rsid w:val="003D00D2"/>
    <w:rsid w:val="003D06A4"/>
    <w:rsid w:val="003D0F04"/>
    <w:rsid w:val="003D1173"/>
    <w:rsid w:val="003D13E7"/>
    <w:rsid w:val="003D18F4"/>
    <w:rsid w:val="003D197E"/>
    <w:rsid w:val="003D19DA"/>
    <w:rsid w:val="003D1AAF"/>
    <w:rsid w:val="003D2043"/>
    <w:rsid w:val="003D2AC0"/>
    <w:rsid w:val="003D2C56"/>
    <w:rsid w:val="003D2E3F"/>
    <w:rsid w:val="003D30E8"/>
    <w:rsid w:val="003D34BF"/>
    <w:rsid w:val="003D3843"/>
    <w:rsid w:val="003D3BF5"/>
    <w:rsid w:val="003D3EA2"/>
    <w:rsid w:val="003D3F9A"/>
    <w:rsid w:val="003D4761"/>
    <w:rsid w:val="003D4A14"/>
    <w:rsid w:val="003D4BDF"/>
    <w:rsid w:val="003D5459"/>
    <w:rsid w:val="003D55EA"/>
    <w:rsid w:val="003D5644"/>
    <w:rsid w:val="003D618B"/>
    <w:rsid w:val="003D6263"/>
    <w:rsid w:val="003D62E9"/>
    <w:rsid w:val="003D6478"/>
    <w:rsid w:val="003D6770"/>
    <w:rsid w:val="003D720E"/>
    <w:rsid w:val="003D769A"/>
    <w:rsid w:val="003D7773"/>
    <w:rsid w:val="003D7877"/>
    <w:rsid w:val="003D79B9"/>
    <w:rsid w:val="003E09EF"/>
    <w:rsid w:val="003E0C7D"/>
    <w:rsid w:val="003E1BEB"/>
    <w:rsid w:val="003E2471"/>
    <w:rsid w:val="003E286B"/>
    <w:rsid w:val="003E29CE"/>
    <w:rsid w:val="003E2A86"/>
    <w:rsid w:val="003E3044"/>
    <w:rsid w:val="003E336B"/>
    <w:rsid w:val="003E35B8"/>
    <w:rsid w:val="003E3604"/>
    <w:rsid w:val="003E3866"/>
    <w:rsid w:val="003E396F"/>
    <w:rsid w:val="003E42A6"/>
    <w:rsid w:val="003E443F"/>
    <w:rsid w:val="003E494B"/>
    <w:rsid w:val="003E4ACA"/>
    <w:rsid w:val="003E4E0C"/>
    <w:rsid w:val="003E5079"/>
    <w:rsid w:val="003E5447"/>
    <w:rsid w:val="003E54E8"/>
    <w:rsid w:val="003E5617"/>
    <w:rsid w:val="003E58E3"/>
    <w:rsid w:val="003E5D5D"/>
    <w:rsid w:val="003E6359"/>
    <w:rsid w:val="003E6443"/>
    <w:rsid w:val="003E644C"/>
    <w:rsid w:val="003E66D8"/>
    <w:rsid w:val="003E67E0"/>
    <w:rsid w:val="003E6845"/>
    <w:rsid w:val="003E6BC8"/>
    <w:rsid w:val="003E72A3"/>
    <w:rsid w:val="003E742D"/>
    <w:rsid w:val="003E774B"/>
    <w:rsid w:val="003E7AA1"/>
    <w:rsid w:val="003E7FD4"/>
    <w:rsid w:val="003F055D"/>
    <w:rsid w:val="003F0B50"/>
    <w:rsid w:val="003F132A"/>
    <w:rsid w:val="003F1598"/>
    <w:rsid w:val="003F1A74"/>
    <w:rsid w:val="003F21A1"/>
    <w:rsid w:val="003F24DD"/>
    <w:rsid w:val="003F2685"/>
    <w:rsid w:val="003F26A7"/>
    <w:rsid w:val="003F29CA"/>
    <w:rsid w:val="003F358C"/>
    <w:rsid w:val="003F37CF"/>
    <w:rsid w:val="003F380B"/>
    <w:rsid w:val="003F3857"/>
    <w:rsid w:val="003F4239"/>
    <w:rsid w:val="003F43E0"/>
    <w:rsid w:val="003F5675"/>
    <w:rsid w:val="003F60BA"/>
    <w:rsid w:val="003F63EE"/>
    <w:rsid w:val="003F655F"/>
    <w:rsid w:val="003F6594"/>
    <w:rsid w:val="003F665A"/>
    <w:rsid w:val="003F6C1E"/>
    <w:rsid w:val="003F6D1B"/>
    <w:rsid w:val="003F6E84"/>
    <w:rsid w:val="003F6F6A"/>
    <w:rsid w:val="003F783A"/>
    <w:rsid w:val="004005C7"/>
    <w:rsid w:val="00400994"/>
    <w:rsid w:val="00401028"/>
    <w:rsid w:val="004011B8"/>
    <w:rsid w:val="004012ED"/>
    <w:rsid w:val="00401733"/>
    <w:rsid w:val="004017A2"/>
    <w:rsid w:val="004018D9"/>
    <w:rsid w:val="00401AA2"/>
    <w:rsid w:val="00401EB4"/>
    <w:rsid w:val="00401FCD"/>
    <w:rsid w:val="0040214F"/>
    <w:rsid w:val="004026BC"/>
    <w:rsid w:val="0040285B"/>
    <w:rsid w:val="004037E6"/>
    <w:rsid w:val="00403829"/>
    <w:rsid w:val="0040436B"/>
    <w:rsid w:val="0040450C"/>
    <w:rsid w:val="00404BAC"/>
    <w:rsid w:val="00404CE9"/>
    <w:rsid w:val="004050F7"/>
    <w:rsid w:val="004051A8"/>
    <w:rsid w:val="00405673"/>
    <w:rsid w:val="004058DE"/>
    <w:rsid w:val="00405ADC"/>
    <w:rsid w:val="00405CDB"/>
    <w:rsid w:val="004062E5"/>
    <w:rsid w:val="004067BB"/>
    <w:rsid w:val="00406876"/>
    <w:rsid w:val="00406A11"/>
    <w:rsid w:val="00406B9D"/>
    <w:rsid w:val="004078B4"/>
    <w:rsid w:val="00407BB2"/>
    <w:rsid w:val="00407EA6"/>
    <w:rsid w:val="004103F8"/>
    <w:rsid w:val="004111B6"/>
    <w:rsid w:val="00411314"/>
    <w:rsid w:val="004113E5"/>
    <w:rsid w:val="0041168A"/>
    <w:rsid w:val="00412461"/>
    <w:rsid w:val="00412AC7"/>
    <w:rsid w:val="00412BFD"/>
    <w:rsid w:val="00412CCD"/>
    <w:rsid w:val="00412FFC"/>
    <w:rsid w:val="00413574"/>
    <w:rsid w:val="004138BD"/>
    <w:rsid w:val="004138C6"/>
    <w:rsid w:val="0041390A"/>
    <w:rsid w:val="00413BC6"/>
    <w:rsid w:val="00413BCB"/>
    <w:rsid w:val="00413CDB"/>
    <w:rsid w:val="00414306"/>
    <w:rsid w:val="00414730"/>
    <w:rsid w:val="0041491F"/>
    <w:rsid w:val="00414A5F"/>
    <w:rsid w:val="00414AC7"/>
    <w:rsid w:val="004159F4"/>
    <w:rsid w:val="00415C4C"/>
    <w:rsid w:val="00415DAF"/>
    <w:rsid w:val="00415E63"/>
    <w:rsid w:val="004164F5"/>
    <w:rsid w:val="00416BAE"/>
    <w:rsid w:val="0041724E"/>
    <w:rsid w:val="004174DE"/>
    <w:rsid w:val="004178CB"/>
    <w:rsid w:val="004178CC"/>
    <w:rsid w:val="00417D10"/>
    <w:rsid w:val="00420150"/>
    <w:rsid w:val="004202CD"/>
    <w:rsid w:val="00420596"/>
    <w:rsid w:val="004207EB"/>
    <w:rsid w:val="00420D00"/>
    <w:rsid w:val="0042197F"/>
    <w:rsid w:val="00421F57"/>
    <w:rsid w:val="00421FAA"/>
    <w:rsid w:val="00422644"/>
    <w:rsid w:val="00422C19"/>
    <w:rsid w:val="00422FC7"/>
    <w:rsid w:val="004236AE"/>
    <w:rsid w:val="00423994"/>
    <w:rsid w:val="00423B39"/>
    <w:rsid w:val="00423D8A"/>
    <w:rsid w:val="0042428B"/>
    <w:rsid w:val="00424EF7"/>
    <w:rsid w:val="0042581C"/>
    <w:rsid w:val="004259F1"/>
    <w:rsid w:val="00425D1E"/>
    <w:rsid w:val="004262D5"/>
    <w:rsid w:val="00426B10"/>
    <w:rsid w:val="00426F58"/>
    <w:rsid w:val="004279B9"/>
    <w:rsid w:val="00427BDE"/>
    <w:rsid w:val="00427E84"/>
    <w:rsid w:val="00430127"/>
    <w:rsid w:val="004302DD"/>
    <w:rsid w:val="004302F0"/>
    <w:rsid w:val="0043096D"/>
    <w:rsid w:val="004312F0"/>
    <w:rsid w:val="00431391"/>
    <w:rsid w:val="0043161A"/>
    <w:rsid w:val="00431B0A"/>
    <w:rsid w:val="00431BAF"/>
    <w:rsid w:val="004320FD"/>
    <w:rsid w:val="00432342"/>
    <w:rsid w:val="004323D6"/>
    <w:rsid w:val="0043241A"/>
    <w:rsid w:val="00432668"/>
    <w:rsid w:val="004329CB"/>
    <w:rsid w:val="0043347C"/>
    <w:rsid w:val="00433891"/>
    <w:rsid w:val="00433981"/>
    <w:rsid w:val="0043402D"/>
    <w:rsid w:val="00434143"/>
    <w:rsid w:val="00434FC0"/>
    <w:rsid w:val="00435685"/>
    <w:rsid w:val="004356D8"/>
    <w:rsid w:val="0043585F"/>
    <w:rsid w:val="00435F18"/>
    <w:rsid w:val="00436408"/>
    <w:rsid w:val="004367C7"/>
    <w:rsid w:val="0043703F"/>
    <w:rsid w:val="004410EF"/>
    <w:rsid w:val="004411C8"/>
    <w:rsid w:val="0044140F"/>
    <w:rsid w:val="00441E74"/>
    <w:rsid w:val="004421E4"/>
    <w:rsid w:val="00442EEE"/>
    <w:rsid w:val="004439F6"/>
    <w:rsid w:val="00443AED"/>
    <w:rsid w:val="00443B57"/>
    <w:rsid w:val="00443EFC"/>
    <w:rsid w:val="00444439"/>
    <w:rsid w:val="004444E6"/>
    <w:rsid w:val="00444AD1"/>
    <w:rsid w:val="004451A6"/>
    <w:rsid w:val="004455B2"/>
    <w:rsid w:val="004459C5"/>
    <w:rsid w:val="00445B24"/>
    <w:rsid w:val="00445DAF"/>
    <w:rsid w:val="00445F4D"/>
    <w:rsid w:val="004468A4"/>
    <w:rsid w:val="00446E03"/>
    <w:rsid w:val="00446F84"/>
    <w:rsid w:val="00447842"/>
    <w:rsid w:val="004478BC"/>
    <w:rsid w:val="00447DD1"/>
    <w:rsid w:val="004501CC"/>
    <w:rsid w:val="004505CD"/>
    <w:rsid w:val="004509FC"/>
    <w:rsid w:val="00450AA6"/>
    <w:rsid w:val="00450E80"/>
    <w:rsid w:val="004516E6"/>
    <w:rsid w:val="00451741"/>
    <w:rsid w:val="00451808"/>
    <w:rsid w:val="00451BBA"/>
    <w:rsid w:val="00451BF2"/>
    <w:rsid w:val="00452414"/>
    <w:rsid w:val="00452777"/>
    <w:rsid w:val="004527AF"/>
    <w:rsid w:val="004527B8"/>
    <w:rsid w:val="00452D94"/>
    <w:rsid w:val="00453517"/>
    <w:rsid w:val="00453845"/>
    <w:rsid w:val="00453B47"/>
    <w:rsid w:val="004542C2"/>
    <w:rsid w:val="0045434B"/>
    <w:rsid w:val="00454882"/>
    <w:rsid w:val="004548C4"/>
    <w:rsid w:val="00454C3D"/>
    <w:rsid w:val="00455C8A"/>
    <w:rsid w:val="00455FD0"/>
    <w:rsid w:val="004565F8"/>
    <w:rsid w:val="00456873"/>
    <w:rsid w:val="00456BCA"/>
    <w:rsid w:val="00456C77"/>
    <w:rsid w:val="0045705E"/>
    <w:rsid w:val="0045711B"/>
    <w:rsid w:val="00457187"/>
    <w:rsid w:val="0045736F"/>
    <w:rsid w:val="0045778B"/>
    <w:rsid w:val="00457AF6"/>
    <w:rsid w:val="00457C04"/>
    <w:rsid w:val="00460226"/>
    <w:rsid w:val="004602C3"/>
    <w:rsid w:val="00460370"/>
    <w:rsid w:val="00460753"/>
    <w:rsid w:val="00460ECC"/>
    <w:rsid w:val="0046150C"/>
    <w:rsid w:val="0046168C"/>
    <w:rsid w:val="004618E4"/>
    <w:rsid w:val="00461AD7"/>
    <w:rsid w:val="00461BBC"/>
    <w:rsid w:val="0046201B"/>
    <w:rsid w:val="0046203B"/>
    <w:rsid w:val="004624FF"/>
    <w:rsid w:val="004629A2"/>
    <w:rsid w:val="00462A6A"/>
    <w:rsid w:val="00462B90"/>
    <w:rsid w:val="00462BF9"/>
    <w:rsid w:val="004632E0"/>
    <w:rsid w:val="0046360E"/>
    <w:rsid w:val="00463CDB"/>
    <w:rsid w:val="004640B5"/>
    <w:rsid w:val="004648C1"/>
    <w:rsid w:val="00464B3B"/>
    <w:rsid w:val="00464E42"/>
    <w:rsid w:val="004657F0"/>
    <w:rsid w:val="0046604B"/>
    <w:rsid w:val="00466175"/>
    <w:rsid w:val="0046655F"/>
    <w:rsid w:val="00467044"/>
    <w:rsid w:val="004670ED"/>
    <w:rsid w:val="004677E2"/>
    <w:rsid w:val="00467D5B"/>
    <w:rsid w:val="00470249"/>
    <w:rsid w:val="004704E1"/>
    <w:rsid w:val="00470699"/>
    <w:rsid w:val="004707D8"/>
    <w:rsid w:val="00470905"/>
    <w:rsid w:val="00470BF0"/>
    <w:rsid w:val="00470D1F"/>
    <w:rsid w:val="004714FD"/>
    <w:rsid w:val="0047163B"/>
    <w:rsid w:val="0047197B"/>
    <w:rsid w:val="00471AFF"/>
    <w:rsid w:val="00471B40"/>
    <w:rsid w:val="00472BA2"/>
    <w:rsid w:val="00472BC5"/>
    <w:rsid w:val="00472EF9"/>
    <w:rsid w:val="00472F10"/>
    <w:rsid w:val="00472FD8"/>
    <w:rsid w:val="004733D9"/>
    <w:rsid w:val="00473516"/>
    <w:rsid w:val="00474117"/>
    <w:rsid w:val="00474C50"/>
    <w:rsid w:val="00475041"/>
    <w:rsid w:val="004751E6"/>
    <w:rsid w:val="00475221"/>
    <w:rsid w:val="00475392"/>
    <w:rsid w:val="004753AE"/>
    <w:rsid w:val="00475ADB"/>
    <w:rsid w:val="00475DC6"/>
    <w:rsid w:val="00475F7D"/>
    <w:rsid w:val="0047621A"/>
    <w:rsid w:val="0047646E"/>
    <w:rsid w:val="00476EC9"/>
    <w:rsid w:val="00477AD4"/>
    <w:rsid w:val="00477C52"/>
    <w:rsid w:val="00477F0B"/>
    <w:rsid w:val="0048010E"/>
    <w:rsid w:val="0048089C"/>
    <w:rsid w:val="00480954"/>
    <w:rsid w:val="0048096B"/>
    <w:rsid w:val="00480A32"/>
    <w:rsid w:val="00480A95"/>
    <w:rsid w:val="004814D0"/>
    <w:rsid w:val="00481651"/>
    <w:rsid w:val="0048182F"/>
    <w:rsid w:val="00482195"/>
    <w:rsid w:val="004823A7"/>
    <w:rsid w:val="004823E0"/>
    <w:rsid w:val="004824AB"/>
    <w:rsid w:val="004832EA"/>
    <w:rsid w:val="0048363F"/>
    <w:rsid w:val="00483980"/>
    <w:rsid w:val="00483D9C"/>
    <w:rsid w:val="00483DD7"/>
    <w:rsid w:val="00483E40"/>
    <w:rsid w:val="00484715"/>
    <w:rsid w:val="004847A3"/>
    <w:rsid w:val="00484D63"/>
    <w:rsid w:val="00485416"/>
    <w:rsid w:val="00485589"/>
    <w:rsid w:val="00485592"/>
    <w:rsid w:val="004855EC"/>
    <w:rsid w:val="0048580E"/>
    <w:rsid w:val="0048584A"/>
    <w:rsid w:val="00486459"/>
    <w:rsid w:val="00486A23"/>
    <w:rsid w:val="00486C3A"/>
    <w:rsid w:val="00486C66"/>
    <w:rsid w:val="00487B6A"/>
    <w:rsid w:val="004904DB"/>
    <w:rsid w:val="00490696"/>
    <w:rsid w:val="0049088A"/>
    <w:rsid w:val="00490D15"/>
    <w:rsid w:val="00490D82"/>
    <w:rsid w:val="004920CF"/>
    <w:rsid w:val="004924DF"/>
    <w:rsid w:val="00492668"/>
    <w:rsid w:val="00492873"/>
    <w:rsid w:val="004928E0"/>
    <w:rsid w:val="00492FDE"/>
    <w:rsid w:val="004933FD"/>
    <w:rsid w:val="00493973"/>
    <w:rsid w:val="00493D93"/>
    <w:rsid w:val="00493EEF"/>
    <w:rsid w:val="00494B38"/>
    <w:rsid w:val="004951FC"/>
    <w:rsid w:val="00495245"/>
    <w:rsid w:val="00495950"/>
    <w:rsid w:val="00496313"/>
    <w:rsid w:val="00496943"/>
    <w:rsid w:val="00496B4C"/>
    <w:rsid w:val="0049705B"/>
    <w:rsid w:val="004972D3"/>
    <w:rsid w:val="00497770"/>
    <w:rsid w:val="004979B6"/>
    <w:rsid w:val="00497FD2"/>
    <w:rsid w:val="004A0427"/>
    <w:rsid w:val="004A0A52"/>
    <w:rsid w:val="004A0E17"/>
    <w:rsid w:val="004A0FA9"/>
    <w:rsid w:val="004A11C0"/>
    <w:rsid w:val="004A137A"/>
    <w:rsid w:val="004A18C8"/>
    <w:rsid w:val="004A1B88"/>
    <w:rsid w:val="004A1DFA"/>
    <w:rsid w:val="004A25CE"/>
    <w:rsid w:val="004A2D25"/>
    <w:rsid w:val="004A2FEB"/>
    <w:rsid w:val="004A3077"/>
    <w:rsid w:val="004A354E"/>
    <w:rsid w:val="004A3E9C"/>
    <w:rsid w:val="004A43F5"/>
    <w:rsid w:val="004A4865"/>
    <w:rsid w:val="004A50AC"/>
    <w:rsid w:val="004A53C2"/>
    <w:rsid w:val="004A5588"/>
    <w:rsid w:val="004A56C8"/>
    <w:rsid w:val="004A5C02"/>
    <w:rsid w:val="004A60F0"/>
    <w:rsid w:val="004A6358"/>
    <w:rsid w:val="004A64E6"/>
    <w:rsid w:val="004A67DF"/>
    <w:rsid w:val="004A6E99"/>
    <w:rsid w:val="004A6F52"/>
    <w:rsid w:val="004A7161"/>
    <w:rsid w:val="004A7432"/>
    <w:rsid w:val="004A77FB"/>
    <w:rsid w:val="004A79AA"/>
    <w:rsid w:val="004A7B30"/>
    <w:rsid w:val="004A7E06"/>
    <w:rsid w:val="004B000B"/>
    <w:rsid w:val="004B06ED"/>
    <w:rsid w:val="004B07FB"/>
    <w:rsid w:val="004B10EC"/>
    <w:rsid w:val="004B139C"/>
    <w:rsid w:val="004B1976"/>
    <w:rsid w:val="004B2083"/>
    <w:rsid w:val="004B21B5"/>
    <w:rsid w:val="004B2219"/>
    <w:rsid w:val="004B2901"/>
    <w:rsid w:val="004B2B9E"/>
    <w:rsid w:val="004B35DF"/>
    <w:rsid w:val="004B376C"/>
    <w:rsid w:val="004B3F28"/>
    <w:rsid w:val="004B4189"/>
    <w:rsid w:val="004B41BA"/>
    <w:rsid w:val="004B44E8"/>
    <w:rsid w:val="004B4514"/>
    <w:rsid w:val="004B46EC"/>
    <w:rsid w:val="004B4ABF"/>
    <w:rsid w:val="004B50D4"/>
    <w:rsid w:val="004B5EC4"/>
    <w:rsid w:val="004B703F"/>
    <w:rsid w:val="004B713E"/>
    <w:rsid w:val="004B7151"/>
    <w:rsid w:val="004B738F"/>
    <w:rsid w:val="004B794B"/>
    <w:rsid w:val="004B7BA3"/>
    <w:rsid w:val="004B7C87"/>
    <w:rsid w:val="004B7D8C"/>
    <w:rsid w:val="004B7DD3"/>
    <w:rsid w:val="004B7FCD"/>
    <w:rsid w:val="004C01C8"/>
    <w:rsid w:val="004C03A5"/>
    <w:rsid w:val="004C0B4E"/>
    <w:rsid w:val="004C10BE"/>
    <w:rsid w:val="004C14E3"/>
    <w:rsid w:val="004C1E88"/>
    <w:rsid w:val="004C2695"/>
    <w:rsid w:val="004C2AED"/>
    <w:rsid w:val="004C2DF2"/>
    <w:rsid w:val="004C33FA"/>
    <w:rsid w:val="004C3650"/>
    <w:rsid w:val="004C39B9"/>
    <w:rsid w:val="004C436A"/>
    <w:rsid w:val="004C496B"/>
    <w:rsid w:val="004C4ADA"/>
    <w:rsid w:val="004C4CFE"/>
    <w:rsid w:val="004C5396"/>
    <w:rsid w:val="004C5660"/>
    <w:rsid w:val="004C57AE"/>
    <w:rsid w:val="004C5A1B"/>
    <w:rsid w:val="004C5D97"/>
    <w:rsid w:val="004C5DEA"/>
    <w:rsid w:val="004C5FE5"/>
    <w:rsid w:val="004C61C2"/>
    <w:rsid w:val="004C6927"/>
    <w:rsid w:val="004C6D50"/>
    <w:rsid w:val="004C72DC"/>
    <w:rsid w:val="004C754A"/>
    <w:rsid w:val="004C785B"/>
    <w:rsid w:val="004D0549"/>
    <w:rsid w:val="004D06F8"/>
    <w:rsid w:val="004D127D"/>
    <w:rsid w:val="004D152C"/>
    <w:rsid w:val="004D1DFB"/>
    <w:rsid w:val="004D1F65"/>
    <w:rsid w:val="004D1FA5"/>
    <w:rsid w:val="004D22D5"/>
    <w:rsid w:val="004D262D"/>
    <w:rsid w:val="004D2EC9"/>
    <w:rsid w:val="004D33D1"/>
    <w:rsid w:val="004D3669"/>
    <w:rsid w:val="004D3691"/>
    <w:rsid w:val="004D37D3"/>
    <w:rsid w:val="004D39E0"/>
    <w:rsid w:val="004D40A7"/>
    <w:rsid w:val="004D41B3"/>
    <w:rsid w:val="004D495A"/>
    <w:rsid w:val="004D4A66"/>
    <w:rsid w:val="004D4C8F"/>
    <w:rsid w:val="004D4EE7"/>
    <w:rsid w:val="004D5427"/>
    <w:rsid w:val="004D60DD"/>
    <w:rsid w:val="004D66BD"/>
    <w:rsid w:val="004D6F83"/>
    <w:rsid w:val="004D751D"/>
    <w:rsid w:val="004D7642"/>
    <w:rsid w:val="004D7654"/>
    <w:rsid w:val="004D765B"/>
    <w:rsid w:val="004D770A"/>
    <w:rsid w:val="004D7D2A"/>
    <w:rsid w:val="004E0328"/>
    <w:rsid w:val="004E08FF"/>
    <w:rsid w:val="004E1584"/>
    <w:rsid w:val="004E1AA3"/>
    <w:rsid w:val="004E1B77"/>
    <w:rsid w:val="004E1BA6"/>
    <w:rsid w:val="004E1C98"/>
    <w:rsid w:val="004E2527"/>
    <w:rsid w:val="004E2576"/>
    <w:rsid w:val="004E30A9"/>
    <w:rsid w:val="004E30B8"/>
    <w:rsid w:val="004E3482"/>
    <w:rsid w:val="004E441C"/>
    <w:rsid w:val="004E4838"/>
    <w:rsid w:val="004E4AF4"/>
    <w:rsid w:val="004E4E1D"/>
    <w:rsid w:val="004E5220"/>
    <w:rsid w:val="004E5702"/>
    <w:rsid w:val="004E5703"/>
    <w:rsid w:val="004E5904"/>
    <w:rsid w:val="004E5C25"/>
    <w:rsid w:val="004E5D5C"/>
    <w:rsid w:val="004E6858"/>
    <w:rsid w:val="004E6D17"/>
    <w:rsid w:val="004E7382"/>
    <w:rsid w:val="004E756C"/>
    <w:rsid w:val="004E760E"/>
    <w:rsid w:val="004E7A9B"/>
    <w:rsid w:val="004E7E25"/>
    <w:rsid w:val="004F015D"/>
    <w:rsid w:val="004F06E5"/>
    <w:rsid w:val="004F09D5"/>
    <w:rsid w:val="004F0F2E"/>
    <w:rsid w:val="004F13F8"/>
    <w:rsid w:val="004F1943"/>
    <w:rsid w:val="004F1E78"/>
    <w:rsid w:val="004F27B3"/>
    <w:rsid w:val="004F2E0E"/>
    <w:rsid w:val="004F305E"/>
    <w:rsid w:val="004F30D0"/>
    <w:rsid w:val="004F35AE"/>
    <w:rsid w:val="004F3735"/>
    <w:rsid w:val="004F39BC"/>
    <w:rsid w:val="004F3A11"/>
    <w:rsid w:val="004F3C7F"/>
    <w:rsid w:val="004F3D44"/>
    <w:rsid w:val="004F3FAB"/>
    <w:rsid w:val="004F3FFC"/>
    <w:rsid w:val="004F4181"/>
    <w:rsid w:val="004F43B0"/>
    <w:rsid w:val="004F44B0"/>
    <w:rsid w:val="004F481D"/>
    <w:rsid w:val="004F4827"/>
    <w:rsid w:val="004F4A8B"/>
    <w:rsid w:val="004F4E10"/>
    <w:rsid w:val="004F51DB"/>
    <w:rsid w:val="004F53A6"/>
    <w:rsid w:val="004F5565"/>
    <w:rsid w:val="004F5748"/>
    <w:rsid w:val="004F583A"/>
    <w:rsid w:val="004F5CBB"/>
    <w:rsid w:val="004F61BB"/>
    <w:rsid w:val="004F7397"/>
    <w:rsid w:val="004F748B"/>
    <w:rsid w:val="004F75F3"/>
    <w:rsid w:val="004F7650"/>
    <w:rsid w:val="004F7A4B"/>
    <w:rsid w:val="004F7B86"/>
    <w:rsid w:val="004F7BDF"/>
    <w:rsid w:val="004F7D7E"/>
    <w:rsid w:val="004F7ECC"/>
    <w:rsid w:val="00500607"/>
    <w:rsid w:val="00500D48"/>
    <w:rsid w:val="00501435"/>
    <w:rsid w:val="00501489"/>
    <w:rsid w:val="005015DB"/>
    <w:rsid w:val="00501695"/>
    <w:rsid w:val="00501849"/>
    <w:rsid w:val="005018A3"/>
    <w:rsid w:val="005019C8"/>
    <w:rsid w:val="00501E05"/>
    <w:rsid w:val="0050216E"/>
    <w:rsid w:val="0050245B"/>
    <w:rsid w:val="005027D0"/>
    <w:rsid w:val="00502C61"/>
    <w:rsid w:val="00503025"/>
    <w:rsid w:val="005034B8"/>
    <w:rsid w:val="00503A53"/>
    <w:rsid w:val="0050410D"/>
    <w:rsid w:val="005041A2"/>
    <w:rsid w:val="005042B0"/>
    <w:rsid w:val="00504367"/>
    <w:rsid w:val="005048DC"/>
    <w:rsid w:val="005051F9"/>
    <w:rsid w:val="00505229"/>
    <w:rsid w:val="0050563F"/>
    <w:rsid w:val="005057F3"/>
    <w:rsid w:val="0050683E"/>
    <w:rsid w:val="00506FCF"/>
    <w:rsid w:val="00507251"/>
    <w:rsid w:val="005073DF"/>
    <w:rsid w:val="00507687"/>
    <w:rsid w:val="005078E3"/>
    <w:rsid w:val="00507A8E"/>
    <w:rsid w:val="00510581"/>
    <w:rsid w:val="005109EB"/>
    <w:rsid w:val="0051137C"/>
    <w:rsid w:val="00511F24"/>
    <w:rsid w:val="00512864"/>
    <w:rsid w:val="00512AFC"/>
    <w:rsid w:val="00512DBD"/>
    <w:rsid w:val="005131BF"/>
    <w:rsid w:val="00513E04"/>
    <w:rsid w:val="00513F50"/>
    <w:rsid w:val="0051413F"/>
    <w:rsid w:val="005142BF"/>
    <w:rsid w:val="00514AD3"/>
    <w:rsid w:val="00514D06"/>
    <w:rsid w:val="005151DD"/>
    <w:rsid w:val="005155F5"/>
    <w:rsid w:val="005158F7"/>
    <w:rsid w:val="00515F5F"/>
    <w:rsid w:val="005169F6"/>
    <w:rsid w:val="00516A9D"/>
    <w:rsid w:val="00517045"/>
    <w:rsid w:val="005172E3"/>
    <w:rsid w:val="005176F4"/>
    <w:rsid w:val="00517A87"/>
    <w:rsid w:val="00520AB6"/>
    <w:rsid w:val="00520C56"/>
    <w:rsid w:val="00520DF8"/>
    <w:rsid w:val="00521190"/>
    <w:rsid w:val="00521728"/>
    <w:rsid w:val="00521B00"/>
    <w:rsid w:val="00521C59"/>
    <w:rsid w:val="00521CDE"/>
    <w:rsid w:val="00522DC1"/>
    <w:rsid w:val="00523088"/>
    <w:rsid w:val="00523315"/>
    <w:rsid w:val="005235EB"/>
    <w:rsid w:val="00523E2A"/>
    <w:rsid w:val="00524157"/>
    <w:rsid w:val="005244C0"/>
    <w:rsid w:val="005244CC"/>
    <w:rsid w:val="005249A1"/>
    <w:rsid w:val="00524A20"/>
    <w:rsid w:val="00525570"/>
    <w:rsid w:val="005258C8"/>
    <w:rsid w:val="00525C69"/>
    <w:rsid w:val="00525DB4"/>
    <w:rsid w:val="00525FBD"/>
    <w:rsid w:val="00526130"/>
    <w:rsid w:val="00526610"/>
    <w:rsid w:val="00526A98"/>
    <w:rsid w:val="005271E0"/>
    <w:rsid w:val="00527894"/>
    <w:rsid w:val="00527976"/>
    <w:rsid w:val="00527C27"/>
    <w:rsid w:val="00527E04"/>
    <w:rsid w:val="00527F25"/>
    <w:rsid w:val="00530483"/>
    <w:rsid w:val="005304CC"/>
    <w:rsid w:val="00530B9F"/>
    <w:rsid w:val="00532057"/>
    <w:rsid w:val="00532069"/>
    <w:rsid w:val="00532AA0"/>
    <w:rsid w:val="00532D96"/>
    <w:rsid w:val="00532EEB"/>
    <w:rsid w:val="00533073"/>
    <w:rsid w:val="00533924"/>
    <w:rsid w:val="00533E2A"/>
    <w:rsid w:val="00534DFA"/>
    <w:rsid w:val="00535148"/>
    <w:rsid w:val="005355BA"/>
    <w:rsid w:val="00535BA8"/>
    <w:rsid w:val="00535C46"/>
    <w:rsid w:val="00535DA1"/>
    <w:rsid w:val="00535E11"/>
    <w:rsid w:val="00536435"/>
    <w:rsid w:val="00536763"/>
    <w:rsid w:val="00536826"/>
    <w:rsid w:val="005369CF"/>
    <w:rsid w:val="00536E8A"/>
    <w:rsid w:val="00537017"/>
    <w:rsid w:val="0053797E"/>
    <w:rsid w:val="005403DE"/>
    <w:rsid w:val="005403EF"/>
    <w:rsid w:val="0054066A"/>
    <w:rsid w:val="00540A7F"/>
    <w:rsid w:val="00540D02"/>
    <w:rsid w:val="00540FAB"/>
    <w:rsid w:val="00541136"/>
    <w:rsid w:val="005413CC"/>
    <w:rsid w:val="005420F2"/>
    <w:rsid w:val="005424B5"/>
    <w:rsid w:val="005429CB"/>
    <w:rsid w:val="00542A9A"/>
    <w:rsid w:val="00542AE4"/>
    <w:rsid w:val="00542B72"/>
    <w:rsid w:val="00542DC4"/>
    <w:rsid w:val="005437FA"/>
    <w:rsid w:val="00543925"/>
    <w:rsid w:val="00543AC3"/>
    <w:rsid w:val="00543EF0"/>
    <w:rsid w:val="005447A5"/>
    <w:rsid w:val="00544B6C"/>
    <w:rsid w:val="00544FD2"/>
    <w:rsid w:val="00545008"/>
    <w:rsid w:val="00545404"/>
    <w:rsid w:val="00545715"/>
    <w:rsid w:val="00546662"/>
    <w:rsid w:val="00546665"/>
    <w:rsid w:val="00546818"/>
    <w:rsid w:val="005469B7"/>
    <w:rsid w:val="005477AD"/>
    <w:rsid w:val="005478C4"/>
    <w:rsid w:val="00547E36"/>
    <w:rsid w:val="00550792"/>
    <w:rsid w:val="00550806"/>
    <w:rsid w:val="00551A85"/>
    <w:rsid w:val="00551B1C"/>
    <w:rsid w:val="0055215B"/>
    <w:rsid w:val="00552229"/>
    <w:rsid w:val="00552983"/>
    <w:rsid w:val="00552C7B"/>
    <w:rsid w:val="00552D8C"/>
    <w:rsid w:val="005534FF"/>
    <w:rsid w:val="00553561"/>
    <w:rsid w:val="00553648"/>
    <w:rsid w:val="00553D37"/>
    <w:rsid w:val="00554391"/>
    <w:rsid w:val="00554FE1"/>
    <w:rsid w:val="00555183"/>
    <w:rsid w:val="005557A0"/>
    <w:rsid w:val="00555B8E"/>
    <w:rsid w:val="00556744"/>
    <w:rsid w:val="005569A3"/>
    <w:rsid w:val="005569E3"/>
    <w:rsid w:val="00556A7E"/>
    <w:rsid w:val="00556E62"/>
    <w:rsid w:val="00557069"/>
    <w:rsid w:val="005570D5"/>
    <w:rsid w:val="00557B2B"/>
    <w:rsid w:val="00557C7C"/>
    <w:rsid w:val="00560981"/>
    <w:rsid w:val="00560BF8"/>
    <w:rsid w:val="005610FB"/>
    <w:rsid w:val="0056157C"/>
    <w:rsid w:val="005616F7"/>
    <w:rsid w:val="00561BF8"/>
    <w:rsid w:val="00562664"/>
    <w:rsid w:val="00562694"/>
    <w:rsid w:val="00562F5D"/>
    <w:rsid w:val="005630FD"/>
    <w:rsid w:val="00563EE3"/>
    <w:rsid w:val="0056429C"/>
    <w:rsid w:val="00564ABD"/>
    <w:rsid w:val="00564CE0"/>
    <w:rsid w:val="00564D59"/>
    <w:rsid w:val="005656D8"/>
    <w:rsid w:val="005657DC"/>
    <w:rsid w:val="005658B8"/>
    <w:rsid w:val="00565989"/>
    <w:rsid w:val="00565BD2"/>
    <w:rsid w:val="00565DE1"/>
    <w:rsid w:val="0056658D"/>
    <w:rsid w:val="005668D6"/>
    <w:rsid w:val="00566A5E"/>
    <w:rsid w:val="00566B71"/>
    <w:rsid w:val="00566C81"/>
    <w:rsid w:val="0056711D"/>
    <w:rsid w:val="005671B5"/>
    <w:rsid w:val="00567317"/>
    <w:rsid w:val="00567363"/>
    <w:rsid w:val="005676CF"/>
    <w:rsid w:val="005679D1"/>
    <w:rsid w:val="00567A8F"/>
    <w:rsid w:val="00567BA1"/>
    <w:rsid w:val="00567BCD"/>
    <w:rsid w:val="00567BCE"/>
    <w:rsid w:val="00567CC3"/>
    <w:rsid w:val="00567D9D"/>
    <w:rsid w:val="00567FE6"/>
    <w:rsid w:val="00570047"/>
    <w:rsid w:val="00570301"/>
    <w:rsid w:val="00570435"/>
    <w:rsid w:val="00570DAA"/>
    <w:rsid w:val="00570DCC"/>
    <w:rsid w:val="0057121A"/>
    <w:rsid w:val="0057140B"/>
    <w:rsid w:val="005716BD"/>
    <w:rsid w:val="00571B19"/>
    <w:rsid w:val="00572806"/>
    <w:rsid w:val="00572960"/>
    <w:rsid w:val="00573142"/>
    <w:rsid w:val="0057351A"/>
    <w:rsid w:val="0057362A"/>
    <w:rsid w:val="00574322"/>
    <w:rsid w:val="0057513E"/>
    <w:rsid w:val="00575473"/>
    <w:rsid w:val="00575611"/>
    <w:rsid w:val="00575816"/>
    <w:rsid w:val="00576DA3"/>
    <w:rsid w:val="00576FAE"/>
    <w:rsid w:val="005772DC"/>
    <w:rsid w:val="00577D60"/>
    <w:rsid w:val="005803D7"/>
    <w:rsid w:val="00580D34"/>
    <w:rsid w:val="00580FFD"/>
    <w:rsid w:val="0058152F"/>
    <w:rsid w:val="00581984"/>
    <w:rsid w:val="005819F4"/>
    <w:rsid w:val="00581BF1"/>
    <w:rsid w:val="005829D9"/>
    <w:rsid w:val="00582E2C"/>
    <w:rsid w:val="00583779"/>
    <w:rsid w:val="00583C54"/>
    <w:rsid w:val="00583FE5"/>
    <w:rsid w:val="005843F6"/>
    <w:rsid w:val="00584921"/>
    <w:rsid w:val="005859EB"/>
    <w:rsid w:val="00585FD0"/>
    <w:rsid w:val="005862DE"/>
    <w:rsid w:val="00586698"/>
    <w:rsid w:val="0058683B"/>
    <w:rsid w:val="00586AA4"/>
    <w:rsid w:val="00586CEC"/>
    <w:rsid w:val="00586E18"/>
    <w:rsid w:val="00586F9C"/>
    <w:rsid w:val="00587529"/>
    <w:rsid w:val="00587684"/>
    <w:rsid w:val="005877C4"/>
    <w:rsid w:val="00587966"/>
    <w:rsid w:val="00587EE1"/>
    <w:rsid w:val="00587FE2"/>
    <w:rsid w:val="00590012"/>
    <w:rsid w:val="00590037"/>
    <w:rsid w:val="00590196"/>
    <w:rsid w:val="00590846"/>
    <w:rsid w:val="005908AE"/>
    <w:rsid w:val="00590A5D"/>
    <w:rsid w:val="005911A4"/>
    <w:rsid w:val="00591638"/>
    <w:rsid w:val="005918B3"/>
    <w:rsid w:val="00591AC2"/>
    <w:rsid w:val="00591E2B"/>
    <w:rsid w:val="00591FBD"/>
    <w:rsid w:val="00592725"/>
    <w:rsid w:val="00592B36"/>
    <w:rsid w:val="0059344E"/>
    <w:rsid w:val="0059358D"/>
    <w:rsid w:val="00593A73"/>
    <w:rsid w:val="0059412D"/>
    <w:rsid w:val="0059442E"/>
    <w:rsid w:val="005953F4"/>
    <w:rsid w:val="0059551C"/>
    <w:rsid w:val="0059580F"/>
    <w:rsid w:val="005967BD"/>
    <w:rsid w:val="00596D8B"/>
    <w:rsid w:val="00596E22"/>
    <w:rsid w:val="0059710D"/>
    <w:rsid w:val="00597271"/>
    <w:rsid w:val="00597521"/>
    <w:rsid w:val="0059761C"/>
    <w:rsid w:val="00597938"/>
    <w:rsid w:val="00597D0F"/>
    <w:rsid w:val="00597E39"/>
    <w:rsid w:val="005A02A9"/>
    <w:rsid w:val="005A0764"/>
    <w:rsid w:val="005A083F"/>
    <w:rsid w:val="005A08E8"/>
    <w:rsid w:val="005A0B92"/>
    <w:rsid w:val="005A0EF4"/>
    <w:rsid w:val="005A149C"/>
    <w:rsid w:val="005A1536"/>
    <w:rsid w:val="005A1851"/>
    <w:rsid w:val="005A2B2B"/>
    <w:rsid w:val="005A2D9B"/>
    <w:rsid w:val="005A3315"/>
    <w:rsid w:val="005A39D0"/>
    <w:rsid w:val="005A3AD8"/>
    <w:rsid w:val="005A41D5"/>
    <w:rsid w:val="005A4809"/>
    <w:rsid w:val="005A490B"/>
    <w:rsid w:val="005A4CD7"/>
    <w:rsid w:val="005A4FAF"/>
    <w:rsid w:val="005A514E"/>
    <w:rsid w:val="005A51FF"/>
    <w:rsid w:val="005A533E"/>
    <w:rsid w:val="005A54C1"/>
    <w:rsid w:val="005A555E"/>
    <w:rsid w:val="005A56A1"/>
    <w:rsid w:val="005A5F04"/>
    <w:rsid w:val="005A6833"/>
    <w:rsid w:val="005A69E2"/>
    <w:rsid w:val="005A6A6F"/>
    <w:rsid w:val="005A6C52"/>
    <w:rsid w:val="005A71E2"/>
    <w:rsid w:val="005A72EE"/>
    <w:rsid w:val="005A7CE4"/>
    <w:rsid w:val="005B0087"/>
    <w:rsid w:val="005B0223"/>
    <w:rsid w:val="005B09BE"/>
    <w:rsid w:val="005B0D7B"/>
    <w:rsid w:val="005B0F92"/>
    <w:rsid w:val="005B109A"/>
    <w:rsid w:val="005B1462"/>
    <w:rsid w:val="005B19FB"/>
    <w:rsid w:val="005B1E16"/>
    <w:rsid w:val="005B1E67"/>
    <w:rsid w:val="005B2220"/>
    <w:rsid w:val="005B2FEE"/>
    <w:rsid w:val="005B31CE"/>
    <w:rsid w:val="005B33EB"/>
    <w:rsid w:val="005B34E3"/>
    <w:rsid w:val="005B35C7"/>
    <w:rsid w:val="005B3BAE"/>
    <w:rsid w:val="005B3BF8"/>
    <w:rsid w:val="005B4224"/>
    <w:rsid w:val="005B4606"/>
    <w:rsid w:val="005B4775"/>
    <w:rsid w:val="005B492D"/>
    <w:rsid w:val="005B495E"/>
    <w:rsid w:val="005B517E"/>
    <w:rsid w:val="005B5D7D"/>
    <w:rsid w:val="005B62D5"/>
    <w:rsid w:val="005B684A"/>
    <w:rsid w:val="005B6923"/>
    <w:rsid w:val="005B69B4"/>
    <w:rsid w:val="005B6A64"/>
    <w:rsid w:val="005B6E88"/>
    <w:rsid w:val="005B7755"/>
    <w:rsid w:val="005B7BFC"/>
    <w:rsid w:val="005B7C08"/>
    <w:rsid w:val="005C0494"/>
    <w:rsid w:val="005C057A"/>
    <w:rsid w:val="005C0618"/>
    <w:rsid w:val="005C0937"/>
    <w:rsid w:val="005C0B99"/>
    <w:rsid w:val="005C0BFB"/>
    <w:rsid w:val="005C0C20"/>
    <w:rsid w:val="005C0D88"/>
    <w:rsid w:val="005C16AA"/>
    <w:rsid w:val="005C17EC"/>
    <w:rsid w:val="005C1A48"/>
    <w:rsid w:val="005C1F6F"/>
    <w:rsid w:val="005C1FF8"/>
    <w:rsid w:val="005C242C"/>
    <w:rsid w:val="005C2749"/>
    <w:rsid w:val="005C350E"/>
    <w:rsid w:val="005C3A25"/>
    <w:rsid w:val="005C41F9"/>
    <w:rsid w:val="005C474A"/>
    <w:rsid w:val="005C49B7"/>
    <w:rsid w:val="005C4DC7"/>
    <w:rsid w:val="005C5329"/>
    <w:rsid w:val="005C548C"/>
    <w:rsid w:val="005C5DD6"/>
    <w:rsid w:val="005C6216"/>
    <w:rsid w:val="005C7101"/>
    <w:rsid w:val="005C7A08"/>
    <w:rsid w:val="005C7BE5"/>
    <w:rsid w:val="005C7D44"/>
    <w:rsid w:val="005C7D52"/>
    <w:rsid w:val="005D02FB"/>
    <w:rsid w:val="005D0312"/>
    <w:rsid w:val="005D07B3"/>
    <w:rsid w:val="005D0AFE"/>
    <w:rsid w:val="005D0C2F"/>
    <w:rsid w:val="005D13B0"/>
    <w:rsid w:val="005D162F"/>
    <w:rsid w:val="005D17FB"/>
    <w:rsid w:val="005D18B9"/>
    <w:rsid w:val="005D1C27"/>
    <w:rsid w:val="005D1EB5"/>
    <w:rsid w:val="005D20CE"/>
    <w:rsid w:val="005D212C"/>
    <w:rsid w:val="005D22BC"/>
    <w:rsid w:val="005D2335"/>
    <w:rsid w:val="005D24D6"/>
    <w:rsid w:val="005D252A"/>
    <w:rsid w:val="005D27C5"/>
    <w:rsid w:val="005D27E3"/>
    <w:rsid w:val="005D2801"/>
    <w:rsid w:val="005D2D45"/>
    <w:rsid w:val="005D37EA"/>
    <w:rsid w:val="005D38A5"/>
    <w:rsid w:val="005D3CEE"/>
    <w:rsid w:val="005D4301"/>
    <w:rsid w:val="005D44F5"/>
    <w:rsid w:val="005D4641"/>
    <w:rsid w:val="005D46A6"/>
    <w:rsid w:val="005D483A"/>
    <w:rsid w:val="005D4CAF"/>
    <w:rsid w:val="005D4CE0"/>
    <w:rsid w:val="005D4F2B"/>
    <w:rsid w:val="005D4FF4"/>
    <w:rsid w:val="005D5088"/>
    <w:rsid w:val="005D53C2"/>
    <w:rsid w:val="005D5A92"/>
    <w:rsid w:val="005D7015"/>
    <w:rsid w:val="005D704C"/>
    <w:rsid w:val="005D72D1"/>
    <w:rsid w:val="005D73B2"/>
    <w:rsid w:val="005D78D4"/>
    <w:rsid w:val="005D7C6D"/>
    <w:rsid w:val="005E04E2"/>
    <w:rsid w:val="005E081A"/>
    <w:rsid w:val="005E112D"/>
    <w:rsid w:val="005E2406"/>
    <w:rsid w:val="005E284B"/>
    <w:rsid w:val="005E2857"/>
    <w:rsid w:val="005E287B"/>
    <w:rsid w:val="005E298B"/>
    <w:rsid w:val="005E2D43"/>
    <w:rsid w:val="005E2E34"/>
    <w:rsid w:val="005E3062"/>
    <w:rsid w:val="005E3236"/>
    <w:rsid w:val="005E325D"/>
    <w:rsid w:val="005E3AB8"/>
    <w:rsid w:val="005E3E9F"/>
    <w:rsid w:val="005E42D6"/>
    <w:rsid w:val="005E4392"/>
    <w:rsid w:val="005E4D24"/>
    <w:rsid w:val="005E4DB2"/>
    <w:rsid w:val="005E4E44"/>
    <w:rsid w:val="005E52E3"/>
    <w:rsid w:val="005E5425"/>
    <w:rsid w:val="005E5445"/>
    <w:rsid w:val="005E58D0"/>
    <w:rsid w:val="005E5C27"/>
    <w:rsid w:val="005E5CFC"/>
    <w:rsid w:val="005E6505"/>
    <w:rsid w:val="005E6605"/>
    <w:rsid w:val="005E6899"/>
    <w:rsid w:val="005E68D1"/>
    <w:rsid w:val="005E7876"/>
    <w:rsid w:val="005E7CD4"/>
    <w:rsid w:val="005E7CF8"/>
    <w:rsid w:val="005F03F2"/>
    <w:rsid w:val="005F09E5"/>
    <w:rsid w:val="005F0F21"/>
    <w:rsid w:val="005F108F"/>
    <w:rsid w:val="005F10F6"/>
    <w:rsid w:val="005F13A4"/>
    <w:rsid w:val="005F146F"/>
    <w:rsid w:val="005F1648"/>
    <w:rsid w:val="005F1701"/>
    <w:rsid w:val="005F17BB"/>
    <w:rsid w:val="005F1C2B"/>
    <w:rsid w:val="005F1C92"/>
    <w:rsid w:val="005F1D81"/>
    <w:rsid w:val="005F1FB0"/>
    <w:rsid w:val="005F2069"/>
    <w:rsid w:val="005F2395"/>
    <w:rsid w:val="005F29FC"/>
    <w:rsid w:val="005F2C0F"/>
    <w:rsid w:val="005F2D3B"/>
    <w:rsid w:val="005F33B9"/>
    <w:rsid w:val="005F33BB"/>
    <w:rsid w:val="005F3CAD"/>
    <w:rsid w:val="005F4314"/>
    <w:rsid w:val="005F4BD8"/>
    <w:rsid w:val="005F4D8E"/>
    <w:rsid w:val="005F5217"/>
    <w:rsid w:val="005F60F1"/>
    <w:rsid w:val="005F6360"/>
    <w:rsid w:val="005F6434"/>
    <w:rsid w:val="005F66B5"/>
    <w:rsid w:val="005F6986"/>
    <w:rsid w:val="005F6C9B"/>
    <w:rsid w:val="005F7126"/>
    <w:rsid w:val="005F7128"/>
    <w:rsid w:val="005F7F50"/>
    <w:rsid w:val="006003CB"/>
    <w:rsid w:val="00600682"/>
    <w:rsid w:val="006007DC"/>
    <w:rsid w:val="00600826"/>
    <w:rsid w:val="00601368"/>
    <w:rsid w:val="00601FAA"/>
    <w:rsid w:val="0060228B"/>
    <w:rsid w:val="00602AF2"/>
    <w:rsid w:val="00602C45"/>
    <w:rsid w:val="0060300D"/>
    <w:rsid w:val="00603075"/>
    <w:rsid w:val="00603709"/>
    <w:rsid w:val="00603C61"/>
    <w:rsid w:val="00603C8D"/>
    <w:rsid w:val="00603CE4"/>
    <w:rsid w:val="006044CF"/>
    <w:rsid w:val="00604506"/>
    <w:rsid w:val="0060517E"/>
    <w:rsid w:val="00605AFC"/>
    <w:rsid w:val="00605D76"/>
    <w:rsid w:val="00605FA4"/>
    <w:rsid w:val="0060634B"/>
    <w:rsid w:val="0060649C"/>
    <w:rsid w:val="006069C0"/>
    <w:rsid w:val="00606A2B"/>
    <w:rsid w:val="00607180"/>
    <w:rsid w:val="0060766A"/>
    <w:rsid w:val="0060770B"/>
    <w:rsid w:val="00607B47"/>
    <w:rsid w:val="00607C0E"/>
    <w:rsid w:val="00607CF0"/>
    <w:rsid w:val="00610153"/>
    <w:rsid w:val="006102C7"/>
    <w:rsid w:val="00610991"/>
    <w:rsid w:val="00610CC2"/>
    <w:rsid w:val="006110AE"/>
    <w:rsid w:val="00611BBA"/>
    <w:rsid w:val="00611D8A"/>
    <w:rsid w:val="00612396"/>
    <w:rsid w:val="0061297D"/>
    <w:rsid w:val="00612B43"/>
    <w:rsid w:val="00612DDD"/>
    <w:rsid w:val="00612F99"/>
    <w:rsid w:val="006131A3"/>
    <w:rsid w:val="006131E6"/>
    <w:rsid w:val="0061371C"/>
    <w:rsid w:val="00613E99"/>
    <w:rsid w:val="006141C5"/>
    <w:rsid w:val="00614B02"/>
    <w:rsid w:val="00614C4D"/>
    <w:rsid w:val="0061515E"/>
    <w:rsid w:val="006155AA"/>
    <w:rsid w:val="00615AAD"/>
    <w:rsid w:val="00615AFD"/>
    <w:rsid w:val="00615CBE"/>
    <w:rsid w:val="00615D81"/>
    <w:rsid w:val="006160B4"/>
    <w:rsid w:val="006163B7"/>
    <w:rsid w:val="006164FD"/>
    <w:rsid w:val="0061673C"/>
    <w:rsid w:val="00616826"/>
    <w:rsid w:val="006177DC"/>
    <w:rsid w:val="006178C5"/>
    <w:rsid w:val="006179F1"/>
    <w:rsid w:val="00617C09"/>
    <w:rsid w:val="00617F35"/>
    <w:rsid w:val="006200A9"/>
    <w:rsid w:val="0062030D"/>
    <w:rsid w:val="00620905"/>
    <w:rsid w:val="00620E68"/>
    <w:rsid w:val="006210C3"/>
    <w:rsid w:val="006213AD"/>
    <w:rsid w:val="006214CC"/>
    <w:rsid w:val="0062178D"/>
    <w:rsid w:val="006217B4"/>
    <w:rsid w:val="00621815"/>
    <w:rsid w:val="00621A5C"/>
    <w:rsid w:val="00621D53"/>
    <w:rsid w:val="00621DC8"/>
    <w:rsid w:val="0062215A"/>
    <w:rsid w:val="006221EF"/>
    <w:rsid w:val="006223EB"/>
    <w:rsid w:val="00622878"/>
    <w:rsid w:val="006228A9"/>
    <w:rsid w:val="00622CCE"/>
    <w:rsid w:val="00623B6E"/>
    <w:rsid w:val="00623CCE"/>
    <w:rsid w:val="00624163"/>
    <w:rsid w:val="006246F7"/>
    <w:rsid w:val="00624BC3"/>
    <w:rsid w:val="00625283"/>
    <w:rsid w:val="00625477"/>
    <w:rsid w:val="00625CBA"/>
    <w:rsid w:val="00625EE8"/>
    <w:rsid w:val="006261BB"/>
    <w:rsid w:val="0062633C"/>
    <w:rsid w:val="00626703"/>
    <w:rsid w:val="006269BF"/>
    <w:rsid w:val="00626A0A"/>
    <w:rsid w:val="00626B30"/>
    <w:rsid w:val="00626C14"/>
    <w:rsid w:val="00626CEB"/>
    <w:rsid w:val="00627A14"/>
    <w:rsid w:val="006301FD"/>
    <w:rsid w:val="0063026B"/>
    <w:rsid w:val="0063057A"/>
    <w:rsid w:val="006308FA"/>
    <w:rsid w:val="00630954"/>
    <w:rsid w:val="00630D39"/>
    <w:rsid w:val="00631143"/>
    <w:rsid w:val="0063168A"/>
    <w:rsid w:val="00631CFC"/>
    <w:rsid w:val="00631DE5"/>
    <w:rsid w:val="00632194"/>
    <w:rsid w:val="006324CB"/>
    <w:rsid w:val="006327A3"/>
    <w:rsid w:val="00632F68"/>
    <w:rsid w:val="006333CC"/>
    <w:rsid w:val="006333E3"/>
    <w:rsid w:val="0063355E"/>
    <w:rsid w:val="00633789"/>
    <w:rsid w:val="00633F84"/>
    <w:rsid w:val="00633F91"/>
    <w:rsid w:val="00634FC8"/>
    <w:rsid w:val="00635C39"/>
    <w:rsid w:val="00635CCA"/>
    <w:rsid w:val="00635D85"/>
    <w:rsid w:val="006361D8"/>
    <w:rsid w:val="0063663F"/>
    <w:rsid w:val="00636A8C"/>
    <w:rsid w:val="006377CE"/>
    <w:rsid w:val="00637A7A"/>
    <w:rsid w:val="00637A9E"/>
    <w:rsid w:val="00637AFE"/>
    <w:rsid w:val="00640C1F"/>
    <w:rsid w:val="00640C5F"/>
    <w:rsid w:val="0064103A"/>
    <w:rsid w:val="006415F5"/>
    <w:rsid w:val="006416A8"/>
    <w:rsid w:val="006416CA"/>
    <w:rsid w:val="00641FFD"/>
    <w:rsid w:val="006420F6"/>
    <w:rsid w:val="00642982"/>
    <w:rsid w:val="006429AD"/>
    <w:rsid w:val="00643F17"/>
    <w:rsid w:val="00644024"/>
    <w:rsid w:val="00644E86"/>
    <w:rsid w:val="00644EF7"/>
    <w:rsid w:val="00645089"/>
    <w:rsid w:val="006451B3"/>
    <w:rsid w:val="0064599D"/>
    <w:rsid w:val="00646549"/>
    <w:rsid w:val="006465AC"/>
    <w:rsid w:val="00647044"/>
    <w:rsid w:val="00647622"/>
    <w:rsid w:val="006476C7"/>
    <w:rsid w:val="00650560"/>
    <w:rsid w:val="00650672"/>
    <w:rsid w:val="00650799"/>
    <w:rsid w:val="00651646"/>
    <w:rsid w:val="0065182B"/>
    <w:rsid w:val="00652449"/>
    <w:rsid w:val="00652652"/>
    <w:rsid w:val="00653137"/>
    <w:rsid w:val="0065399E"/>
    <w:rsid w:val="00654022"/>
    <w:rsid w:val="00654311"/>
    <w:rsid w:val="006544BD"/>
    <w:rsid w:val="00654521"/>
    <w:rsid w:val="00654DBD"/>
    <w:rsid w:val="00654FB7"/>
    <w:rsid w:val="0065516A"/>
    <w:rsid w:val="00655203"/>
    <w:rsid w:val="00655547"/>
    <w:rsid w:val="006555B9"/>
    <w:rsid w:val="0065574A"/>
    <w:rsid w:val="00655808"/>
    <w:rsid w:val="00655912"/>
    <w:rsid w:val="006559F9"/>
    <w:rsid w:val="00655A48"/>
    <w:rsid w:val="00655F13"/>
    <w:rsid w:val="006560C7"/>
    <w:rsid w:val="006563D2"/>
    <w:rsid w:val="006564A8"/>
    <w:rsid w:val="00656EB2"/>
    <w:rsid w:val="00657BE3"/>
    <w:rsid w:val="00660073"/>
    <w:rsid w:val="006604E4"/>
    <w:rsid w:val="00660861"/>
    <w:rsid w:val="00660B91"/>
    <w:rsid w:val="0066164A"/>
    <w:rsid w:val="0066177C"/>
    <w:rsid w:val="00663589"/>
    <w:rsid w:val="006638CE"/>
    <w:rsid w:val="0066390B"/>
    <w:rsid w:val="00663C6A"/>
    <w:rsid w:val="00663E99"/>
    <w:rsid w:val="0066407A"/>
    <w:rsid w:val="00664A52"/>
    <w:rsid w:val="00664B02"/>
    <w:rsid w:val="00664EDF"/>
    <w:rsid w:val="0066585E"/>
    <w:rsid w:val="00665EBC"/>
    <w:rsid w:val="006662C8"/>
    <w:rsid w:val="0066665A"/>
    <w:rsid w:val="00666F0D"/>
    <w:rsid w:val="0066701E"/>
    <w:rsid w:val="00667639"/>
    <w:rsid w:val="0066764A"/>
    <w:rsid w:val="00667746"/>
    <w:rsid w:val="00667B6D"/>
    <w:rsid w:val="00667F34"/>
    <w:rsid w:val="0067067D"/>
    <w:rsid w:val="00670B01"/>
    <w:rsid w:val="00671B48"/>
    <w:rsid w:val="00671C6A"/>
    <w:rsid w:val="006721AC"/>
    <w:rsid w:val="00672434"/>
    <w:rsid w:val="00672B0D"/>
    <w:rsid w:val="00672DEE"/>
    <w:rsid w:val="006731F5"/>
    <w:rsid w:val="00673468"/>
    <w:rsid w:val="006735B3"/>
    <w:rsid w:val="00674134"/>
    <w:rsid w:val="00674160"/>
    <w:rsid w:val="00674233"/>
    <w:rsid w:val="0067473F"/>
    <w:rsid w:val="00674EDD"/>
    <w:rsid w:val="0067500E"/>
    <w:rsid w:val="0067503A"/>
    <w:rsid w:val="006753CB"/>
    <w:rsid w:val="006756F4"/>
    <w:rsid w:val="006759BD"/>
    <w:rsid w:val="00675D74"/>
    <w:rsid w:val="006762BE"/>
    <w:rsid w:val="00676304"/>
    <w:rsid w:val="006763A1"/>
    <w:rsid w:val="0067640D"/>
    <w:rsid w:val="0067659F"/>
    <w:rsid w:val="00676605"/>
    <w:rsid w:val="00676A8E"/>
    <w:rsid w:val="00676AEB"/>
    <w:rsid w:val="00676CFE"/>
    <w:rsid w:val="00676D8F"/>
    <w:rsid w:val="00676E76"/>
    <w:rsid w:val="0068013B"/>
    <w:rsid w:val="006803F7"/>
    <w:rsid w:val="00680510"/>
    <w:rsid w:val="00680A3F"/>
    <w:rsid w:val="00680B8D"/>
    <w:rsid w:val="00680D54"/>
    <w:rsid w:val="00680FB6"/>
    <w:rsid w:val="00681041"/>
    <w:rsid w:val="00681D8D"/>
    <w:rsid w:val="0068200F"/>
    <w:rsid w:val="00682326"/>
    <w:rsid w:val="00682937"/>
    <w:rsid w:val="00682AE8"/>
    <w:rsid w:val="00682B1D"/>
    <w:rsid w:val="00683280"/>
    <w:rsid w:val="006833DC"/>
    <w:rsid w:val="006834C5"/>
    <w:rsid w:val="006838D6"/>
    <w:rsid w:val="006839F2"/>
    <w:rsid w:val="00683D02"/>
    <w:rsid w:val="0068453E"/>
    <w:rsid w:val="006845B6"/>
    <w:rsid w:val="0068468F"/>
    <w:rsid w:val="00684769"/>
    <w:rsid w:val="006848B9"/>
    <w:rsid w:val="00684C8B"/>
    <w:rsid w:val="00684E95"/>
    <w:rsid w:val="006864DA"/>
    <w:rsid w:val="00686CA8"/>
    <w:rsid w:val="00686FB1"/>
    <w:rsid w:val="0068753A"/>
    <w:rsid w:val="00687722"/>
    <w:rsid w:val="00687EF9"/>
    <w:rsid w:val="00690058"/>
    <w:rsid w:val="006901F8"/>
    <w:rsid w:val="006907F4"/>
    <w:rsid w:val="00690BB4"/>
    <w:rsid w:val="0069139A"/>
    <w:rsid w:val="00691531"/>
    <w:rsid w:val="00691892"/>
    <w:rsid w:val="00691CE7"/>
    <w:rsid w:val="00691D29"/>
    <w:rsid w:val="00691D93"/>
    <w:rsid w:val="0069231B"/>
    <w:rsid w:val="006924AD"/>
    <w:rsid w:val="00692B37"/>
    <w:rsid w:val="00692B3C"/>
    <w:rsid w:val="00693039"/>
    <w:rsid w:val="006930D9"/>
    <w:rsid w:val="00693241"/>
    <w:rsid w:val="006932DE"/>
    <w:rsid w:val="0069334C"/>
    <w:rsid w:val="006942B7"/>
    <w:rsid w:val="00694523"/>
    <w:rsid w:val="00694751"/>
    <w:rsid w:val="00694D30"/>
    <w:rsid w:val="006953B3"/>
    <w:rsid w:val="006955F8"/>
    <w:rsid w:val="006956A7"/>
    <w:rsid w:val="006959EA"/>
    <w:rsid w:val="00695C6E"/>
    <w:rsid w:val="00695EBE"/>
    <w:rsid w:val="00695FD0"/>
    <w:rsid w:val="006965AB"/>
    <w:rsid w:val="006965B3"/>
    <w:rsid w:val="00696FA8"/>
    <w:rsid w:val="00697262"/>
    <w:rsid w:val="00697298"/>
    <w:rsid w:val="00697668"/>
    <w:rsid w:val="006977A1"/>
    <w:rsid w:val="006978F9"/>
    <w:rsid w:val="00697ADD"/>
    <w:rsid w:val="00697C46"/>
    <w:rsid w:val="006A020D"/>
    <w:rsid w:val="006A0A51"/>
    <w:rsid w:val="006A1035"/>
    <w:rsid w:val="006A1124"/>
    <w:rsid w:val="006A1225"/>
    <w:rsid w:val="006A128C"/>
    <w:rsid w:val="006A1705"/>
    <w:rsid w:val="006A18EE"/>
    <w:rsid w:val="006A196B"/>
    <w:rsid w:val="006A1D89"/>
    <w:rsid w:val="006A1EBD"/>
    <w:rsid w:val="006A2056"/>
    <w:rsid w:val="006A208A"/>
    <w:rsid w:val="006A20A2"/>
    <w:rsid w:val="006A22F0"/>
    <w:rsid w:val="006A2700"/>
    <w:rsid w:val="006A35D1"/>
    <w:rsid w:val="006A3747"/>
    <w:rsid w:val="006A38BB"/>
    <w:rsid w:val="006A413C"/>
    <w:rsid w:val="006A4236"/>
    <w:rsid w:val="006A4924"/>
    <w:rsid w:val="006A4C55"/>
    <w:rsid w:val="006A4E3C"/>
    <w:rsid w:val="006A5355"/>
    <w:rsid w:val="006A56DE"/>
    <w:rsid w:val="006A5D96"/>
    <w:rsid w:val="006A5E3B"/>
    <w:rsid w:val="006A5F1B"/>
    <w:rsid w:val="006A5F6A"/>
    <w:rsid w:val="006A62B7"/>
    <w:rsid w:val="006A6422"/>
    <w:rsid w:val="006A70EE"/>
    <w:rsid w:val="006A71DC"/>
    <w:rsid w:val="006A7282"/>
    <w:rsid w:val="006A78CD"/>
    <w:rsid w:val="006B079C"/>
    <w:rsid w:val="006B0CBD"/>
    <w:rsid w:val="006B1170"/>
    <w:rsid w:val="006B15A3"/>
    <w:rsid w:val="006B16B9"/>
    <w:rsid w:val="006B1AD7"/>
    <w:rsid w:val="006B1C5E"/>
    <w:rsid w:val="006B1EE1"/>
    <w:rsid w:val="006B1F67"/>
    <w:rsid w:val="006B208A"/>
    <w:rsid w:val="006B2DB4"/>
    <w:rsid w:val="006B2F5B"/>
    <w:rsid w:val="006B3187"/>
    <w:rsid w:val="006B3660"/>
    <w:rsid w:val="006B395D"/>
    <w:rsid w:val="006B3C5A"/>
    <w:rsid w:val="006B4304"/>
    <w:rsid w:val="006B438A"/>
    <w:rsid w:val="006B43EB"/>
    <w:rsid w:val="006B46A6"/>
    <w:rsid w:val="006B46B4"/>
    <w:rsid w:val="006B4A53"/>
    <w:rsid w:val="006B4CD4"/>
    <w:rsid w:val="006B4D6C"/>
    <w:rsid w:val="006B5036"/>
    <w:rsid w:val="006B5283"/>
    <w:rsid w:val="006B5781"/>
    <w:rsid w:val="006B5DA1"/>
    <w:rsid w:val="006B5DDC"/>
    <w:rsid w:val="006B6094"/>
    <w:rsid w:val="006B629E"/>
    <w:rsid w:val="006B66C5"/>
    <w:rsid w:val="006B68DE"/>
    <w:rsid w:val="006B6B3E"/>
    <w:rsid w:val="006B7073"/>
    <w:rsid w:val="006B725D"/>
    <w:rsid w:val="006B7285"/>
    <w:rsid w:val="006B72C3"/>
    <w:rsid w:val="006B776D"/>
    <w:rsid w:val="006B7A3B"/>
    <w:rsid w:val="006B7B6B"/>
    <w:rsid w:val="006B7EDA"/>
    <w:rsid w:val="006B7EF5"/>
    <w:rsid w:val="006B7F7A"/>
    <w:rsid w:val="006C007E"/>
    <w:rsid w:val="006C011B"/>
    <w:rsid w:val="006C0713"/>
    <w:rsid w:val="006C0E7A"/>
    <w:rsid w:val="006C117B"/>
    <w:rsid w:val="006C1341"/>
    <w:rsid w:val="006C1E65"/>
    <w:rsid w:val="006C3180"/>
    <w:rsid w:val="006C37BD"/>
    <w:rsid w:val="006C3834"/>
    <w:rsid w:val="006C38FC"/>
    <w:rsid w:val="006C3BF4"/>
    <w:rsid w:val="006C43D7"/>
    <w:rsid w:val="006C43F9"/>
    <w:rsid w:val="006C524E"/>
    <w:rsid w:val="006C5359"/>
    <w:rsid w:val="006C53FD"/>
    <w:rsid w:val="006C57A1"/>
    <w:rsid w:val="006C5B26"/>
    <w:rsid w:val="006C5B91"/>
    <w:rsid w:val="006C5D2E"/>
    <w:rsid w:val="006C5F3E"/>
    <w:rsid w:val="006C63E3"/>
    <w:rsid w:val="006C676D"/>
    <w:rsid w:val="006C6894"/>
    <w:rsid w:val="006C6943"/>
    <w:rsid w:val="006C6EE7"/>
    <w:rsid w:val="006C7A70"/>
    <w:rsid w:val="006C7AAA"/>
    <w:rsid w:val="006C7B53"/>
    <w:rsid w:val="006C7EAF"/>
    <w:rsid w:val="006D022A"/>
    <w:rsid w:val="006D02A4"/>
    <w:rsid w:val="006D031D"/>
    <w:rsid w:val="006D0407"/>
    <w:rsid w:val="006D0683"/>
    <w:rsid w:val="006D0696"/>
    <w:rsid w:val="006D086E"/>
    <w:rsid w:val="006D0D20"/>
    <w:rsid w:val="006D0D45"/>
    <w:rsid w:val="006D0FE4"/>
    <w:rsid w:val="006D1D2A"/>
    <w:rsid w:val="006D1FDD"/>
    <w:rsid w:val="006D2190"/>
    <w:rsid w:val="006D27DE"/>
    <w:rsid w:val="006D27E0"/>
    <w:rsid w:val="006D2C22"/>
    <w:rsid w:val="006D30F3"/>
    <w:rsid w:val="006D3268"/>
    <w:rsid w:val="006D3454"/>
    <w:rsid w:val="006D360D"/>
    <w:rsid w:val="006D37DD"/>
    <w:rsid w:val="006D3FF1"/>
    <w:rsid w:val="006D4440"/>
    <w:rsid w:val="006D461B"/>
    <w:rsid w:val="006D4A4A"/>
    <w:rsid w:val="006D522D"/>
    <w:rsid w:val="006D5701"/>
    <w:rsid w:val="006D60F1"/>
    <w:rsid w:val="006D6446"/>
    <w:rsid w:val="006D64FF"/>
    <w:rsid w:val="006D65D9"/>
    <w:rsid w:val="006D7773"/>
    <w:rsid w:val="006D77AF"/>
    <w:rsid w:val="006E0118"/>
    <w:rsid w:val="006E0243"/>
    <w:rsid w:val="006E0295"/>
    <w:rsid w:val="006E04FB"/>
    <w:rsid w:val="006E056D"/>
    <w:rsid w:val="006E0EFC"/>
    <w:rsid w:val="006E12C7"/>
    <w:rsid w:val="006E132D"/>
    <w:rsid w:val="006E15EE"/>
    <w:rsid w:val="006E1A49"/>
    <w:rsid w:val="006E1EFE"/>
    <w:rsid w:val="006E23EE"/>
    <w:rsid w:val="006E25B0"/>
    <w:rsid w:val="006E2A61"/>
    <w:rsid w:val="006E2A83"/>
    <w:rsid w:val="006E34C4"/>
    <w:rsid w:val="006E34DC"/>
    <w:rsid w:val="006E3521"/>
    <w:rsid w:val="006E420B"/>
    <w:rsid w:val="006E4311"/>
    <w:rsid w:val="006E4749"/>
    <w:rsid w:val="006E49CF"/>
    <w:rsid w:val="006E4C68"/>
    <w:rsid w:val="006E4EBE"/>
    <w:rsid w:val="006E5370"/>
    <w:rsid w:val="006E5381"/>
    <w:rsid w:val="006E5675"/>
    <w:rsid w:val="006E594E"/>
    <w:rsid w:val="006E5C28"/>
    <w:rsid w:val="006E60A1"/>
    <w:rsid w:val="006E65CD"/>
    <w:rsid w:val="006E69B8"/>
    <w:rsid w:val="006E6B54"/>
    <w:rsid w:val="006E6E1A"/>
    <w:rsid w:val="006E6FC5"/>
    <w:rsid w:val="006E73E0"/>
    <w:rsid w:val="006E7BE4"/>
    <w:rsid w:val="006F026A"/>
    <w:rsid w:val="006F027F"/>
    <w:rsid w:val="006F0811"/>
    <w:rsid w:val="006F0893"/>
    <w:rsid w:val="006F0A3C"/>
    <w:rsid w:val="006F0DDD"/>
    <w:rsid w:val="006F1013"/>
    <w:rsid w:val="006F1883"/>
    <w:rsid w:val="006F2304"/>
    <w:rsid w:val="006F2542"/>
    <w:rsid w:val="006F2664"/>
    <w:rsid w:val="006F291A"/>
    <w:rsid w:val="006F2944"/>
    <w:rsid w:val="006F2AB1"/>
    <w:rsid w:val="006F2C4B"/>
    <w:rsid w:val="006F37B2"/>
    <w:rsid w:val="006F4404"/>
    <w:rsid w:val="006F4839"/>
    <w:rsid w:val="006F497C"/>
    <w:rsid w:val="006F4AC9"/>
    <w:rsid w:val="006F4B58"/>
    <w:rsid w:val="006F4D51"/>
    <w:rsid w:val="006F4DFA"/>
    <w:rsid w:val="006F50A7"/>
    <w:rsid w:val="006F5576"/>
    <w:rsid w:val="006F5854"/>
    <w:rsid w:val="006F5914"/>
    <w:rsid w:val="006F5A18"/>
    <w:rsid w:val="006F5EA2"/>
    <w:rsid w:val="006F647F"/>
    <w:rsid w:val="006F6D87"/>
    <w:rsid w:val="006F71F8"/>
    <w:rsid w:val="006F7B36"/>
    <w:rsid w:val="006F7C28"/>
    <w:rsid w:val="006F7CA3"/>
    <w:rsid w:val="006F7DFC"/>
    <w:rsid w:val="00700303"/>
    <w:rsid w:val="00700316"/>
    <w:rsid w:val="0070088A"/>
    <w:rsid w:val="0070094C"/>
    <w:rsid w:val="00700D46"/>
    <w:rsid w:val="00700EEC"/>
    <w:rsid w:val="0070125B"/>
    <w:rsid w:val="0070157E"/>
    <w:rsid w:val="0070189D"/>
    <w:rsid w:val="00701987"/>
    <w:rsid w:val="00701D47"/>
    <w:rsid w:val="00702E86"/>
    <w:rsid w:val="007032DC"/>
    <w:rsid w:val="007032E6"/>
    <w:rsid w:val="007032F7"/>
    <w:rsid w:val="007047DE"/>
    <w:rsid w:val="00704AE7"/>
    <w:rsid w:val="00705280"/>
    <w:rsid w:val="007052BE"/>
    <w:rsid w:val="00705308"/>
    <w:rsid w:val="00705434"/>
    <w:rsid w:val="0070566A"/>
    <w:rsid w:val="00705677"/>
    <w:rsid w:val="00705EFE"/>
    <w:rsid w:val="00706557"/>
    <w:rsid w:val="007065D3"/>
    <w:rsid w:val="00706705"/>
    <w:rsid w:val="00706847"/>
    <w:rsid w:val="007068A1"/>
    <w:rsid w:val="00706AE7"/>
    <w:rsid w:val="00706D1A"/>
    <w:rsid w:val="00706EF8"/>
    <w:rsid w:val="00707014"/>
    <w:rsid w:val="00707409"/>
    <w:rsid w:val="00707438"/>
    <w:rsid w:val="00707648"/>
    <w:rsid w:val="007078EA"/>
    <w:rsid w:val="00707A13"/>
    <w:rsid w:val="00707A6C"/>
    <w:rsid w:val="00707B5A"/>
    <w:rsid w:val="00707D58"/>
    <w:rsid w:val="00707E1E"/>
    <w:rsid w:val="00710637"/>
    <w:rsid w:val="00710660"/>
    <w:rsid w:val="007107AB"/>
    <w:rsid w:val="007110DF"/>
    <w:rsid w:val="007115C5"/>
    <w:rsid w:val="0071194E"/>
    <w:rsid w:val="007119FE"/>
    <w:rsid w:val="00711E30"/>
    <w:rsid w:val="00712106"/>
    <w:rsid w:val="00712448"/>
    <w:rsid w:val="007124DF"/>
    <w:rsid w:val="00712517"/>
    <w:rsid w:val="00712A01"/>
    <w:rsid w:val="00712B79"/>
    <w:rsid w:val="00712D04"/>
    <w:rsid w:val="00712E30"/>
    <w:rsid w:val="0071325A"/>
    <w:rsid w:val="007135B5"/>
    <w:rsid w:val="0071380B"/>
    <w:rsid w:val="00713921"/>
    <w:rsid w:val="007142B3"/>
    <w:rsid w:val="00714505"/>
    <w:rsid w:val="0071464A"/>
    <w:rsid w:val="00714A75"/>
    <w:rsid w:val="00714D22"/>
    <w:rsid w:val="00715015"/>
    <w:rsid w:val="0071504F"/>
    <w:rsid w:val="007150D1"/>
    <w:rsid w:val="007152EA"/>
    <w:rsid w:val="00715488"/>
    <w:rsid w:val="007160A9"/>
    <w:rsid w:val="007165E4"/>
    <w:rsid w:val="00716B86"/>
    <w:rsid w:val="00717154"/>
    <w:rsid w:val="00717157"/>
    <w:rsid w:val="007174E2"/>
    <w:rsid w:val="00717780"/>
    <w:rsid w:val="007178B3"/>
    <w:rsid w:val="00717D3D"/>
    <w:rsid w:val="007203C5"/>
    <w:rsid w:val="0072067C"/>
    <w:rsid w:val="0072118E"/>
    <w:rsid w:val="007212A2"/>
    <w:rsid w:val="007212ED"/>
    <w:rsid w:val="0072151A"/>
    <w:rsid w:val="00721603"/>
    <w:rsid w:val="007219BF"/>
    <w:rsid w:val="00721C28"/>
    <w:rsid w:val="00721C6A"/>
    <w:rsid w:val="0072260C"/>
    <w:rsid w:val="00722701"/>
    <w:rsid w:val="00722982"/>
    <w:rsid w:val="00722A00"/>
    <w:rsid w:val="00722B6D"/>
    <w:rsid w:val="007239CB"/>
    <w:rsid w:val="00723A9F"/>
    <w:rsid w:val="00723BB6"/>
    <w:rsid w:val="00724661"/>
    <w:rsid w:val="00724EA9"/>
    <w:rsid w:val="00724FD6"/>
    <w:rsid w:val="00725C26"/>
    <w:rsid w:val="00725F68"/>
    <w:rsid w:val="00725FE6"/>
    <w:rsid w:val="0072611C"/>
    <w:rsid w:val="007261A2"/>
    <w:rsid w:val="00726241"/>
    <w:rsid w:val="007266A3"/>
    <w:rsid w:val="00726A03"/>
    <w:rsid w:val="0072732C"/>
    <w:rsid w:val="007274BE"/>
    <w:rsid w:val="00727AAF"/>
    <w:rsid w:val="00727BF0"/>
    <w:rsid w:val="007314D9"/>
    <w:rsid w:val="00731940"/>
    <w:rsid w:val="00731A4F"/>
    <w:rsid w:val="007320BB"/>
    <w:rsid w:val="007328F0"/>
    <w:rsid w:val="007328FE"/>
    <w:rsid w:val="00732A70"/>
    <w:rsid w:val="00732C57"/>
    <w:rsid w:val="00732C7B"/>
    <w:rsid w:val="007332A3"/>
    <w:rsid w:val="007334FC"/>
    <w:rsid w:val="00733525"/>
    <w:rsid w:val="00733E49"/>
    <w:rsid w:val="00734492"/>
    <w:rsid w:val="007345C1"/>
    <w:rsid w:val="0073475D"/>
    <w:rsid w:val="0073495D"/>
    <w:rsid w:val="00734BCF"/>
    <w:rsid w:val="007350A2"/>
    <w:rsid w:val="0073523F"/>
    <w:rsid w:val="007354B7"/>
    <w:rsid w:val="00735664"/>
    <w:rsid w:val="0073576A"/>
    <w:rsid w:val="00735876"/>
    <w:rsid w:val="00735E4A"/>
    <w:rsid w:val="00735EFF"/>
    <w:rsid w:val="00736345"/>
    <w:rsid w:val="00736A3B"/>
    <w:rsid w:val="00736AC4"/>
    <w:rsid w:val="00736F83"/>
    <w:rsid w:val="00737270"/>
    <w:rsid w:val="00737FBC"/>
    <w:rsid w:val="00740744"/>
    <w:rsid w:val="00740E65"/>
    <w:rsid w:val="00740FD0"/>
    <w:rsid w:val="0074121B"/>
    <w:rsid w:val="007414A2"/>
    <w:rsid w:val="0074159E"/>
    <w:rsid w:val="00741912"/>
    <w:rsid w:val="0074224B"/>
    <w:rsid w:val="007429E3"/>
    <w:rsid w:val="00743495"/>
    <w:rsid w:val="007440B0"/>
    <w:rsid w:val="00744187"/>
    <w:rsid w:val="00744207"/>
    <w:rsid w:val="0074427D"/>
    <w:rsid w:val="0074431C"/>
    <w:rsid w:val="00744333"/>
    <w:rsid w:val="007445C4"/>
    <w:rsid w:val="007449BC"/>
    <w:rsid w:val="00744BAF"/>
    <w:rsid w:val="00744CD7"/>
    <w:rsid w:val="00744E1E"/>
    <w:rsid w:val="007451DC"/>
    <w:rsid w:val="00745411"/>
    <w:rsid w:val="007461CA"/>
    <w:rsid w:val="00746246"/>
    <w:rsid w:val="007462E5"/>
    <w:rsid w:val="007464B6"/>
    <w:rsid w:val="00746673"/>
    <w:rsid w:val="0074753E"/>
    <w:rsid w:val="00747835"/>
    <w:rsid w:val="00747985"/>
    <w:rsid w:val="00747E48"/>
    <w:rsid w:val="007508A6"/>
    <w:rsid w:val="00750BE4"/>
    <w:rsid w:val="00750C2E"/>
    <w:rsid w:val="007512B1"/>
    <w:rsid w:val="00751308"/>
    <w:rsid w:val="007513FA"/>
    <w:rsid w:val="007517B4"/>
    <w:rsid w:val="00751B3F"/>
    <w:rsid w:val="00751C8D"/>
    <w:rsid w:val="007527A4"/>
    <w:rsid w:val="007529E9"/>
    <w:rsid w:val="00752AA6"/>
    <w:rsid w:val="00753266"/>
    <w:rsid w:val="0075353C"/>
    <w:rsid w:val="0075375E"/>
    <w:rsid w:val="00753A39"/>
    <w:rsid w:val="00753E8E"/>
    <w:rsid w:val="0075402B"/>
    <w:rsid w:val="00754155"/>
    <w:rsid w:val="00754354"/>
    <w:rsid w:val="00754905"/>
    <w:rsid w:val="00754C78"/>
    <w:rsid w:val="00755D34"/>
    <w:rsid w:val="007562A2"/>
    <w:rsid w:val="007567B4"/>
    <w:rsid w:val="00756DD2"/>
    <w:rsid w:val="00756E47"/>
    <w:rsid w:val="00756E79"/>
    <w:rsid w:val="0075729F"/>
    <w:rsid w:val="0075748A"/>
    <w:rsid w:val="00757BB0"/>
    <w:rsid w:val="00760282"/>
    <w:rsid w:val="00760EE6"/>
    <w:rsid w:val="00761E21"/>
    <w:rsid w:val="007622EF"/>
    <w:rsid w:val="00762300"/>
    <w:rsid w:val="00762427"/>
    <w:rsid w:val="00762C65"/>
    <w:rsid w:val="00762D83"/>
    <w:rsid w:val="00762EC7"/>
    <w:rsid w:val="00763174"/>
    <w:rsid w:val="007631D0"/>
    <w:rsid w:val="00763364"/>
    <w:rsid w:val="00763985"/>
    <w:rsid w:val="00763A17"/>
    <w:rsid w:val="0076421B"/>
    <w:rsid w:val="00764432"/>
    <w:rsid w:val="007644CC"/>
    <w:rsid w:val="00764A5D"/>
    <w:rsid w:val="00764DFC"/>
    <w:rsid w:val="00764FCE"/>
    <w:rsid w:val="00765233"/>
    <w:rsid w:val="00765590"/>
    <w:rsid w:val="0076606E"/>
    <w:rsid w:val="00766089"/>
    <w:rsid w:val="007667D0"/>
    <w:rsid w:val="00766F47"/>
    <w:rsid w:val="00766FB9"/>
    <w:rsid w:val="007673B8"/>
    <w:rsid w:val="007673D5"/>
    <w:rsid w:val="00767502"/>
    <w:rsid w:val="007679AD"/>
    <w:rsid w:val="007705A5"/>
    <w:rsid w:val="0077090E"/>
    <w:rsid w:val="00770EC0"/>
    <w:rsid w:val="00770EEF"/>
    <w:rsid w:val="0077110E"/>
    <w:rsid w:val="0077131A"/>
    <w:rsid w:val="00771410"/>
    <w:rsid w:val="00771494"/>
    <w:rsid w:val="00771848"/>
    <w:rsid w:val="00771EA6"/>
    <w:rsid w:val="007720DB"/>
    <w:rsid w:val="00772322"/>
    <w:rsid w:val="00772564"/>
    <w:rsid w:val="00772639"/>
    <w:rsid w:val="00772686"/>
    <w:rsid w:val="00772B86"/>
    <w:rsid w:val="00772E5B"/>
    <w:rsid w:val="0077335C"/>
    <w:rsid w:val="0077382F"/>
    <w:rsid w:val="00773AFA"/>
    <w:rsid w:val="00773F03"/>
    <w:rsid w:val="00774CD0"/>
    <w:rsid w:val="00774E6B"/>
    <w:rsid w:val="00774E79"/>
    <w:rsid w:val="00775641"/>
    <w:rsid w:val="00775701"/>
    <w:rsid w:val="007757D6"/>
    <w:rsid w:val="00775B93"/>
    <w:rsid w:val="00776237"/>
    <w:rsid w:val="00776297"/>
    <w:rsid w:val="007765EE"/>
    <w:rsid w:val="007768E0"/>
    <w:rsid w:val="00776AB6"/>
    <w:rsid w:val="00776AF2"/>
    <w:rsid w:val="00776F6F"/>
    <w:rsid w:val="007772DD"/>
    <w:rsid w:val="0077771B"/>
    <w:rsid w:val="007802D2"/>
    <w:rsid w:val="007807C6"/>
    <w:rsid w:val="007807E8"/>
    <w:rsid w:val="00780ED0"/>
    <w:rsid w:val="00781200"/>
    <w:rsid w:val="00781367"/>
    <w:rsid w:val="00781614"/>
    <w:rsid w:val="00781DB2"/>
    <w:rsid w:val="00781F05"/>
    <w:rsid w:val="007820AD"/>
    <w:rsid w:val="007821AE"/>
    <w:rsid w:val="007822F2"/>
    <w:rsid w:val="00782537"/>
    <w:rsid w:val="00782A4C"/>
    <w:rsid w:val="00782CA5"/>
    <w:rsid w:val="00782ECA"/>
    <w:rsid w:val="00782F2E"/>
    <w:rsid w:val="00783135"/>
    <w:rsid w:val="007831F9"/>
    <w:rsid w:val="007833EB"/>
    <w:rsid w:val="007834A2"/>
    <w:rsid w:val="00783D73"/>
    <w:rsid w:val="007842FA"/>
    <w:rsid w:val="00784734"/>
    <w:rsid w:val="00784916"/>
    <w:rsid w:val="0078499A"/>
    <w:rsid w:val="0078506F"/>
    <w:rsid w:val="007851F1"/>
    <w:rsid w:val="007858EF"/>
    <w:rsid w:val="00785DED"/>
    <w:rsid w:val="00785EFB"/>
    <w:rsid w:val="00785FAF"/>
    <w:rsid w:val="0078617E"/>
    <w:rsid w:val="00786339"/>
    <w:rsid w:val="0078662F"/>
    <w:rsid w:val="00786BD6"/>
    <w:rsid w:val="0078700A"/>
    <w:rsid w:val="00787140"/>
    <w:rsid w:val="007872BB"/>
    <w:rsid w:val="007873AB"/>
    <w:rsid w:val="00787446"/>
    <w:rsid w:val="007878B6"/>
    <w:rsid w:val="00787A9B"/>
    <w:rsid w:val="00787E82"/>
    <w:rsid w:val="00790427"/>
    <w:rsid w:val="007904AD"/>
    <w:rsid w:val="007911DF"/>
    <w:rsid w:val="0079150C"/>
    <w:rsid w:val="00791C88"/>
    <w:rsid w:val="007920CE"/>
    <w:rsid w:val="00792D1C"/>
    <w:rsid w:val="00793BDB"/>
    <w:rsid w:val="00794137"/>
    <w:rsid w:val="00794222"/>
    <w:rsid w:val="007946B5"/>
    <w:rsid w:val="007948E1"/>
    <w:rsid w:val="00794C97"/>
    <w:rsid w:val="007951A9"/>
    <w:rsid w:val="0079573B"/>
    <w:rsid w:val="00795A8E"/>
    <w:rsid w:val="00796013"/>
    <w:rsid w:val="0079709F"/>
    <w:rsid w:val="00797697"/>
    <w:rsid w:val="00797BDB"/>
    <w:rsid w:val="00797CCA"/>
    <w:rsid w:val="00797D93"/>
    <w:rsid w:val="007A0572"/>
    <w:rsid w:val="007A098C"/>
    <w:rsid w:val="007A1753"/>
    <w:rsid w:val="007A1A48"/>
    <w:rsid w:val="007A1DB4"/>
    <w:rsid w:val="007A1FCD"/>
    <w:rsid w:val="007A202C"/>
    <w:rsid w:val="007A25FF"/>
    <w:rsid w:val="007A2AB3"/>
    <w:rsid w:val="007A2B44"/>
    <w:rsid w:val="007A2E65"/>
    <w:rsid w:val="007A354A"/>
    <w:rsid w:val="007A39BD"/>
    <w:rsid w:val="007A3A90"/>
    <w:rsid w:val="007A3E15"/>
    <w:rsid w:val="007A3EB0"/>
    <w:rsid w:val="007A4165"/>
    <w:rsid w:val="007A47D1"/>
    <w:rsid w:val="007A4923"/>
    <w:rsid w:val="007A4A8E"/>
    <w:rsid w:val="007A4B33"/>
    <w:rsid w:val="007A4C59"/>
    <w:rsid w:val="007A4F37"/>
    <w:rsid w:val="007A5068"/>
    <w:rsid w:val="007A5165"/>
    <w:rsid w:val="007A571C"/>
    <w:rsid w:val="007A63B6"/>
    <w:rsid w:val="007A6404"/>
    <w:rsid w:val="007A66CA"/>
    <w:rsid w:val="007A67A7"/>
    <w:rsid w:val="007A6947"/>
    <w:rsid w:val="007A6964"/>
    <w:rsid w:val="007A6C0F"/>
    <w:rsid w:val="007A6D31"/>
    <w:rsid w:val="007A7701"/>
    <w:rsid w:val="007A7AFE"/>
    <w:rsid w:val="007A7F76"/>
    <w:rsid w:val="007B02A6"/>
    <w:rsid w:val="007B0FCC"/>
    <w:rsid w:val="007B107F"/>
    <w:rsid w:val="007B1127"/>
    <w:rsid w:val="007B1247"/>
    <w:rsid w:val="007B12C8"/>
    <w:rsid w:val="007B2702"/>
    <w:rsid w:val="007B28FF"/>
    <w:rsid w:val="007B3237"/>
    <w:rsid w:val="007B3562"/>
    <w:rsid w:val="007B359D"/>
    <w:rsid w:val="007B39CC"/>
    <w:rsid w:val="007B3BFD"/>
    <w:rsid w:val="007B3D0A"/>
    <w:rsid w:val="007B3DDF"/>
    <w:rsid w:val="007B3F77"/>
    <w:rsid w:val="007B425F"/>
    <w:rsid w:val="007B4A31"/>
    <w:rsid w:val="007B50E4"/>
    <w:rsid w:val="007B577F"/>
    <w:rsid w:val="007B5982"/>
    <w:rsid w:val="007B5EC9"/>
    <w:rsid w:val="007B6022"/>
    <w:rsid w:val="007B6251"/>
    <w:rsid w:val="007B7309"/>
    <w:rsid w:val="007B742E"/>
    <w:rsid w:val="007B76AA"/>
    <w:rsid w:val="007B7AEC"/>
    <w:rsid w:val="007C0D21"/>
    <w:rsid w:val="007C113F"/>
    <w:rsid w:val="007C14BB"/>
    <w:rsid w:val="007C1D04"/>
    <w:rsid w:val="007C1DFB"/>
    <w:rsid w:val="007C2033"/>
    <w:rsid w:val="007C24CB"/>
    <w:rsid w:val="007C2A74"/>
    <w:rsid w:val="007C2B97"/>
    <w:rsid w:val="007C2D99"/>
    <w:rsid w:val="007C316F"/>
    <w:rsid w:val="007C40AD"/>
    <w:rsid w:val="007C43B9"/>
    <w:rsid w:val="007C4590"/>
    <w:rsid w:val="007C461F"/>
    <w:rsid w:val="007C49A4"/>
    <w:rsid w:val="007C4FC6"/>
    <w:rsid w:val="007C5508"/>
    <w:rsid w:val="007C57D3"/>
    <w:rsid w:val="007C5A1F"/>
    <w:rsid w:val="007C5B9D"/>
    <w:rsid w:val="007C5D37"/>
    <w:rsid w:val="007C5D8C"/>
    <w:rsid w:val="007C6509"/>
    <w:rsid w:val="007C6511"/>
    <w:rsid w:val="007C6BCA"/>
    <w:rsid w:val="007C6FE1"/>
    <w:rsid w:val="007C7397"/>
    <w:rsid w:val="007C7A57"/>
    <w:rsid w:val="007C7BD3"/>
    <w:rsid w:val="007D06F7"/>
    <w:rsid w:val="007D0A44"/>
    <w:rsid w:val="007D0AA0"/>
    <w:rsid w:val="007D0EE9"/>
    <w:rsid w:val="007D1083"/>
    <w:rsid w:val="007D1245"/>
    <w:rsid w:val="007D1A3F"/>
    <w:rsid w:val="007D1BCC"/>
    <w:rsid w:val="007D1CF2"/>
    <w:rsid w:val="007D1FE0"/>
    <w:rsid w:val="007D2F98"/>
    <w:rsid w:val="007D313B"/>
    <w:rsid w:val="007D3356"/>
    <w:rsid w:val="007D3657"/>
    <w:rsid w:val="007D3C47"/>
    <w:rsid w:val="007D4269"/>
    <w:rsid w:val="007D431B"/>
    <w:rsid w:val="007D4737"/>
    <w:rsid w:val="007D4909"/>
    <w:rsid w:val="007D5874"/>
    <w:rsid w:val="007D59C0"/>
    <w:rsid w:val="007D6151"/>
    <w:rsid w:val="007D633D"/>
    <w:rsid w:val="007D63F2"/>
    <w:rsid w:val="007D673C"/>
    <w:rsid w:val="007D70F6"/>
    <w:rsid w:val="007D766A"/>
    <w:rsid w:val="007D795A"/>
    <w:rsid w:val="007D7BB8"/>
    <w:rsid w:val="007D7C95"/>
    <w:rsid w:val="007E0379"/>
    <w:rsid w:val="007E07E0"/>
    <w:rsid w:val="007E0B8B"/>
    <w:rsid w:val="007E0EDA"/>
    <w:rsid w:val="007E1017"/>
    <w:rsid w:val="007E1380"/>
    <w:rsid w:val="007E1CAA"/>
    <w:rsid w:val="007E1F53"/>
    <w:rsid w:val="007E21C7"/>
    <w:rsid w:val="007E29BA"/>
    <w:rsid w:val="007E3B3F"/>
    <w:rsid w:val="007E3F18"/>
    <w:rsid w:val="007E4419"/>
    <w:rsid w:val="007E4A14"/>
    <w:rsid w:val="007E4BF9"/>
    <w:rsid w:val="007E4DFF"/>
    <w:rsid w:val="007E55FD"/>
    <w:rsid w:val="007E609A"/>
    <w:rsid w:val="007E6784"/>
    <w:rsid w:val="007E682E"/>
    <w:rsid w:val="007E6BDB"/>
    <w:rsid w:val="007E6BEC"/>
    <w:rsid w:val="007E7057"/>
    <w:rsid w:val="007E7BBB"/>
    <w:rsid w:val="007E7DFB"/>
    <w:rsid w:val="007F0079"/>
    <w:rsid w:val="007F0566"/>
    <w:rsid w:val="007F109F"/>
    <w:rsid w:val="007F1228"/>
    <w:rsid w:val="007F137E"/>
    <w:rsid w:val="007F13C1"/>
    <w:rsid w:val="007F1582"/>
    <w:rsid w:val="007F1893"/>
    <w:rsid w:val="007F191F"/>
    <w:rsid w:val="007F19FB"/>
    <w:rsid w:val="007F1BA0"/>
    <w:rsid w:val="007F1C66"/>
    <w:rsid w:val="007F1F39"/>
    <w:rsid w:val="007F1FA6"/>
    <w:rsid w:val="007F1FD5"/>
    <w:rsid w:val="007F235F"/>
    <w:rsid w:val="007F2703"/>
    <w:rsid w:val="007F2937"/>
    <w:rsid w:val="007F2A71"/>
    <w:rsid w:val="007F2BBC"/>
    <w:rsid w:val="007F2C11"/>
    <w:rsid w:val="007F331C"/>
    <w:rsid w:val="007F367D"/>
    <w:rsid w:val="007F3ADD"/>
    <w:rsid w:val="007F47EB"/>
    <w:rsid w:val="007F4CCE"/>
    <w:rsid w:val="007F4E3F"/>
    <w:rsid w:val="007F549F"/>
    <w:rsid w:val="007F571C"/>
    <w:rsid w:val="007F5839"/>
    <w:rsid w:val="007F6239"/>
    <w:rsid w:val="007F63D7"/>
    <w:rsid w:val="007F6568"/>
    <w:rsid w:val="007F6628"/>
    <w:rsid w:val="007F6745"/>
    <w:rsid w:val="007F7502"/>
    <w:rsid w:val="007F7567"/>
    <w:rsid w:val="007F7912"/>
    <w:rsid w:val="007F7AA3"/>
    <w:rsid w:val="007F7C19"/>
    <w:rsid w:val="007F7C75"/>
    <w:rsid w:val="0080050B"/>
    <w:rsid w:val="00800C52"/>
    <w:rsid w:val="00800D30"/>
    <w:rsid w:val="0080107D"/>
    <w:rsid w:val="00801338"/>
    <w:rsid w:val="0080146E"/>
    <w:rsid w:val="00801783"/>
    <w:rsid w:val="008020E0"/>
    <w:rsid w:val="0080255D"/>
    <w:rsid w:val="00802614"/>
    <w:rsid w:val="00802D9A"/>
    <w:rsid w:val="00802DA1"/>
    <w:rsid w:val="0080307D"/>
    <w:rsid w:val="0080332E"/>
    <w:rsid w:val="0080360D"/>
    <w:rsid w:val="00804300"/>
    <w:rsid w:val="0080476C"/>
    <w:rsid w:val="00804C4C"/>
    <w:rsid w:val="00804E97"/>
    <w:rsid w:val="00804FE1"/>
    <w:rsid w:val="00805E82"/>
    <w:rsid w:val="00805F81"/>
    <w:rsid w:val="0080692A"/>
    <w:rsid w:val="00806D90"/>
    <w:rsid w:val="00806E0F"/>
    <w:rsid w:val="0080749F"/>
    <w:rsid w:val="00807AD3"/>
    <w:rsid w:val="00807AFD"/>
    <w:rsid w:val="00807F4B"/>
    <w:rsid w:val="00807FEA"/>
    <w:rsid w:val="0081003D"/>
    <w:rsid w:val="00810569"/>
    <w:rsid w:val="00810583"/>
    <w:rsid w:val="00811420"/>
    <w:rsid w:val="008115F6"/>
    <w:rsid w:val="0081230E"/>
    <w:rsid w:val="0081268E"/>
    <w:rsid w:val="008129A3"/>
    <w:rsid w:val="00812C6B"/>
    <w:rsid w:val="00813879"/>
    <w:rsid w:val="00813E5F"/>
    <w:rsid w:val="00814031"/>
    <w:rsid w:val="00814200"/>
    <w:rsid w:val="00814BCA"/>
    <w:rsid w:val="00814E1C"/>
    <w:rsid w:val="00814E47"/>
    <w:rsid w:val="0081500D"/>
    <w:rsid w:val="0081510E"/>
    <w:rsid w:val="00815853"/>
    <w:rsid w:val="008159E4"/>
    <w:rsid w:val="00815A11"/>
    <w:rsid w:val="00815B9D"/>
    <w:rsid w:val="00815BB3"/>
    <w:rsid w:val="00815BD1"/>
    <w:rsid w:val="00815E35"/>
    <w:rsid w:val="00815F14"/>
    <w:rsid w:val="00815F44"/>
    <w:rsid w:val="0081645C"/>
    <w:rsid w:val="008168E0"/>
    <w:rsid w:val="008169BF"/>
    <w:rsid w:val="00817006"/>
    <w:rsid w:val="00817B8A"/>
    <w:rsid w:val="00817BF1"/>
    <w:rsid w:val="00817DA2"/>
    <w:rsid w:val="00820E40"/>
    <w:rsid w:val="00820F93"/>
    <w:rsid w:val="0082101A"/>
    <w:rsid w:val="008211F9"/>
    <w:rsid w:val="0082121C"/>
    <w:rsid w:val="008212D9"/>
    <w:rsid w:val="008217AA"/>
    <w:rsid w:val="0082193C"/>
    <w:rsid w:val="00821EDF"/>
    <w:rsid w:val="0082218F"/>
    <w:rsid w:val="00822537"/>
    <w:rsid w:val="00822603"/>
    <w:rsid w:val="00822916"/>
    <w:rsid w:val="00822CDE"/>
    <w:rsid w:val="00822D7C"/>
    <w:rsid w:val="00822DC7"/>
    <w:rsid w:val="0082334A"/>
    <w:rsid w:val="008237D6"/>
    <w:rsid w:val="00824150"/>
    <w:rsid w:val="008241C1"/>
    <w:rsid w:val="00824FEA"/>
    <w:rsid w:val="008256D9"/>
    <w:rsid w:val="0082592F"/>
    <w:rsid w:val="00825BE3"/>
    <w:rsid w:val="00825CD1"/>
    <w:rsid w:val="00825D29"/>
    <w:rsid w:val="00825E89"/>
    <w:rsid w:val="00826492"/>
    <w:rsid w:val="008264CD"/>
    <w:rsid w:val="0082682E"/>
    <w:rsid w:val="008268BA"/>
    <w:rsid w:val="008268E1"/>
    <w:rsid w:val="00826CDE"/>
    <w:rsid w:val="00827294"/>
    <w:rsid w:val="008272DC"/>
    <w:rsid w:val="00827308"/>
    <w:rsid w:val="00827D5D"/>
    <w:rsid w:val="0083022E"/>
    <w:rsid w:val="008302D6"/>
    <w:rsid w:val="00830800"/>
    <w:rsid w:val="00831195"/>
    <w:rsid w:val="008315B1"/>
    <w:rsid w:val="00831662"/>
    <w:rsid w:val="0083170D"/>
    <w:rsid w:val="00831883"/>
    <w:rsid w:val="0083190E"/>
    <w:rsid w:val="00831E8A"/>
    <w:rsid w:val="00831F64"/>
    <w:rsid w:val="00832054"/>
    <w:rsid w:val="0083225E"/>
    <w:rsid w:val="008322CE"/>
    <w:rsid w:val="0083267C"/>
    <w:rsid w:val="008327F5"/>
    <w:rsid w:val="00832FE7"/>
    <w:rsid w:val="00833928"/>
    <w:rsid w:val="00833976"/>
    <w:rsid w:val="00833CD4"/>
    <w:rsid w:val="00833DBF"/>
    <w:rsid w:val="00833E46"/>
    <w:rsid w:val="008346DC"/>
    <w:rsid w:val="008348FB"/>
    <w:rsid w:val="008357FB"/>
    <w:rsid w:val="0083640B"/>
    <w:rsid w:val="008366DC"/>
    <w:rsid w:val="008376ED"/>
    <w:rsid w:val="00837A96"/>
    <w:rsid w:val="00837C1A"/>
    <w:rsid w:val="00837CFB"/>
    <w:rsid w:val="008400C4"/>
    <w:rsid w:val="008400DD"/>
    <w:rsid w:val="00840215"/>
    <w:rsid w:val="00840438"/>
    <w:rsid w:val="00840DA8"/>
    <w:rsid w:val="0084115E"/>
    <w:rsid w:val="0084130F"/>
    <w:rsid w:val="008415B5"/>
    <w:rsid w:val="008416DA"/>
    <w:rsid w:val="00841A3F"/>
    <w:rsid w:val="00841C70"/>
    <w:rsid w:val="00841E7C"/>
    <w:rsid w:val="008421B6"/>
    <w:rsid w:val="00842BB4"/>
    <w:rsid w:val="00843361"/>
    <w:rsid w:val="00845557"/>
    <w:rsid w:val="00845739"/>
    <w:rsid w:val="00845C0E"/>
    <w:rsid w:val="00846082"/>
    <w:rsid w:val="00846515"/>
    <w:rsid w:val="008468FD"/>
    <w:rsid w:val="00846C85"/>
    <w:rsid w:val="00847124"/>
    <w:rsid w:val="00847173"/>
    <w:rsid w:val="0084729F"/>
    <w:rsid w:val="008473A8"/>
    <w:rsid w:val="008475DC"/>
    <w:rsid w:val="0085009A"/>
    <w:rsid w:val="0085064C"/>
    <w:rsid w:val="0085075F"/>
    <w:rsid w:val="00850870"/>
    <w:rsid w:val="0085089D"/>
    <w:rsid w:val="008511A2"/>
    <w:rsid w:val="0085187A"/>
    <w:rsid w:val="008518CF"/>
    <w:rsid w:val="00851A1B"/>
    <w:rsid w:val="00851C42"/>
    <w:rsid w:val="00851DBC"/>
    <w:rsid w:val="00852029"/>
    <w:rsid w:val="00852064"/>
    <w:rsid w:val="00852544"/>
    <w:rsid w:val="00852754"/>
    <w:rsid w:val="00852E29"/>
    <w:rsid w:val="00853762"/>
    <w:rsid w:val="00853E52"/>
    <w:rsid w:val="00854374"/>
    <w:rsid w:val="008546E6"/>
    <w:rsid w:val="00854D6E"/>
    <w:rsid w:val="00854FEB"/>
    <w:rsid w:val="0085533F"/>
    <w:rsid w:val="008558D2"/>
    <w:rsid w:val="0085595E"/>
    <w:rsid w:val="00855DE1"/>
    <w:rsid w:val="00855E48"/>
    <w:rsid w:val="008562F7"/>
    <w:rsid w:val="008563C8"/>
    <w:rsid w:val="00856662"/>
    <w:rsid w:val="00856823"/>
    <w:rsid w:val="00856BD2"/>
    <w:rsid w:val="00856F24"/>
    <w:rsid w:val="00857B91"/>
    <w:rsid w:val="00857C75"/>
    <w:rsid w:val="00857DC3"/>
    <w:rsid w:val="008601E3"/>
    <w:rsid w:val="00860363"/>
    <w:rsid w:val="008603B6"/>
    <w:rsid w:val="00860840"/>
    <w:rsid w:val="00860925"/>
    <w:rsid w:val="00860A64"/>
    <w:rsid w:val="008610ED"/>
    <w:rsid w:val="0086116A"/>
    <w:rsid w:val="008612E2"/>
    <w:rsid w:val="00861517"/>
    <w:rsid w:val="00861690"/>
    <w:rsid w:val="00861960"/>
    <w:rsid w:val="00861CC1"/>
    <w:rsid w:val="00861E5E"/>
    <w:rsid w:val="008621DE"/>
    <w:rsid w:val="008624EF"/>
    <w:rsid w:val="00862B30"/>
    <w:rsid w:val="00862DE3"/>
    <w:rsid w:val="00863143"/>
    <w:rsid w:val="00863A6D"/>
    <w:rsid w:val="00864124"/>
    <w:rsid w:val="00864228"/>
    <w:rsid w:val="00864FAB"/>
    <w:rsid w:val="0086529C"/>
    <w:rsid w:val="008657A6"/>
    <w:rsid w:val="00865F24"/>
    <w:rsid w:val="00866466"/>
    <w:rsid w:val="00866A38"/>
    <w:rsid w:val="00867496"/>
    <w:rsid w:val="0086772D"/>
    <w:rsid w:val="00867960"/>
    <w:rsid w:val="008679BE"/>
    <w:rsid w:val="00867BFA"/>
    <w:rsid w:val="00867EC5"/>
    <w:rsid w:val="008700C3"/>
    <w:rsid w:val="008702D5"/>
    <w:rsid w:val="0087032A"/>
    <w:rsid w:val="00870629"/>
    <w:rsid w:val="00870ABC"/>
    <w:rsid w:val="0087189F"/>
    <w:rsid w:val="00871948"/>
    <w:rsid w:val="00871FA4"/>
    <w:rsid w:val="00872030"/>
    <w:rsid w:val="008722A9"/>
    <w:rsid w:val="008723C5"/>
    <w:rsid w:val="008724F8"/>
    <w:rsid w:val="00872A4E"/>
    <w:rsid w:val="00872B4A"/>
    <w:rsid w:val="00873CF3"/>
    <w:rsid w:val="00873EAF"/>
    <w:rsid w:val="00873EF6"/>
    <w:rsid w:val="00874314"/>
    <w:rsid w:val="00874A69"/>
    <w:rsid w:val="00874ECD"/>
    <w:rsid w:val="00875CAB"/>
    <w:rsid w:val="008764AD"/>
    <w:rsid w:val="0087671E"/>
    <w:rsid w:val="0087682E"/>
    <w:rsid w:val="00876DCE"/>
    <w:rsid w:val="0088094A"/>
    <w:rsid w:val="00880996"/>
    <w:rsid w:val="00880DCF"/>
    <w:rsid w:val="00881098"/>
    <w:rsid w:val="008810C9"/>
    <w:rsid w:val="0088139D"/>
    <w:rsid w:val="00881786"/>
    <w:rsid w:val="00881F01"/>
    <w:rsid w:val="008821AF"/>
    <w:rsid w:val="00882625"/>
    <w:rsid w:val="008829F4"/>
    <w:rsid w:val="00882C2B"/>
    <w:rsid w:val="00882DEA"/>
    <w:rsid w:val="00883315"/>
    <w:rsid w:val="00883366"/>
    <w:rsid w:val="008834E3"/>
    <w:rsid w:val="00883B3E"/>
    <w:rsid w:val="00883C6C"/>
    <w:rsid w:val="00883EB2"/>
    <w:rsid w:val="008840CE"/>
    <w:rsid w:val="0088429D"/>
    <w:rsid w:val="00884483"/>
    <w:rsid w:val="00884677"/>
    <w:rsid w:val="008849BF"/>
    <w:rsid w:val="00885578"/>
    <w:rsid w:val="008856B3"/>
    <w:rsid w:val="00885728"/>
    <w:rsid w:val="00885BB8"/>
    <w:rsid w:val="00886011"/>
    <w:rsid w:val="008864A3"/>
    <w:rsid w:val="0088668C"/>
    <w:rsid w:val="00886D4E"/>
    <w:rsid w:val="00887043"/>
    <w:rsid w:val="00887301"/>
    <w:rsid w:val="00887377"/>
    <w:rsid w:val="0088752B"/>
    <w:rsid w:val="0088758D"/>
    <w:rsid w:val="00887742"/>
    <w:rsid w:val="00887765"/>
    <w:rsid w:val="008877C6"/>
    <w:rsid w:val="00887AA0"/>
    <w:rsid w:val="00887AFD"/>
    <w:rsid w:val="00887EC5"/>
    <w:rsid w:val="00887F0F"/>
    <w:rsid w:val="00890118"/>
    <w:rsid w:val="008902F4"/>
    <w:rsid w:val="00890549"/>
    <w:rsid w:val="008905CB"/>
    <w:rsid w:val="0089075C"/>
    <w:rsid w:val="00890B02"/>
    <w:rsid w:val="00890E0B"/>
    <w:rsid w:val="008912FA"/>
    <w:rsid w:val="0089176C"/>
    <w:rsid w:val="00891DDB"/>
    <w:rsid w:val="00891E7B"/>
    <w:rsid w:val="00891F66"/>
    <w:rsid w:val="0089328E"/>
    <w:rsid w:val="008933BA"/>
    <w:rsid w:val="008933DE"/>
    <w:rsid w:val="008935A1"/>
    <w:rsid w:val="00893735"/>
    <w:rsid w:val="00893837"/>
    <w:rsid w:val="00893921"/>
    <w:rsid w:val="00893FF0"/>
    <w:rsid w:val="00894281"/>
    <w:rsid w:val="00894A5A"/>
    <w:rsid w:val="00894B3B"/>
    <w:rsid w:val="00895548"/>
    <w:rsid w:val="00895AC7"/>
    <w:rsid w:val="00895F25"/>
    <w:rsid w:val="00896546"/>
    <w:rsid w:val="0089692F"/>
    <w:rsid w:val="00896A1F"/>
    <w:rsid w:val="008975E2"/>
    <w:rsid w:val="00897A9E"/>
    <w:rsid w:val="008A02A1"/>
    <w:rsid w:val="008A041A"/>
    <w:rsid w:val="008A06A2"/>
    <w:rsid w:val="008A075C"/>
    <w:rsid w:val="008A1848"/>
    <w:rsid w:val="008A19F7"/>
    <w:rsid w:val="008A1F58"/>
    <w:rsid w:val="008A220F"/>
    <w:rsid w:val="008A2348"/>
    <w:rsid w:val="008A2476"/>
    <w:rsid w:val="008A261D"/>
    <w:rsid w:val="008A27F1"/>
    <w:rsid w:val="008A2D9C"/>
    <w:rsid w:val="008A348A"/>
    <w:rsid w:val="008A3707"/>
    <w:rsid w:val="008A3E6C"/>
    <w:rsid w:val="008A4354"/>
    <w:rsid w:val="008A4563"/>
    <w:rsid w:val="008A4665"/>
    <w:rsid w:val="008A4694"/>
    <w:rsid w:val="008A4AC1"/>
    <w:rsid w:val="008A4CF0"/>
    <w:rsid w:val="008A53F1"/>
    <w:rsid w:val="008A565B"/>
    <w:rsid w:val="008A5C70"/>
    <w:rsid w:val="008A6713"/>
    <w:rsid w:val="008A685C"/>
    <w:rsid w:val="008A6911"/>
    <w:rsid w:val="008A6E1B"/>
    <w:rsid w:val="008A6E7F"/>
    <w:rsid w:val="008A6F63"/>
    <w:rsid w:val="008A7234"/>
    <w:rsid w:val="008B01C8"/>
    <w:rsid w:val="008B04AC"/>
    <w:rsid w:val="008B0B5E"/>
    <w:rsid w:val="008B0ED2"/>
    <w:rsid w:val="008B0F60"/>
    <w:rsid w:val="008B1F08"/>
    <w:rsid w:val="008B2587"/>
    <w:rsid w:val="008B2AD1"/>
    <w:rsid w:val="008B2D90"/>
    <w:rsid w:val="008B38AD"/>
    <w:rsid w:val="008B38D8"/>
    <w:rsid w:val="008B3907"/>
    <w:rsid w:val="008B3947"/>
    <w:rsid w:val="008B3CCE"/>
    <w:rsid w:val="008B4331"/>
    <w:rsid w:val="008B4580"/>
    <w:rsid w:val="008B487D"/>
    <w:rsid w:val="008B5443"/>
    <w:rsid w:val="008B5B82"/>
    <w:rsid w:val="008B6210"/>
    <w:rsid w:val="008B623A"/>
    <w:rsid w:val="008B6358"/>
    <w:rsid w:val="008B6D47"/>
    <w:rsid w:val="008B728E"/>
    <w:rsid w:val="008B7A8C"/>
    <w:rsid w:val="008B7CA5"/>
    <w:rsid w:val="008C08AD"/>
    <w:rsid w:val="008C0979"/>
    <w:rsid w:val="008C0A5A"/>
    <w:rsid w:val="008C1631"/>
    <w:rsid w:val="008C20EF"/>
    <w:rsid w:val="008C29B6"/>
    <w:rsid w:val="008C2FD2"/>
    <w:rsid w:val="008C36E2"/>
    <w:rsid w:val="008C371F"/>
    <w:rsid w:val="008C3917"/>
    <w:rsid w:val="008C3A2A"/>
    <w:rsid w:val="008C3A5E"/>
    <w:rsid w:val="008C3AEB"/>
    <w:rsid w:val="008C3D7D"/>
    <w:rsid w:val="008C460A"/>
    <w:rsid w:val="008C49F5"/>
    <w:rsid w:val="008C4C4E"/>
    <w:rsid w:val="008C4DE4"/>
    <w:rsid w:val="008C4E8C"/>
    <w:rsid w:val="008C4EC4"/>
    <w:rsid w:val="008C520E"/>
    <w:rsid w:val="008C5398"/>
    <w:rsid w:val="008C54FC"/>
    <w:rsid w:val="008C5784"/>
    <w:rsid w:val="008C588C"/>
    <w:rsid w:val="008C5A79"/>
    <w:rsid w:val="008C5CE5"/>
    <w:rsid w:val="008C5F1C"/>
    <w:rsid w:val="008C5FE3"/>
    <w:rsid w:val="008C6202"/>
    <w:rsid w:val="008C6662"/>
    <w:rsid w:val="008C695A"/>
    <w:rsid w:val="008C6E28"/>
    <w:rsid w:val="008C765E"/>
    <w:rsid w:val="008C7AA9"/>
    <w:rsid w:val="008C7DB1"/>
    <w:rsid w:val="008D045C"/>
    <w:rsid w:val="008D04E5"/>
    <w:rsid w:val="008D0A30"/>
    <w:rsid w:val="008D0D50"/>
    <w:rsid w:val="008D0D62"/>
    <w:rsid w:val="008D1368"/>
    <w:rsid w:val="008D17A3"/>
    <w:rsid w:val="008D1A36"/>
    <w:rsid w:val="008D1A89"/>
    <w:rsid w:val="008D1C0B"/>
    <w:rsid w:val="008D2450"/>
    <w:rsid w:val="008D2823"/>
    <w:rsid w:val="008D2D84"/>
    <w:rsid w:val="008D3105"/>
    <w:rsid w:val="008D315A"/>
    <w:rsid w:val="008D3408"/>
    <w:rsid w:val="008D35A1"/>
    <w:rsid w:val="008D3E54"/>
    <w:rsid w:val="008D4307"/>
    <w:rsid w:val="008D47E0"/>
    <w:rsid w:val="008D4844"/>
    <w:rsid w:val="008D4C42"/>
    <w:rsid w:val="008D51DA"/>
    <w:rsid w:val="008D56FC"/>
    <w:rsid w:val="008D5AC3"/>
    <w:rsid w:val="008D5D7E"/>
    <w:rsid w:val="008D5E7C"/>
    <w:rsid w:val="008D6456"/>
    <w:rsid w:val="008D655E"/>
    <w:rsid w:val="008D7151"/>
    <w:rsid w:val="008D7302"/>
    <w:rsid w:val="008D74CA"/>
    <w:rsid w:val="008D77ED"/>
    <w:rsid w:val="008D795F"/>
    <w:rsid w:val="008D7BAB"/>
    <w:rsid w:val="008E0A77"/>
    <w:rsid w:val="008E117C"/>
    <w:rsid w:val="008E12F9"/>
    <w:rsid w:val="008E13FF"/>
    <w:rsid w:val="008E17BC"/>
    <w:rsid w:val="008E19DD"/>
    <w:rsid w:val="008E1B12"/>
    <w:rsid w:val="008E1DB3"/>
    <w:rsid w:val="008E2437"/>
    <w:rsid w:val="008E266E"/>
    <w:rsid w:val="008E2842"/>
    <w:rsid w:val="008E3355"/>
    <w:rsid w:val="008E36D2"/>
    <w:rsid w:val="008E4068"/>
    <w:rsid w:val="008E4BCD"/>
    <w:rsid w:val="008E4EA7"/>
    <w:rsid w:val="008E5693"/>
    <w:rsid w:val="008E5925"/>
    <w:rsid w:val="008E5963"/>
    <w:rsid w:val="008E59B8"/>
    <w:rsid w:val="008E5A4E"/>
    <w:rsid w:val="008E5C89"/>
    <w:rsid w:val="008F024F"/>
    <w:rsid w:val="008F0571"/>
    <w:rsid w:val="008F059D"/>
    <w:rsid w:val="008F0662"/>
    <w:rsid w:val="008F090E"/>
    <w:rsid w:val="008F0A14"/>
    <w:rsid w:val="008F0C89"/>
    <w:rsid w:val="008F0D45"/>
    <w:rsid w:val="008F0F76"/>
    <w:rsid w:val="008F1016"/>
    <w:rsid w:val="008F106F"/>
    <w:rsid w:val="008F1AFA"/>
    <w:rsid w:val="008F1E22"/>
    <w:rsid w:val="008F2715"/>
    <w:rsid w:val="008F2ECA"/>
    <w:rsid w:val="008F3916"/>
    <w:rsid w:val="008F3E49"/>
    <w:rsid w:val="008F3E7E"/>
    <w:rsid w:val="008F4F2F"/>
    <w:rsid w:val="008F50BC"/>
    <w:rsid w:val="008F5113"/>
    <w:rsid w:val="008F512F"/>
    <w:rsid w:val="008F5207"/>
    <w:rsid w:val="008F58B0"/>
    <w:rsid w:val="008F5DC1"/>
    <w:rsid w:val="008F63A2"/>
    <w:rsid w:val="008F6441"/>
    <w:rsid w:val="008F6C6F"/>
    <w:rsid w:val="008F7225"/>
    <w:rsid w:val="008F796A"/>
    <w:rsid w:val="008F7D64"/>
    <w:rsid w:val="0090008A"/>
    <w:rsid w:val="00900491"/>
    <w:rsid w:val="00901014"/>
    <w:rsid w:val="00901991"/>
    <w:rsid w:val="00901AD6"/>
    <w:rsid w:val="00901B27"/>
    <w:rsid w:val="009020EA"/>
    <w:rsid w:val="00902168"/>
    <w:rsid w:val="009027D1"/>
    <w:rsid w:val="009029AB"/>
    <w:rsid w:val="00902F59"/>
    <w:rsid w:val="00903077"/>
    <w:rsid w:val="009030F3"/>
    <w:rsid w:val="00903155"/>
    <w:rsid w:val="009038F1"/>
    <w:rsid w:val="00903C3D"/>
    <w:rsid w:val="009048C1"/>
    <w:rsid w:val="009051E0"/>
    <w:rsid w:val="00905616"/>
    <w:rsid w:val="009058A1"/>
    <w:rsid w:val="00905AD2"/>
    <w:rsid w:val="00906096"/>
    <w:rsid w:val="009066A9"/>
    <w:rsid w:val="00906C0C"/>
    <w:rsid w:val="00906CC9"/>
    <w:rsid w:val="00906FBB"/>
    <w:rsid w:val="0090734E"/>
    <w:rsid w:val="00907564"/>
    <w:rsid w:val="00907969"/>
    <w:rsid w:val="00907A75"/>
    <w:rsid w:val="00907AC0"/>
    <w:rsid w:val="009103BA"/>
    <w:rsid w:val="009108DE"/>
    <w:rsid w:val="00910B02"/>
    <w:rsid w:val="0091174F"/>
    <w:rsid w:val="00911846"/>
    <w:rsid w:val="00912160"/>
    <w:rsid w:val="009121D1"/>
    <w:rsid w:val="009124CD"/>
    <w:rsid w:val="00912BAE"/>
    <w:rsid w:val="00912C05"/>
    <w:rsid w:val="00912D8D"/>
    <w:rsid w:val="0091321F"/>
    <w:rsid w:val="00913EEE"/>
    <w:rsid w:val="009146B2"/>
    <w:rsid w:val="0091478A"/>
    <w:rsid w:val="00914D90"/>
    <w:rsid w:val="009151DE"/>
    <w:rsid w:val="00915E7B"/>
    <w:rsid w:val="00915EBB"/>
    <w:rsid w:val="0091617B"/>
    <w:rsid w:val="00916246"/>
    <w:rsid w:val="00916A41"/>
    <w:rsid w:val="00916E5A"/>
    <w:rsid w:val="009175AE"/>
    <w:rsid w:val="00917716"/>
    <w:rsid w:val="00917BF1"/>
    <w:rsid w:val="00920509"/>
    <w:rsid w:val="009208D5"/>
    <w:rsid w:val="0092097E"/>
    <w:rsid w:val="00920FF4"/>
    <w:rsid w:val="009214B3"/>
    <w:rsid w:val="009216F8"/>
    <w:rsid w:val="009217C1"/>
    <w:rsid w:val="009219FC"/>
    <w:rsid w:val="009220C3"/>
    <w:rsid w:val="0092250C"/>
    <w:rsid w:val="0092290C"/>
    <w:rsid w:val="00922C76"/>
    <w:rsid w:val="00923C04"/>
    <w:rsid w:val="00923C0A"/>
    <w:rsid w:val="00923C90"/>
    <w:rsid w:val="00923DE1"/>
    <w:rsid w:val="00924AC3"/>
    <w:rsid w:val="00924CD2"/>
    <w:rsid w:val="00925186"/>
    <w:rsid w:val="00925650"/>
    <w:rsid w:val="0092565E"/>
    <w:rsid w:val="009258E9"/>
    <w:rsid w:val="00925ABF"/>
    <w:rsid w:val="0092643B"/>
    <w:rsid w:val="0092649F"/>
    <w:rsid w:val="0092682E"/>
    <w:rsid w:val="00926CC0"/>
    <w:rsid w:val="00926DEF"/>
    <w:rsid w:val="009272DC"/>
    <w:rsid w:val="009276C6"/>
    <w:rsid w:val="00927AE8"/>
    <w:rsid w:val="00927B75"/>
    <w:rsid w:val="009301A7"/>
    <w:rsid w:val="009301F2"/>
    <w:rsid w:val="009302F8"/>
    <w:rsid w:val="00930550"/>
    <w:rsid w:val="00931AA6"/>
    <w:rsid w:val="00931C31"/>
    <w:rsid w:val="009320E0"/>
    <w:rsid w:val="009321C0"/>
    <w:rsid w:val="009323DA"/>
    <w:rsid w:val="009329D8"/>
    <w:rsid w:val="0093308A"/>
    <w:rsid w:val="00933350"/>
    <w:rsid w:val="009338E9"/>
    <w:rsid w:val="00933C97"/>
    <w:rsid w:val="0093455E"/>
    <w:rsid w:val="00934BCF"/>
    <w:rsid w:val="00934CDC"/>
    <w:rsid w:val="009350C2"/>
    <w:rsid w:val="00935535"/>
    <w:rsid w:val="00935694"/>
    <w:rsid w:val="00935700"/>
    <w:rsid w:val="00935ABE"/>
    <w:rsid w:val="00935F1C"/>
    <w:rsid w:val="00936A09"/>
    <w:rsid w:val="00936BA3"/>
    <w:rsid w:val="009371CD"/>
    <w:rsid w:val="009374C7"/>
    <w:rsid w:val="00937521"/>
    <w:rsid w:val="00937AF7"/>
    <w:rsid w:val="0094070B"/>
    <w:rsid w:val="009407A6"/>
    <w:rsid w:val="00940A29"/>
    <w:rsid w:val="00940BDE"/>
    <w:rsid w:val="0094129A"/>
    <w:rsid w:val="009416EF"/>
    <w:rsid w:val="00941720"/>
    <w:rsid w:val="00941C8C"/>
    <w:rsid w:val="00941EC9"/>
    <w:rsid w:val="009428F0"/>
    <w:rsid w:val="0094295A"/>
    <w:rsid w:val="009437AD"/>
    <w:rsid w:val="00943885"/>
    <w:rsid w:val="00943CD7"/>
    <w:rsid w:val="0094409E"/>
    <w:rsid w:val="00944452"/>
    <w:rsid w:val="009444BF"/>
    <w:rsid w:val="00944739"/>
    <w:rsid w:val="00944EC0"/>
    <w:rsid w:val="00945414"/>
    <w:rsid w:val="00945FE2"/>
    <w:rsid w:val="00946151"/>
    <w:rsid w:val="00946B8F"/>
    <w:rsid w:val="00946C70"/>
    <w:rsid w:val="00946CB3"/>
    <w:rsid w:val="00947320"/>
    <w:rsid w:val="00947A56"/>
    <w:rsid w:val="009501C1"/>
    <w:rsid w:val="009505F5"/>
    <w:rsid w:val="00950EB9"/>
    <w:rsid w:val="00950F99"/>
    <w:rsid w:val="00951703"/>
    <w:rsid w:val="009518A9"/>
    <w:rsid w:val="00951F30"/>
    <w:rsid w:val="00951FA9"/>
    <w:rsid w:val="00952058"/>
    <w:rsid w:val="0095231B"/>
    <w:rsid w:val="0095282A"/>
    <w:rsid w:val="0095293C"/>
    <w:rsid w:val="00953002"/>
    <w:rsid w:val="00954AAB"/>
    <w:rsid w:val="00954D57"/>
    <w:rsid w:val="00954E99"/>
    <w:rsid w:val="00955767"/>
    <w:rsid w:val="00955C6F"/>
    <w:rsid w:val="00955EE4"/>
    <w:rsid w:val="00955FEA"/>
    <w:rsid w:val="0095619D"/>
    <w:rsid w:val="009562D9"/>
    <w:rsid w:val="00956762"/>
    <w:rsid w:val="009568C3"/>
    <w:rsid w:val="00956E06"/>
    <w:rsid w:val="00956F4F"/>
    <w:rsid w:val="00956F63"/>
    <w:rsid w:val="009571AB"/>
    <w:rsid w:val="00957627"/>
    <w:rsid w:val="00957C13"/>
    <w:rsid w:val="00960E52"/>
    <w:rsid w:val="0096155B"/>
    <w:rsid w:val="009617C2"/>
    <w:rsid w:val="00961EEE"/>
    <w:rsid w:val="00961F8A"/>
    <w:rsid w:val="00961FCE"/>
    <w:rsid w:val="0096229B"/>
    <w:rsid w:val="009622FD"/>
    <w:rsid w:val="00962529"/>
    <w:rsid w:val="00962809"/>
    <w:rsid w:val="00962ABD"/>
    <w:rsid w:val="00963372"/>
    <w:rsid w:val="009633EC"/>
    <w:rsid w:val="00964212"/>
    <w:rsid w:val="009647C9"/>
    <w:rsid w:val="0096499E"/>
    <w:rsid w:val="00964CAE"/>
    <w:rsid w:val="00964F0F"/>
    <w:rsid w:val="0096558A"/>
    <w:rsid w:val="00965B6B"/>
    <w:rsid w:val="00966269"/>
    <w:rsid w:val="0096654A"/>
    <w:rsid w:val="0096669C"/>
    <w:rsid w:val="00966858"/>
    <w:rsid w:val="00966B0C"/>
    <w:rsid w:val="00966B32"/>
    <w:rsid w:val="00966BDA"/>
    <w:rsid w:val="00966F34"/>
    <w:rsid w:val="00967157"/>
    <w:rsid w:val="00967473"/>
    <w:rsid w:val="009675AA"/>
    <w:rsid w:val="0096794C"/>
    <w:rsid w:val="00970955"/>
    <w:rsid w:val="00970F9F"/>
    <w:rsid w:val="00971201"/>
    <w:rsid w:val="00971347"/>
    <w:rsid w:val="00971BCB"/>
    <w:rsid w:val="009720EA"/>
    <w:rsid w:val="00972341"/>
    <w:rsid w:val="009725B8"/>
    <w:rsid w:val="0097273E"/>
    <w:rsid w:val="00972ACF"/>
    <w:rsid w:val="00973110"/>
    <w:rsid w:val="00973400"/>
    <w:rsid w:val="00973511"/>
    <w:rsid w:val="009736F5"/>
    <w:rsid w:val="00973AC0"/>
    <w:rsid w:val="00973F6C"/>
    <w:rsid w:val="00974080"/>
    <w:rsid w:val="00974833"/>
    <w:rsid w:val="0097498F"/>
    <w:rsid w:val="00975365"/>
    <w:rsid w:val="00975578"/>
    <w:rsid w:val="00975BF6"/>
    <w:rsid w:val="0097649A"/>
    <w:rsid w:val="0097734D"/>
    <w:rsid w:val="00977A3D"/>
    <w:rsid w:val="00977D1D"/>
    <w:rsid w:val="00980103"/>
    <w:rsid w:val="00980790"/>
    <w:rsid w:val="00980F15"/>
    <w:rsid w:val="00981762"/>
    <w:rsid w:val="00981912"/>
    <w:rsid w:val="00981CBE"/>
    <w:rsid w:val="00982159"/>
    <w:rsid w:val="00982E5D"/>
    <w:rsid w:val="00982ECE"/>
    <w:rsid w:val="00982FE7"/>
    <w:rsid w:val="00982FF1"/>
    <w:rsid w:val="00983013"/>
    <w:rsid w:val="009836A0"/>
    <w:rsid w:val="009839A2"/>
    <w:rsid w:val="009839FF"/>
    <w:rsid w:val="00983B2C"/>
    <w:rsid w:val="00983D3B"/>
    <w:rsid w:val="0098430B"/>
    <w:rsid w:val="00984350"/>
    <w:rsid w:val="00984699"/>
    <w:rsid w:val="009849B0"/>
    <w:rsid w:val="00984FC7"/>
    <w:rsid w:val="0098515A"/>
    <w:rsid w:val="00985906"/>
    <w:rsid w:val="00986351"/>
    <w:rsid w:val="0098664F"/>
    <w:rsid w:val="00986D63"/>
    <w:rsid w:val="009871C2"/>
    <w:rsid w:val="00987461"/>
    <w:rsid w:val="00987D03"/>
    <w:rsid w:val="00987D31"/>
    <w:rsid w:val="00987EC5"/>
    <w:rsid w:val="0099071C"/>
    <w:rsid w:val="00990988"/>
    <w:rsid w:val="00990B4F"/>
    <w:rsid w:val="00990D75"/>
    <w:rsid w:val="00990F87"/>
    <w:rsid w:val="009921E5"/>
    <w:rsid w:val="00992738"/>
    <w:rsid w:val="00992777"/>
    <w:rsid w:val="00992A48"/>
    <w:rsid w:val="00992F24"/>
    <w:rsid w:val="00992F4C"/>
    <w:rsid w:val="00993167"/>
    <w:rsid w:val="0099399F"/>
    <w:rsid w:val="00993A15"/>
    <w:rsid w:val="00993C58"/>
    <w:rsid w:val="00993D39"/>
    <w:rsid w:val="0099404D"/>
    <w:rsid w:val="009942FC"/>
    <w:rsid w:val="0099430D"/>
    <w:rsid w:val="009949EF"/>
    <w:rsid w:val="00995924"/>
    <w:rsid w:val="00995E8E"/>
    <w:rsid w:val="009961EC"/>
    <w:rsid w:val="009967C8"/>
    <w:rsid w:val="009968E0"/>
    <w:rsid w:val="00997372"/>
    <w:rsid w:val="00997719"/>
    <w:rsid w:val="009977A9"/>
    <w:rsid w:val="00997C5C"/>
    <w:rsid w:val="00997F25"/>
    <w:rsid w:val="009A03F5"/>
    <w:rsid w:val="009A0605"/>
    <w:rsid w:val="009A0656"/>
    <w:rsid w:val="009A06F0"/>
    <w:rsid w:val="009A0BD4"/>
    <w:rsid w:val="009A0E85"/>
    <w:rsid w:val="009A13C7"/>
    <w:rsid w:val="009A15D2"/>
    <w:rsid w:val="009A1833"/>
    <w:rsid w:val="009A197B"/>
    <w:rsid w:val="009A1FE8"/>
    <w:rsid w:val="009A3209"/>
    <w:rsid w:val="009A320D"/>
    <w:rsid w:val="009A3CAD"/>
    <w:rsid w:val="009A3DA9"/>
    <w:rsid w:val="009A3ED7"/>
    <w:rsid w:val="009A4750"/>
    <w:rsid w:val="009A4908"/>
    <w:rsid w:val="009A4A29"/>
    <w:rsid w:val="009A4C91"/>
    <w:rsid w:val="009A5389"/>
    <w:rsid w:val="009A5812"/>
    <w:rsid w:val="009A5B79"/>
    <w:rsid w:val="009A5B99"/>
    <w:rsid w:val="009A6072"/>
    <w:rsid w:val="009A60F6"/>
    <w:rsid w:val="009A6CAC"/>
    <w:rsid w:val="009A71FA"/>
    <w:rsid w:val="009A779C"/>
    <w:rsid w:val="009A77E2"/>
    <w:rsid w:val="009A79A1"/>
    <w:rsid w:val="009B0076"/>
    <w:rsid w:val="009B01D9"/>
    <w:rsid w:val="009B0453"/>
    <w:rsid w:val="009B0A94"/>
    <w:rsid w:val="009B0AAF"/>
    <w:rsid w:val="009B0D5A"/>
    <w:rsid w:val="009B0D64"/>
    <w:rsid w:val="009B0DD9"/>
    <w:rsid w:val="009B1832"/>
    <w:rsid w:val="009B1A54"/>
    <w:rsid w:val="009B1AC3"/>
    <w:rsid w:val="009B2621"/>
    <w:rsid w:val="009B2EA6"/>
    <w:rsid w:val="009B389A"/>
    <w:rsid w:val="009B3AA0"/>
    <w:rsid w:val="009B3C30"/>
    <w:rsid w:val="009B3D6A"/>
    <w:rsid w:val="009B3D9B"/>
    <w:rsid w:val="009B4754"/>
    <w:rsid w:val="009B495E"/>
    <w:rsid w:val="009B4C0A"/>
    <w:rsid w:val="009B4FB9"/>
    <w:rsid w:val="009B5236"/>
    <w:rsid w:val="009B53F0"/>
    <w:rsid w:val="009B5437"/>
    <w:rsid w:val="009B547F"/>
    <w:rsid w:val="009B5803"/>
    <w:rsid w:val="009B61CB"/>
    <w:rsid w:val="009B6599"/>
    <w:rsid w:val="009B6B0A"/>
    <w:rsid w:val="009B6DE7"/>
    <w:rsid w:val="009B7704"/>
    <w:rsid w:val="009B7C03"/>
    <w:rsid w:val="009C026E"/>
    <w:rsid w:val="009C044D"/>
    <w:rsid w:val="009C093A"/>
    <w:rsid w:val="009C093C"/>
    <w:rsid w:val="009C1468"/>
    <w:rsid w:val="009C1637"/>
    <w:rsid w:val="009C1759"/>
    <w:rsid w:val="009C1C2B"/>
    <w:rsid w:val="009C21BD"/>
    <w:rsid w:val="009C21F0"/>
    <w:rsid w:val="009C2516"/>
    <w:rsid w:val="009C29AA"/>
    <w:rsid w:val="009C2DFD"/>
    <w:rsid w:val="009C3053"/>
    <w:rsid w:val="009C3BA5"/>
    <w:rsid w:val="009C4470"/>
    <w:rsid w:val="009C4533"/>
    <w:rsid w:val="009C47C4"/>
    <w:rsid w:val="009C5A8C"/>
    <w:rsid w:val="009C68FD"/>
    <w:rsid w:val="009C6C6E"/>
    <w:rsid w:val="009C730F"/>
    <w:rsid w:val="009C7540"/>
    <w:rsid w:val="009C7602"/>
    <w:rsid w:val="009C7668"/>
    <w:rsid w:val="009C7939"/>
    <w:rsid w:val="009C7A68"/>
    <w:rsid w:val="009C7A6E"/>
    <w:rsid w:val="009D0EFE"/>
    <w:rsid w:val="009D11E8"/>
    <w:rsid w:val="009D181B"/>
    <w:rsid w:val="009D1F4B"/>
    <w:rsid w:val="009D204E"/>
    <w:rsid w:val="009D2243"/>
    <w:rsid w:val="009D26DE"/>
    <w:rsid w:val="009D288E"/>
    <w:rsid w:val="009D2CCB"/>
    <w:rsid w:val="009D2ED4"/>
    <w:rsid w:val="009D2FD8"/>
    <w:rsid w:val="009D35EB"/>
    <w:rsid w:val="009D4714"/>
    <w:rsid w:val="009D4F32"/>
    <w:rsid w:val="009D4F7F"/>
    <w:rsid w:val="009D522C"/>
    <w:rsid w:val="009D52AC"/>
    <w:rsid w:val="009D5302"/>
    <w:rsid w:val="009D5881"/>
    <w:rsid w:val="009D5909"/>
    <w:rsid w:val="009D5985"/>
    <w:rsid w:val="009D5A4B"/>
    <w:rsid w:val="009D5B93"/>
    <w:rsid w:val="009D5BFA"/>
    <w:rsid w:val="009D6112"/>
    <w:rsid w:val="009D64CD"/>
    <w:rsid w:val="009D6651"/>
    <w:rsid w:val="009D6859"/>
    <w:rsid w:val="009D700C"/>
    <w:rsid w:val="009D707B"/>
    <w:rsid w:val="009D74E5"/>
    <w:rsid w:val="009D755B"/>
    <w:rsid w:val="009D7A0F"/>
    <w:rsid w:val="009D7A44"/>
    <w:rsid w:val="009D7C37"/>
    <w:rsid w:val="009E0195"/>
    <w:rsid w:val="009E022E"/>
    <w:rsid w:val="009E0715"/>
    <w:rsid w:val="009E0AB9"/>
    <w:rsid w:val="009E0CD4"/>
    <w:rsid w:val="009E0E81"/>
    <w:rsid w:val="009E11FF"/>
    <w:rsid w:val="009E15E4"/>
    <w:rsid w:val="009E2405"/>
    <w:rsid w:val="009E255C"/>
    <w:rsid w:val="009E2A69"/>
    <w:rsid w:val="009E2AE1"/>
    <w:rsid w:val="009E3464"/>
    <w:rsid w:val="009E359C"/>
    <w:rsid w:val="009E35D4"/>
    <w:rsid w:val="009E3AB9"/>
    <w:rsid w:val="009E458F"/>
    <w:rsid w:val="009E4C9E"/>
    <w:rsid w:val="009E4D7E"/>
    <w:rsid w:val="009E4E75"/>
    <w:rsid w:val="009E528B"/>
    <w:rsid w:val="009E59DF"/>
    <w:rsid w:val="009E5B86"/>
    <w:rsid w:val="009E5F56"/>
    <w:rsid w:val="009E6CB3"/>
    <w:rsid w:val="009E7105"/>
    <w:rsid w:val="009E7234"/>
    <w:rsid w:val="009E7602"/>
    <w:rsid w:val="009E7940"/>
    <w:rsid w:val="009E7DE7"/>
    <w:rsid w:val="009F00EB"/>
    <w:rsid w:val="009F02D5"/>
    <w:rsid w:val="009F086D"/>
    <w:rsid w:val="009F0DFA"/>
    <w:rsid w:val="009F1408"/>
    <w:rsid w:val="009F18BA"/>
    <w:rsid w:val="009F1A83"/>
    <w:rsid w:val="009F21B5"/>
    <w:rsid w:val="009F250F"/>
    <w:rsid w:val="009F2A81"/>
    <w:rsid w:val="009F2C08"/>
    <w:rsid w:val="009F3184"/>
    <w:rsid w:val="009F32EA"/>
    <w:rsid w:val="009F3948"/>
    <w:rsid w:val="009F42A4"/>
    <w:rsid w:val="009F58C9"/>
    <w:rsid w:val="009F5FAD"/>
    <w:rsid w:val="009F617F"/>
    <w:rsid w:val="009F78D8"/>
    <w:rsid w:val="009F79FA"/>
    <w:rsid w:val="009F7B85"/>
    <w:rsid w:val="009F7F44"/>
    <w:rsid w:val="009F7F4B"/>
    <w:rsid w:val="00A000C1"/>
    <w:rsid w:val="00A005C7"/>
    <w:rsid w:val="00A005DE"/>
    <w:rsid w:val="00A00B2D"/>
    <w:rsid w:val="00A00B6A"/>
    <w:rsid w:val="00A00CCB"/>
    <w:rsid w:val="00A00F6D"/>
    <w:rsid w:val="00A01874"/>
    <w:rsid w:val="00A018F8"/>
    <w:rsid w:val="00A019B6"/>
    <w:rsid w:val="00A01B73"/>
    <w:rsid w:val="00A020B0"/>
    <w:rsid w:val="00A025BA"/>
    <w:rsid w:val="00A03973"/>
    <w:rsid w:val="00A03E17"/>
    <w:rsid w:val="00A0440A"/>
    <w:rsid w:val="00A0499E"/>
    <w:rsid w:val="00A04F23"/>
    <w:rsid w:val="00A0628E"/>
    <w:rsid w:val="00A0641D"/>
    <w:rsid w:val="00A068D4"/>
    <w:rsid w:val="00A06A83"/>
    <w:rsid w:val="00A06AC7"/>
    <w:rsid w:val="00A06CED"/>
    <w:rsid w:val="00A06F32"/>
    <w:rsid w:val="00A071F3"/>
    <w:rsid w:val="00A0721B"/>
    <w:rsid w:val="00A07244"/>
    <w:rsid w:val="00A07A8B"/>
    <w:rsid w:val="00A111EE"/>
    <w:rsid w:val="00A1136E"/>
    <w:rsid w:val="00A11ACA"/>
    <w:rsid w:val="00A11D24"/>
    <w:rsid w:val="00A11E54"/>
    <w:rsid w:val="00A12120"/>
    <w:rsid w:val="00A122B0"/>
    <w:rsid w:val="00A12EEA"/>
    <w:rsid w:val="00A130E6"/>
    <w:rsid w:val="00A13722"/>
    <w:rsid w:val="00A13ECF"/>
    <w:rsid w:val="00A13F5C"/>
    <w:rsid w:val="00A14059"/>
    <w:rsid w:val="00A1416E"/>
    <w:rsid w:val="00A141DB"/>
    <w:rsid w:val="00A1554C"/>
    <w:rsid w:val="00A1558D"/>
    <w:rsid w:val="00A1581B"/>
    <w:rsid w:val="00A15913"/>
    <w:rsid w:val="00A15D09"/>
    <w:rsid w:val="00A16078"/>
    <w:rsid w:val="00A16380"/>
    <w:rsid w:val="00A167F0"/>
    <w:rsid w:val="00A1690D"/>
    <w:rsid w:val="00A16948"/>
    <w:rsid w:val="00A16A83"/>
    <w:rsid w:val="00A16C21"/>
    <w:rsid w:val="00A173C8"/>
    <w:rsid w:val="00A17468"/>
    <w:rsid w:val="00A17AA1"/>
    <w:rsid w:val="00A17C85"/>
    <w:rsid w:val="00A17D00"/>
    <w:rsid w:val="00A200B0"/>
    <w:rsid w:val="00A20133"/>
    <w:rsid w:val="00A201C4"/>
    <w:rsid w:val="00A20395"/>
    <w:rsid w:val="00A20400"/>
    <w:rsid w:val="00A20BD8"/>
    <w:rsid w:val="00A20FCB"/>
    <w:rsid w:val="00A212B7"/>
    <w:rsid w:val="00A2170D"/>
    <w:rsid w:val="00A21C1C"/>
    <w:rsid w:val="00A21E69"/>
    <w:rsid w:val="00A222E5"/>
    <w:rsid w:val="00A22372"/>
    <w:rsid w:val="00A22555"/>
    <w:rsid w:val="00A22C35"/>
    <w:rsid w:val="00A22E0F"/>
    <w:rsid w:val="00A230AB"/>
    <w:rsid w:val="00A233C0"/>
    <w:rsid w:val="00A24082"/>
    <w:rsid w:val="00A24F41"/>
    <w:rsid w:val="00A261C3"/>
    <w:rsid w:val="00A269BF"/>
    <w:rsid w:val="00A26BF4"/>
    <w:rsid w:val="00A26F54"/>
    <w:rsid w:val="00A2718E"/>
    <w:rsid w:val="00A2787F"/>
    <w:rsid w:val="00A2794A"/>
    <w:rsid w:val="00A27D29"/>
    <w:rsid w:val="00A301C4"/>
    <w:rsid w:val="00A3057B"/>
    <w:rsid w:val="00A3071D"/>
    <w:rsid w:val="00A3078E"/>
    <w:rsid w:val="00A307D6"/>
    <w:rsid w:val="00A309FE"/>
    <w:rsid w:val="00A30C5C"/>
    <w:rsid w:val="00A3201B"/>
    <w:rsid w:val="00A32291"/>
    <w:rsid w:val="00A324A5"/>
    <w:rsid w:val="00A3269E"/>
    <w:rsid w:val="00A32AC3"/>
    <w:rsid w:val="00A32DEA"/>
    <w:rsid w:val="00A32EC3"/>
    <w:rsid w:val="00A338E3"/>
    <w:rsid w:val="00A3406D"/>
    <w:rsid w:val="00A34241"/>
    <w:rsid w:val="00A34A35"/>
    <w:rsid w:val="00A34CDF"/>
    <w:rsid w:val="00A3530E"/>
    <w:rsid w:val="00A357E9"/>
    <w:rsid w:val="00A3584E"/>
    <w:rsid w:val="00A363C8"/>
    <w:rsid w:val="00A36951"/>
    <w:rsid w:val="00A36E50"/>
    <w:rsid w:val="00A37541"/>
    <w:rsid w:val="00A37D1E"/>
    <w:rsid w:val="00A405C8"/>
    <w:rsid w:val="00A4071F"/>
    <w:rsid w:val="00A4092C"/>
    <w:rsid w:val="00A41030"/>
    <w:rsid w:val="00A41114"/>
    <w:rsid w:val="00A421F8"/>
    <w:rsid w:val="00A42A99"/>
    <w:rsid w:val="00A42BFE"/>
    <w:rsid w:val="00A42E5F"/>
    <w:rsid w:val="00A43116"/>
    <w:rsid w:val="00A43308"/>
    <w:rsid w:val="00A43732"/>
    <w:rsid w:val="00A438A4"/>
    <w:rsid w:val="00A43B5F"/>
    <w:rsid w:val="00A43D08"/>
    <w:rsid w:val="00A43D4D"/>
    <w:rsid w:val="00A43FCD"/>
    <w:rsid w:val="00A443A9"/>
    <w:rsid w:val="00A4449D"/>
    <w:rsid w:val="00A450BD"/>
    <w:rsid w:val="00A45D1F"/>
    <w:rsid w:val="00A4641D"/>
    <w:rsid w:val="00A474D3"/>
    <w:rsid w:val="00A477E6"/>
    <w:rsid w:val="00A47A3E"/>
    <w:rsid w:val="00A501C6"/>
    <w:rsid w:val="00A501EC"/>
    <w:rsid w:val="00A50563"/>
    <w:rsid w:val="00A50571"/>
    <w:rsid w:val="00A5064A"/>
    <w:rsid w:val="00A50DA9"/>
    <w:rsid w:val="00A50E50"/>
    <w:rsid w:val="00A50FA0"/>
    <w:rsid w:val="00A51032"/>
    <w:rsid w:val="00A516C0"/>
    <w:rsid w:val="00A51757"/>
    <w:rsid w:val="00A51845"/>
    <w:rsid w:val="00A52041"/>
    <w:rsid w:val="00A528EB"/>
    <w:rsid w:val="00A53310"/>
    <w:rsid w:val="00A53C89"/>
    <w:rsid w:val="00A547CA"/>
    <w:rsid w:val="00A548DD"/>
    <w:rsid w:val="00A54C8A"/>
    <w:rsid w:val="00A54FAF"/>
    <w:rsid w:val="00A55020"/>
    <w:rsid w:val="00A5532D"/>
    <w:rsid w:val="00A55BBB"/>
    <w:rsid w:val="00A55D1D"/>
    <w:rsid w:val="00A56091"/>
    <w:rsid w:val="00A561BF"/>
    <w:rsid w:val="00A56CBD"/>
    <w:rsid w:val="00A56E48"/>
    <w:rsid w:val="00A57393"/>
    <w:rsid w:val="00A5746E"/>
    <w:rsid w:val="00A577D1"/>
    <w:rsid w:val="00A57C29"/>
    <w:rsid w:val="00A57C56"/>
    <w:rsid w:val="00A57F3F"/>
    <w:rsid w:val="00A60300"/>
    <w:rsid w:val="00A61A06"/>
    <w:rsid w:val="00A62107"/>
    <w:rsid w:val="00A62111"/>
    <w:rsid w:val="00A62A1C"/>
    <w:rsid w:val="00A62E35"/>
    <w:rsid w:val="00A62F55"/>
    <w:rsid w:val="00A6310D"/>
    <w:rsid w:val="00A63285"/>
    <w:rsid w:val="00A636F4"/>
    <w:rsid w:val="00A6370A"/>
    <w:rsid w:val="00A63876"/>
    <w:rsid w:val="00A63E6D"/>
    <w:rsid w:val="00A63E7D"/>
    <w:rsid w:val="00A64457"/>
    <w:rsid w:val="00A649B1"/>
    <w:rsid w:val="00A649B8"/>
    <w:rsid w:val="00A64ABA"/>
    <w:rsid w:val="00A64F0A"/>
    <w:rsid w:val="00A650A9"/>
    <w:rsid w:val="00A6540B"/>
    <w:rsid w:val="00A6553E"/>
    <w:rsid w:val="00A65DF9"/>
    <w:rsid w:val="00A660F1"/>
    <w:rsid w:val="00A669D0"/>
    <w:rsid w:val="00A66B52"/>
    <w:rsid w:val="00A66D47"/>
    <w:rsid w:val="00A67035"/>
    <w:rsid w:val="00A67049"/>
    <w:rsid w:val="00A67080"/>
    <w:rsid w:val="00A67690"/>
    <w:rsid w:val="00A676F0"/>
    <w:rsid w:val="00A67C19"/>
    <w:rsid w:val="00A67F88"/>
    <w:rsid w:val="00A67FC9"/>
    <w:rsid w:val="00A70000"/>
    <w:rsid w:val="00A702D6"/>
    <w:rsid w:val="00A71229"/>
    <w:rsid w:val="00A714CE"/>
    <w:rsid w:val="00A715BF"/>
    <w:rsid w:val="00A719C2"/>
    <w:rsid w:val="00A71DEF"/>
    <w:rsid w:val="00A722D1"/>
    <w:rsid w:val="00A723DB"/>
    <w:rsid w:val="00A73093"/>
    <w:rsid w:val="00A7328D"/>
    <w:rsid w:val="00A733A9"/>
    <w:rsid w:val="00A73442"/>
    <w:rsid w:val="00A73490"/>
    <w:rsid w:val="00A7371D"/>
    <w:rsid w:val="00A738C9"/>
    <w:rsid w:val="00A740CD"/>
    <w:rsid w:val="00A7418D"/>
    <w:rsid w:val="00A741A4"/>
    <w:rsid w:val="00A74416"/>
    <w:rsid w:val="00A74F69"/>
    <w:rsid w:val="00A74FDC"/>
    <w:rsid w:val="00A750BD"/>
    <w:rsid w:val="00A75744"/>
    <w:rsid w:val="00A75A4C"/>
    <w:rsid w:val="00A75A8B"/>
    <w:rsid w:val="00A75F02"/>
    <w:rsid w:val="00A76D38"/>
    <w:rsid w:val="00A76F6A"/>
    <w:rsid w:val="00A77117"/>
    <w:rsid w:val="00A776EC"/>
    <w:rsid w:val="00A777F9"/>
    <w:rsid w:val="00A777FB"/>
    <w:rsid w:val="00A77E38"/>
    <w:rsid w:val="00A803A8"/>
    <w:rsid w:val="00A80526"/>
    <w:rsid w:val="00A8101F"/>
    <w:rsid w:val="00A81378"/>
    <w:rsid w:val="00A81552"/>
    <w:rsid w:val="00A8177D"/>
    <w:rsid w:val="00A81EEC"/>
    <w:rsid w:val="00A8205B"/>
    <w:rsid w:val="00A828F9"/>
    <w:rsid w:val="00A82B2A"/>
    <w:rsid w:val="00A82B30"/>
    <w:rsid w:val="00A832DF"/>
    <w:rsid w:val="00A832E5"/>
    <w:rsid w:val="00A835A4"/>
    <w:rsid w:val="00A83624"/>
    <w:rsid w:val="00A836F1"/>
    <w:rsid w:val="00A84104"/>
    <w:rsid w:val="00A846FE"/>
    <w:rsid w:val="00A8483D"/>
    <w:rsid w:val="00A8494E"/>
    <w:rsid w:val="00A85003"/>
    <w:rsid w:val="00A8501A"/>
    <w:rsid w:val="00A85387"/>
    <w:rsid w:val="00A85AD1"/>
    <w:rsid w:val="00A85DDA"/>
    <w:rsid w:val="00A86553"/>
    <w:rsid w:val="00A8668D"/>
    <w:rsid w:val="00A866B9"/>
    <w:rsid w:val="00A86A55"/>
    <w:rsid w:val="00A86B9D"/>
    <w:rsid w:val="00A86EEB"/>
    <w:rsid w:val="00A86EF3"/>
    <w:rsid w:val="00A86EF5"/>
    <w:rsid w:val="00A871DC"/>
    <w:rsid w:val="00A875D3"/>
    <w:rsid w:val="00A8780F"/>
    <w:rsid w:val="00A879F0"/>
    <w:rsid w:val="00A87DBD"/>
    <w:rsid w:val="00A902FA"/>
    <w:rsid w:val="00A905D0"/>
    <w:rsid w:val="00A9092D"/>
    <w:rsid w:val="00A90B00"/>
    <w:rsid w:val="00A90C9A"/>
    <w:rsid w:val="00A90DF4"/>
    <w:rsid w:val="00A912C6"/>
    <w:rsid w:val="00A918C9"/>
    <w:rsid w:val="00A9230E"/>
    <w:rsid w:val="00A930F0"/>
    <w:rsid w:val="00A932EB"/>
    <w:rsid w:val="00A939F6"/>
    <w:rsid w:val="00A93DD9"/>
    <w:rsid w:val="00A947CD"/>
    <w:rsid w:val="00A948CE"/>
    <w:rsid w:val="00A94DDF"/>
    <w:rsid w:val="00A94E5F"/>
    <w:rsid w:val="00A95E25"/>
    <w:rsid w:val="00A96871"/>
    <w:rsid w:val="00A96D3B"/>
    <w:rsid w:val="00A971B6"/>
    <w:rsid w:val="00A9733C"/>
    <w:rsid w:val="00A97585"/>
    <w:rsid w:val="00A977C7"/>
    <w:rsid w:val="00A97ADC"/>
    <w:rsid w:val="00AA01F1"/>
    <w:rsid w:val="00AA14E6"/>
    <w:rsid w:val="00AA1610"/>
    <w:rsid w:val="00AA1651"/>
    <w:rsid w:val="00AA1932"/>
    <w:rsid w:val="00AA1D79"/>
    <w:rsid w:val="00AA1E10"/>
    <w:rsid w:val="00AA2892"/>
    <w:rsid w:val="00AA2ABB"/>
    <w:rsid w:val="00AA2BE2"/>
    <w:rsid w:val="00AA2CDA"/>
    <w:rsid w:val="00AA2D0C"/>
    <w:rsid w:val="00AA301D"/>
    <w:rsid w:val="00AA30A1"/>
    <w:rsid w:val="00AA3745"/>
    <w:rsid w:val="00AA3912"/>
    <w:rsid w:val="00AA3DED"/>
    <w:rsid w:val="00AA4491"/>
    <w:rsid w:val="00AA469D"/>
    <w:rsid w:val="00AA4828"/>
    <w:rsid w:val="00AA48EE"/>
    <w:rsid w:val="00AA515A"/>
    <w:rsid w:val="00AA562B"/>
    <w:rsid w:val="00AA5638"/>
    <w:rsid w:val="00AA58ED"/>
    <w:rsid w:val="00AA5C04"/>
    <w:rsid w:val="00AA6AAA"/>
    <w:rsid w:val="00AA76DE"/>
    <w:rsid w:val="00AA7702"/>
    <w:rsid w:val="00AB0335"/>
    <w:rsid w:val="00AB0414"/>
    <w:rsid w:val="00AB0F7F"/>
    <w:rsid w:val="00AB10C9"/>
    <w:rsid w:val="00AB11BF"/>
    <w:rsid w:val="00AB18B6"/>
    <w:rsid w:val="00AB1946"/>
    <w:rsid w:val="00AB1B01"/>
    <w:rsid w:val="00AB2087"/>
    <w:rsid w:val="00AB2309"/>
    <w:rsid w:val="00AB24AD"/>
    <w:rsid w:val="00AB2A75"/>
    <w:rsid w:val="00AB2B56"/>
    <w:rsid w:val="00AB2CB5"/>
    <w:rsid w:val="00AB3013"/>
    <w:rsid w:val="00AB307C"/>
    <w:rsid w:val="00AB3298"/>
    <w:rsid w:val="00AB334B"/>
    <w:rsid w:val="00AB409F"/>
    <w:rsid w:val="00AB4453"/>
    <w:rsid w:val="00AB4666"/>
    <w:rsid w:val="00AB4667"/>
    <w:rsid w:val="00AB47DA"/>
    <w:rsid w:val="00AB4876"/>
    <w:rsid w:val="00AB4B08"/>
    <w:rsid w:val="00AB4BF4"/>
    <w:rsid w:val="00AB4D3D"/>
    <w:rsid w:val="00AB4EAF"/>
    <w:rsid w:val="00AB5696"/>
    <w:rsid w:val="00AB5C90"/>
    <w:rsid w:val="00AB5DC6"/>
    <w:rsid w:val="00AB5E78"/>
    <w:rsid w:val="00AB7437"/>
    <w:rsid w:val="00AB7E14"/>
    <w:rsid w:val="00AC0084"/>
    <w:rsid w:val="00AC0E99"/>
    <w:rsid w:val="00AC0FF5"/>
    <w:rsid w:val="00AC1178"/>
    <w:rsid w:val="00AC138B"/>
    <w:rsid w:val="00AC16D3"/>
    <w:rsid w:val="00AC19EC"/>
    <w:rsid w:val="00AC224E"/>
    <w:rsid w:val="00AC264D"/>
    <w:rsid w:val="00AC268C"/>
    <w:rsid w:val="00AC2851"/>
    <w:rsid w:val="00AC2D80"/>
    <w:rsid w:val="00AC2FF3"/>
    <w:rsid w:val="00AC3311"/>
    <w:rsid w:val="00AC349E"/>
    <w:rsid w:val="00AC36EB"/>
    <w:rsid w:val="00AC3A2D"/>
    <w:rsid w:val="00AC3B6D"/>
    <w:rsid w:val="00AC4147"/>
    <w:rsid w:val="00AC44BA"/>
    <w:rsid w:val="00AC456D"/>
    <w:rsid w:val="00AC4858"/>
    <w:rsid w:val="00AC4C4C"/>
    <w:rsid w:val="00AC4C62"/>
    <w:rsid w:val="00AC4ED7"/>
    <w:rsid w:val="00AC5042"/>
    <w:rsid w:val="00AC5BCB"/>
    <w:rsid w:val="00AC6185"/>
    <w:rsid w:val="00AC6281"/>
    <w:rsid w:val="00AC63FF"/>
    <w:rsid w:val="00AC672F"/>
    <w:rsid w:val="00AC67F8"/>
    <w:rsid w:val="00AC6AFA"/>
    <w:rsid w:val="00AC6F46"/>
    <w:rsid w:val="00AC7623"/>
    <w:rsid w:val="00AC7C45"/>
    <w:rsid w:val="00AD036A"/>
    <w:rsid w:val="00AD05E7"/>
    <w:rsid w:val="00AD0C95"/>
    <w:rsid w:val="00AD0DA0"/>
    <w:rsid w:val="00AD0DAB"/>
    <w:rsid w:val="00AD0DC8"/>
    <w:rsid w:val="00AD1024"/>
    <w:rsid w:val="00AD1318"/>
    <w:rsid w:val="00AD147F"/>
    <w:rsid w:val="00AD18F3"/>
    <w:rsid w:val="00AD1D71"/>
    <w:rsid w:val="00AD2317"/>
    <w:rsid w:val="00AD25C5"/>
    <w:rsid w:val="00AD347D"/>
    <w:rsid w:val="00AD374B"/>
    <w:rsid w:val="00AD4D0E"/>
    <w:rsid w:val="00AD5152"/>
    <w:rsid w:val="00AD518F"/>
    <w:rsid w:val="00AD5643"/>
    <w:rsid w:val="00AD566A"/>
    <w:rsid w:val="00AD5772"/>
    <w:rsid w:val="00AD5A27"/>
    <w:rsid w:val="00AD5B75"/>
    <w:rsid w:val="00AD5D10"/>
    <w:rsid w:val="00AD6C36"/>
    <w:rsid w:val="00AD6C49"/>
    <w:rsid w:val="00AD6E15"/>
    <w:rsid w:val="00AD72DB"/>
    <w:rsid w:val="00AD79D4"/>
    <w:rsid w:val="00AD7B1D"/>
    <w:rsid w:val="00AE017E"/>
    <w:rsid w:val="00AE1733"/>
    <w:rsid w:val="00AE1B94"/>
    <w:rsid w:val="00AE1D67"/>
    <w:rsid w:val="00AE1D91"/>
    <w:rsid w:val="00AE21AB"/>
    <w:rsid w:val="00AE2313"/>
    <w:rsid w:val="00AE25DD"/>
    <w:rsid w:val="00AE26CC"/>
    <w:rsid w:val="00AE2742"/>
    <w:rsid w:val="00AE2D75"/>
    <w:rsid w:val="00AE321C"/>
    <w:rsid w:val="00AE3221"/>
    <w:rsid w:val="00AE333A"/>
    <w:rsid w:val="00AE35BB"/>
    <w:rsid w:val="00AE391E"/>
    <w:rsid w:val="00AE3B16"/>
    <w:rsid w:val="00AE3EBD"/>
    <w:rsid w:val="00AE426D"/>
    <w:rsid w:val="00AE47C4"/>
    <w:rsid w:val="00AE498D"/>
    <w:rsid w:val="00AE4CCE"/>
    <w:rsid w:val="00AE568F"/>
    <w:rsid w:val="00AE5DC4"/>
    <w:rsid w:val="00AE61E4"/>
    <w:rsid w:val="00AE6C40"/>
    <w:rsid w:val="00AE6E85"/>
    <w:rsid w:val="00AE7118"/>
    <w:rsid w:val="00AE7285"/>
    <w:rsid w:val="00AE7450"/>
    <w:rsid w:val="00AE770F"/>
    <w:rsid w:val="00AE77E1"/>
    <w:rsid w:val="00AF0385"/>
    <w:rsid w:val="00AF1527"/>
    <w:rsid w:val="00AF153F"/>
    <w:rsid w:val="00AF17A9"/>
    <w:rsid w:val="00AF1A91"/>
    <w:rsid w:val="00AF1EB3"/>
    <w:rsid w:val="00AF3086"/>
    <w:rsid w:val="00AF3429"/>
    <w:rsid w:val="00AF3A7F"/>
    <w:rsid w:val="00AF3A80"/>
    <w:rsid w:val="00AF3AED"/>
    <w:rsid w:val="00AF3D47"/>
    <w:rsid w:val="00AF3F0E"/>
    <w:rsid w:val="00AF4A89"/>
    <w:rsid w:val="00AF4B46"/>
    <w:rsid w:val="00AF5577"/>
    <w:rsid w:val="00AF56CB"/>
    <w:rsid w:val="00AF5E0B"/>
    <w:rsid w:val="00AF5EA7"/>
    <w:rsid w:val="00AF5F4C"/>
    <w:rsid w:val="00AF5F9E"/>
    <w:rsid w:val="00AF6359"/>
    <w:rsid w:val="00AF6814"/>
    <w:rsid w:val="00AF6898"/>
    <w:rsid w:val="00AF74FE"/>
    <w:rsid w:val="00AF766A"/>
    <w:rsid w:val="00AF798E"/>
    <w:rsid w:val="00AF7A4B"/>
    <w:rsid w:val="00AF7C9E"/>
    <w:rsid w:val="00B00089"/>
    <w:rsid w:val="00B0045E"/>
    <w:rsid w:val="00B0051B"/>
    <w:rsid w:val="00B009A2"/>
    <w:rsid w:val="00B00BA0"/>
    <w:rsid w:val="00B00BB4"/>
    <w:rsid w:val="00B00DA3"/>
    <w:rsid w:val="00B010FD"/>
    <w:rsid w:val="00B01145"/>
    <w:rsid w:val="00B01320"/>
    <w:rsid w:val="00B015B6"/>
    <w:rsid w:val="00B01707"/>
    <w:rsid w:val="00B01A21"/>
    <w:rsid w:val="00B01FD1"/>
    <w:rsid w:val="00B022EF"/>
    <w:rsid w:val="00B0241F"/>
    <w:rsid w:val="00B027CF"/>
    <w:rsid w:val="00B028A9"/>
    <w:rsid w:val="00B02E9B"/>
    <w:rsid w:val="00B032B1"/>
    <w:rsid w:val="00B0352B"/>
    <w:rsid w:val="00B03AF5"/>
    <w:rsid w:val="00B04696"/>
    <w:rsid w:val="00B04845"/>
    <w:rsid w:val="00B04DE3"/>
    <w:rsid w:val="00B054C0"/>
    <w:rsid w:val="00B05AF1"/>
    <w:rsid w:val="00B05D29"/>
    <w:rsid w:val="00B063AA"/>
    <w:rsid w:val="00B06993"/>
    <w:rsid w:val="00B0716F"/>
    <w:rsid w:val="00B071C9"/>
    <w:rsid w:val="00B071E0"/>
    <w:rsid w:val="00B072E0"/>
    <w:rsid w:val="00B07B28"/>
    <w:rsid w:val="00B07C8C"/>
    <w:rsid w:val="00B07D1B"/>
    <w:rsid w:val="00B07EBA"/>
    <w:rsid w:val="00B10155"/>
    <w:rsid w:val="00B102D2"/>
    <w:rsid w:val="00B10491"/>
    <w:rsid w:val="00B1097F"/>
    <w:rsid w:val="00B10AE1"/>
    <w:rsid w:val="00B10D1D"/>
    <w:rsid w:val="00B1145C"/>
    <w:rsid w:val="00B114E2"/>
    <w:rsid w:val="00B11638"/>
    <w:rsid w:val="00B11765"/>
    <w:rsid w:val="00B11C3D"/>
    <w:rsid w:val="00B11F24"/>
    <w:rsid w:val="00B12048"/>
    <w:rsid w:val="00B1269C"/>
    <w:rsid w:val="00B127D1"/>
    <w:rsid w:val="00B1305B"/>
    <w:rsid w:val="00B130E5"/>
    <w:rsid w:val="00B13156"/>
    <w:rsid w:val="00B1316F"/>
    <w:rsid w:val="00B13367"/>
    <w:rsid w:val="00B139ED"/>
    <w:rsid w:val="00B13A80"/>
    <w:rsid w:val="00B13C10"/>
    <w:rsid w:val="00B13CEB"/>
    <w:rsid w:val="00B14060"/>
    <w:rsid w:val="00B140D1"/>
    <w:rsid w:val="00B14566"/>
    <w:rsid w:val="00B14B2E"/>
    <w:rsid w:val="00B151D0"/>
    <w:rsid w:val="00B1569B"/>
    <w:rsid w:val="00B15929"/>
    <w:rsid w:val="00B1622A"/>
    <w:rsid w:val="00B17A53"/>
    <w:rsid w:val="00B20389"/>
    <w:rsid w:val="00B20697"/>
    <w:rsid w:val="00B208C0"/>
    <w:rsid w:val="00B210D4"/>
    <w:rsid w:val="00B21639"/>
    <w:rsid w:val="00B21819"/>
    <w:rsid w:val="00B2185B"/>
    <w:rsid w:val="00B21BE4"/>
    <w:rsid w:val="00B21DAF"/>
    <w:rsid w:val="00B21EE6"/>
    <w:rsid w:val="00B22527"/>
    <w:rsid w:val="00B226D2"/>
    <w:rsid w:val="00B22CB7"/>
    <w:rsid w:val="00B22E09"/>
    <w:rsid w:val="00B22F6C"/>
    <w:rsid w:val="00B2326C"/>
    <w:rsid w:val="00B232B2"/>
    <w:rsid w:val="00B2370C"/>
    <w:rsid w:val="00B237DE"/>
    <w:rsid w:val="00B23884"/>
    <w:rsid w:val="00B242C8"/>
    <w:rsid w:val="00B245CE"/>
    <w:rsid w:val="00B249F1"/>
    <w:rsid w:val="00B24F6F"/>
    <w:rsid w:val="00B252A3"/>
    <w:rsid w:val="00B25632"/>
    <w:rsid w:val="00B256D9"/>
    <w:rsid w:val="00B25D9B"/>
    <w:rsid w:val="00B26DA1"/>
    <w:rsid w:val="00B276BA"/>
    <w:rsid w:val="00B30607"/>
    <w:rsid w:val="00B30920"/>
    <w:rsid w:val="00B312E0"/>
    <w:rsid w:val="00B315D4"/>
    <w:rsid w:val="00B31804"/>
    <w:rsid w:val="00B31A0F"/>
    <w:rsid w:val="00B31D56"/>
    <w:rsid w:val="00B31DF2"/>
    <w:rsid w:val="00B31F08"/>
    <w:rsid w:val="00B32560"/>
    <w:rsid w:val="00B327BA"/>
    <w:rsid w:val="00B32BE7"/>
    <w:rsid w:val="00B32ED3"/>
    <w:rsid w:val="00B32F73"/>
    <w:rsid w:val="00B3332A"/>
    <w:rsid w:val="00B33673"/>
    <w:rsid w:val="00B337D2"/>
    <w:rsid w:val="00B338CE"/>
    <w:rsid w:val="00B3399C"/>
    <w:rsid w:val="00B33A0D"/>
    <w:rsid w:val="00B33C0A"/>
    <w:rsid w:val="00B3416C"/>
    <w:rsid w:val="00B349CF"/>
    <w:rsid w:val="00B3545E"/>
    <w:rsid w:val="00B354AF"/>
    <w:rsid w:val="00B356CD"/>
    <w:rsid w:val="00B35750"/>
    <w:rsid w:val="00B35795"/>
    <w:rsid w:val="00B35EE5"/>
    <w:rsid w:val="00B36623"/>
    <w:rsid w:val="00B366BF"/>
    <w:rsid w:val="00B367EA"/>
    <w:rsid w:val="00B36808"/>
    <w:rsid w:val="00B36F9F"/>
    <w:rsid w:val="00B37BC6"/>
    <w:rsid w:val="00B37DAB"/>
    <w:rsid w:val="00B4045F"/>
    <w:rsid w:val="00B4093B"/>
    <w:rsid w:val="00B40A7B"/>
    <w:rsid w:val="00B40BBF"/>
    <w:rsid w:val="00B40D47"/>
    <w:rsid w:val="00B40FC6"/>
    <w:rsid w:val="00B41249"/>
    <w:rsid w:val="00B41255"/>
    <w:rsid w:val="00B4148F"/>
    <w:rsid w:val="00B41996"/>
    <w:rsid w:val="00B42374"/>
    <w:rsid w:val="00B42524"/>
    <w:rsid w:val="00B42CEA"/>
    <w:rsid w:val="00B42DD7"/>
    <w:rsid w:val="00B42F75"/>
    <w:rsid w:val="00B43105"/>
    <w:rsid w:val="00B432A5"/>
    <w:rsid w:val="00B432A9"/>
    <w:rsid w:val="00B4339C"/>
    <w:rsid w:val="00B434BA"/>
    <w:rsid w:val="00B43563"/>
    <w:rsid w:val="00B4358A"/>
    <w:rsid w:val="00B43FB6"/>
    <w:rsid w:val="00B4400A"/>
    <w:rsid w:val="00B440D1"/>
    <w:rsid w:val="00B44531"/>
    <w:rsid w:val="00B445F2"/>
    <w:rsid w:val="00B44C3F"/>
    <w:rsid w:val="00B44E54"/>
    <w:rsid w:val="00B44E6E"/>
    <w:rsid w:val="00B45F73"/>
    <w:rsid w:val="00B462E1"/>
    <w:rsid w:val="00B46815"/>
    <w:rsid w:val="00B46858"/>
    <w:rsid w:val="00B46D7C"/>
    <w:rsid w:val="00B46F36"/>
    <w:rsid w:val="00B474EC"/>
    <w:rsid w:val="00B47732"/>
    <w:rsid w:val="00B478FA"/>
    <w:rsid w:val="00B47DBD"/>
    <w:rsid w:val="00B47E18"/>
    <w:rsid w:val="00B50341"/>
    <w:rsid w:val="00B50837"/>
    <w:rsid w:val="00B508D4"/>
    <w:rsid w:val="00B508DB"/>
    <w:rsid w:val="00B50BC0"/>
    <w:rsid w:val="00B51BF8"/>
    <w:rsid w:val="00B51D5D"/>
    <w:rsid w:val="00B5238D"/>
    <w:rsid w:val="00B52653"/>
    <w:rsid w:val="00B5275C"/>
    <w:rsid w:val="00B52ACC"/>
    <w:rsid w:val="00B532C6"/>
    <w:rsid w:val="00B53D03"/>
    <w:rsid w:val="00B53F6E"/>
    <w:rsid w:val="00B5409E"/>
    <w:rsid w:val="00B54524"/>
    <w:rsid w:val="00B5458C"/>
    <w:rsid w:val="00B5464C"/>
    <w:rsid w:val="00B54A06"/>
    <w:rsid w:val="00B54A49"/>
    <w:rsid w:val="00B54AC7"/>
    <w:rsid w:val="00B558CA"/>
    <w:rsid w:val="00B5608A"/>
    <w:rsid w:val="00B56A89"/>
    <w:rsid w:val="00B56D95"/>
    <w:rsid w:val="00B56DC7"/>
    <w:rsid w:val="00B56FBC"/>
    <w:rsid w:val="00B575DF"/>
    <w:rsid w:val="00B57C2E"/>
    <w:rsid w:val="00B600BD"/>
    <w:rsid w:val="00B60664"/>
    <w:rsid w:val="00B60679"/>
    <w:rsid w:val="00B609F2"/>
    <w:rsid w:val="00B60A61"/>
    <w:rsid w:val="00B6128B"/>
    <w:rsid w:val="00B61E0C"/>
    <w:rsid w:val="00B61ECD"/>
    <w:rsid w:val="00B62594"/>
    <w:rsid w:val="00B62620"/>
    <w:rsid w:val="00B626DE"/>
    <w:rsid w:val="00B62713"/>
    <w:rsid w:val="00B62A83"/>
    <w:rsid w:val="00B62D18"/>
    <w:rsid w:val="00B62E37"/>
    <w:rsid w:val="00B634B7"/>
    <w:rsid w:val="00B63BEE"/>
    <w:rsid w:val="00B63E20"/>
    <w:rsid w:val="00B63E53"/>
    <w:rsid w:val="00B64001"/>
    <w:rsid w:val="00B6453F"/>
    <w:rsid w:val="00B64FA3"/>
    <w:rsid w:val="00B65396"/>
    <w:rsid w:val="00B6635F"/>
    <w:rsid w:val="00B663BD"/>
    <w:rsid w:val="00B6686A"/>
    <w:rsid w:val="00B668F0"/>
    <w:rsid w:val="00B66985"/>
    <w:rsid w:val="00B66B72"/>
    <w:rsid w:val="00B66C18"/>
    <w:rsid w:val="00B66D2E"/>
    <w:rsid w:val="00B66F62"/>
    <w:rsid w:val="00B67364"/>
    <w:rsid w:val="00B67379"/>
    <w:rsid w:val="00B67433"/>
    <w:rsid w:val="00B67570"/>
    <w:rsid w:val="00B679BB"/>
    <w:rsid w:val="00B67B02"/>
    <w:rsid w:val="00B67BAE"/>
    <w:rsid w:val="00B67E09"/>
    <w:rsid w:val="00B67EBE"/>
    <w:rsid w:val="00B70A6F"/>
    <w:rsid w:val="00B70C91"/>
    <w:rsid w:val="00B70D74"/>
    <w:rsid w:val="00B71ABF"/>
    <w:rsid w:val="00B71EF0"/>
    <w:rsid w:val="00B727E9"/>
    <w:rsid w:val="00B72E82"/>
    <w:rsid w:val="00B735AA"/>
    <w:rsid w:val="00B736EE"/>
    <w:rsid w:val="00B73B44"/>
    <w:rsid w:val="00B73D54"/>
    <w:rsid w:val="00B749BF"/>
    <w:rsid w:val="00B75120"/>
    <w:rsid w:val="00B75797"/>
    <w:rsid w:val="00B76487"/>
    <w:rsid w:val="00B76F4F"/>
    <w:rsid w:val="00B772A9"/>
    <w:rsid w:val="00B774A7"/>
    <w:rsid w:val="00B80432"/>
    <w:rsid w:val="00B80489"/>
    <w:rsid w:val="00B81089"/>
    <w:rsid w:val="00B81E48"/>
    <w:rsid w:val="00B8201A"/>
    <w:rsid w:val="00B821A5"/>
    <w:rsid w:val="00B82C8A"/>
    <w:rsid w:val="00B82E13"/>
    <w:rsid w:val="00B834D1"/>
    <w:rsid w:val="00B83A56"/>
    <w:rsid w:val="00B83AE6"/>
    <w:rsid w:val="00B83EEE"/>
    <w:rsid w:val="00B841E3"/>
    <w:rsid w:val="00B84B29"/>
    <w:rsid w:val="00B84EE8"/>
    <w:rsid w:val="00B850D5"/>
    <w:rsid w:val="00B853FF"/>
    <w:rsid w:val="00B85EE5"/>
    <w:rsid w:val="00B86270"/>
    <w:rsid w:val="00B8628F"/>
    <w:rsid w:val="00B86FB5"/>
    <w:rsid w:val="00B8704A"/>
    <w:rsid w:val="00B8748B"/>
    <w:rsid w:val="00B87852"/>
    <w:rsid w:val="00B8799B"/>
    <w:rsid w:val="00B87C0F"/>
    <w:rsid w:val="00B90014"/>
    <w:rsid w:val="00B90A92"/>
    <w:rsid w:val="00B91061"/>
    <w:rsid w:val="00B91469"/>
    <w:rsid w:val="00B914A9"/>
    <w:rsid w:val="00B914FA"/>
    <w:rsid w:val="00B92460"/>
    <w:rsid w:val="00B926F4"/>
    <w:rsid w:val="00B929EC"/>
    <w:rsid w:val="00B92A54"/>
    <w:rsid w:val="00B92ABE"/>
    <w:rsid w:val="00B92AF8"/>
    <w:rsid w:val="00B93700"/>
    <w:rsid w:val="00B93A07"/>
    <w:rsid w:val="00B94ABA"/>
    <w:rsid w:val="00B955EE"/>
    <w:rsid w:val="00B95B9B"/>
    <w:rsid w:val="00B95CF3"/>
    <w:rsid w:val="00B96009"/>
    <w:rsid w:val="00B9629C"/>
    <w:rsid w:val="00B96A52"/>
    <w:rsid w:val="00B96A63"/>
    <w:rsid w:val="00B96BAD"/>
    <w:rsid w:val="00B9705F"/>
    <w:rsid w:val="00B974A2"/>
    <w:rsid w:val="00B9751E"/>
    <w:rsid w:val="00B9776C"/>
    <w:rsid w:val="00B977E1"/>
    <w:rsid w:val="00B97B69"/>
    <w:rsid w:val="00BA0519"/>
    <w:rsid w:val="00BA0675"/>
    <w:rsid w:val="00BA0995"/>
    <w:rsid w:val="00BA0E9E"/>
    <w:rsid w:val="00BA10C6"/>
    <w:rsid w:val="00BA1421"/>
    <w:rsid w:val="00BA1634"/>
    <w:rsid w:val="00BA1C0F"/>
    <w:rsid w:val="00BA21AC"/>
    <w:rsid w:val="00BA2E17"/>
    <w:rsid w:val="00BA2E83"/>
    <w:rsid w:val="00BA33FE"/>
    <w:rsid w:val="00BA3485"/>
    <w:rsid w:val="00BA3764"/>
    <w:rsid w:val="00BA38AB"/>
    <w:rsid w:val="00BA3D97"/>
    <w:rsid w:val="00BA3F18"/>
    <w:rsid w:val="00BA4777"/>
    <w:rsid w:val="00BA4913"/>
    <w:rsid w:val="00BA498A"/>
    <w:rsid w:val="00BA54E7"/>
    <w:rsid w:val="00BA6145"/>
    <w:rsid w:val="00BA6636"/>
    <w:rsid w:val="00BA67C0"/>
    <w:rsid w:val="00BA6B47"/>
    <w:rsid w:val="00BA7092"/>
    <w:rsid w:val="00BA72CB"/>
    <w:rsid w:val="00BA76B0"/>
    <w:rsid w:val="00BA7BCA"/>
    <w:rsid w:val="00BB0069"/>
    <w:rsid w:val="00BB0740"/>
    <w:rsid w:val="00BB0901"/>
    <w:rsid w:val="00BB0F28"/>
    <w:rsid w:val="00BB1154"/>
    <w:rsid w:val="00BB131D"/>
    <w:rsid w:val="00BB136D"/>
    <w:rsid w:val="00BB182A"/>
    <w:rsid w:val="00BB2238"/>
    <w:rsid w:val="00BB2322"/>
    <w:rsid w:val="00BB23E1"/>
    <w:rsid w:val="00BB293D"/>
    <w:rsid w:val="00BB2C01"/>
    <w:rsid w:val="00BB2FF9"/>
    <w:rsid w:val="00BB3747"/>
    <w:rsid w:val="00BB3CEE"/>
    <w:rsid w:val="00BB3DEA"/>
    <w:rsid w:val="00BB3E96"/>
    <w:rsid w:val="00BB3EF8"/>
    <w:rsid w:val="00BB49EF"/>
    <w:rsid w:val="00BB4DAD"/>
    <w:rsid w:val="00BB510D"/>
    <w:rsid w:val="00BB53D5"/>
    <w:rsid w:val="00BB54A2"/>
    <w:rsid w:val="00BB5A99"/>
    <w:rsid w:val="00BB62FC"/>
    <w:rsid w:val="00BB6378"/>
    <w:rsid w:val="00BB6954"/>
    <w:rsid w:val="00BB69B4"/>
    <w:rsid w:val="00BB69BE"/>
    <w:rsid w:val="00BB6B5A"/>
    <w:rsid w:val="00BB6EB1"/>
    <w:rsid w:val="00BB77BC"/>
    <w:rsid w:val="00BB7A5B"/>
    <w:rsid w:val="00BB7BD7"/>
    <w:rsid w:val="00BB7E7D"/>
    <w:rsid w:val="00BB7FA9"/>
    <w:rsid w:val="00BC0D4B"/>
    <w:rsid w:val="00BC0D98"/>
    <w:rsid w:val="00BC0F0F"/>
    <w:rsid w:val="00BC0F27"/>
    <w:rsid w:val="00BC0F46"/>
    <w:rsid w:val="00BC1CF1"/>
    <w:rsid w:val="00BC27A5"/>
    <w:rsid w:val="00BC288A"/>
    <w:rsid w:val="00BC294F"/>
    <w:rsid w:val="00BC2C33"/>
    <w:rsid w:val="00BC2DB7"/>
    <w:rsid w:val="00BC2E05"/>
    <w:rsid w:val="00BC362A"/>
    <w:rsid w:val="00BC3A23"/>
    <w:rsid w:val="00BC3C4A"/>
    <w:rsid w:val="00BC4307"/>
    <w:rsid w:val="00BC471B"/>
    <w:rsid w:val="00BC4AB6"/>
    <w:rsid w:val="00BC4BF5"/>
    <w:rsid w:val="00BC4CD4"/>
    <w:rsid w:val="00BC4F5E"/>
    <w:rsid w:val="00BC52B7"/>
    <w:rsid w:val="00BC58C9"/>
    <w:rsid w:val="00BC591A"/>
    <w:rsid w:val="00BC5B25"/>
    <w:rsid w:val="00BC5ED9"/>
    <w:rsid w:val="00BC6200"/>
    <w:rsid w:val="00BC6B12"/>
    <w:rsid w:val="00BC6DBA"/>
    <w:rsid w:val="00BC6FEB"/>
    <w:rsid w:val="00BC704E"/>
    <w:rsid w:val="00BC7281"/>
    <w:rsid w:val="00BC76EC"/>
    <w:rsid w:val="00BC7906"/>
    <w:rsid w:val="00BC7928"/>
    <w:rsid w:val="00BC7AC5"/>
    <w:rsid w:val="00BC7D33"/>
    <w:rsid w:val="00BD00C8"/>
    <w:rsid w:val="00BD0234"/>
    <w:rsid w:val="00BD06B2"/>
    <w:rsid w:val="00BD0B04"/>
    <w:rsid w:val="00BD11A2"/>
    <w:rsid w:val="00BD11BE"/>
    <w:rsid w:val="00BD20D4"/>
    <w:rsid w:val="00BD21C4"/>
    <w:rsid w:val="00BD23AD"/>
    <w:rsid w:val="00BD265A"/>
    <w:rsid w:val="00BD275B"/>
    <w:rsid w:val="00BD28B1"/>
    <w:rsid w:val="00BD2E45"/>
    <w:rsid w:val="00BD350E"/>
    <w:rsid w:val="00BD3A96"/>
    <w:rsid w:val="00BD44C5"/>
    <w:rsid w:val="00BD4563"/>
    <w:rsid w:val="00BD4EA4"/>
    <w:rsid w:val="00BD513F"/>
    <w:rsid w:val="00BD5222"/>
    <w:rsid w:val="00BD533B"/>
    <w:rsid w:val="00BD5EDA"/>
    <w:rsid w:val="00BD629B"/>
    <w:rsid w:val="00BD66FD"/>
    <w:rsid w:val="00BD6DCD"/>
    <w:rsid w:val="00BD739A"/>
    <w:rsid w:val="00BD7AB6"/>
    <w:rsid w:val="00BD7EFE"/>
    <w:rsid w:val="00BE00D9"/>
    <w:rsid w:val="00BE0753"/>
    <w:rsid w:val="00BE0B31"/>
    <w:rsid w:val="00BE11C1"/>
    <w:rsid w:val="00BE163E"/>
    <w:rsid w:val="00BE1704"/>
    <w:rsid w:val="00BE1743"/>
    <w:rsid w:val="00BE17EA"/>
    <w:rsid w:val="00BE1BAD"/>
    <w:rsid w:val="00BE1CA9"/>
    <w:rsid w:val="00BE1D2A"/>
    <w:rsid w:val="00BE1EDD"/>
    <w:rsid w:val="00BE277B"/>
    <w:rsid w:val="00BE3201"/>
    <w:rsid w:val="00BE32DB"/>
    <w:rsid w:val="00BE410D"/>
    <w:rsid w:val="00BE454A"/>
    <w:rsid w:val="00BE47F4"/>
    <w:rsid w:val="00BE48CC"/>
    <w:rsid w:val="00BE49E0"/>
    <w:rsid w:val="00BE4F68"/>
    <w:rsid w:val="00BE508A"/>
    <w:rsid w:val="00BE5313"/>
    <w:rsid w:val="00BE5365"/>
    <w:rsid w:val="00BE54C7"/>
    <w:rsid w:val="00BE5866"/>
    <w:rsid w:val="00BE5896"/>
    <w:rsid w:val="00BE6029"/>
    <w:rsid w:val="00BE6035"/>
    <w:rsid w:val="00BE6DFD"/>
    <w:rsid w:val="00BE6E86"/>
    <w:rsid w:val="00BE71A5"/>
    <w:rsid w:val="00BE7251"/>
    <w:rsid w:val="00BE727B"/>
    <w:rsid w:val="00BE787E"/>
    <w:rsid w:val="00BE7CE0"/>
    <w:rsid w:val="00BE7D35"/>
    <w:rsid w:val="00BE7EE5"/>
    <w:rsid w:val="00BF0D59"/>
    <w:rsid w:val="00BF0F6D"/>
    <w:rsid w:val="00BF1508"/>
    <w:rsid w:val="00BF1577"/>
    <w:rsid w:val="00BF1F79"/>
    <w:rsid w:val="00BF2181"/>
    <w:rsid w:val="00BF22C3"/>
    <w:rsid w:val="00BF28F2"/>
    <w:rsid w:val="00BF2BBC"/>
    <w:rsid w:val="00BF336B"/>
    <w:rsid w:val="00BF3675"/>
    <w:rsid w:val="00BF4F78"/>
    <w:rsid w:val="00BF4FC1"/>
    <w:rsid w:val="00BF5247"/>
    <w:rsid w:val="00BF5C58"/>
    <w:rsid w:val="00BF60CB"/>
    <w:rsid w:val="00BF6166"/>
    <w:rsid w:val="00BF62F4"/>
    <w:rsid w:val="00BF6D9C"/>
    <w:rsid w:val="00BF759F"/>
    <w:rsid w:val="00BF75E4"/>
    <w:rsid w:val="00BF77A2"/>
    <w:rsid w:val="00BF78EE"/>
    <w:rsid w:val="00BF7980"/>
    <w:rsid w:val="00BF7982"/>
    <w:rsid w:val="00BF7DA0"/>
    <w:rsid w:val="00BF7F60"/>
    <w:rsid w:val="00BF7FCA"/>
    <w:rsid w:val="00C00583"/>
    <w:rsid w:val="00C0062A"/>
    <w:rsid w:val="00C0067D"/>
    <w:rsid w:val="00C007D4"/>
    <w:rsid w:val="00C00895"/>
    <w:rsid w:val="00C00AFD"/>
    <w:rsid w:val="00C00BEB"/>
    <w:rsid w:val="00C00D4A"/>
    <w:rsid w:val="00C018C8"/>
    <w:rsid w:val="00C01904"/>
    <w:rsid w:val="00C01AAF"/>
    <w:rsid w:val="00C01B78"/>
    <w:rsid w:val="00C01C76"/>
    <w:rsid w:val="00C0208F"/>
    <w:rsid w:val="00C02819"/>
    <w:rsid w:val="00C02851"/>
    <w:rsid w:val="00C0295C"/>
    <w:rsid w:val="00C02B20"/>
    <w:rsid w:val="00C02F76"/>
    <w:rsid w:val="00C0334E"/>
    <w:rsid w:val="00C03A02"/>
    <w:rsid w:val="00C048F5"/>
    <w:rsid w:val="00C04B38"/>
    <w:rsid w:val="00C04E3D"/>
    <w:rsid w:val="00C04F4A"/>
    <w:rsid w:val="00C05156"/>
    <w:rsid w:val="00C05270"/>
    <w:rsid w:val="00C052A0"/>
    <w:rsid w:val="00C05B8A"/>
    <w:rsid w:val="00C05CE6"/>
    <w:rsid w:val="00C06989"/>
    <w:rsid w:val="00C072CE"/>
    <w:rsid w:val="00C073D8"/>
    <w:rsid w:val="00C0747C"/>
    <w:rsid w:val="00C0758D"/>
    <w:rsid w:val="00C07878"/>
    <w:rsid w:val="00C07884"/>
    <w:rsid w:val="00C10622"/>
    <w:rsid w:val="00C106AA"/>
    <w:rsid w:val="00C11018"/>
    <w:rsid w:val="00C111C6"/>
    <w:rsid w:val="00C114AD"/>
    <w:rsid w:val="00C116AF"/>
    <w:rsid w:val="00C117E7"/>
    <w:rsid w:val="00C1197A"/>
    <w:rsid w:val="00C11CDB"/>
    <w:rsid w:val="00C12379"/>
    <w:rsid w:val="00C1265D"/>
    <w:rsid w:val="00C129D6"/>
    <w:rsid w:val="00C129E3"/>
    <w:rsid w:val="00C12F4F"/>
    <w:rsid w:val="00C12F62"/>
    <w:rsid w:val="00C13229"/>
    <w:rsid w:val="00C1332A"/>
    <w:rsid w:val="00C13360"/>
    <w:rsid w:val="00C13A9E"/>
    <w:rsid w:val="00C15030"/>
    <w:rsid w:val="00C1544D"/>
    <w:rsid w:val="00C15484"/>
    <w:rsid w:val="00C1571E"/>
    <w:rsid w:val="00C1654B"/>
    <w:rsid w:val="00C1767D"/>
    <w:rsid w:val="00C177D8"/>
    <w:rsid w:val="00C2062C"/>
    <w:rsid w:val="00C206B4"/>
    <w:rsid w:val="00C207DB"/>
    <w:rsid w:val="00C20D35"/>
    <w:rsid w:val="00C20F67"/>
    <w:rsid w:val="00C2119C"/>
    <w:rsid w:val="00C2124B"/>
    <w:rsid w:val="00C2163B"/>
    <w:rsid w:val="00C21706"/>
    <w:rsid w:val="00C217D0"/>
    <w:rsid w:val="00C2391A"/>
    <w:rsid w:val="00C24ECB"/>
    <w:rsid w:val="00C24F05"/>
    <w:rsid w:val="00C25690"/>
    <w:rsid w:val="00C256CC"/>
    <w:rsid w:val="00C259AC"/>
    <w:rsid w:val="00C25A0F"/>
    <w:rsid w:val="00C2624D"/>
    <w:rsid w:val="00C26587"/>
    <w:rsid w:val="00C26E5D"/>
    <w:rsid w:val="00C274C6"/>
    <w:rsid w:val="00C3031D"/>
    <w:rsid w:val="00C3036E"/>
    <w:rsid w:val="00C305ED"/>
    <w:rsid w:val="00C30651"/>
    <w:rsid w:val="00C307F2"/>
    <w:rsid w:val="00C3083D"/>
    <w:rsid w:val="00C30CAA"/>
    <w:rsid w:val="00C30F2A"/>
    <w:rsid w:val="00C30FFB"/>
    <w:rsid w:val="00C313CB"/>
    <w:rsid w:val="00C313CC"/>
    <w:rsid w:val="00C314FA"/>
    <w:rsid w:val="00C31864"/>
    <w:rsid w:val="00C319C4"/>
    <w:rsid w:val="00C31C43"/>
    <w:rsid w:val="00C31F7A"/>
    <w:rsid w:val="00C32595"/>
    <w:rsid w:val="00C3299F"/>
    <w:rsid w:val="00C329C3"/>
    <w:rsid w:val="00C32A9E"/>
    <w:rsid w:val="00C32D40"/>
    <w:rsid w:val="00C3349A"/>
    <w:rsid w:val="00C337AE"/>
    <w:rsid w:val="00C33F1A"/>
    <w:rsid w:val="00C34240"/>
    <w:rsid w:val="00C3444E"/>
    <w:rsid w:val="00C346C2"/>
    <w:rsid w:val="00C34EBB"/>
    <w:rsid w:val="00C357C0"/>
    <w:rsid w:val="00C35B8E"/>
    <w:rsid w:val="00C36510"/>
    <w:rsid w:val="00C3669C"/>
    <w:rsid w:val="00C368A7"/>
    <w:rsid w:val="00C36B87"/>
    <w:rsid w:val="00C36C37"/>
    <w:rsid w:val="00C36F51"/>
    <w:rsid w:val="00C3720A"/>
    <w:rsid w:val="00C372C1"/>
    <w:rsid w:val="00C3736D"/>
    <w:rsid w:val="00C37C3C"/>
    <w:rsid w:val="00C400FF"/>
    <w:rsid w:val="00C40DE7"/>
    <w:rsid w:val="00C41516"/>
    <w:rsid w:val="00C41802"/>
    <w:rsid w:val="00C41842"/>
    <w:rsid w:val="00C41967"/>
    <w:rsid w:val="00C42016"/>
    <w:rsid w:val="00C42155"/>
    <w:rsid w:val="00C42269"/>
    <w:rsid w:val="00C4285F"/>
    <w:rsid w:val="00C42A57"/>
    <w:rsid w:val="00C42CEA"/>
    <w:rsid w:val="00C42E1F"/>
    <w:rsid w:val="00C430A3"/>
    <w:rsid w:val="00C43398"/>
    <w:rsid w:val="00C43496"/>
    <w:rsid w:val="00C43ECC"/>
    <w:rsid w:val="00C4404F"/>
    <w:rsid w:val="00C441CF"/>
    <w:rsid w:val="00C44E7C"/>
    <w:rsid w:val="00C450F5"/>
    <w:rsid w:val="00C459DE"/>
    <w:rsid w:val="00C459E4"/>
    <w:rsid w:val="00C45A8E"/>
    <w:rsid w:val="00C45E77"/>
    <w:rsid w:val="00C46131"/>
    <w:rsid w:val="00C46743"/>
    <w:rsid w:val="00C467F5"/>
    <w:rsid w:val="00C46F47"/>
    <w:rsid w:val="00C47272"/>
    <w:rsid w:val="00C47317"/>
    <w:rsid w:val="00C478D6"/>
    <w:rsid w:val="00C47C43"/>
    <w:rsid w:val="00C502B0"/>
    <w:rsid w:val="00C502D6"/>
    <w:rsid w:val="00C505AD"/>
    <w:rsid w:val="00C50815"/>
    <w:rsid w:val="00C50B93"/>
    <w:rsid w:val="00C51347"/>
    <w:rsid w:val="00C51418"/>
    <w:rsid w:val="00C51991"/>
    <w:rsid w:val="00C52487"/>
    <w:rsid w:val="00C52528"/>
    <w:rsid w:val="00C52E86"/>
    <w:rsid w:val="00C5351F"/>
    <w:rsid w:val="00C53852"/>
    <w:rsid w:val="00C53876"/>
    <w:rsid w:val="00C53A85"/>
    <w:rsid w:val="00C53AFF"/>
    <w:rsid w:val="00C53FAC"/>
    <w:rsid w:val="00C542A3"/>
    <w:rsid w:val="00C54422"/>
    <w:rsid w:val="00C5450C"/>
    <w:rsid w:val="00C546AB"/>
    <w:rsid w:val="00C54744"/>
    <w:rsid w:val="00C54B23"/>
    <w:rsid w:val="00C54B37"/>
    <w:rsid w:val="00C54EB8"/>
    <w:rsid w:val="00C551EC"/>
    <w:rsid w:val="00C559E2"/>
    <w:rsid w:val="00C55AD7"/>
    <w:rsid w:val="00C55B10"/>
    <w:rsid w:val="00C56025"/>
    <w:rsid w:val="00C56378"/>
    <w:rsid w:val="00C564BA"/>
    <w:rsid w:val="00C564C4"/>
    <w:rsid w:val="00C56570"/>
    <w:rsid w:val="00C56C47"/>
    <w:rsid w:val="00C56CE6"/>
    <w:rsid w:val="00C56D3C"/>
    <w:rsid w:val="00C57303"/>
    <w:rsid w:val="00C575A7"/>
    <w:rsid w:val="00C5769B"/>
    <w:rsid w:val="00C60E7E"/>
    <w:rsid w:val="00C615CD"/>
    <w:rsid w:val="00C626B8"/>
    <w:rsid w:val="00C62705"/>
    <w:rsid w:val="00C62CC9"/>
    <w:rsid w:val="00C630FD"/>
    <w:rsid w:val="00C63B6D"/>
    <w:rsid w:val="00C63D00"/>
    <w:rsid w:val="00C6408B"/>
    <w:rsid w:val="00C656D2"/>
    <w:rsid w:val="00C65708"/>
    <w:rsid w:val="00C65A2D"/>
    <w:rsid w:val="00C65BF9"/>
    <w:rsid w:val="00C65ED5"/>
    <w:rsid w:val="00C663B5"/>
    <w:rsid w:val="00C66476"/>
    <w:rsid w:val="00C66649"/>
    <w:rsid w:val="00C6694F"/>
    <w:rsid w:val="00C66AA8"/>
    <w:rsid w:val="00C66B46"/>
    <w:rsid w:val="00C66C7B"/>
    <w:rsid w:val="00C6799C"/>
    <w:rsid w:val="00C67B64"/>
    <w:rsid w:val="00C67E08"/>
    <w:rsid w:val="00C70666"/>
    <w:rsid w:val="00C708ED"/>
    <w:rsid w:val="00C7222E"/>
    <w:rsid w:val="00C723A5"/>
    <w:rsid w:val="00C72C2A"/>
    <w:rsid w:val="00C73271"/>
    <w:rsid w:val="00C73399"/>
    <w:rsid w:val="00C7362A"/>
    <w:rsid w:val="00C739CE"/>
    <w:rsid w:val="00C73A1B"/>
    <w:rsid w:val="00C73E02"/>
    <w:rsid w:val="00C746B5"/>
    <w:rsid w:val="00C74DDB"/>
    <w:rsid w:val="00C7538D"/>
    <w:rsid w:val="00C75774"/>
    <w:rsid w:val="00C75CD9"/>
    <w:rsid w:val="00C75DBD"/>
    <w:rsid w:val="00C75E4F"/>
    <w:rsid w:val="00C75F79"/>
    <w:rsid w:val="00C76733"/>
    <w:rsid w:val="00C76D9D"/>
    <w:rsid w:val="00C76E59"/>
    <w:rsid w:val="00C7722D"/>
    <w:rsid w:val="00C77446"/>
    <w:rsid w:val="00C77F3F"/>
    <w:rsid w:val="00C80281"/>
    <w:rsid w:val="00C80312"/>
    <w:rsid w:val="00C80F30"/>
    <w:rsid w:val="00C812A1"/>
    <w:rsid w:val="00C812E4"/>
    <w:rsid w:val="00C81835"/>
    <w:rsid w:val="00C81914"/>
    <w:rsid w:val="00C8198C"/>
    <w:rsid w:val="00C81D69"/>
    <w:rsid w:val="00C81FED"/>
    <w:rsid w:val="00C8230F"/>
    <w:rsid w:val="00C82345"/>
    <w:rsid w:val="00C82640"/>
    <w:rsid w:val="00C8294D"/>
    <w:rsid w:val="00C82C62"/>
    <w:rsid w:val="00C82C93"/>
    <w:rsid w:val="00C8301A"/>
    <w:rsid w:val="00C83380"/>
    <w:rsid w:val="00C8399B"/>
    <w:rsid w:val="00C839EB"/>
    <w:rsid w:val="00C84ADB"/>
    <w:rsid w:val="00C84C14"/>
    <w:rsid w:val="00C84CBD"/>
    <w:rsid w:val="00C85228"/>
    <w:rsid w:val="00C852A0"/>
    <w:rsid w:val="00C85720"/>
    <w:rsid w:val="00C85D34"/>
    <w:rsid w:val="00C85DF5"/>
    <w:rsid w:val="00C86124"/>
    <w:rsid w:val="00C86307"/>
    <w:rsid w:val="00C870F8"/>
    <w:rsid w:val="00C8716A"/>
    <w:rsid w:val="00C873A3"/>
    <w:rsid w:val="00C87671"/>
    <w:rsid w:val="00C87DA3"/>
    <w:rsid w:val="00C9084A"/>
    <w:rsid w:val="00C90EA9"/>
    <w:rsid w:val="00C91480"/>
    <w:rsid w:val="00C915D0"/>
    <w:rsid w:val="00C91B79"/>
    <w:rsid w:val="00C91DB2"/>
    <w:rsid w:val="00C92C93"/>
    <w:rsid w:val="00C930DA"/>
    <w:rsid w:val="00C933C0"/>
    <w:rsid w:val="00C9350E"/>
    <w:rsid w:val="00C93810"/>
    <w:rsid w:val="00C938F2"/>
    <w:rsid w:val="00C93B7D"/>
    <w:rsid w:val="00C93C0B"/>
    <w:rsid w:val="00C94072"/>
    <w:rsid w:val="00C94253"/>
    <w:rsid w:val="00C951B9"/>
    <w:rsid w:val="00C951C8"/>
    <w:rsid w:val="00C9523F"/>
    <w:rsid w:val="00C95470"/>
    <w:rsid w:val="00C957FF"/>
    <w:rsid w:val="00C95FA6"/>
    <w:rsid w:val="00C96153"/>
    <w:rsid w:val="00C9666C"/>
    <w:rsid w:val="00C96BB9"/>
    <w:rsid w:val="00C96D7A"/>
    <w:rsid w:val="00C96E79"/>
    <w:rsid w:val="00C97019"/>
    <w:rsid w:val="00C97B7C"/>
    <w:rsid w:val="00C97D78"/>
    <w:rsid w:val="00CA00D8"/>
    <w:rsid w:val="00CA0A72"/>
    <w:rsid w:val="00CA0B52"/>
    <w:rsid w:val="00CA1089"/>
    <w:rsid w:val="00CA1854"/>
    <w:rsid w:val="00CA18CE"/>
    <w:rsid w:val="00CA1D6F"/>
    <w:rsid w:val="00CA2067"/>
    <w:rsid w:val="00CA296F"/>
    <w:rsid w:val="00CA2A54"/>
    <w:rsid w:val="00CA2AF4"/>
    <w:rsid w:val="00CA2BBE"/>
    <w:rsid w:val="00CA2C0F"/>
    <w:rsid w:val="00CA2C2A"/>
    <w:rsid w:val="00CA2D7E"/>
    <w:rsid w:val="00CA2E95"/>
    <w:rsid w:val="00CA2FE5"/>
    <w:rsid w:val="00CA30D9"/>
    <w:rsid w:val="00CA338E"/>
    <w:rsid w:val="00CA33D0"/>
    <w:rsid w:val="00CA3423"/>
    <w:rsid w:val="00CA371B"/>
    <w:rsid w:val="00CA3DE7"/>
    <w:rsid w:val="00CA4328"/>
    <w:rsid w:val="00CA43BE"/>
    <w:rsid w:val="00CA45AE"/>
    <w:rsid w:val="00CA4B1A"/>
    <w:rsid w:val="00CA4C64"/>
    <w:rsid w:val="00CA5CCF"/>
    <w:rsid w:val="00CA6163"/>
    <w:rsid w:val="00CA6305"/>
    <w:rsid w:val="00CA6594"/>
    <w:rsid w:val="00CA6F47"/>
    <w:rsid w:val="00CA6F94"/>
    <w:rsid w:val="00CA7283"/>
    <w:rsid w:val="00CA7292"/>
    <w:rsid w:val="00CA755F"/>
    <w:rsid w:val="00CA763E"/>
    <w:rsid w:val="00CA76C4"/>
    <w:rsid w:val="00CA777A"/>
    <w:rsid w:val="00CA7816"/>
    <w:rsid w:val="00CA78FB"/>
    <w:rsid w:val="00CA7B20"/>
    <w:rsid w:val="00CA7CAD"/>
    <w:rsid w:val="00CA7E9B"/>
    <w:rsid w:val="00CA7FA8"/>
    <w:rsid w:val="00CB00D4"/>
    <w:rsid w:val="00CB0114"/>
    <w:rsid w:val="00CB0278"/>
    <w:rsid w:val="00CB0871"/>
    <w:rsid w:val="00CB143C"/>
    <w:rsid w:val="00CB1829"/>
    <w:rsid w:val="00CB21EE"/>
    <w:rsid w:val="00CB231E"/>
    <w:rsid w:val="00CB26FA"/>
    <w:rsid w:val="00CB2754"/>
    <w:rsid w:val="00CB28BB"/>
    <w:rsid w:val="00CB3273"/>
    <w:rsid w:val="00CB3619"/>
    <w:rsid w:val="00CB3686"/>
    <w:rsid w:val="00CB48AB"/>
    <w:rsid w:val="00CB48D1"/>
    <w:rsid w:val="00CB49F5"/>
    <w:rsid w:val="00CB4E20"/>
    <w:rsid w:val="00CB53F0"/>
    <w:rsid w:val="00CB588A"/>
    <w:rsid w:val="00CB5B66"/>
    <w:rsid w:val="00CB649C"/>
    <w:rsid w:val="00CB6623"/>
    <w:rsid w:val="00CB6A7F"/>
    <w:rsid w:val="00CB6A9D"/>
    <w:rsid w:val="00CB708E"/>
    <w:rsid w:val="00CB7622"/>
    <w:rsid w:val="00CB77E8"/>
    <w:rsid w:val="00CC05B2"/>
    <w:rsid w:val="00CC05D5"/>
    <w:rsid w:val="00CC07D5"/>
    <w:rsid w:val="00CC0911"/>
    <w:rsid w:val="00CC1086"/>
    <w:rsid w:val="00CC12BC"/>
    <w:rsid w:val="00CC130D"/>
    <w:rsid w:val="00CC15AB"/>
    <w:rsid w:val="00CC1E48"/>
    <w:rsid w:val="00CC1EAD"/>
    <w:rsid w:val="00CC2050"/>
    <w:rsid w:val="00CC2F19"/>
    <w:rsid w:val="00CC33D8"/>
    <w:rsid w:val="00CC3866"/>
    <w:rsid w:val="00CC3E4A"/>
    <w:rsid w:val="00CC41F3"/>
    <w:rsid w:val="00CC4666"/>
    <w:rsid w:val="00CC484E"/>
    <w:rsid w:val="00CC4C57"/>
    <w:rsid w:val="00CC5005"/>
    <w:rsid w:val="00CC59D7"/>
    <w:rsid w:val="00CC5A5B"/>
    <w:rsid w:val="00CC5E43"/>
    <w:rsid w:val="00CC6011"/>
    <w:rsid w:val="00CC6167"/>
    <w:rsid w:val="00CC66B8"/>
    <w:rsid w:val="00CC6A37"/>
    <w:rsid w:val="00CC6F34"/>
    <w:rsid w:val="00CC75FE"/>
    <w:rsid w:val="00CC7895"/>
    <w:rsid w:val="00CC7D11"/>
    <w:rsid w:val="00CD0456"/>
    <w:rsid w:val="00CD097F"/>
    <w:rsid w:val="00CD09AF"/>
    <w:rsid w:val="00CD09E2"/>
    <w:rsid w:val="00CD09E9"/>
    <w:rsid w:val="00CD12F1"/>
    <w:rsid w:val="00CD1A6C"/>
    <w:rsid w:val="00CD25E8"/>
    <w:rsid w:val="00CD27BE"/>
    <w:rsid w:val="00CD2C6B"/>
    <w:rsid w:val="00CD2FA7"/>
    <w:rsid w:val="00CD322A"/>
    <w:rsid w:val="00CD381C"/>
    <w:rsid w:val="00CD44C3"/>
    <w:rsid w:val="00CD458E"/>
    <w:rsid w:val="00CD465D"/>
    <w:rsid w:val="00CD4FFB"/>
    <w:rsid w:val="00CD53F7"/>
    <w:rsid w:val="00CD5846"/>
    <w:rsid w:val="00CD5F98"/>
    <w:rsid w:val="00CD6160"/>
    <w:rsid w:val="00CD64A0"/>
    <w:rsid w:val="00CD674E"/>
    <w:rsid w:val="00CD6979"/>
    <w:rsid w:val="00CD6B71"/>
    <w:rsid w:val="00CD6DC4"/>
    <w:rsid w:val="00CD7000"/>
    <w:rsid w:val="00CD77FA"/>
    <w:rsid w:val="00CD7AF0"/>
    <w:rsid w:val="00CD7C42"/>
    <w:rsid w:val="00CE0705"/>
    <w:rsid w:val="00CE0EFC"/>
    <w:rsid w:val="00CE1642"/>
    <w:rsid w:val="00CE1862"/>
    <w:rsid w:val="00CE1B05"/>
    <w:rsid w:val="00CE1F80"/>
    <w:rsid w:val="00CE2092"/>
    <w:rsid w:val="00CE2580"/>
    <w:rsid w:val="00CE282C"/>
    <w:rsid w:val="00CE2C64"/>
    <w:rsid w:val="00CE2C9E"/>
    <w:rsid w:val="00CE309C"/>
    <w:rsid w:val="00CE30DE"/>
    <w:rsid w:val="00CE33CC"/>
    <w:rsid w:val="00CE3526"/>
    <w:rsid w:val="00CE3888"/>
    <w:rsid w:val="00CE3B8B"/>
    <w:rsid w:val="00CE3D4D"/>
    <w:rsid w:val="00CE41E9"/>
    <w:rsid w:val="00CE43DE"/>
    <w:rsid w:val="00CE44E2"/>
    <w:rsid w:val="00CE451C"/>
    <w:rsid w:val="00CE4575"/>
    <w:rsid w:val="00CE4A40"/>
    <w:rsid w:val="00CE570F"/>
    <w:rsid w:val="00CE5ADB"/>
    <w:rsid w:val="00CE61C6"/>
    <w:rsid w:val="00CE61CE"/>
    <w:rsid w:val="00CE6554"/>
    <w:rsid w:val="00CE662C"/>
    <w:rsid w:val="00CE670E"/>
    <w:rsid w:val="00CE6DD6"/>
    <w:rsid w:val="00CE723A"/>
    <w:rsid w:val="00CE7450"/>
    <w:rsid w:val="00CE78C6"/>
    <w:rsid w:val="00CF01BB"/>
    <w:rsid w:val="00CF03E3"/>
    <w:rsid w:val="00CF06CB"/>
    <w:rsid w:val="00CF0A83"/>
    <w:rsid w:val="00CF0ADC"/>
    <w:rsid w:val="00CF182D"/>
    <w:rsid w:val="00CF19AD"/>
    <w:rsid w:val="00CF1AB8"/>
    <w:rsid w:val="00CF1D2E"/>
    <w:rsid w:val="00CF20F3"/>
    <w:rsid w:val="00CF219C"/>
    <w:rsid w:val="00CF2400"/>
    <w:rsid w:val="00CF29DC"/>
    <w:rsid w:val="00CF36B6"/>
    <w:rsid w:val="00CF3E05"/>
    <w:rsid w:val="00CF3E27"/>
    <w:rsid w:val="00CF405A"/>
    <w:rsid w:val="00CF4724"/>
    <w:rsid w:val="00CF4A57"/>
    <w:rsid w:val="00CF5DF8"/>
    <w:rsid w:val="00CF5F1C"/>
    <w:rsid w:val="00CF6801"/>
    <w:rsid w:val="00CF74D6"/>
    <w:rsid w:val="00CF7549"/>
    <w:rsid w:val="00CF76F8"/>
    <w:rsid w:val="00CF770B"/>
    <w:rsid w:val="00CF7854"/>
    <w:rsid w:val="00CF7D0D"/>
    <w:rsid w:val="00CF7D8B"/>
    <w:rsid w:val="00D004C7"/>
    <w:rsid w:val="00D00508"/>
    <w:rsid w:val="00D007E6"/>
    <w:rsid w:val="00D008E5"/>
    <w:rsid w:val="00D00A54"/>
    <w:rsid w:val="00D00ACA"/>
    <w:rsid w:val="00D01000"/>
    <w:rsid w:val="00D010F6"/>
    <w:rsid w:val="00D01139"/>
    <w:rsid w:val="00D01EC6"/>
    <w:rsid w:val="00D022E2"/>
    <w:rsid w:val="00D02471"/>
    <w:rsid w:val="00D02DC5"/>
    <w:rsid w:val="00D030FF"/>
    <w:rsid w:val="00D0317D"/>
    <w:rsid w:val="00D03AE1"/>
    <w:rsid w:val="00D03B40"/>
    <w:rsid w:val="00D041EC"/>
    <w:rsid w:val="00D04683"/>
    <w:rsid w:val="00D047BC"/>
    <w:rsid w:val="00D04BAC"/>
    <w:rsid w:val="00D04BF0"/>
    <w:rsid w:val="00D04DCB"/>
    <w:rsid w:val="00D0549E"/>
    <w:rsid w:val="00D05555"/>
    <w:rsid w:val="00D05D7C"/>
    <w:rsid w:val="00D063DC"/>
    <w:rsid w:val="00D0697A"/>
    <w:rsid w:val="00D070CC"/>
    <w:rsid w:val="00D071E5"/>
    <w:rsid w:val="00D07301"/>
    <w:rsid w:val="00D0794A"/>
    <w:rsid w:val="00D07AAA"/>
    <w:rsid w:val="00D10198"/>
    <w:rsid w:val="00D105A8"/>
    <w:rsid w:val="00D10680"/>
    <w:rsid w:val="00D11299"/>
    <w:rsid w:val="00D1148F"/>
    <w:rsid w:val="00D11CDF"/>
    <w:rsid w:val="00D11EDB"/>
    <w:rsid w:val="00D1215B"/>
    <w:rsid w:val="00D12322"/>
    <w:rsid w:val="00D1248E"/>
    <w:rsid w:val="00D12735"/>
    <w:rsid w:val="00D12B13"/>
    <w:rsid w:val="00D13479"/>
    <w:rsid w:val="00D13C0A"/>
    <w:rsid w:val="00D13F1A"/>
    <w:rsid w:val="00D14056"/>
    <w:rsid w:val="00D1412C"/>
    <w:rsid w:val="00D14149"/>
    <w:rsid w:val="00D14924"/>
    <w:rsid w:val="00D14C7B"/>
    <w:rsid w:val="00D14DB7"/>
    <w:rsid w:val="00D1584E"/>
    <w:rsid w:val="00D15CC4"/>
    <w:rsid w:val="00D1641F"/>
    <w:rsid w:val="00D164D3"/>
    <w:rsid w:val="00D16EF7"/>
    <w:rsid w:val="00D173E1"/>
    <w:rsid w:val="00D17B60"/>
    <w:rsid w:val="00D17C70"/>
    <w:rsid w:val="00D17CEE"/>
    <w:rsid w:val="00D201F1"/>
    <w:rsid w:val="00D2024C"/>
    <w:rsid w:val="00D216E7"/>
    <w:rsid w:val="00D2191E"/>
    <w:rsid w:val="00D21A5C"/>
    <w:rsid w:val="00D21B71"/>
    <w:rsid w:val="00D21BE5"/>
    <w:rsid w:val="00D21C17"/>
    <w:rsid w:val="00D21ED9"/>
    <w:rsid w:val="00D22277"/>
    <w:rsid w:val="00D2230E"/>
    <w:rsid w:val="00D22886"/>
    <w:rsid w:val="00D22B2B"/>
    <w:rsid w:val="00D23714"/>
    <w:rsid w:val="00D2428D"/>
    <w:rsid w:val="00D24348"/>
    <w:rsid w:val="00D245F2"/>
    <w:rsid w:val="00D24A81"/>
    <w:rsid w:val="00D24FD0"/>
    <w:rsid w:val="00D25AE9"/>
    <w:rsid w:val="00D25B05"/>
    <w:rsid w:val="00D2627D"/>
    <w:rsid w:val="00D265CB"/>
    <w:rsid w:val="00D26744"/>
    <w:rsid w:val="00D26B7A"/>
    <w:rsid w:val="00D271AF"/>
    <w:rsid w:val="00D27600"/>
    <w:rsid w:val="00D3083A"/>
    <w:rsid w:val="00D30CA0"/>
    <w:rsid w:val="00D30D1E"/>
    <w:rsid w:val="00D30E82"/>
    <w:rsid w:val="00D31283"/>
    <w:rsid w:val="00D31369"/>
    <w:rsid w:val="00D31CBB"/>
    <w:rsid w:val="00D31DF7"/>
    <w:rsid w:val="00D31F24"/>
    <w:rsid w:val="00D328F8"/>
    <w:rsid w:val="00D32916"/>
    <w:rsid w:val="00D33214"/>
    <w:rsid w:val="00D33255"/>
    <w:rsid w:val="00D333EA"/>
    <w:rsid w:val="00D3353B"/>
    <w:rsid w:val="00D33832"/>
    <w:rsid w:val="00D3397A"/>
    <w:rsid w:val="00D33B08"/>
    <w:rsid w:val="00D33EBB"/>
    <w:rsid w:val="00D342D9"/>
    <w:rsid w:val="00D34BAA"/>
    <w:rsid w:val="00D35858"/>
    <w:rsid w:val="00D35F05"/>
    <w:rsid w:val="00D36338"/>
    <w:rsid w:val="00D3646C"/>
    <w:rsid w:val="00D36716"/>
    <w:rsid w:val="00D36FCE"/>
    <w:rsid w:val="00D375D9"/>
    <w:rsid w:val="00D3784F"/>
    <w:rsid w:val="00D41344"/>
    <w:rsid w:val="00D41593"/>
    <w:rsid w:val="00D417F9"/>
    <w:rsid w:val="00D4185D"/>
    <w:rsid w:val="00D41D33"/>
    <w:rsid w:val="00D42164"/>
    <w:rsid w:val="00D421D8"/>
    <w:rsid w:val="00D42268"/>
    <w:rsid w:val="00D423C2"/>
    <w:rsid w:val="00D42526"/>
    <w:rsid w:val="00D42FB4"/>
    <w:rsid w:val="00D4308F"/>
    <w:rsid w:val="00D4382D"/>
    <w:rsid w:val="00D43C78"/>
    <w:rsid w:val="00D43D42"/>
    <w:rsid w:val="00D443BE"/>
    <w:rsid w:val="00D44A03"/>
    <w:rsid w:val="00D44D74"/>
    <w:rsid w:val="00D4597D"/>
    <w:rsid w:val="00D45E2F"/>
    <w:rsid w:val="00D46390"/>
    <w:rsid w:val="00D464C4"/>
    <w:rsid w:val="00D46590"/>
    <w:rsid w:val="00D46743"/>
    <w:rsid w:val="00D46D13"/>
    <w:rsid w:val="00D4749F"/>
    <w:rsid w:val="00D47543"/>
    <w:rsid w:val="00D478D6"/>
    <w:rsid w:val="00D5007B"/>
    <w:rsid w:val="00D5011F"/>
    <w:rsid w:val="00D502F0"/>
    <w:rsid w:val="00D5030F"/>
    <w:rsid w:val="00D50584"/>
    <w:rsid w:val="00D5059B"/>
    <w:rsid w:val="00D51011"/>
    <w:rsid w:val="00D51108"/>
    <w:rsid w:val="00D5136A"/>
    <w:rsid w:val="00D51563"/>
    <w:rsid w:val="00D51B3C"/>
    <w:rsid w:val="00D51D0A"/>
    <w:rsid w:val="00D521CC"/>
    <w:rsid w:val="00D5231F"/>
    <w:rsid w:val="00D524E1"/>
    <w:rsid w:val="00D529D9"/>
    <w:rsid w:val="00D52A34"/>
    <w:rsid w:val="00D52CF9"/>
    <w:rsid w:val="00D52E24"/>
    <w:rsid w:val="00D53162"/>
    <w:rsid w:val="00D5322D"/>
    <w:rsid w:val="00D53394"/>
    <w:rsid w:val="00D5342D"/>
    <w:rsid w:val="00D53508"/>
    <w:rsid w:val="00D535A2"/>
    <w:rsid w:val="00D537AF"/>
    <w:rsid w:val="00D53DA7"/>
    <w:rsid w:val="00D544BF"/>
    <w:rsid w:val="00D55443"/>
    <w:rsid w:val="00D5559A"/>
    <w:rsid w:val="00D55716"/>
    <w:rsid w:val="00D55A45"/>
    <w:rsid w:val="00D56F65"/>
    <w:rsid w:val="00D56FF4"/>
    <w:rsid w:val="00D573C4"/>
    <w:rsid w:val="00D5777C"/>
    <w:rsid w:val="00D5791D"/>
    <w:rsid w:val="00D57C86"/>
    <w:rsid w:val="00D57CE4"/>
    <w:rsid w:val="00D57F57"/>
    <w:rsid w:val="00D60183"/>
    <w:rsid w:val="00D60369"/>
    <w:rsid w:val="00D6045B"/>
    <w:rsid w:val="00D608DE"/>
    <w:rsid w:val="00D617BD"/>
    <w:rsid w:val="00D619F5"/>
    <w:rsid w:val="00D61A9D"/>
    <w:rsid w:val="00D62830"/>
    <w:rsid w:val="00D6336B"/>
    <w:rsid w:val="00D63E31"/>
    <w:rsid w:val="00D64181"/>
    <w:rsid w:val="00D6452A"/>
    <w:rsid w:val="00D64E21"/>
    <w:rsid w:val="00D64FF7"/>
    <w:rsid w:val="00D652C4"/>
    <w:rsid w:val="00D65321"/>
    <w:rsid w:val="00D65666"/>
    <w:rsid w:val="00D65676"/>
    <w:rsid w:val="00D65992"/>
    <w:rsid w:val="00D667D8"/>
    <w:rsid w:val="00D669B9"/>
    <w:rsid w:val="00D6709C"/>
    <w:rsid w:val="00D671E5"/>
    <w:rsid w:val="00D67386"/>
    <w:rsid w:val="00D67EE2"/>
    <w:rsid w:val="00D67FC7"/>
    <w:rsid w:val="00D67FD2"/>
    <w:rsid w:val="00D70712"/>
    <w:rsid w:val="00D70E66"/>
    <w:rsid w:val="00D70E74"/>
    <w:rsid w:val="00D70F31"/>
    <w:rsid w:val="00D7166D"/>
    <w:rsid w:val="00D71B91"/>
    <w:rsid w:val="00D72744"/>
    <w:rsid w:val="00D727A4"/>
    <w:rsid w:val="00D7289D"/>
    <w:rsid w:val="00D7364C"/>
    <w:rsid w:val="00D736E1"/>
    <w:rsid w:val="00D73ACF"/>
    <w:rsid w:val="00D73AFB"/>
    <w:rsid w:val="00D7420A"/>
    <w:rsid w:val="00D742AB"/>
    <w:rsid w:val="00D74405"/>
    <w:rsid w:val="00D74641"/>
    <w:rsid w:val="00D746C0"/>
    <w:rsid w:val="00D749FA"/>
    <w:rsid w:val="00D74C8D"/>
    <w:rsid w:val="00D7517C"/>
    <w:rsid w:val="00D75350"/>
    <w:rsid w:val="00D7572D"/>
    <w:rsid w:val="00D7577C"/>
    <w:rsid w:val="00D7604E"/>
    <w:rsid w:val="00D76A62"/>
    <w:rsid w:val="00D76FDD"/>
    <w:rsid w:val="00D770BE"/>
    <w:rsid w:val="00D7773B"/>
    <w:rsid w:val="00D77C22"/>
    <w:rsid w:val="00D77C77"/>
    <w:rsid w:val="00D80721"/>
    <w:rsid w:val="00D80890"/>
    <w:rsid w:val="00D809DD"/>
    <w:rsid w:val="00D80E08"/>
    <w:rsid w:val="00D81C10"/>
    <w:rsid w:val="00D81EC6"/>
    <w:rsid w:val="00D81F43"/>
    <w:rsid w:val="00D823E6"/>
    <w:rsid w:val="00D826EB"/>
    <w:rsid w:val="00D82DF7"/>
    <w:rsid w:val="00D83067"/>
    <w:rsid w:val="00D83865"/>
    <w:rsid w:val="00D83D9C"/>
    <w:rsid w:val="00D841A6"/>
    <w:rsid w:val="00D84204"/>
    <w:rsid w:val="00D84B13"/>
    <w:rsid w:val="00D8545C"/>
    <w:rsid w:val="00D85D75"/>
    <w:rsid w:val="00D85F83"/>
    <w:rsid w:val="00D86394"/>
    <w:rsid w:val="00D863E9"/>
    <w:rsid w:val="00D869CF"/>
    <w:rsid w:val="00D86A55"/>
    <w:rsid w:val="00D86CD2"/>
    <w:rsid w:val="00D8741D"/>
    <w:rsid w:val="00D8791C"/>
    <w:rsid w:val="00D87C2A"/>
    <w:rsid w:val="00D87EAB"/>
    <w:rsid w:val="00D87F00"/>
    <w:rsid w:val="00D90D95"/>
    <w:rsid w:val="00D90DE8"/>
    <w:rsid w:val="00D9162E"/>
    <w:rsid w:val="00D9212A"/>
    <w:rsid w:val="00D93263"/>
    <w:rsid w:val="00D93302"/>
    <w:rsid w:val="00D93713"/>
    <w:rsid w:val="00D93720"/>
    <w:rsid w:val="00D93C59"/>
    <w:rsid w:val="00D942A6"/>
    <w:rsid w:val="00D942E6"/>
    <w:rsid w:val="00D94389"/>
    <w:rsid w:val="00D9479E"/>
    <w:rsid w:val="00D94D89"/>
    <w:rsid w:val="00D94E09"/>
    <w:rsid w:val="00D9509B"/>
    <w:rsid w:val="00D952A4"/>
    <w:rsid w:val="00D955B4"/>
    <w:rsid w:val="00D95880"/>
    <w:rsid w:val="00D95A76"/>
    <w:rsid w:val="00D95B2A"/>
    <w:rsid w:val="00D95B7E"/>
    <w:rsid w:val="00D9632A"/>
    <w:rsid w:val="00D96413"/>
    <w:rsid w:val="00D96B9F"/>
    <w:rsid w:val="00D971E8"/>
    <w:rsid w:val="00D97379"/>
    <w:rsid w:val="00D97671"/>
    <w:rsid w:val="00D9795E"/>
    <w:rsid w:val="00DA06F3"/>
    <w:rsid w:val="00DA0B2D"/>
    <w:rsid w:val="00DA0B66"/>
    <w:rsid w:val="00DA0E1A"/>
    <w:rsid w:val="00DA106E"/>
    <w:rsid w:val="00DA124C"/>
    <w:rsid w:val="00DA1A62"/>
    <w:rsid w:val="00DA2719"/>
    <w:rsid w:val="00DA2CF4"/>
    <w:rsid w:val="00DA2D50"/>
    <w:rsid w:val="00DA3160"/>
    <w:rsid w:val="00DA3326"/>
    <w:rsid w:val="00DA3613"/>
    <w:rsid w:val="00DA3642"/>
    <w:rsid w:val="00DA37C0"/>
    <w:rsid w:val="00DA3911"/>
    <w:rsid w:val="00DA47C0"/>
    <w:rsid w:val="00DA4D11"/>
    <w:rsid w:val="00DA543D"/>
    <w:rsid w:val="00DA59E2"/>
    <w:rsid w:val="00DA6273"/>
    <w:rsid w:val="00DA63CA"/>
    <w:rsid w:val="00DA6543"/>
    <w:rsid w:val="00DA7F59"/>
    <w:rsid w:val="00DB03D2"/>
    <w:rsid w:val="00DB045E"/>
    <w:rsid w:val="00DB0E78"/>
    <w:rsid w:val="00DB11D4"/>
    <w:rsid w:val="00DB1218"/>
    <w:rsid w:val="00DB14D6"/>
    <w:rsid w:val="00DB17FD"/>
    <w:rsid w:val="00DB1A7D"/>
    <w:rsid w:val="00DB20C4"/>
    <w:rsid w:val="00DB23D9"/>
    <w:rsid w:val="00DB3324"/>
    <w:rsid w:val="00DB36FA"/>
    <w:rsid w:val="00DB38E1"/>
    <w:rsid w:val="00DB4C15"/>
    <w:rsid w:val="00DB51CD"/>
    <w:rsid w:val="00DB5465"/>
    <w:rsid w:val="00DB63B7"/>
    <w:rsid w:val="00DB6479"/>
    <w:rsid w:val="00DB65B8"/>
    <w:rsid w:val="00DB67DF"/>
    <w:rsid w:val="00DB6BBB"/>
    <w:rsid w:val="00DB6D93"/>
    <w:rsid w:val="00DB7258"/>
    <w:rsid w:val="00DB7880"/>
    <w:rsid w:val="00DB7B43"/>
    <w:rsid w:val="00DC08F4"/>
    <w:rsid w:val="00DC0C45"/>
    <w:rsid w:val="00DC0E55"/>
    <w:rsid w:val="00DC135C"/>
    <w:rsid w:val="00DC1718"/>
    <w:rsid w:val="00DC176A"/>
    <w:rsid w:val="00DC1FAB"/>
    <w:rsid w:val="00DC28ED"/>
    <w:rsid w:val="00DC3110"/>
    <w:rsid w:val="00DC312E"/>
    <w:rsid w:val="00DC31CC"/>
    <w:rsid w:val="00DC3D9C"/>
    <w:rsid w:val="00DC47A0"/>
    <w:rsid w:val="00DC48F3"/>
    <w:rsid w:val="00DC4CD3"/>
    <w:rsid w:val="00DC51B9"/>
    <w:rsid w:val="00DC5259"/>
    <w:rsid w:val="00DC539D"/>
    <w:rsid w:val="00DC5B5C"/>
    <w:rsid w:val="00DC5C66"/>
    <w:rsid w:val="00DC5D34"/>
    <w:rsid w:val="00DC5F02"/>
    <w:rsid w:val="00DC63A0"/>
    <w:rsid w:val="00DC6514"/>
    <w:rsid w:val="00DC66E6"/>
    <w:rsid w:val="00DC6A01"/>
    <w:rsid w:val="00DC6AAD"/>
    <w:rsid w:val="00DC6FB7"/>
    <w:rsid w:val="00DC72B6"/>
    <w:rsid w:val="00DC7470"/>
    <w:rsid w:val="00DC7573"/>
    <w:rsid w:val="00DC7E30"/>
    <w:rsid w:val="00DC7F4C"/>
    <w:rsid w:val="00DD0219"/>
    <w:rsid w:val="00DD0225"/>
    <w:rsid w:val="00DD04D0"/>
    <w:rsid w:val="00DD086F"/>
    <w:rsid w:val="00DD095B"/>
    <w:rsid w:val="00DD11B9"/>
    <w:rsid w:val="00DD15ED"/>
    <w:rsid w:val="00DD1A31"/>
    <w:rsid w:val="00DD1CE6"/>
    <w:rsid w:val="00DD1DC5"/>
    <w:rsid w:val="00DD1DD8"/>
    <w:rsid w:val="00DD1F46"/>
    <w:rsid w:val="00DD23BF"/>
    <w:rsid w:val="00DD283D"/>
    <w:rsid w:val="00DD30D2"/>
    <w:rsid w:val="00DD3564"/>
    <w:rsid w:val="00DD37CE"/>
    <w:rsid w:val="00DD3C43"/>
    <w:rsid w:val="00DD43E6"/>
    <w:rsid w:val="00DD4533"/>
    <w:rsid w:val="00DD4979"/>
    <w:rsid w:val="00DD4990"/>
    <w:rsid w:val="00DD4C27"/>
    <w:rsid w:val="00DD5162"/>
    <w:rsid w:val="00DD5218"/>
    <w:rsid w:val="00DD55B0"/>
    <w:rsid w:val="00DD5741"/>
    <w:rsid w:val="00DD5879"/>
    <w:rsid w:val="00DD5F81"/>
    <w:rsid w:val="00DD60DD"/>
    <w:rsid w:val="00DD6A4F"/>
    <w:rsid w:val="00DD70CE"/>
    <w:rsid w:val="00DD7457"/>
    <w:rsid w:val="00DD7C43"/>
    <w:rsid w:val="00DD7F49"/>
    <w:rsid w:val="00DE0088"/>
    <w:rsid w:val="00DE078C"/>
    <w:rsid w:val="00DE0B5E"/>
    <w:rsid w:val="00DE0BDF"/>
    <w:rsid w:val="00DE225B"/>
    <w:rsid w:val="00DE2446"/>
    <w:rsid w:val="00DE2728"/>
    <w:rsid w:val="00DE28C1"/>
    <w:rsid w:val="00DE2C30"/>
    <w:rsid w:val="00DE2CAF"/>
    <w:rsid w:val="00DE399F"/>
    <w:rsid w:val="00DE3BEF"/>
    <w:rsid w:val="00DE3C3C"/>
    <w:rsid w:val="00DE3D9F"/>
    <w:rsid w:val="00DE479E"/>
    <w:rsid w:val="00DE4BAB"/>
    <w:rsid w:val="00DE4D87"/>
    <w:rsid w:val="00DE4F19"/>
    <w:rsid w:val="00DE517D"/>
    <w:rsid w:val="00DE58A1"/>
    <w:rsid w:val="00DE5D88"/>
    <w:rsid w:val="00DE5F46"/>
    <w:rsid w:val="00DE690E"/>
    <w:rsid w:val="00DE6A79"/>
    <w:rsid w:val="00DE6F7C"/>
    <w:rsid w:val="00DE70B3"/>
    <w:rsid w:val="00DE7F8B"/>
    <w:rsid w:val="00DF01A1"/>
    <w:rsid w:val="00DF0253"/>
    <w:rsid w:val="00DF0456"/>
    <w:rsid w:val="00DF068A"/>
    <w:rsid w:val="00DF068B"/>
    <w:rsid w:val="00DF0745"/>
    <w:rsid w:val="00DF08E6"/>
    <w:rsid w:val="00DF0979"/>
    <w:rsid w:val="00DF0F74"/>
    <w:rsid w:val="00DF1104"/>
    <w:rsid w:val="00DF16A6"/>
    <w:rsid w:val="00DF16F6"/>
    <w:rsid w:val="00DF1BDC"/>
    <w:rsid w:val="00DF2004"/>
    <w:rsid w:val="00DF2133"/>
    <w:rsid w:val="00DF225C"/>
    <w:rsid w:val="00DF35DC"/>
    <w:rsid w:val="00DF3A53"/>
    <w:rsid w:val="00DF3C11"/>
    <w:rsid w:val="00DF4084"/>
    <w:rsid w:val="00DF431C"/>
    <w:rsid w:val="00DF4754"/>
    <w:rsid w:val="00DF481B"/>
    <w:rsid w:val="00DF4D88"/>
    <w:rsid w:val="00DF5437"/>
    <w:rsid w:val="00DF57C8"/>
    <w:rsid w:val="00DF5BA0"/>
    <w:rsid w:val="00DF5D30"/>
    <w:rsid w:val="00DF6007"/>
    <w:rsid w:val="00DF6EA8"/>
    <w:rsid w:val="00DF7070"/>
    <w:rsid w:val="00DF7EC1"/>
    <w:rsid w:val="00E00484"/>
    <w:rsid w:val="00E0125D"/>
    <w:rsid w:val="00E015D5"/>
    <w:rsid w:val="00E01693"/>
    <w:rsid w:val="00E01771"/>
    <w:rsid w:val="00E01B94"/>
    <w:rsid w:val="00E01E65"/>
    <w:rsid w:val="00E02055"/>
    <w:rsid w:val="00E02386"/>
    <w:rsid w:val="00E028EA"/>
    <w:rsid w:val="00E02D01"/>
    <w:rsid w:val="00E03107"/>
    <w:rsid w:val="00E0322F"/>
    <w:rsid w:val="00E0347E"/>
    <w:rsid w:val="00E04568"/>
    <w:rsid w:val="00E04736"/>
    <w:rsid w:val="00E04817"/>
    <w:rsid w:val="00E04B17"/>
    <w:rsid w:val="00E05849"/>
    <w:rsid w:val="00E05AFD"/>
    <w:rsid w:val="00E05B92"/>
    <w:rsid w:val="00E05DBF"/>
    <w:rsid w:val="00E062D3"/>
    <w:rsid w:val="00E0666A"/>
    <w:rsid w:val="00E06F27"/>
    <w:rsid w:val="00E073A4"/>
    <w:rsid w:val="00E076F1"/>
    <w:rsid w:val="00E0770F"/>
    <w:rsid w:val="00E10343"/>
    <w:rsid w:val="00E1040F"/>
    <w:rsid w:val="00E10DCD"/>
    <w:rsid w:val="00E10F25"/>
    <w:rsid w:val="00E113B4"/>
    <w:rsid w:val="00E11B9C"/>
    <w:rsid w:val="00E11C19"/>
    <w:rsid w:val="00E11D1E"/>
    <w:rsid w:val="00E11D82"/>
    <w:rsid w:val="00E11E14"/>
    <w:rsid w:val="00E11FF4"/>
    <w:rsid w:val="00E12951"/>
    <w:rsid w:val="00E12E46"/>
    <w:rsid w:val="00E13223"/>
    <w:rsid w:val="00E132E1"/>
    <w:rsid w:val="00E13878"/>
    <w:rsid w:val="00E14252"/>
    <w:rsid w:val="00E1433E"/>
    <w:rsid w:val="00E14BB0"/>
    <w:rsid w:val="00E14BE7"/>
    <w:rsid w:val="00E14E2F"/>
    <w:rsid w:val="00E15003"/>
    <w:rsid w:val="00E152AE"/>
    <w:rsid w:val="00E15ADA"/>
    <w:rsid w:val="00E163BB"/>
    <w:rsid w:val="00E16678"/>
    <w:rsid w:val="00E16C67"/>
    <w:rsid w:val="00E16EAF"/>
    <w:rsid w:val="00E16F2C"/>
    <w:rsid w:val="00E2021D"/>
    <w:rsid w:val="00E205A0"/>
    <w:rsid w:val="00E208D4"/>
    <w:rsid w:val="00E20B12"/>
    <w:rsid w:val="00E2149B"/>
    <w:rsid w:val="00E21571"/>
    <w:rsid w:val="00E216FF"/>
    <w:rsid w:val="00E21860"/>
    <w:rsid w:val="00E22533"/>
    <w:rsid w:val="00E23500"/>
    <w:rsid w:val="00E2372B"/>
    <w:rsid w:val="00E238DB"/>
    <w:rsid w:val="00E239EF"/>
    <w:rsid w:val="00E24136"/>
    <w:rsid w:val="00E24347"/>
    <w:rsid w:val="00E24481"/>
    <w:rsid w:val="00E249D9"/>
    <w:rsid w:val="00E24BAB"/>
    <w:rsid w:val="00E24D94"/>
    <w:rsid w:val="00E24DE2"/>
    <w:rsid w:val="00E251C5"/>
    <w:rsid w:val="00E25773"/>
    <w:rsid w:val="00E25867"/>
    <w:rsid w:val="00E25A18"/>
    <w:rsid w:val="00E25C94"/>
    <w:rsid w:val="00E25F34"/>
    <w:rsid w:val="00E26479"/>
    <w:rsid w:val="00E2660B"/>
    <w:rsid w:val="00E26AC1"/>
    <w:rsid w:val="00E26B04"/>
    <w:rsid w:val="00E26C95"/>
    <w:rsid w:val="00E26F2C"/>
    <w:rsid w:val="00E2716A"/>
    <w:rsid w:val="00E27391"/>
    <w:rsid w:val="00E2757C"/>
    <w:rsid w:val="00E27823"/>
    <w:rsid w:val="00E27A48"/>
    <w:rsid w:val="00E27B0A"/>
    <w:rsid w:val="00E27EBD"/>
    <w:rsid w:val="00E27F63"/>
    <w:rsid w:val="00E300E1"/>
    <w:rsid w:val="00E302DA"/>
    <w:rsid w:val="00E304A7"/>
    <w:rsid w:val="00E307B4"/>
    <w:rsid w:val="00E30894"/>
    <w:rsid w:val="00E308A3"/>
    <w:rsid w:val="00E30AEE"/>
    <w:rsid w:val="00E310F0"/>
    <w:rsid w:val="00E3139E"/>
    <w:rsid w:val="00E31718"/>
    <w:rsid w:val="00E31BFB"/>
    <w:rsid w:val="00E31D52"/>
    <w:rsid w:val="00E31D86"/>
    <w:rsid w:val="00E3261A"/>
    <w:rsid w:val="00E3272B"/>
    <w:rsid w:val="00E32B8E"/>
    <w:rsid w:val="00E32C3A"/>
    <w:rsid w:val="00E32D73"/>
    <w:rsid w:val="00E32F44"/>
    <w:rsid w:val="00E345E2"/>
    <w:rsid w:val="00E34FDA"/>
    <w:rsid w:val="00E35122"/>
    <w:rsid w:val="00E35699"/>
    <w:rsid w:val="00E35B19"/>
    <w:rsid w:val="00E35E62"/>
    <w:rsid w:val="00E36077"/>
    <w:rsid w:val="00E36343"/>
    <w:rsid w:val="00E36780"/>
    <w:rsid w:val="00E3678C"/>
    <w:rsid w:val="00E369AD"/>
    <w:rsid w:val="00E374F9"/>
    <w:rsid w:val="00E377DB"/>
    <w:rsid w:val="00E37EB7"/>
    <w:rsid w:val="00E40339"/>
    <w:rsid w:val="00E40DFA"/>
    <w:rsid w:val="00E40E39"/>
    <w:rsid w:val="00E41323"/>
    <w:rsid w:val="00E41410"/>
    <w:rsid w:val="00E4141D"/>
    <w:rsid w:val="00E41479"/>
    <w:rsid w:val="00E41736"/>
    <w:rsid w:val="00E417BE"/>
    <w:rsid w:val="00E417CC"/>
    <w:rsid w:val="00E4186C"/>
    <w:rsid w:val="00E41AC7"/>
    <w:rsid w:val="00E41C41"/>
    <w:rsid w:val="00E41CDC"/>
    <w:rsid w:val="00E421A6"/>
    <w:rsid w:val="00E42353"/>
    <w:rsid w:val="00E42374"/>
    <w:rsid w:val="00E42691"/>
    <w:rsid w:val="00E4283C"/>
    <w:rsid w:val="00E429DE"/>
    <w:rsid w:val="00E43004"/>
    <w:rsid w:val="00E43B8D"/>
    <w:rsid w:val="00E44704"/>
    <w:rsid w:val="00E448A6"/>
    <w:rsid w:val="00E44C97"/>
    <w:rsid w:val="00E45204"/>
    <w:rsid w:val="00E453BB"/>
    <w:rsid w:val="00E45651"/>
    <w:rsid w:val="00E45837"/>
    <w:rsid w:val="00E4668B"/>
    <w:rsid w:val="00E46FC8"/>
    <w:rsid w:val="00E470FC"/>
    <w:rsid w:val="00E478AD"/>
    <w:rsid w:val="00E47997"/>
    <w:rsid w:val="00E50356"/>
    <w:rsid w:val="00E50392"/>
    <w:rsid w:val="00E5070E"/>
    <w:rsid w:val="00E50EC9"/>
    <w:rsid w:val="00E51099"/>
    <w:rsid w:val="00E516A6"/>
    <w:rsid w:val="00E51B0E"/>
    <w:rsid w:val="00E520BF"/>
    <w:rsid w:val="00E52350"/>
    <w:rsid w:val="00E52B5B"/>
    <w:rsid w:val="00E53061"/>
    <w:rsid w:val="00E53279"/>
    <w:rsid w:val="00E5330C"/>
    <w:rsid w:val="00E5333E"/>
    <w:rsid w:val="00E53D0B"/>
    <w:rsid w:val="00E5419E"/>
    <w:rsid w:val="00E542EE"/>
    <w:rsid w:val="00E547D6"/>
    <w:rsid w:val="00E54BC9"/>
    <w:rsid w:val="00E54D0A"/>
    <w:rsid w:val="00E54DF7"/>
    <w:rsid w:val="00E54E76"/>
    <w:rsid w:val="00E55497"/>
    <w:rsid w:val="00E55502"/>
    <w:rsid w:val="00E55585"/>
    <w:rsid w:val="00E55C52"/>
    <w:rsid w:val="00E566C6"/>
    <w:rsid w:val="00E567B6"/>
    <w:rsid w:val="00E56B66"/>
    <w:rsid w:val="00E57927"/>
    <w:rsid w:val="00E57AD3"/>
    <w:rsid w:val="00E57E82"/>
    <w:rsid w:val="00E605F2"/>
    <w:rsid w:val="00E60602"/>
    <w:rsid w:val="00E60712"/>
    <w:rsid w:val="00E609A5"/>
    <w:rsid w:val="00E609DF"/>
    <w:rsid w:val="00E60FDF"/>
    <w:rsid w:val="00E6172C"/>
    <w:rsid w:val="00E61870"/>
    <w:rsid w:val="00E61ADF"/>
    <w:rsid w:val="00E61B68"/>
    <w:rsid w:val="00E62589"/>
    <w:rsid w:val="00E62823"/>
    <w:rsid w:val="00E62A36"/>
    <w:rsid w:val="00E62D9C"/>
    <w:rsid w:val="00E62E1E"/>
    <w:rsid w:val="00E62E3B"/>
    <w:rsid w:val="00E62F35"/>
    <w:rsid w:val="00E63361"/>
    <w:rsid w:val="00E63422"/>
    <w:rsid w:val="00E637A9"/>
    <w:rsid w:val="00E649D8"/>
    <w:rsid w:val="00E6542F"/>
    <w:rsid w:val="00E654C3"/>
    <w:rsid w:val="00E657A4"/>
    <w:rsid w:val="00E66814"/>
    <w:rsid w:val="00E6695C"/>
    <w:rsid w:val="00E67C1C"/>
    <w:rsid w:val="00E67CB0"/>
    <w:rsid w:val="00E67CE7"/>
    <w:rsid w:val="00E707B4"/>
    <w:rsid w:val="00E70FB2"/>
    <w:rsid w:val="00E713DE"/>
    <w:rsid w:val="00E714AC"/>
    <w:rsid w:val="00E716F7"/>
    <w:rsid w:val="00E7182A"/>
    <w:rsid w:val="00E7188B"/>
    <w:rsid w:val="00E718BF"/>
    <w:rsid w:val="00E71962"/>
    <w:rsid w:val="00E7237A"/>
    <w:rsid w:val="00E728F3"/>
    <w:rsid w:val="00E72F2D"/>
    <w:rsid w:val="00E743BE"/>
    <w:rsid w:val="00E74C07"/>
    <w:rsid w:val="00E757DF"/>
    <w:rsid w:val="00E75A44"/>
    <w:rsid w:val="00E75AC2"/>
    <w:rsid w:val="00E75AD1"/>
    <w:rsid w:val="00E75CFB"/>
    <w:rsid w:val="00E75D17"/>
    <w:rsid w:val="00E75F0B"/>
    <w:rsid w:val="00E76228"/>
    <w:rsid w:val="00E7638D"/>
    <w:rsid w:val="00E76478"/>
    <w:rsid w:val="00E765DE"/>
    <w:rsid w:val="00E76667"/>
    <w:rsid w:val="00E76B78"/>
    <w:rsid w:val="00E76CD3"/>
    <w:rsid w:val="00E76ED5"/>
    <w:rsid w:val="00E76F78"/>
    <w:rsid w:val="00E772B5"/>
    <w:rsid w:val="00E7789D"/>
    <w:rsid w:val="00E77B7F"/>
    <w:rsid w:val="00E77F29"/>
    <w:rsid w:val="00E8043D"/>
    <w:rsid w:val="00E805E4"/>
    <w:rsid w:val="00E806D3"/>
    <w:rsid w:val="00E80C5E"/>
    <w:rsid w:val="00E80EC3"/>
    <w:rsid w:val="00E80EE0"/>
    <w:rsid w:val="00E81036"/>
    <w:rsid w:val="00E819AB"/>
    <w:rsid w:val="00E81C16"/>
    <w:rsid w:val="00E81CEC"/>
    <w:rsid w:val="00E82745"/>
    <w:rsid w:val="00E827E8"/>
    <w:rsid w:val="00E8348D"/>
    <w:rsid w:val="00E8369E"/>
    <w:rsid w:val="00E836A6"/>
    <w:rsid w:val="00E836EB"/>
    <w:rsid w:val="00E83988"/>
    <w:rsid w:val="00E83CBA"/>
    <w:rsid w:val="00E84080"/>
    <w:rsid w:val="00E84423"/>
    <w:rsid w:val="00E848F8"/>
    <w:rsid w:val="00E84948"/>
    <w:rsid w:val="00E84FEB"/>
    <w:rsid w:val="00E8552F"/>
    <w:rsid w:val="00E85766"/>
    <w:rsid w:val="00E85E1F"/>
    <w:rsid w:val="00E86241"/>
    <w:rsid w:val="00E86708"/>
    <w:rsid w:val="00E867B6"/>
    <w:rsid w:val="00E8714F"/>
    <w:rsid w:val="00E875E3"/>
    <w:rsid w:val="00E87631"/>
    <w:rsid w:val="00E87746"/>
    <w:rsid w:val="00E901AF"/>
    <w:rsid w:val="00E9037C"/>
    <w:rsid w:val="00E9078A"/>
    <w:rsid w:val="00E90998"/>
    <w:rsid w:val="00E91247"/>
    <w:rsid w:val="00E91360"/>
    <w:rsid w:val="00E91702"/>
    <w:rsid w:val="00E9179C"/>
    <w:rsid w:val="00E9180A"/>
    <w:rsid w:val="00E91A4E"/>
    <w:rsid w:val="00E9210D"/>
    <w:rsid w:val="00E922DB"/>
    <w:rsid w:val="00E9250A"/>
    <w:rsid w:val="00E925C3"/>
    <w:rsid w:val="00E9260D"/>
    <w:rsid w:val="00E9281E"/>
    <w:rsid w:val="00E92AE5"/>
    <w:rsid w:val="00E92FAF"/>
    <w:rsid w:val="00E933A1"/>
    <w:rsid w:val="00E934BE"/>
    <w:rsid w:val="00E94B62"/>
    <w:rsid w:val="00E9555B"/>
    <w:rsid w:val="00E958DC"/>
    <w:rsid w:val="00E95D12"/>
    <w:rsid w:val="00E95F4E"/>
    <w:rsid w:val="00E96082"/>
    <w:rsid w:val="00E96544"/>
    <w:rsid w:val="00E96F4C"/>
    <w:rsid w:val="00E972C1"/>
    <w:rsid w:val="00E9730F"/>
    <w:rsid w:val="00E97339"/>
    <w:rsid w:val="00E97351"/>
    <w:rsid w:val="00E974F4"/>
    <w:rsid w:val="00E97CF9"/>
    <w:rsid w:val="00E97D94"/>
    <w:rsid w:val="00E97DED"/>
    <w:rsid w:val="00EA0115"/>
    <w:rsid w:val="00EA0496"/>
    <w:rsid w:val="00EA0681"/>
    <w:rsid w:val="00EA0E2D"/>
    <w:rsid w:val="00EA0EED"/>
    <w:rsid w:val="00EA1022"/>
    <w:rsid w:val="00EA1A8A"/>
    <w:rsid w:val="00EA1D58"/>
    <w:rsid w:val="00EA1DED"/>
    <w:rsid w:val="00EA2229"/>
    <w:rsid w:val="00EA26CF"/>
    <w:rsid w:val="00EA2918"/>
    <w:rsid w:val="00EA2AFD"/>
    <w:rsid w:val="00EA2F4C"/>
    <w:rsid w:val="00EA32B8"/>
    <w:rsid w:val="00EA3CC2"/>
    <w:rsid w:val="00EA463F"/>
    <w:rsid w:val="00EA4668"/>
    <w:rsid w:val="00EA48A3"/>
    <w:rsid w:val="00EA53C8"/>
    <w:rsid w:val="00EA55E9"/>
    <w:rsid w:val="00EA55FA"/>
    <w:rsid w:val="00EA5BB3"/>
    <w:rsid w:val="00EA5D97"/>
    <w:rsid w:val="00EA5F13"/>
    <w:rsid w:val="00EA6CFF"/>
    <w:rsid w:val="00EA7CF5"/>
    <w:rsid w:val="00EB0081"/>
    <w:rsid w:val="00EB009C"/>
    <w:rsid w:val="00EB021F"/>
    <w:rsid w:val="00EB0319"/>
    <w:rsid w:val="00EB0393"/>
    <w:rsid w:val="00EB05DC"/>
    <w:rsid w:val="00EB07CB"/>
    <w:rsid w:val="00EB0C08"/>
    <w:rsid w:val="00EB0D53"/>
    <w:rsid w:val="00EB1160"/>
    <w:rsid w:val="00EB18A0"/>
    <w:rsid w:val="00EB1907"/>
    <w:rsid w:val="00EB1957"/>
    <w:rsid w:val="00EB1C2A"/>
    <w:rsid w:val="00EB1DD1"/>
    <w:rsid w:val="00EB25E2"/>
    <w:rsid w:val="00EB28D4"/>
    <w:rsid w:val="00EB2ADB"/>
    <w:rsid w:val="00EB2C88"/>
    <w:rsid w:val="00EB3890"/>
    <w:rsid w:val="00EB38E1"/>
    <w:rsid w:val="00EB3CDD"/>
    <w:rsid w:val="00EB3F6D"/>
    <w:rsid w:val="00EB4053"/>
    <w:rsid w:val="00EB40B2"/>
    <w:rsid w:val="00EB40E7"/>
    <w:rsid w:val="00EB421F"/>
    <w:rsid w:val="00EB4294"/>
    <w:rsid w:val="00EB42D8"/>
    <w:rsid w:val="00EB43BB"/>
    <w:rsid w:val="00EB4DF7"/>
    <w:rsid w:val="00EB55AF"/>
    <w:rsid w:val="00EB6810"/>
    <w:rsid w:val="00EB6B9C"/>
    <w:rsid w:val="00EB759F"/>
    <w:rsid w:val="00EB7BD9"/>
    <w:rsid w:val="00EB7D20"/>
    <w:rsid w:val="00EB7DF1"/>
    <w:rsid w:val="00EC0181"/>
    <w:rsid w:val="00EC036E"/>
    <w:rsid w:val="00EC04F8"/>
    <w:rsid w:val="00EC0760"/>
    <w:rsid w:val="00EC0C8D"/>
    <w:rsid w:val="00EC11B5"/>
    <w:rsid w:val="00EC1546"/>
    <w:rsid w:val="00EC19F2"/>
    <w:rsid w:val="00EC1C8B"/>
    <w:rsid w:val="00EC2218"/>
    <w:rsid w:val="00EC29FA"/>
    <w:rsid w:val="00EC2A52"/>
    <w:rsid w:val="00EC2C3F"/>
    <w:rsid w:val="00EC3798"/>
    <w:rsid w:val="00EC3A81"/>
    <w:rsid w:val="00EC414D"/>
    <w:rsid w:val="00EC453A"/>
    <w:rsid w:val="00EC50A8"/>
    <w:rsid w:val="00EC553A"/>
    <w:rsid w:val="00EC57F1"/>
    <w:rsid w:val="00EC5A74"/>
    <w:rsid w:val="00EC5B83"/>
    <w:rsid w:val="00EC6356"/>
    <w:rsid w:val="00EC686E"/>
    <w:rsid w:val="00EC6A26"/>
    <w:rsid w:val="00EC70A1"/>
    <w:rsid w:val="00EC73A9"/>
    <w:rsid w:val="00EC79D7"/>
    <w:rsid w:val="00EC7EDB"/>
    <w:rsid w:val="00EC7FB4"/>
    <w:rsid w:val="00ED0458"/>
    <w:rsid w:val="00ED0A66"/>
    <w:rsid w:val="00ED0E65"/>
    <w:rsid w:val="00ED12DA"/>
    <w:rsid w:val="00ED1567"/>
    <w:rsid w:val="00ED18A8"/>
    <w:rsid w:val="00ED1BA3"/>
    <w:rsid w:val="00ED23C7"/>
    <w:rsid w:val="00ED2B94"/>
    <w:rsid w:val="00ED2BEE"/>
    <w:rsid w:val="00ED2CF1"/>
    <w:rsid w:val="00ED30D3"/>
    <w:rsid w:val="00ED3372"/>
    <w:rsid w:val="00ED3387"/>
    <w:rsid w:val="00ED35ED"/>
    <w:rsid w:val="00ED3B42"/>
    <w:rsid w:val="00ED3E85"/>
    <w:rsid w:val="00ED4412"/>
    <w:rsid w:val="00ED469F"/>
    <w:rsid w:val="00ED4807"/>
    <w:rsid w:val="00ED4EF3"/>
    <w:rsid w:val="00ED5236"/>
    <w:rsid w:val="00ED5476"/>
    <w:rsid w:val="00ED5954"/>
    <w:rsid w:val="00ED5B34"/>
    <w:rsid w:val="00ED5B92"/>
    <w:rsid w:val="00ED60C4"/>
    <w:rsid w:val="00ED6197"/>
    <w:rsid w:val="00ED641C"/>
    <w:rsid w:val="00ED65CA"/>
    <w:rsid w:val="00ED6D6D"/>
    <w:rsid w:val="00ED6F24"/>
    <w:rsid w:val="00ED7229"/>
    <w:rsid w:val="00ED77A7"/>
    <w:rsid w:val="00ED7B78"/>
    <w:rsid w:val="00EE03C7"/>
    <w:rsid w:val="00EE0C74"/>
    <w:rsid w:val="00EE0E95"/>
    <w:rsid w:val="00EE12DC"/>
    <w:rsid w:val="00EE1D95"/>
    <w:rsid w:val="00EE1DFA"/>
    <w:rsid w:val="00EE1F0E"/>
    <w:rsid w:val="00EE2253"/>
    <w:rsid w:val="00EE2409"/>
    <w:rsid w:val="00EE2EAB"/>
    <w:rsid w:val="00EE2F84"/>
    <w:rsid w:val="00EE3502"/>
    <w:rsid w:val="00EE39E8"/>
    <w:rsid w:val="00EE4182"/>
    <w:rsid w:val="00EE41C8"/>
    <w:rsid w:val="00EE4A60"/>
    <w:rsid w:val="00EE4AF1"/>
    <w:rsid w:val="00EE53D8"/>
    <w:rsid w:val="00EE57E3"/>
    <w:rsid w:val="00EE59A7"/>
    <w:rsid w:val="00EE615F"/>
    <w:rsid w:val="00EE63FD"/>
    <w:rsid w:val="00EE6875"/>
    <w:rsid w:val="00EE693A"/>
    <w:rsid w:val="00EE7066"/>
    <w:rsid w:val="00EE7C0E"/>
    <w:rsid w:val="00EE7D58"/>
    <w:rsid w:val="00EF0040"/>
    <w:rsid w:val="00EF053D"/>
    <w:rsid w:val="00EF06EE"/>
    <w:rsid w:val="00EF1CB4"/>
    <w:rsid w:val="00EF23DA"/>
    <w:rsid w:val="00EF23F0"/>
    <w:rsid w:val="00EF26A2"/>
    <w:rsid w:val="00EF28E6"/>
    <w:rsid w:val="00EF2B0E"/>
    <w:rsid w:val="00EF2D9E"/>
    <w:rsid w:val="00EF2F3A"/>
    <w:rsid w:val="00EF31E9"/>
    <w:rsid w:val="00EF328D"/>
    <w:rsid w:val="00EF34CF"/>
    <w:rsid w:val="00EF3714"/>
    <w:rsid w:val="00EF3B0B"/>
    <w:rsid w:val="00EF41C4"/>
    <w:rsid w:val="00EF49F5"/>
    <w:rsid w:val="00EF4A9C"/>
    <w:rsid w:val="00EF4AAA"/>
    <w:rsid w:val="00EF5156"/>
    <w:rsid w:val="00EF5374"/>
    <w:rsid w:val="00EF54F3"/>
    <w:rsid w:val="00EF557B"/>
    <w:rsid w:val="00EF5860"/>
    <w:rsid w:val="00EF5A2D"/>
    <w:rsid w:val="00EF5BCA"/>
    <w:rsid w:val="00EF5DBA"/>
    <w:rsid w:val="00EF5EE9"/>
    <w:rsid w:val="00EF61DE"/>
    <w:rsid w:val="00EF623D"/>
    <w:rsid w:val="00EF625C"/>
    <w:rsid w:val="00EF6640"/>
    <w:rsid w:val="00EF6788"/>
    <w:rsid w:val="00EF67D9"/>
    <w:rsid w:val="00EF6AA3"/>
    <w:rsid w:val="00EF6B93"/>
    <w:rsid w:val="00EF7216"/>
    <w:rsid w:val="00EF75BB"/>
    <w:rsid w:val="00EF79FC"/>
    <w:rsid w:val="00EF7AB0"/>
    <w:rsid w:val="00EF7ED1"/>
    <w:rsid w:val="00F00018"/>
    <w:rsid w:val="00F001DE"/>
    <w:rsid w:val="00F002F5"/>
    <w:rsid w:val="00F016B3"/>
    <w:rsid w:val="00F029E1"/>
    <w:rsid w:val="00F02A09"/>
    <w:rsid w:val="00F02A97"/>
    <w:rsid w:val="00F02D93"/>
    <w:rsid w:val="00F0355B"/>
    <w:rsid w:val="00F0361F"/>
    <w:rsid w:val="00F037E3"/>
    <w:rsid w:val="00F03CBB"/>
    <w:rsid w:val="00F03F1D"/>
    <w:rsid w:val="00F03F8E"/>
    <w:rsid w:val="00F04187"/>
    <w:rsid w:val="00F0435F"/>
    <w:rsid w:val="00F0457C"/>
    <w:rsid w:val="00F04964"/>
    <w:rsid w:val="00F04D42"/>
    <w:rsid w:val="00F04D97"/>
    <w:rsid w:val="00F04E90"/>
    <w:rsid w:val="00F06125"/>
    <w:rsid w:val="00F0688A"/>
    <w:rsid w:val="00F068BC"/>
    <w:rsid w:val="00F071F1"/>
    <w:rsid w:val="00F07384"/>
    <w:rsid w:val="00F1033F"/>
    <w:rsid w:val="00F10622"/>
    <w:rsid w:val="00F10A8D"/>
    <w:rsid w:val="00F10BAC"/>
    <w:rsid w:val="00F1137C"/>
    <w:rsid w:val="00F114CB"/>
    <w:rsid w:val="00F11790"/>
    <w:rsid w:val="00F11AC9"/>
    <w:rsid w:val="00F11CC2"/>
    <w:rsid w:val="00F12B15"/>
    <w:rsid w:val="00F12BA0"/>
    <w:rsid w:val="00F137B1"/>
    <w:rsid w:val="00F13C4D"/>
    <w:rsid w:val="00F13EC9"/>
    <w:rsid w:val="00F13F75"/>
    <w:rsid w:val="00F1403E"/>
    <w:rsid w:val="00F143FC"/>
    <w:rsid w:val="00F147E3"/>
    <w:rsid w:val="00F14A42"/>
    <w:rsid w:val="00F14B98"/>
    <w:rsid w:val="00F150A9"/>
    <w:rsid w:val="00F15235"/>
    <w:rsid w:val="00F15420"/>
    <w:rsid w:val="00F15A6A"/>
    <w:rsid w:val="00F15C4F"/>
    <w:rsid w:val="00F15D09"/>
    <w:rsid w:val="00F15E4E"/>
    <w:rsid w:val="00F16219"/>
    <w:rsid w:val="00F16656"/>
    <w:rsid w:val="00F16847"/>
    <w:rsid w:val="00F169AA"/>
    <w:rsid w:val="00F169B6"/>
    <w:rsid w:val="00F1745B"/>
    <w:rsid w:val="00F17671"/>
    <w:rsid w:val="00F17674"/>
    <w:rsid w:val="00F17B4C"/>
    <w:rsid w:val="00F17B5D"/>
    <w:rsid w:val="00F17B9C"/>
    <w:rsid w:val="00F17BF3"/>
    <w:rsid w:val="00F17FC5"/>
    <w:rsid w:val="00F17FF7"/>
    <w:rsid w:val="00F202FD"/>
    <w:rsid w:val="00F207C8"/>
    <w:rsid w:val="00F20CBE"/>
    <w:rsid w:val="00F20D47"/>
    <w:rsid w:val="00F20E4B"/>
    <w:rsid w:val="00F22435"/>
    <w:rsid w:val="00F23046"/>
    <w:rsid w:val="00F231A2"/>
    <w:rsid w:val="00F232AA"/>
    <w:rsid w:val="00F23DB1"/>
    <w:rsid w:val="00F2447C"/>
    <w:rsid w:val="00F24CD1"/>
    <w:rsid w:val="00F2532C"/>
    <w:rsid w:val="00F2570F"/>
    <w:rsid w:val="00F2584B"/>
    <w:rsid w:val="00F25933"/>
    <w:rsid w:val="00F25F08"/>
    <w:rsid w:val="00F25F68"/>
    <w:rsid w:val="00F26037"/>
    <w:rsid w:val="00F27396"/>
    <w:rsid w:val="00F2742C"/>
    <w:rsid w:val="00F277F5"/>
    <w:rsid w:val="00F2785B"/>
    <w:rsid w:val="00F27CAA"/>
    <w:rsid w:val="00F27F01"/>
    <w:rsid w:val="00F30683"/>
    <w:rsid w:val="00F30A3E"/>
    <w:rsid w:val="00F30C5D"/>
    <w:rsid w:val="00F311BB"/>
    <w:rsid w:val="00F3134D"/>
    <w:rsid w:val="00F32B9B"/>
    <w:rsid w:val="00F33087"/>
    <w:rsid w:val="00F33988"/>
    <w:rsid w:val="00F34344"/>
    <w:rsid w:val="00F34962"/>
    <w:rsid w:val="00F34A30"/>
    <w:rsid w:val="00F34B73"/>
    <w:rsid w:val="00F34FF8"/>
    <w:rsid w:val="00F35839"/>
    <w:rsid w:val="00F35992"/>
    <w:rsid w:val="00F35B27"/>
    <w:rsid w:val="00F35CBF"/>
    <w:rsid w:val="00F35E82"/>
    <w:rsid w:val="00F3614B"/>
    <w:rsid w:val="00F367AB"/>
    <w:rsid w:val="00F371CA"/>
    <w:rsid w:val="00F37274"/>
    <w:rsid w:val="00F37369"/>
    <w:rsid w:val="00F37597"/>
    <w:rsid w:val="00F403A1"/>
    <w:rsid w:val="00F40DF8"/>
    <w:rsid w:val="00F41566"/>
    <w:rsid w:val="00F416D9"/>
    <w:rsid w:val="00F41963"/>
    <w:rsid w:val="00F4198B"/>
    <w:rsid w:val="00F41A8C"/>
    <w:rsid w:val="00F42558"/>
    <w:rsid w:val="00F4279C"/>
    <w:rsid w:val="00F428EB"/>
    <w:rsid w:val="00F43334"/>
    <w:rsid w:val="00F439B6"/>
    <w:rsid w:val="00F43C33"/>
    <w:rsid w:val="00F43C98"/>
    <w:rsid w:val="00F44890"/>
    <w:rsid w:val="00F44D61"/>
    <w:rsid w:val="00F44DF5"/>
    <w:rsid w:val="00F45247"/>
    <w:rsid w:val="00F452B0"/>
    <w:rsid w:val="00F45316"/>
    <w:rsid w:val="00F463BF"/>
    <w:rsid w:val="00F4643A"/>
    <w:rsid w:val="00F46884"/>
    <w:rsid w:val="00F46BCE"/>
    <w:rsid w:val="00F4703E"/>
    <w:rsid w:val="00F473A3"/>
    <w:rsid w:val="00F47EBE"/>
    <w:rsid w:val="00F504D9"/>
    <w:rsid w:val="00F50505"/>
    <w:rsid w:val="00F5077D"/>
    <w:rsid w:val="00F509C2"/>
    <w:rsid w:val="00F50F6E"/>
    <w:rsid w:val="00F51231"/>
    <w:rsid w:val="00F51A72"/>
    <w:rsid w:val="00F51C06"/>
    <w:rsid w:val="00F51DC2"/>
    <w:rsid w:val="00F520D6"/>
    <w:rsid w:val="00F52264"/>
    <w:rsid w:val="00F524C0"/>
    <w:rsid w:val="00F532C7"/>
    <w:rsid w:val="00F537BD"/>
    <w:rsid w:val="00F5399A"/>
    <w:rsid w:val="00F53C59"/>
    <w:rsid w:val="00F5410B"/>
    <w:rsid w:val="00F541EE"/>
    <w:rsid w:val="00F54347"/>
    <w:rsid w:val="00F54E87"/>
    <w:rsid w:val="00F553BA"/>
    <w:rsid w:val="00F557F6"/>
    <w:rsid w:val="00F5592A"/>
    <w:rsid w:val="00F55E60"/>
    <w:rsid w:val="00F56587"/>
    <w:rsid w:val="00F56B87"/>
    <w:rsid w:val="00F56EDC"/>
    <w:rsid w:val="00F57497"/>
    <w:rsid w:val="00F57743"/>
    <w:rsid w:val="00F57B2C"/>
    <w:rsid w:val="00F57D3B"/>
    <w:rsid w:val="00F602EA"/>
    <w:rsid w:val="00F60927"/>
    <w:rsid w:val="00F61361"/>
    <w:rsid w:val="00F61992"/>
    <w:rsid w:val="00F61A2A"/>
    <w:rsid w:val="00F61CEB"/>
    <w:rsid w:val="00F61D0C"/>
    <w:rsid w:val="00F61F4E"/>
    <w:rsid w:val="00F61F7F"/>
    <w:rsid w:val="00F6217B"/>
    <w:rsid w:val="00F62704"/>
    <w:rsid w:val="00F62715"/>
    <w:rsid w:val="00F627E3"/>
    <w:rsid w:val="00F62998"/>
    <w:rsid w:val="00F62A9B"/>
    <w:rsid w:val="00F62C02"/>
    <w:rsid w:val="00F62F51"/>
    <w:rsid w:val="00F634DB"/>
    <w:rsid w:val="00F63832"/>
    <w:rsid w:val="00F63940"/>
    <w:rsid w:val="00F63EBD"/>
    <w:rsid w:val="00F64060"/>
    <w:rsid w:val="00F642D9"/>
    <w:rsid w:val="00F643E5"/>
    <w:rsid w:val="00F6483E"/>
    <w:rsid w:val="00F650D9"/>
    <w:rsid w:val="00F65291"/>
    <w:rsid w:val="00F65714"/>
    <w:rsid w:val="00F65A47"/>
    <w:rsid w:val="00F65A6B"/>
    <w:rsid w:val="00F65AC5"/>
    <w:rsid w:val="00F6633E"/>
    <w:rsid w:val="00F6720F"/>
    <w:rsid w:val="00F67253"/>
    <w:rsid w:val="00F7000B"/>
    <w:rsid w:val="00F7025F"/>
    <w:rsid w:val="00F70BF1"/>
    <w:rsid w:val="00F71877"/>
    <w:rsid w:val="00F71EA7"/>
    <w:rsid w:val="00F72012"/>
    <w:rsid w:val="00F72051"/>
    <w:rsid w:val="00F721F7"/>
    <w:rsid w:val="00F72264"/>
    <w:rsid w:val="00F725EE"/>
    <w:rsid w:val="00F72AFB"/>
    <w:rsid w:val="00F72DC8"/>
    <w:rsid w:val="00F72EBC"/>
    <w:rsid w:val="00F72F02"/>
    <w:rsid w:val="00F73385"/>
    <w:rsid w:val="00F73AE2"/>
    <w:rsid w:val="00F73B37"/>
    <w:rsid w:val="00F73C35"/>
    <w:rsid w:val="00F73D2C"/>
    <w:rsid w:val="00F73E19"/>
    <w:rsid w:val="00F74479"/>
    <w:rsid w:val="00F7460C"/>
    <w:rsid w:val="00F74A21"/>
    <w:rsid w:val="00F75BF9"/>
    <w:rsid w:val="00F76ACD"/>
    <w:rsid w:val="00F76F17"/>
    <w:rsid w:val="00F774A0"/>
    <w:rsid w:val="00F776D5"/>
    <w:rsid w:val="00F80355"/>
    <w:rsid w:val="00F80D74"/>
    <w:rsid w:val="00F81115"/>
    <w:rsid w:val="00F818BA"/>
    <w:rsid w:val="00F81B52"/>
    <w:rsid w:val="00F81BE6"/>
    <w:rsid w:val="00F8265A"/>
    <w:rsid w:val="00F83710"/>
    <w:rsid w:val="00F83A38"/>
    <w:rsid w:val="00F83D9C"/>
    <w:rsid w:val="00F83E2F"/>
    <w:rsid w:val="00F83E4E"/>
    <w:rsid w:val="00F84324"/>
    <w:rsid w:val="00F84649"/>
    <w:rsid w:val="00F84821"/>
    <w:rsid w:val="00F8553C"/>
    <w:rsid w:val="00F8571B"/>
    <w:rsid w:val="00F866D8"/>
    <w:rsid w:val="00F878FC"/>
    <w:rsid w:val="00F87FC6"/>
    <w:rsid w:val="00F90470"/>
    <w:rsid w:val="00F90A56"/>
    <w:rsid w:val="00F90E50"/>
    <w:rsid w:val="00F9131C"/>
    <w:rsid w:val="00F91427"/>
    <w:rsid w:val="00F91648"/>
    <w:rsid w:val="00F91CBA"/>
    <w:rsid w:val="00F91D18"/>
    <w:rsid w:val="00F91FE7"/>
    <w:rsid w:val="00F92044"/>
    <w:rsid w:val="00F9235F"/>
    <w:rsid w:val="00F9260D"/>
    <w:rsid w:val="00F92CFA"/>
    <w:rsid w:val="00F92E03"/>
    <w:rsid w:val="00F92F32"/>
    <w:rsid w:val="00F92F6A"/>
    <w:rsid w:val="00F93503"/>
    <w:rsid w:val="00F935AF"/>
    <w:rsid w:val="00F936DF"/>
    <w:rsid w:val="00F93AA2"/>
    <w:rsid w:val="00F93BB9"/>
    <w:rsid w:val="00F93CC1"/>
    <w:rsid w:val="00F93EEE"/>
    <w:rsid w:val="00F93F3D"/>
    <w:rsid w:val="00F94D42"/>
    <w:rsid w:val="00F94EA2"/>
    <w:rsid w:val="00F95282"/>
    <w:rsid w:val="00F9726D"/>
    <w:rsid w:val="00F972E3"/>
    <w:rsid w:val="00F9764B"/>
    <w:rsid w:val="00F97BC0"/>
    <w:rsid w:val="00FA00BA"/>
    <w:rsid w:val="00FA031C"/>
    <w:rsid w:val="00FA05F8"/>
    <w:rsid w:val="00FA0848"/>
    <w:rsid w:val="00FA0B9B"/>
    <w:rsid w:val="00FA0C99"/>
    <w:rsid w:val="00FA111A"/>
    <w:rsid w:val="00FA11BE"/>
    <w:rsid w:val="00FA1A40"/>
    <w:rsid w:val="00FA2392"/>
    <w:rsid w:val="00FA2572"/>
    <w:rsid w:val="00FA3AC6"/>
    <w:rsid w:val="00FA3E98"/>
    <w:rsid w:val="00FA4C46"/>
    <w:rsid w:val="00FA4FDC"/>
    <w:rsid w:val="00FA5463"/>
    <w:rsid w:val="00FA568E"/>
    <w:rsid w:val="00FA592D"/>
    <w:rsid w:val="00FA603D"/>
    <w:rsid w:val="00FA61D1"/>
    <w:rsid w:val="00FA6CCF"/>
    <w:rsid w:val="00FA6F32"/>
    <w:rsid w:val="00FA6FB8"/>
    <w:rsid w:val="00FA73A8"/>
    <w:rsid w:val="00FA7B03"/>
    <w:rsid w:val="00FA7D92"/>
    <w:rsid w:val="00FB0168"/>
    <w:rsid w:val="00FB033E"/>
    <w:rsid w:val="00FB0347"/>
    <w:rsid w:val="00FB03CD"/>
    <w:rsid w:val="00FB0843"/>
    <w:rsid w:val="00FB0D36"/>
    <w:rsid w:val="00FB118C"/>
    <w:rsid w:val="00FB1CDA"/>
    <w:rsid w:val="00FB25A2"/>
    <w:rsid w:val="00FB2A25"/>
    <w:rsid w:val="00FB2EC5"/>
    <w:rsid w:val="00FB2EEC"/>
    <w:rsid w:val="00FB3551"/>
    <w:rsid w:val="00FB3C55"/>
    <w:rsid w:val="00FB3DAD"/>
    <w:rsid w:val="00FB46BC"/>
    <w:rsid w:val="00FB4A4F"/>
    <w:rsid w:val="00FB4D79"/>
    <w:rsid w:val="00FB4D84"/>
    <w:rsid w:val="00FB4E88"/>
    <w:rsid w:val="00FB4F4C"/>
    <w:rsid w:val="00FB50C4"/>
    <w:rsid w:val="00FB58DB"/>
    <w:rsid w:val="00FB608A"/>
    <w:rsid w:val="00FB659E"/>
    <w:rsid w:val="00FB6827"/>
    <w:rsid w:val="00FB7349"/>
    <w:rsid w:val="00FB7DD1"/>
    <w:rsid w:val="00FB7E5E"/>
    <w:rsid w:val="00FB7F8A"/>
    <w:rsid w:val="00FB7FEB"/>
    <w:rsid w:val="00FC0220"/>
    <w:rsid w:val="00FC0240"/>
    <w:rsid w:val="00FC07B1"/>
    <w:rsid w:val="00FC0AE3"/>
    <w:rsid w:val="00FC0BA4"/>
    <w:rsid w:val="00FC1AF1"/>
    <w:rsid w:val="00FC2020"/>
    <w:rsid w:val="00FC212E"/>
    <w:rsid w:val="00FC27CC"/>
    <w:rsid w:val="00FC2AD0"/>
    <w:rsid w:val="00FC2CAD"/>
    <w:rsid w:val="00FC3BD4"/>
    <w:rsid w:val="00FC3C7F"/>
    <w:rsid w:val="00FC3E1E"/>
    <w:rsid w:val="00FC3EAF"/>
    <w:rsid w:val="00FC465F"/>
    <w:rsid w:val="00FC4A23"/>
    <w:rsid w:val="00FC4A57"/>
    <w:rsid w:val="00FC4DB2"/>
    <w:rsid w:val="00FC5161"/>
    <w:rsid w:val="00FC5435"/>
    <w:rsid w:val="00FC5A54"/>
    <w:rsid w:val="00FC5FDA"/>
    <w:rsid w:val="00FC673D"/>
    <w:rsid w:val="00FC702D"/>
    <w:rsid w:val="00FC7300"/>
    <w:rsid w:val="00FC73A6"/>
    <w:rsid w:val="00FC7DA9"/>
    <w:rsid w:val="00FD0313"/>
    <w:rsid w:val="00FD035A"/>
    <w:rsid w:val="00FD1288"/>
    <w:rsid w:val="00FD1729"/>
    <w:rsid w:val="00FD253C"/>
    <w:rsid w:val="00FD25BF"/>
    <w:rsid w:val="00FD2AFB"/>
    <w:rsid w:val="00FD3171"/>
    <w:rsid w:val="00FD33BB"/>
    <w:rsid w:val="00FD343A"/>
    <w:rsid w:val="00FD35EA"/>
    <w:rsid w:val="00FD37C9"/>
    <w:rsid w:val="00FD43BF"/>
    <w:rsid w:val="00FD4842"/>
    <w:rsid w:val="00FD4BD8"/>
    <w:rsid w:val="00FD4FFC"/>
    <w:rsid w:val="00FD529B"/>
    <w:rsid w:val="00FD5ADE"/>
    <w:rsid w:val="00FD5CBD"/>
    <w:rsid w:val="00FD6102"/>
    <w:rsid w:val="00FD6321"/>
    <w:rsid w:val="00FD6345"/>
    <w:rsid w:val="00FD6585"/>
    <w:rsid w:val="00FD6712"/>
    <w:rsid w:val="00FD6C1B"/>
    <w:rsid w:val="00FD6DDC"/>
    <w:rsid w:val="00FD7354"/>
    <w:rsid w:val="00FD757E"/>
    <w:rsid w:val="00FD78D9"/>
    <w:rsid w:val="00FD793A"/>
    <w:rsid w:val="00FD7BB1"/>
    <w:rsid w:val="00FD7EDE"/>
    <w:rsid w:val="00FD7F0A"/>
    <w:rsid w:val="00FE00F9"/>
    <w:rsid w:val="00FE02AF"/>
    <w:rsid w:val="00FE09B4"/>
    <w:rsid w:val="00FE0B1F"/>
    <w:rsid w:val="00FE0C63"/>
    <w:rsid w:val="00FE10A2"/>
    <w:rsid w:val="00FE110C"/>
    <w:rsid w:val="00FE1537"/>
    <w:rsid w:val="00FE1861"/>
    <w:rsid w:val="00FE1B6D"/>
    <w:rsid w:val="00FE1EBA"/>
    <w:rsid w:val="00FE1F0F"/>
    <w:rsid w:val="00FE272B"/>
    <w:rsid w:val="00FE2B92"/>
    <w:rsid w:val="00FE2C41"/>
    <w:rsid w:val="00FE2FD3"/>
    <w:rsid w:val="00FE3820"/>
    <w:rsid w:val="00FE3A5C"/>
    <w:rsid w:val="00FE3BB7"/>
    <w:rsid w:val="00FE3D4D"/>
    <w:rsid w:val="00FE3EC0"/>
    <w:rsid w:val="00FE4724"/>
    <w:rsid w:val="00FE4840"/>
    <w:rsid w:val="00FE4900"/>
    <w:rsid w:val="00FE4A69"/>
    <w:rsid w:val="00FE4F40"/>
    <w:rsid w:val="00FE519B"/>
    <w:rsid w:val="00FE51D5"/>
    <w:rsid w:val="00FE53F3"/>
    <w:rsid w:val="00FE53FD"/>
    <w:rsid w:val="00FE56B4"/>
    <w:rsid w:val="00FE5752"/>
    <w:rsid w:val="00FE57C6"/>
    <w:rsid w:val="00FE5C61"/>
    <w:rsid w:val="00FE5DF2"/>
    <w:rsid w:val="00FE5F3B"/>
    <w:rsid w:val="00FE628E"/>
    <w:rsid w:val="00FE62E5"/>
    <w:rsid w:val="00FE6366"/>
    <w:rsid w:val="00FE7204"/>
    <w:rsid w:val="00FE74C9"/>
    <w:rsid w:val="00FE7C14"/>
    <w:rsid w:val="00FE7D8A"/>
    <w:rsid w:val="00FF002E"/>
    <w:rsid w:val="00FF00E8"/>
    <w:rsid w:val="00FF021A"/>
    <w:rsid w:val="00FF0691"/>
    <w:rsid w:val="00FF0A32"/>
    <w:rsid w:val="00FF0C56"/>
    <w:rsid w:val="00FF1051"/>
    <w:rsid w:val="00FF1CA7"/>
    <w:rsid w:val="00FF1DD1"/>
    <w:rsid w:val="00FF2104"/>
    <w:rsid w:val="00FF2209"/>
    <w:rsid w:val="00FF23BE"/>
    <w:rsid w:val="00FF24C4"/>
    <w:rsid w:val="00FF31BD"/>
    <w:rsid w:val="00FF36C6"/>
    <w:rsid w:val="00FF373A"/>
    <w:rsid w:val="00FF3F6A"/>
    <w:rsid w:val="00FF4E99"/>
    <w:rsid w:val="00FF5832"/>
    <w:rsid w:val="00FF5894"/>
    <w:rsid w:val="00FF5ACA"/>
    <w:rsid w:val="00FF5DE9"/>
    <w:rsid w:val="00FF65E4"/>
    <w:rsid w:val="00FF6960"/>
    <w:rsid w:val="00FF6E33"/>
    <w:rsid w:val="00FF6F24"/>
    <w:rsid w:val="00FF7632"/>
    <w:rsid w:val="00FF797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7F76EA1"/>
  <w15:docId w15:val="{76CE6D36-2967-4C70-8C4C-033CE6601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70BE"/>
    <w:pPr>
      <w:spacing w:before="120" w:after="120" w:line="240" w:lineRule="auto"/>
      <w:jc w:val="both"/>
    </w:pPr>
  </w:style>
  <w:style w:type="paragraph" w:styleId="Ttulo1">
    <w:name w:val="heading 1"/>
    <w:basedOn w:val="Normal"/>
    <w:next w:val="Normal"/>
    <w:link w:val="Ttulo1Car"/>
    <w:uiPriority w:val="9"/>
    <w:qFormat/>
    <w:rsid w:val="00045782"/>
    <w:pPr>
      <w:spacing w:after="360"/>
      <w:jc w:val="center"/>
      <w:outlineLvl w:val="0"/>
    </w:pPr>
    <w:rPr>
      <w:b/>
      <w:sz w:val="32"/>
      <w:szCs w:val="32"/>
    </w:rPr>
  </w:style>
  <w:style w:type="paragraph" w:styleId="Ttulo2">
    <w:name w:val="heading 2"/>
    <w:basedOn w:val="Normal"/>
    <w:next w:val="Normal"/>
    <w:link w:val="Ttulo2Car"/>
    <w:uiPriority w:val="9"/>
    <w:unhideWhenUsed/>
    <w:qFormat/>
    <w:rsid w:val="00E132E1"/>
    <w:pPr>
      <w:outlineLvl w:val="1"/>
    </w:pPr>
    <w:rPr>
      <w:b/>
      <w:i/>
      <w:sz w:val="24"/>
      <w:szCs w:val="24"/>
    </w:rPr>
  </w:style>
  <w:style w:type="paragraph" w:styleId="Ttulo3">
    <w:name w:val="heading 3"/>
    <w:basedOn w:val="Normal"/>
    <w:next w:val="Normal"/>
    <w:link w:val="Ttulo3Car"/>
    <w:uiPriority w:val="9"/>
    <w:unhideWhenUsed/>
    <w:qFormat/>
    <w:rsid w:val="000A046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semiHidden/>
    <w:unhideWhenUsed/>
    <w:qFormat/>
    <w:rsid w:val="00250BA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7">
    <w:name w:val="heading 7"/>
    <w:basedOn w:val="Normal"/>
    <w:next w:val="Normal"/>
    <w:link w:val="Ttulo7Car"/>
    <w:uiPriority w:val="9"/>
    <w:semiHidden/>
    <w:unhideWhenUsed/>
    <w:qFormat/>
    <w:rsid w:val="00955FEA"/>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5782"/>
    <w:rPr>
      <w:b/>
      <w:sz w:val="32"/>
      <w:szCs w:val="32"/>
    </w:rPr>
  </w:style>
  <w:style w:type="character" w:customStyle="1" w:styleId="Ttulo2Car">
    <w:name w:val="Título 2 Car"/>
    <w:basedOn w:val="Fuentedeprrafopredeter"/>
    <w:link w:val="Ttulo2"/>
    <w:uiPriority w:val="9"/>
    <w:rsid w:val="00E132E1"/>
    <w:rPr>
      <w:b/>
      <w:i/>
      <w:sz w:val="24"/>
      <w:szCs w:val="24"/>
    </w:rPr>
  </w:style>
  <w:style w:type="paragraph" w:styleId="Encabezado">
    <w:name w:val="header"/>
    <w:basedOn w:val="Normal"/>
    <w:link w:val="EncabezadoCar"/>
    <w:uiPriority w:val="99"/>
    <w:unhideWhenUsed/>
    <w:rsid w:val="00546662"/>
    <w:pPr>
      <w:tabs>
        <w:tab w:val="center" w:pos="4419"/>
        <w:tab w:val="right" w:pos="8838"/>
      </w:tabs>
      <w:spacing w:after="0"/>
    </w:pPr>
  </w:style>
  <w:style w:type="character" w:customStyle="1" w:styleId="EncabezadoCar">
    <w:name w:val="Encabezado Car"/>
    <w:basedOn w:val="Fuentedeprrafopredeter"/>
    <w:link w:val="Encabezado"/>
    <w:uiPriority w:val="99"/>
    <w:rsid w:val="00546662"/>
  </w:style>
  <w:style w:type="paragraph" w:styleId="Piedepgina">
    <w:name w:val="footer"/>
    <w:basedOn w:val="Normal"/>
    <w:link w:val="PiedepginaCar"/>
    <w:uiPriority w:val="99"/>
    <w:unhideWhenUsed/>
    <w:rsid w:val="00546662"/>
    <w:pPr>
      <w:tabs>
        <w:tab w:val="center" w:pos="4419"/>
        <w:tab w:val="right" w:pos="8838"/>
      </w:tabs>
      <w:spacing w:after="0"/>
    </w:pPr>
  </w:style>
  <w:style w:type="character" w:customStyle="1" w:styleId="PiedepginaCar">
    <w:name w:val="Pie de página Car"/>
    <w:basedOn w:val="Fuentedeprrafopredeter"/>
    <w:link w:val="Piedepgina"/>
    <w:uiPriority w:val="99"/>
    <w:rsid w:val="00546662"/>
  </w:style>
  <w:style w:type="paragraph" w:customStyle="1" w:styleId="Prrafodelista1">
    <w:name w:val="Párrafo de lista1"/>
    <w:basedOn w:val="Normal"/>
    <w:uiPriority w:val="99"/>
    <w:qFormat/>
    <w:rsid w:val="00F541EE"/>
    <w:pPr>
      <w:spacing w:before="0" w:after="0"/>
      <w:ind w:left="720"/>
    </w:pPr>
    <w:rPr>
      <w:rFonts w:ascii="Calibri" w:eastAsia="Times New Roman" w:hAnsi="Calibri" w:cs="Times New Roman"/>
      <w:szCs w:val="24"/>
      <w:lang w:val="es-ES"/>
    </w:rPr>
  </w:style>
  <w:style w:type="paragraph" w:styleId="Descripcin">
    <w:name w:val="caption"/>
    <w:basedOn w:val="Normal"/>
    <w:next w:val="Normal"/>
    <w:link w:val="DescripcinCar"/>
    <w:uiPriority w:val="35"/>
    <w:unhideWhenUsed/>
    <w:qFormat/>
    <w:rsid w:val="00B75120"/>
    <w:pPr>
      <w:spacing w:before="0" w:after="200"/>
    </w:pPr>
    <w:rPr>
      <w:i/>
      <w:iCs/>
      <w:color w:val="44546A" w:themeColor="text2"/>
      <w:sz w:val="18"/>
      <w:szCs w:val="18"/>
    </w:rPr>
  </w:style>
  <w:style w:type="paragraph" w:customStyle="1" w:styleId="Anexo">
    <w:name w:val="Anexo"/>
    <w:basedOn w:val="Ttulo2"/>
    <w:next w:val="Ttulo2"/>
    <w:link w:val="AnexoCar"/>
    <w:autoRedefine/>
    <w:qFormat/>
    <w:rsid w:val="005B684A"/>
    <w:pPr>
      <w:spacing w:after="360"/>
      <w:jc w:val="center"/>
    </w:pPr>
    <w:rPr>
      <w:bCs/>
      <w:i w:val="0"/>
      <w:sz w:val="22"/>
      <w:szCs w:val="22"/>
    </w:rPr>
  </w:style>
  <w:style w:type="paragraph" w:styleId="TDC1">
    <w:name w:val="toc 1"/>
    <w:basedOn w:val="Normal"/>
    <w:next w:val="Normal"/>
    <w:autoRedefine/>
    <w:uiPriority w:val="39"/>
    <w:unhideWhenUsed/>
    <w:rsid w:val="00B071E0"/>
    <w:pPr>
      <w:tabs>
        <w:tab w:val="left" w:pos="567"/>
        <w:tab w:val="left" w:pos="851"/>
        <w:tab w:val="right" w:leader="dot" w:pos="9962"/>
      </w:tabs>
      <w:ind w:left="680" w:hanging="680"/>
    </w:pPr>
  </w:style>
  <w:style w:type="character" w:customStyle="1" w:styleId="DescripcinCar">
    <w:name w:val="Descripción Car"/>
    <w:basedOn w:val="Fuentedeprrafopredeter"/>
    <w:link w:val="Descripcin"/>
    <w:uiPriority w:val="35"/>
    <w:rsid w:val="00B75120"/>
    <w:rPr>
      <w:i/>
      <w:iCs/>
      <w:color w:val="44546A" w:themeColor="text2"/>
      <w:sz w:val="18"/>
      <w:szCs w:val="18"/>
    </w:rPr>
  </w:style>
  <w:style w:type="character" w:customStyle="1" w:styleId="AnexoCar">
    <w:name w:val="Anexo Car"/>
    <w:basedOn w:val="DescripcinCar"/>
    <w:link w:val="Anexo"/>
    <w:rsid w:val="005B684A"/>
    <w:rPr>
      <w:b/>
      <w:bCs/>
      <w:i w:val="0"/>
      <w:iCs w:val="0"/>
      <w:color w:val="44546A" w:themeColor="text2"/>
      <w:sz w:val="18"/>
      <w:szCs w:val="18"/>
    </w:rPr>
  </w:style>
  <w:style w:type="paragraph" w:styleId="TDC3">
    <w:name w:val="toc 3"/>
    <w:basedOn w:val="Normal"/>
    <w:next w:val="Normal"/>
    <w:autoRedefine/>
    <w:uiPriority w:val="39"/>
    <w:unhideWhenUsed/>
    <w:rsid w:val="00851A1B"/>
    <w:pPr>
      <w:spacing w:after="100"/>
      <w:ind w:left="440"/>
    </w:pPr>
  </w:style>
  <w:style w:type="paragraph" w:styleId="TDC2">
    <w:name w:val="toc 2"/>
    <w:basedOn w:val="Normal"/>
    <w:next w:val="Normal"/>
    <w:autoRedefine/>
    <w:uiPriority w:val="39"/>
    <w:unhideWhenUsed/>
    <w:rsid w:val="00D44A03"/>
    <w:pPr>
      <w:tabs>
        <w:tab w:val="right" w:leader="dot" w:pos="9962"/>
      </w:tabs>
      <w:spacing w:after="100"/>
      <w:ind w:left="220"/>
    </w:pPr>
    <w:rPr>
      <w:i/>
      <w:iCs/>
      <w:noProof/>
    </w:rPr>
  </w:style>
  <w:style w:type="character" w:styleId="Hipervnculo">
    <w:name w:val="Hyperlink"/>
    <w:basedOn w:val="Fuentedeprrafopredeter"/>
    <w:uiPriority w:val="99"/>
    <w:unhideWhenUsed/>
    <w:rsid w:val="00851A1B"/>
    <w:rPr>
      <w:color w:val="0563C1" w:themeColor="hyperlink"/>
      <w:u w:val="single"/>
    </w:rPr>
  </w:style>
  <w:style w:type="character" w:customStyle="1" w:styleId="Ttulo3Car">
    <w:name w:val="Título 3 Car"/>
    <w:basedOn w:val="Fuentedeprrafopredeter"/>
    <w:link w:val="Ttulo3"/>
    <w:uiPriority w:val="9"/>
    <w:rsid w:val="000A0466"/>
    <w:rPr>
      <w:rFonts w:asciiTheme="majorHAnsi" w:eastAsiaTheme="majorEastAsia" w:hAnsiTheme="majorHAnsi" w:cstheme="majorBidi"/>
      <w:color w:val="1F4D78" w:themeColor="accent1" w:themeShade="7F"/>
      <w:sz w:val="24"/>
      <w:szCs w:val="24"/>
    </w:rPr>
  </w:style>
  <w:style w:type="paragraph" w:styleId="Textonotapie">
    <w:name w:val="footnote text"/>
    <w:aliases w:val="Car Car Car Car Car Car Car Car Car Car,Car Car Car Car Car Car Car Car Car Car Car,Car Car Car Car Car Car Car Car Car Car Car Car Car,E Fußn,-E Fußnotentext,Fußnotentext Ursprung,Char,Fußnote,foot note text,Footnote Text Char2,Gene"/>
    <w:basedOn w:val="Normal"/>
    <w:link w:val="TextonotapieCar"/>
    <w:uiPriority w:val="99"/>
    <w:unhideWhenUsed/>
    <w:qFormat/>
    <w:rsid w:val="00FF1CA7"/>
    <w:pPr>
      <w:spacing w:before="60" w:after="240"/>
      <w:contextualSpacing/>
    </w:pPr>
    <w:rPr>
      <w:sz w:val="18"/>
      <w:szCs w:val="20"/>
    </w:rPr>
  </w:style>
  <w:style w:type="character" w:customStyle="1" w:styleId="TextonotapieCar">
    <w:name w:val="Texto nota pie Car"/>
    <w:aliases w:val="Car Car Car Car Car Car Car Car Car Car Car1,Car Car Car Car Car Car Car Car Car Car Car Car,Car Car Car Car Car Car Car Car Car Car Car Car Car Car,E Fußn Car,-E Fußnotentext Car,Fußnotentext Ursprung Car,Char Car,Fußnote Car"/>
    <w:basedOn w:val="Fuentedeprrafopredeter"/>
    <w:link w:val="Textonotapie"/>
    <w:uiPriority w:val="99"/>
    <w:rsid w:val="00FF1CA7"/>
    <w:rPr>
      <w:sz w:val="18"/>
      <w:szCs w:val="20"/>
    </w:rPr>
  </w:style>
  <w:style w:type="character" w:styleId="Refdenotaalpie">
    <w:name w:val="footnote reference"/>
    <w:aliases w:val="16 Point,Superscript 6 Point,Superscript 6 Point + 11 pt,E FNZ,-E Fußnotenzeichen,Footnote#,ftref,SUPERS,referencia nota al pie,Fußnotenzeichen DISS,Footnote Reference1,Ref,de nota al pie,Footnote Reference Number"/>
    <w:basedOn w:val="Fuentedeprrafopredeter"/>
    <w:unhideWhenUsed/>
    <w:rsid w:val="009B5236"/>
    <w:rPr>
      <w:vertAlign w:val="superscript"/>
    </w:rPr>
  </w:style>
  <w:style w:type="table" w:styleId="Tablaconcuadrcula">
    <w:name w:val="Table Grid"/>
    <w:basedOn w:val="Tablanormal"/>
    <w:uiPriority w:val="59"/>
    <w:rsid w:val="00681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p1,List Paragraph1,List Paragraph-Thesis,Bullet List,FooterText,numbered,Paragraphe de liste1,Bulletr List Paragraph,列出段落,列出段落1,4 Párrafo de lista,Figuras,Dot pt,No Spacing1,List Paragraph Char Char Char,Indicator Text,Numbered Para 1"/>
    <w:basedOn w:val="Normal"/>
    <w:link w:val="PrrafodelistaCar"/>
    <w:uiPriority w:val="34"/>
    <w:qFormat/>
    <w:rsid w:val="002960C0"/>
    <w:pPr>
      <w:ind w:left="720"/>
      <w:contextualSpacing/>
    </w:pPr>
  </w:style>
  <w:style w:type="paragraph" w:styleId="Textodeglobo">
    <w:name w:val="Balloon Text"/>
    <w:basedOn w:val="Normal"/>
    <w:link w:val="TextodegloboCar"/>
    <w:uiPriority w:val="99"/>
    <w:semiHidden/>
    <w:unhideWhenUsed/>
    <w:rsid w:val="00344AEF"/>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4AEF"/>
    <w:rPr>
      <w:rFonts w:ascii="Tahoma" w:hAnsi="Tahoma" w:cs="Tahoma"/>
      <w:sz w:val="16"/>
      <w:szCs w:val="16"/>
    </w:rPr>
  </w:style>
  <w:style w:type="character" w:styleId="Textoennegrita">
    <w:name w:val="Strong"/>
    <w:basedOn w:val="Fuentedeprrafopredeter"/>
    <w:uiPriority w:val="22"/>
    <w:qFormat/>
    <w:rsid w:val="00831662"/>
    <w:rPr>
      <w:b/>
      <w:bCs/>
    </w:rPr>
  </w:style>
  <w:style w:type="paragraph" w:styleId="NormalWeb">
    <w:name w:val="Normal (Web)"/>
    <w:basedOn w:val="Normal"/>
    <w:uiPriority w:val="99"/>
    <w:semiHidden/>
    <w:unhideWhenUsed/>
    <w:rsid w:val="00831662"/>
    <w:pPr>
      <w:spacing w:before="100" w:beforeAutospacing="1" w:after="100" w:afterAutospacing="1"/>
      <w:jc w:val="left"/>
    </w:pPr>
    <w:rPr>
      <w:rFonts w:ascii="Times New Roman" w:eastAsia="Times New Roman" w:hAnsi="Times New Roman" w:cs="Times New Roman"/>
      <w:sz w:val="24"/>
      <w:szCs w:val="24"/>
      <w:lang w:eastAsia="es-MX"/>
    </w:rPr>
  </w:style>
  <w:style w:type="character" w:customStyle="1" w:styleId="apple-converted-space">
    <w:name w:val="apple-converted-space"/>
    <w:basedOn w:val="Fuentedeprrafopredeter"/>
    <w:rsid w:val="00DB63B7"/>
  </w:style>
  <w:style w:type="table" w:styleId="Sombreadoclaro-nfasis5">
    <w:name w:val="Light Shading Accent 5"/>
    <w:basedOn w:val="Tablanormal"/>
    <w:uiPriority w:val="60"/>
    <w:rsid w:val="00532069"/>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styleId="Textosinformato">
    <w:name w:val="Plain Text"/>
    <w:basedOn w:val="Normal"/>
    <w:link w:val="TextosinformatoCar"/>
    <w:rsid w:val="00DD7F49"/>
    <w:pPr>
      <w:spacing w:before="0" w:after="0"/>
      <w:jc w:val="left"/>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rsid w:val="00DD7F49"/>
    <w:rPr>
      <w:rFonts w:ascii="Courier New" w:eastAsia="Times New Roman" w:hAnsi="Courier New" w:cs="Courier New"/>
      <w:sz w:val="20"/>
      <w:szCs w:val="20"/>
      <w:lang w:val="es-ES" w:eastAsia="es-ES"/>
    </w:rPr>
  </w:style>
  <w:style w:type="paragraph" w:customStyle="1" w:styleId="Listavistosa-nfasis11">
    <w:name w:val="Lista vistosa - Énfasis 11"/>
    <w:basedOn w:val="Normal"/>
    <w:link w:val="Listavistosa-nfasis1Car"/>
    <w:uiPriority w:val="34"/>
    <w:qFormat/>
    <w:rsid w:val="00EA55FA"/>
    <w:pPr>
      <w:overflowPunct w:val="0"/>
      <w:autoSpaceDE w:val="0"/>
      <w:autoSpaceDN w:val="0"/>
      <w:adjustRightInd w:val="0"/>
      <w:spacing w:before="0" w:after="0"/>
      <w:ind w:left="708"/>
      <w:textAlignment w:val="baseline"/>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 Paragraph-Thesis Car,Bullet List Car,FooterText Car,numbered Car,Paragraphe de liste1 Car,Bulletr List Paragraph Car,列出段落 Car,列出段落1 Car,4 Párrafo de lista Car,Figuras Car,Dot pt Car,No Spacing1 Car"/>
    <w:link w:val="Prrafodelista"/>
    <w:uiPriority w:val="34"/>
    <w:qFormat/>
    <w:rsid w:val="00EA55FA"/>
  </w:style>
  <w:style w:type="character" w:styleId="Refdecomentario">
    <w:name w:val="annotation reference"/>
    <w:basedOn w:val="Fuentedeprrafopredeter"/>
    <w:uiPriority w:val="99"/>
    <w:semiHidden/>
    <w:unhideWhenUsed/>
    <w:rsid w:val="004A25CE"/>
    <w:rPr>
      <w:sz w:val="16"/>
      <w:szCs w:val="16"/>
    </w:rPr>
  </w:style>
  <w:style w:type="paragraph" w:styleId="Textocomentario">
    <w:name w:val="annotation text"/>
    <w:basedOn w:val="Normal"/>
    <w:link w:val="TextocomentarioCar"/>
    <w:uiPriority w:val="99"/>
    <w:unhideWhenUsed/>
    <w:rsid w:val="004A25CE"/>
    <w:rPr>
      <w:sz w:val="20"/>
      <w:szCs w:val="20"/>
    </w:rPr>
  </w:style>
  <w:style w:type="character" w:customStyle="1" w:styleId="TextocomentarioCar">
    <w:name w:val="Texto comentario Car"/>
    <w:basedOn w:val="Fuentedeprrafopredeter"/>
    <w:link w:val="Textocomentario"/>
    <w:uiPriority w:val="99"/>
    <w:rsid w:val="004A25CE"/>
    <w:rPr>
      <w:sz w:val="20"/>
      <w:szCs w:val="20"/>
    </w:rPr>
  </w:style>
  <w:style w:type="paragraph" w:styleId="Asuntodelcomentario">
    <w:name w:val="annotation subject"/>
    <w:basedOn w:val="Textocomentario"/>
    <w:next w:val="Textocomentario"/>
    <w:link w:val="AsuntodelcomentarioCar"/>
    <w:uiPriority w:val="99"/>
    <w:semiHidden/>
    <w:unhideWhenUsed/>
    <w:rsid w:val="004A25CE"/>
    <w:rPr>
      <w:b/>
      <w:bCs/>
    </w:rPr>
  </w:style>
  <w:style w:type="character" w:customStyle="1" w:styleId="AsuntodelcomentarioCar">
    <w:name w:val="Asunto del comentario Car"/>
    <w:basedOn w:val="TextocomentarioCar"/>
    <w:link w:val="Asuntodelcomentario"/>
    <w:uiPriority w:val="99"/>
    <w:semiHidden/>
    <w:rsid w:val="004A25CE"/>
    <w:rPr>
      <w:b/>
      <w:bCs/>
      <w:sz w:val="20"/>
      <w:szCs w:val="20"/>
    </w:rPr>
  </w:style>
  <w:style w:type="paragraph" w:styleId="Revisin">
    <w:name w:val="Revision"/>
    <w:hidden/>
    <w:uiPriority w:val="99"/>
    <w:semiHidden/>
    <w:rsid w:val="004A25CE"/>
    <w:pPr>
      <w:spacing w:after="0" w:line="240" w:lineRule="auto"/>
    </w:pPr>
  </w:style>
  <w:style w:type="paragraph" w:styleId="Tabladeilustraciones">
    <w:name w:val="table of figures"/>
    <w:basedOn w:val="Normal"/>
    <w:next w:val="Normal"/>
    <w:uiPriority w:val="99"/>
    <w:unhideWhenUsed/>
    <w:rsid w:val="00383AF6"/>
    <w:pPr>
      <w:spacing w:after="0"/>
    </w:pPr>
  </w:style>
  <w:style w:type="character" w:styleId="nfasis">
    <w:name w:val="Emphasis"/>
    <w:basedOn w:val="Fuentedeprrafopredeter"/>
    <w:uiPriority w:val="20"/>
    <w:qFormat/>
    <w:rsid w:val="00C502B0"/>
    <w:rPr>
      <w:i/>
      <w:iCs/>
    </w:rPr>
  </w:style>
  <w:style w:type="paragraph" w:customStyle="1" w:styleId="Default">
    <w:name w:val="Default"/>
    <w:rsid w:val="00166C33"/>
    <w:pPr>
      <w:autoSpaceDE w:val="0"/>
      <w:autoSpaceDN w:val="0"/>
      <w:adjustRightInd w:val="0"/>
      <w:spacing w:after="0" w:line="240" w:lineRule="auto"/>
    </w:pPr>
    <w:rPr>
      <w:rFonts w:ascii="Tahoma" w:hAnsi="Tahoma" w:cs="Tahoma"/>
      <w:color w:val="000000"/>
      <w:sz w:val="24"/>
      <w:szCs w:val="24"/>
    </w:rPr>
  </w:style>
  <w:style w:type="character" w:customStyle="1" w:styleId="Ttulo7Car">
    <w:name w:val="Título 7 Car"/>
    <w:basedOn w:val="Fuentedeprrafopredeter"/>
    <w:link w:val="Ttulo7"/>
    <w:uiPriority w:val="9"/>
    <w:semiHidden/>
    <w:rsid w:val="00955FEA"/>
    <w:rPr>
      <w:rFonts w:asciiTheme="majorHAnsi" w:eastAsiaTheme="majorEastAsia" w:hAnsiTheme="majorHAnsi" w:cstheme="majorBidi"/>
      <w:i/>
      <w:iCs/>
      <w:color w:val="1F4D78" w:themeColor="accent1" w:themeShade="7F"/>
    </w:rPr>
  </w:style>
  <w:style w:type="character" w:customStyle="1" w:styleId="ROMANOSCar">
    <w:name w:val="ROMANOS Car"/>
    <w:link w:val="ROMANOS"/>
    <w:locked/>
    <w:rsid w:val="00654022"/>
    <w:rPr>
      <w:rFonts w:ascii="Arial" w:eastAsia="Times New Roman" w:hAnsi="Arial" w:cs="Arial"/>
      <w:sz w:val="18"/>
      <w:szCs w:val="18"/>
      <w:lang w:val="es-ES" w:eastAsia="es-ES"/>
    </w:rPr>
  </w:style>
  <w:style w:type="paragraph" w:customStyle="1" w:styleId="ROMANOS">
    <w:name w:val="ROMANOS"/>
    <w:basedOn w:val="Normal"/>
    <w:link w:val="ROMANOSCar"/>
    <w:rsid w:val="00654022"/>
    <w:pPr>
      <w:tabs>
        <w:tab w:val="left" w:pos="720"/>
      </w:tabs>
      <w:spacing w:before="0" w:after="101" w:line="216" w:lineRule="exact"/>
      <w:ind w:left="720" w:hanging="432"/>
    </w:pPr>
    <w:rPr>
      <w:rFonts w:ascii="Arial" w:eastAsia="Times New Roman" w:hAnsi="Arial" w:cs="Arial"/>
      <w:sz w:val="18"/>
      <w:szCs w:val="18"/>
      <w:lang w:val="es-ES" w:eastAsia="es-ES"/>
    </w:rPr>
  </w:style>
  <w:style w:type="character" w:styleId="Hipervnculovisitado">
    <w:name w:val="FollowedHyperlink"/>
    <w:basedOn w:val="Fuentedeprrafopredeter"/>
    <w:uiPriority w:val="99"/>
    <w:semiHidden/>
    <w:unhideWhenUsed/>
    <w:rsid w:val="00957627"/>
    <w:rPr>
      <w:color w:val="954F72" w:themeColor="followedHyperlink"/>
      <w:u w:val="single"/>
    </w:rPr>
  </w:style>
  <w:style w:type="paragraph" w:styleId="Textonotaalfinal">
    <w:name w:val="endnote text"/>
    <w:basedOn w:val="Normal"/>
    <w:link w:val="TextonotaalfinalCar"/>
    <w:uiPriority w:val="99"/>
    <w:semiHidden/>
    <w:unhideWhenUsed/>
    <w:rsid w:val="00141763"/>
    <w:pPr>
      <w:spacing w:before="0" w:after="0"/>
    </w:pPr>
    <w:rPr>
      <w:sz w:val="20"/>
      <w:szCs w:val="20"/>
    </w:rPr>
  </w:style>
  <w:style w:type="character" w:customStyle="1" w:styleId="TextonotaalfinalCar">
    <w:name w:val="Texto nota al final Car"/>
    <w:basedOn w:val="Fuentedeprrafopredeter"/>
    <w:link w:val="Textonotaalfinal"/>
    <w:uiPriority w:val="99"/>
    <w:semiHidden/>
    <w:rsid w:val="00141763"/>
    <w:rPr>
      <w:sz w:val="20"/>
      <w:szCs w:val="20"/>
    </w:rPr>
  </w:style>
  <w:style w:type="character" w:styleId="Refdenotaalfinal">
    <w:name w:val="endnote reference"/>
    <w:basedOn w:val="Fuentedeprrafopredeter"/>
    <w:uiPriority w:val="99"/>
    <w:semiHidden/>
    <w:unhideWhenUsed/>
    <w:rsid w:val="00141763"/>
    <w:rPr>
      <w:vertAlign w:val="superscript"/>
    </w:rPr>
  </w:style>
  <w:style w:type="paragraph" w:customStyle="1" w:styleId="Texto">
    <w:name w:val="Texto"/>
    <w:basedOn w:val="Normal"/>
    <w:link w:val="TextoCar"/>
    <w:rsid w:val="000168E6"/>
    <w:pPr>
      <w:spacing w:before="0" w:after="101" w:line="216" w:lineRule="exact"/>
      <w:ind w:firstLine="288"/>
    </w:pPr>
    <w:rPr>
      <w:rFonts w:ascii="Arial" w:eastAsia="Times New Roman" w:hAnsi="Arial" w:cs="Arial"/>
      <w:sz w:val="18"/>
      <w:szCs w:val="20"/>
      <w:lang w:val="es-ES" w:eastAsia="es-ES"/>
    </w:rPr>
  </w:style>
  <w:style w:type="character" w:customStyle="1" w:styleId="TextoCar">
    <w:name w:val="Texto Car"/>
    <w:link w:val="Texto"/>
    <w:locked/>
    <w:rsid w:val="000168E6"/>
    <w:rPr>
      <w:rFonts w:ascii="Arial" w:eastAsia="Times New Roman" w:hAnsi="Arial" w:cs="Arial"/>
      <w:sz w:val="18"/>
      <w:szCs w:val="20"/>
      <w:lang w:val="es-ES" w:eastAsia="es-ES"/>
    </w:rPr>
  </w:style>
  <w:style w:type="character" w:customStyle="1" w:styleId="Mencinsinresolver1">
    <w:name w:val="Mención sin resolver1"/>
    <w:basedOn w:val="Fuentedeprrafopredeter"/>
    <w:uiPriority w:val="99"/>
    <w:semiHidden/>
    <w:unhideWhenUsed/>
    <w:rsid w:val="006D5701"/>
    <w:rPr>
      <w:color w:val="808080"/>
      <w:shd w:val="clear" w:color="auto" w:fill="E6E6E6"/>
    </w:rPr>
  </w:style>
  <w:style w:type="character" w:customStyle="1" w:styleId="Listavistosa-nfasis1Car">
    <w:name w:val="Lista vistosa - Énfasis 1 Car"/>
    <w:link w:val="Listavistosa-nfasis11"/>
    <w:uiPriority w:val="34"/>
    <w:locked/>
    <w:rsid w:val="005D37EA"/>
    <w:rPr>
      <w:rFonts w:ascii="Times New Roman" w:eastAsia="Times New Roman" w:hAnsi="Times New Roman" w:cs="Times New Roman"/>
      <w:sz w:val="20"/>
      <w:szCs w:val="20"/>
      <w:lang w:eastAsia="es-ES"/>
    </w:rPr>
  </w:style>
  <w:style w:type="paragraph" w:styleId="Sinespaciado">
    <w:name w:val="No Spacing"/>
    <w:uiPriority w:val="1"/>
    <w:qFormat/>
    <w:rsid w:val="001D19FD"/>
    <w:pPr>
      <w:spacing w:after="0" w:line="240" w:lineRule="auto"/>
    </w:pPr>
  </w:style>
  <w:style w:type="table" w:styleId="Tablaconcuadrcula1clara-nfasis6">
    <w:name w:val="Grid Table 1 Light Accent 6"/>
    <w:basedOn w:val="Tablanormal"/>
    <w:uiPriority w:val="46"/>
    <w:rsid w:val="006C43F9"/>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laconcuadrcula4-nfasis3">
    <w:name w:val="Grid Table 4 Accent 3"/>
    <w:basedOn w:val="Tablanormal"/>
    <w:uiPriority w:val="49"/>
    <w:rsid w:val="006C43F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extoindependiente">
    <w:name w:val="Body Text"/>
    <w:basedOn w:val="Normal"/>
    <w:link w:val="TextoindependienteCar"/>
    <w:uiPriority w:val="1"/>
    <w:qFormat/>
    <w:rsid w:val="0083190E"/>
    <w:pPr>
      <w:widowControl w:val="0"/>
      <w:autoSpaceDE w:val="0"/>
      <w:autoSpaceDN w:val="0"/>
      <w:spacing w:before="0" w:after="0"/>
      <w:jc w:val="left"/>
    </w:pPr>
    <w:rPr>
      <w:rFonts w:ascii="Arial" w:eastAsia="Arial" w:hAnsi="Arial" w:cs="Arial"/>
      <w:sz w:val="24"/>
      <w:szCs w:val="24"/>
      <w:lang w:val="es-ES" w:eastAsia="es-ES" w:bidi="es-ES"/>
    </w:rPr>
  </w:style>
  <w:style w:type="character" w:customStyle="1" w:styleId="TextoindependienteCar">
    <w:name w:val="Texto independiente Car"/>
    <w:basedOn w:val="Fuentedeprrafopredeter"/>
    <w:link w:val="Textoindependiente"/>
    <w:uiPriority w:val="1"/>
    <w:rsid w:val="0083190E"/>
    <w:rPr>
      <w:rFonts w:ascii="Arial" w:eastAsia="Arial" w:hAnsi="Arial" w:cs="Arial"/>
      <w:sz w:val="24"/>
      <w:szCs w:val="24"/>
      <w:lang w:val="es-ES" w:eastAsia="es-ES" w:bidi="es-ES"/>
    </w:rPr>
  </w:style>
  <w:style w:type="paragraph" w:customStyle="1" w:styleId="TableParagraph">
    <w:name w:val="Table Paragraph"/>
    <w:basedOn w:val="Normal"/>
    <w:uiPriority w:val="1"/>
    <w:qFormat/>
    <w:rsid w:val="00AA1610"/>
    <w:pPr>
      <w:widowControl w:val="0"/>
      <w:autoSpaceDE w:val="0"/>
      <w:autoSpaceDN w:val="0"/>
      <w:spacing w:before="0" w:after="0"/>
      <w:jc w:val="left"/>
    </w:pPr>
    <w:rPr>
      <w:rFonts w:ascii="Calibri" w:eastAsia="Calibri" w:hAnsi="Calibri" w:cs="Calibri"/>
      <w:lang w:val="es-ES" w:eastAsia="es-ES" w:bidi="es-ES"/>
    </w:rPr>
  </w:style>
  <w:style w:type="table" w:customStyle="1" w:styleId="Tablaconcuadrcula1">
    <w:name w:val="Tabla con cuadrícula1"/>
    <w:basedOn w:val="Tablanormal"/>
    <w:next w:val="Tablaconcuadrcula"/>
    <w:uiPriority w:val="59"/>
    <w:rsid w:val="006302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3312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iasutil">
    <w:name w:val="Subtle Reference"/>
    <w:basedOn w:val="Fuentedeprrafopredeter"/>
    <w:uiPriority w:val="31"/>
    <w:qFormat/>
    <w:rsid w:val="00A474D3"/>
    <w:rPr>
      <w:rFonts w:asciiTheme="minorHAnsi" w:hAnsiTheme="minorHAnsi"/>
      <w:caps w:val="0"/>
      <w:smallCaps w:val="0"/>
      <w:color w:val="5A5A5A" w:themeColor="text1" w:themeTint="A5"/>
      <w:sz w:val="18"/>
    </w:rPr>
  </w:style>
  <w:style w:type="table" w:customStyle="1" w:styleId="Sombreadoclaro-nfasis51">
    <w:name w:val="Sombreado claro - Énfasis 51"/>
    <w:basedOn w:val="Tablanormal"/>
    <w:next w:val="Sombreadoclaro-nfasis5"/>
    <w:uiPriority w:val="60"/>
    <w:rsid w:val="00A474D3"/>
    <w:pPr>
      <w:spacing w:after="0" w:line="240" w:lineRule="auto"/>
    </w:pPr>
    <w:rPr>
      <w:rFonts w:ascii="Calibri" w:eastAsia="Times" w:hAnsi="Calibri" w:cs="Calibri"/>
      <w:color w:val="31849B"/>
      <w:sz w:val="20"/>
      <w:szCs w:val="20"/>
      <w:lang w:eastAsia="es-ES_tradnl"/>
    </w:rPr>
    <w:tblPr>
      <w:tblStyleRowBandSize w:val="1"/>
      <w:tblStyleColBandSize w:val="1"/>
      <w:tblBorders>
        <w:top w:val="single" w:sz="8" w:space="0" w:color="4BACC6"/>
        <w:bottom w:val="single" w:sz="8" w:space="0" w:color="4BACC6"/>
      </w:tblBorders>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Cuadro">
    <w:name w:val="Cuadro"/>
    <w:basedOn w:val="Descripcin"/>
    <w:link w:val="CuadroCar"/>
    <w:qFormat/>
    <w:rsid w:val="00802DA1"/>
    <w:pPr>
      <w:keepNext/>
      <w:spacing w:before="120" w:after="120"/>
      <w:jc w:val="center"/>
    </w:pPr>
    <w:rPr>
      <w:rFonts w:ascii="Calibri" w:hAnsi="Calibri"/>
      <w:b/>
      <w:bCs/>
      <w:i w:val="0"/>
      <w:iCs w:val="0"/>
      <w:color w:val="auto"/>
      <w:sz w:val="22"/>
      <w:szCs w:val="22"/>
    </w:rPr>
  </w:style>
  <w:style w:type="character" w:customStyle="1" w:styleId="CuadroCar">
    <w:name w:val="Cuadro Car"/>
    <w:basedOn w:val="DescripcinCar"/>
    <w:link w:val="Cuadro"/>
    <w:rsid w:val="00802DA1"/>
    <w:rPr>
      <w:rFonts w:ascii="Calibri" w:hAnsi="Calibri"/>
      <w:b/>
      <w:bCs/>
      <w:i w:val="0"/>
      <w:iCs w:val="0"/>
      <w:color w:val="44546A" w:themeColor="text2"/>
      <w:sz w:val="18"/>
      <w:szCs w:val="18"/>
    </w:rPr>
  </w:style>
  <w:style w:type="paragraph" w:customStyle="1" w:styleId="ms-rteelement-parrafo">
    <w:name w:val="ms-rteelement-parrafo"/>
    <w:basedOn w:val="Normal"/>
    <w:rsid w:val="00E062D3"/>
    <w:pPr>
      <w:spacing w:before="100" w:beforeAutospacing="1" w:after="100" w:afterAutospacing="1"/>
      <w:jc w:val="left"/>
    </w:pPr>
    <w:rPr>
      <w:rFonts w:ascii="Times New Roman" w:eastAsia="Times New Roman" w:hAnsi="Times New Roman" w:cs="Times New Roman"/>
      <w:sz w:val="24"/>
      <w:szCs w:val="24"/>
      <w:lang w:eastAsia="es-MX"/>
    </w:rPr>
  </w:style>
  <w:style w:type="table" w:customStyle="1" w:styleId="Tablaconcuadrcula3">
    <w:name w:val="Tabla con cuadrícula3"/>
    <w:basedOn w:val="Tablanormal"/>
    <w:next w:val="Tablaconcuadrcula"/>
    <w:uiPriority w:val="59"/>
    <w:rsid w:val="002B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511">
    <w:name w:val="Sombreado claro - Énfasis 511"/>
    <w:basedOn w:val="Tablanormal"/>
    <w:next w:val="Sombreadoclaro-nfasis5"/>
    <w:uiPriority w:val="60"/>
    <w:rsid w:val="002B3391"/>
    <w:pPr>
      <w:spacing w:after="0" w:line="240" w:lineRule="auto"/>
    </w:pPr>
    <w:rPr>
      <w:rFonts w:ascii="Calibri" w:eastAsia="Times" w:hAnsi="Calibri" w:cs="Calibri"/>
      <w:color w:val="31849B"/>
      <w:sz w:val="20"/>
      <w:szCs w:val="20"/>
      <w:lang w:eastAsia="es-ES_tradnl"/>
    </w:rPr>
    <w:tblPr>
      <w:tblStyleRowBandSize w:val="1"/>
      <w:tblStyleColBandSize w:val="1"/>
      <w:tblBorders>
        <w:top w:val="single" w:sz="8" w:space="0" w:color="4BACC6"/>
        <w:bottom w:val="single" w:sz="8" w:space="0" w:color="4BACC6"/>
      </w:tblBorders>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Ttulo4Car">
    <w:name w:val="Título 4 Car"/>
    <w:basedOn w:val="Fuentedeprrafopredeter"/>
    <w:link w:val="Ttulo4"/>
    <w:uiPriority w:val="9"/>
    <w:semiHidden/>
    <w:rsid w:val="00250BA1"/>
    <w:rPr>
      <w:rFonts w:asciiTheme="majorHAnsi" w:eastAsiaTheme="majorEastAsia" w:hAnsiTheme="majorHAnsi" w:cstheme="majorBidi"/>
      <w:i/>
      <w:iCs/>
      <w:color w:val="2E74B5" w:themeColor="accent1" w:themeShade="BF"/>
    </w:rPr>
  </w:style>
  <w:style w:type="paragraph" w:customStyle="1" w:styleId="Figura">
    <w:name w:val="Figura"/>
    <w:basedOn w:val="Normal"/>
    <w:link w:val="FiguraCar"/>
    <w:qFormat/>
    <w:rsid w:val="00451BBA"/>
    <w:pPr>
      <w:keepNext/>
      <w:spacing w:before="0"/>
      <w:jc w:val="center"/>
    </w:pPr>
    <w:rPr>
      <w:b/>
      <w:bCs/>
      <w:color w:val="000000" w:themeColor="text1"/>
    </w:rPr>
  </w:style>
  <w:style w:type="character" w:customStyle="1" w:styleId="FiguraCar">
    <w:name w:val="Figura Car"/>
    <w:basedOn w:val="Fuentedeprrafopredeter"/>
    <w:link w:val="Figura"/>
    <w:rsid w:val="00451BBA"/>
    <w:rPr>
      <w:b/>
      <w:bCs/>
      <w:color w:val="000000" w:themeColor="text1"/>
    </w:rPr>
  </w:style>
  <w:style w:type="paragraph" w:customStyle="1" w:styleId="Cuestio">
    <w:name w:val="Cuestio"/>
    <w:basedOn w:val="Normal"/>
    <w:link w:val="CuestioChar"/>
    <w:qFormat/>
    <w:rsid w:val="00D030FF"/>
    <w:pPr>
      <w:snapToGrid w:val="0"/>
      <w:spacing w:before="0" w:after="0"/>
      <w:jc w:val="right"/>
    </w:pPr>
    <w:rPr>
      <w:rFonts w:ascii="Arial" w:eastAsia="Arial" w:hAnsi="Arial" w:cs="Arial"/>
      <w:sz w:val="14"/>
      <w:szCs w:val="16"/>
      <w:lang w:eastAsia="ja-JP"/>
    </w:rPr>
  </w:style>
  <w:style w:type="character" w:customStyle="1" w:styleId="CuestioChar">
    <w:name w:val="Cuestio Char"/>
    <w:basedOn w:val="Fuentedeprrafopredeter"/>
    <w:link w:val="Cuestio"/>
    <w:rsid w:val="00D030FF"/>
    <w:rPr>
      <w:rFonts w:ascii="Arial" w:eastAsia="Arial" w:hAnsi="Arial" w:cs="Arial"/>
      <w:sz w:val="14"/>
      <w:szCs w:val="16"/>
      <w:lang w:eastAsia="ja-JP"/>
    </w:rPr>
  </w:style>
  <w:style w:type="character" w:styleId="Referenciaintensa">
    <w:name w:val="Intense Reference"/>
    <w:basedOn w:val="Fuentedeprrafopredeter"/>
    <w:uiPriority w:val="32"/>
    <w:qFormat/>
    <w:rsid w:val="00CE2092"/>
    <w:rPr>
      <w:b/>
      <w:bCs/>
      <w:smallCaps/>
      <w:color w:val="5B9BD5" w:themeColor="accent1"/>
      <w:spacing w:val="5"/>
    </w:rPr>
  </w:style>
  <w:style w:type="character" w:customStyle="1" w:styleId="Referenciasutil1">
    <w:name w:val="Referencia sutil1"/>
    <w:basedOn w:val="Fuentedeprrafopredeter"/>
    <w:uiPriority w:val="31"/>
    <w:qFormat/>
    <w:rsid w:val="008D17A3"/>
    <w:rPr>
      <w:rFonts w:ascii="Calibri" w:hAnsi="Calibri"/>
      <w:caps w:val="0"/>
      <w:smallCaps w:val="0"/>
      <w:color w:val="7F7F7F" w:themeColor="text1" w:themeTint="80"/>
      <w:sz w:val="18"/>
    </w:rPr>
  </w:style>
  <w:style w:type="character" w:customStyle="1" w:styleId="Mencinsinresolver2">
    <w:name w:val="Mención sin resolver2"/>
    <w:basedOn w:val="Fuentedeprrafopredeter"/>
    <w:uiPriority w:val="99"/>
    <w:semiHidden/>
    <w:unhideWhenUsed/>
    <w:rsid w:val="001E00DE"/>
    <w:rPr>
      <w:color w:val="605E5C"/>
      <w:shd w:val="clear" w:color="auto" w:fill="E1DFDD"/>
    </w:rPr>
  </w:style>
  <w:style w:type="character" w:customStyle="1" w:styleId="Mencinsinresolver3">
    <w:name w:val="Mención sin resolver3"/>
    <w:basedOn w:val="Fuentedeprrafopredeter"/>
    <w:uiPriority w:val="99"/>
    <w:semiHidden/>
    <w:unhideWhenUsed/>
    <w:rsid w:val="00D841A6"/>
    <w:rPr>
      <w:color w:val="605E5C"/>
      <w:shd w:val="clear" w:color="auto" w:fill="E1DFDD"/>
    </w:rPr>
  </w:style>
  <w:style w:type="paragraph" w:customStyle="1" w:styleId="Fuente">
    <w:name w:val="Fuente"/>
    <w:basedOn w:val="Normal"/>
    <w:link w:val="FuenteCar"/>
    <w:qFormat/>
    <w:rsid w:val="00455C8A"/>
    <w:pPr>
      <w:spacing w:before="60" w:after="240"/>
    </w:pPr>
    <w:rPr>
      <w:sz w:val="18"/>
      <w:szCs w:val="18"/>
    </w:rPr>
  </w:style>
  <w:style w:type="character" w:customStyle="1" w:styleId="FuenteCar">
    <w:name w:val="Fuente Car"/>
    <w:basedOn w:val="Fuentedeprrafopredeter"/>
    <w:link w:val="Fuente"/>
    <w:rsid w:val="00455C8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3773">
      <w:bodyDiv w:val="1"/>
      <w:marLeft w:val="0"/>
      <w:marRight w:val="0"/>
      <w:marTop w:val="0"/>
      <w:marBottom w:val="0"/>
      <w:divBdr>
        <w:top w:val="none" w:sz="0" w:space="0" w:color="auto"/>
        <w:left w:val="none" w:sz="0" w:space="0" w:color="auto"/>
        <w:bottom w:val="none" w:sz="0" w:space="0" w:color="auto"/>
        <w:right w:val="none" w:sz="0" w:space="0" w:color="auto"/>
      </w:divBdr>
    </w:div>
    <w:div w:id="20937170">
      <w:bodyDiv w:val="1"/>
      <w:marLeft w:val="0"/>
      <w:marRight w:val="0"/>
      <w:marTop w:val="0"/>
      <w:marBottom w:val="0"/>
      <w:divBdr>
        <w:top w:val="none" w:sz="0" w:space="0" w:color="auto"/>
        <w:left w:val="none" w:sz="0" w:space="0" w:color="auto"/>
        <w:bottom w:val="none" w:sz="0" w:space="0" w:color="auto"/>
        <w:right w:val="none" w:sz="0" w:space="0" w:color="auto"/>
      </w:divBdr>
    </w:div>
    <w:div w:id="21592380">
      <w:bodyDiv w:val="1"/>
      <w:marLeft w:val="0"/>
      <w:marRight w:val="0"/>
      <w:marTop w:val="0"/>
      <w:marBottom w:val="0"/>
      <w:divBdr>
        <w:top w:val="none" w:sz="0" w:space="0" w:color="auto"/>
        <w:left w:val="none" w:sz="0" w:space="0" w:color="auto"/>
        <w:bottom w:val="none" w:sz="0" w:space="0" w:color="auto"/>
        <w:right w:val="none" w:sz="0" w:space="0" w:color="auto"/>
      </w:divBdr>
    </w:div>
    <w:div w:id="22901254">
      <w:bodyDiv w:val="1"/>
      <w:marLeft w:val="0"/>
      <w:marRight w:val="0"/>
      <w:marTop w:val="0"/>
      <w:marBottom w:val="0"/>
      <w:divBdr>
        <w:top w:val="none" w:sz="0" w:space="0" w:color="auto"/>
        <w:left w:val="none" w:sz="0" w:space="0" w:color="auto"/>
        <w:bottom w:val="none" w:sz="0" w:space="0" w:color="auto"/>
        <w:right w:val="none" w:sz="0" w:space="0" w:color="auto"/>
      </w:divBdr>
    </w:div>
    <w:div w:id="23990960">
      <w:bodyDiv w:val="1"/>
      <w:marLeft w:val="0"/>
      <w:marRight w:val="0"/>
      <w:marTop w:val="0"/>
      <w:marBottom w:val="0"/>
      <w:divBdr>
        <w:top w:val="none" w:sz="0" w:space="0" w:color="auto"/>
        <w:left w:val="none" w:sz="0" w:space="0" w:color="auto"/>
        <w:bottom w:val="none" w:sz="0" w:space="0" w:color="auto"/>
        <w:right w:val="none" w:sz="0" w:space="0" w:color="auto"/>
      </w:divBdr>
    </w:div>
    <w:div w:id="75127010">
      <w:bodyDiv w:val="1"/>
      <w:marLeft w:val="0"/>
      <w:marRight w:val="0"/>
      <w:marTop w:val="0"/>
      <w:marBottom w:val="0"/>
      <w:divBdr>
        <w:top w:val="none" w:sz="0" w:space="0" w:color="auto"/>
        <w:left w:val="none" w:sz="0" w:space="0" w:color="auto"/>
        <w:bottom w:val="none" w:sz="0" w:space="0" w:color="auto"/>
        <w:right w:val="none" w:sz="0" w:space="0" w:color="auto"/>
      </w:divBdr>
    </w:div>
    <w:div w:id="81344380">
      <w:bodyDiv w:val="1"/>
      <w:marLeft w:val="0"/>
      <w:marRight w:val="0"/>
      <w:marTop w:val="0"/>
      <w:marBottom w:val="0"/>
      <w:divBdr>
        <w:top w:val="none" w:sz="0" w:space="0" w:color="auto"/>
        <w:left w:val="none" w:sz="0" w:space="0" w:color="auto"/>
        <w:bottom w:val="none" w:sz="0" w:space="0" w:color="auto"/>
        <w:right w:val="none" w:sz="0" w:space="0" w:color="auto"/>
      </w:divBdr>
      <w:divsChild>
        <w:div w:id="769276709">
          <w:marLeft w:val="0"/>
          <w:marRight w:val="0"/>
          <w:marTop w:val="0"/>
          <w:marBottom w:val="0"/>
          <w:divBdr>
            <w:top w:val="none" w:sz="0" w:space="0" w:color="auto"/>
            <w:left w:val="none" w:sz="0" w:space="0" w:color="auto"/>
            <w:bottom w:val="none" w:sz="0" w:space="0" w:color="auto"/>
            <w:right w:val="none" w:sz="0" w:space="0" w:color="auto"/>
          </w:divBdr>
        </w:div>
      </w:divsChild>
    </w:div>
    <w:div w:id="101148946">
      <w:bodyDiv w:val="1"/>
      <w:marLeft w:val="0"/>
      <w:marRight w:val="0"/>
      <w:marTop w:val="0"/>
      <w:marBottom w:val="0"/>
      <w:divBdr>
        <w:top w:val="none" w:sz="0" w:space="0" w:color="auto"/>
        <w:left w:val="none" w:sz="0" w:space="0" w:color="auto"/>
        <w:bottom w:val="none" w:sz="0" w:space="0" w:color="auto"/>
        <w:right w:val="none" w:sz="0" w:space="0" w:color="auto"/>
      </w:divBdr>
    </w:div>
    <w:div w:id="104739110">
      <w:bodyDiv w:val="1"/>
      <w:marLeft w:val="0"/>
      <w:marRight w:val="0"/>
      <w:marTop w:val="0"/>
      <w:marBottom w:val="0"/>
      <w:divBdr>
        <w:top w:val="none" w:sz="0" w:space="0" w:color="auto"/>
        <w:left w:val="none" w:sz="0" w:space="0" w:color="auto"/>
        <w:bottom w:val="none" w:sz="0" w:space="0" w:color="auto"/>
        <w:right w:val="none" w:sz="0" w:space="0" w:color="auto"/>
      </w:divBdr>
    </w:div>
    <w:div w:id="106318947">
      <w:bodyDiv w:val="1"/>
      <w:marLeft w:val="0"/>
      <w:marRight w:val="0"/>
      <w:marTop w:val="0"/>
      <w:marBottom w:val="0"/>
      <w:divBdr>
        <w:top w:val="none" w:sz="0" w:space="0" w:color="auto"/>
        <w:left w:val="none" w:sz="0" w:space="0" w:color="auto"/>
        <w:bottom w:val="none" w:sz="0" w:space="0" w:color="auto"/>
        <w:right w:val="none" w:sz="0" w:space="0" w:color="auto"/>
      </w:divBdr>
    </w:div>
    <w:div w:id="116489787">
      <w:bodyDiv w:val="1"/>
      <w:marLeft w:val="0"/>
      <w:marRight w:val="0"/>
      <w:marTop w:val="0"/>
      <w:marBottom w:val="0"/>
      <w:divBdr>
        <w:top w:val="none" w:sz="0" w:space="0" w:color="auto"/>
        <w:left w:val="none" w:sz="0" w:space="0" w:color="auto"/>
        <w:bottom w:val="none" w:sz="0" w:space="0" w:color="auto"/>
        <w:right w:val="none" w:sz="0" w:space="0" w:color="auto"/>
      </w:divBdr>
      <w:divsChild>
        <w:div w:id="84037341">
          <w:marLeft w:val="547"/>
          <w:marRight w:val="0"/>
          <w:marTop w:val="0"/>
          <w:marBottom w:val="0"/>
          <w:divBdr>
            <w:top w:val="none" w:sz="0" w:space="0" w:color="auto"/>
            <w:left w:val="none" w:sz="0" w:space="0" w:color="auto"/>
            <w:bottom w:val="none" w:sz="0" w:space="0" w:color="auto"/>
            <w:right w:val="none" w:sz="0" w:space="0" w:color="auto"/>
          </w:divBdr>
        </w:div>
        <w:div w:id="185364707">
          <w:marLeft w:val="547"/>
          <w:marRight w:val="0"/>
          <w:marTop w:val="0"/>
          <w:marBottom w:val="0"/>
          <w:divBdr>
            <w:top w:val="none" w:sz="0" w:space="0" w:color="auto"/>
            <w:left w:val="none" w:sz="0" w:space="0" w:color="auto"/>
            <w:bottom w:val="none" w:sz="0" w:space="0" w:color="auto"/>
            <w:right w:val="none" w:sz="0" w:space="0" w:color="auto"/>
          </w:divBdr>
        </w:div>
        <w:div w:id="327364871">
          <w:marLeft w:val="547"/>
          <w:marRight w:val="0"/>
          <w:marTop w:val="0"/>
          <w:marBottom w:val="0"/>
          <w:divBdr>
            <w:top w:val="none" w:sz="0" w:space="0" w:color="auto"/>
            <w:left w:val="none" w:sz="0" w:space="0" w:color="auto"/>
            <w:bottom w:val="none" w:sz="0" w:space="0" w:color="auto"/>
            <w:right w:val="none" w:sz="0" w:space="0" w:color="auto"/>
          </w:divBdr>
        </w:div>
        <w:div w:id="429664618">
          <w:marLeft w:val="547"/>
          <w:marRight w:val="0"/>
          <w:marTop w:val="0"/>
          <w:marBottom w:val="0"/>
          <w:divBdr>
            <w:top w:val="none" w:sz="0" w:space="0" w:color="auto"/>
            <w:left w:val="none" w:sz="0" w:space="0" w:color="auto"/>
            <w:bottom w:val="none" w:sz="0" w:space="0" w:color="auto"/>
            <w:right w:val="none" w:sz="0" w:space="0" w:color="auto"/>
          </w:divBdr>
        </w:div>
        <w:div w:id="497185956">
          <w:marLeft w:val="547"/>
          <w:marRight w:val="0"/>
          <w:marTop w:val="0"/>
          <w:marBottom w:val="0"/>
          <w:divBdr>
            <w:top w:val="none" w:sz="0" w:space="0" w:color="auto"/>
            <w:left w:val="none" w:sz="0" w:space="0" w:color="auto"/>
            <w:bottom w:val="none" w:sz="0" w:space="0" w:color="auto"/>
            <w:right w:val="none" w:sz="0" w:space="0" w:color="auto"/>
          </w:divBdr>
        </w:div>
        <w:div w:id="575480745">
          <w:marLeft w:val="547"/>
          <w:marRight w:val="0"/>
          <w:marTop w:val="0"/>
          <w:marBottom w:val="0"/>
          <w:divBdr>
            <w:top w:val="none" w:sz="0" w:space="0" w:color="auto"/>
            <w:left w:val="none" w:sz="0" w:space="0" w:color="auto"/>
            <w:bottom w:val="none" w:sz="0" w:space="0" w:color="auto"/>
            <w:right w:val="none" w:sz="0" w:space="0" w:color="auto"/>
          </w:divBdr>
        </w:div>
        <w:div w:id="628098238">
          <w:marLeft w:val="547"/>
          <w:marRight w:val="0"/>
          <w:marTop w:val="0"/>
          <w:marBottom w:val="0"/>
          <w:divBdr>
            <w:top w:val="none" w:sz="0" w:space="0" w:color="auto"/>
            <w:left w:val="none" w:sz="0" w:space="0" w:color="auto"/>
            <w:bottom w:val="none" w:sz="0" w:space="0" w:color="auto"/>
            <w:right w:val="none" w:sz="0" w:space="0" w:color="auto"/>
          </w:divBdr>
        </w:div>
        <w:div w:id="1050542154">
          <w:marLeft w:val="547"/>
          <w:marRight w:val="0"/>
          <w:marTop w:val="0"/>
          <w:marBottom w:val="0"/>
          <w:divBdr>
            <w:top w:val="none" w:sz="0" w:space="0" w:color="auto"/>
            <w:left w:val="none" w:sz="0" w:space="0" w:color="auto"/>
            <w:bottom w:val="none" w:sz="0" w:space="0" w:color="auto"/>
            <w:right w:val="none" w:sz="0" w:space="0" w:color="auto"/>
          </w:divBdr>
        </w:div>
        <w:div w:id="1061101141">
          <w:marLeft w:val="547"/>
          <w:marRight w:val="0"/>
          <w:marTop w:val="0"/>
          <w:marBottom w:val="0"/>
          <w:divBdr>
            <w:top w:val="none" w:sz="0" w:space="0" w:color="auto"/>
            <w:left w:val="none" w:sz="0" w:space="0" w:color="auto"/>
            <w:bottom w:val="none" w:sz="0" w:space="0" w:color="auto"/>
            <w:right w:val="none" w:sz="0" w:space="0" w:color="auto"/>
          </w:divBdr>
        </w:div>
        <w:div w:id="1064527999">
          <w:marLeft w:val="547"/>
          <w:marRight w:val="0"/>
          <w:marTop w:val="0"/>
          <w:marBottom w:val="0"/>
          <w:divBdr>
            <w:top w:val="none" w:sz="0" w:space="0" w:color="auto"/>
            <w:left w:val="none" w:sz="0" w:space="0" w:color="auto"/>
            <w:bottom w:val="none" w:sz="0" w:space="0" w:color="auto"/>
            <w:right w:val="none" w:sz="0" w:space="0" w:color="auto"/>
          </w:divBdr>
        </w:div>
        <w:div w:id="1174490138">
          <w:marLeft w:val="547"/>
          <w:marRight w:val="0"/>
          <w:marTop w:val="0"/>
          <w:marBottom w:val="0"/>
          <w:divBdr>
            <w:top w:val="none" w:sz="0" w:space="0" w:color="auto"/>
            <w:left w:val="none" w:sz="0" w:space="0" w:color="auto"/>
            <w:bottom w:val="none" w:sz="0" w:space="0" w:color="auto"/>
            <w:right w:val="none" w:sz="0" w:space="0" w:color="auto"/>
          </w:divBdr>
        </w:div>
        <w:div w:id="1220746721">
          <w:marLeft w:val="547"/>
          <w:marRight w:val="0"/>
          <w:marTop w:val="0"/>
          <w:marBottom w:val="0"/>
          <w:divBdr>
            <w:top w:val="none" w:sz="0" w:space="0" w:color="auto"/>
            <w:left w:val="none" w:sz="0" w:space="0" w:color="auto"/>
            <w:bottom w:val="none" w:sz="0" w:space="0" w:color="auto"/>
            <w:right w:val="none" w:sz="0" w:space="0" w:color="auto"/>
          </w:divBdr>
        </w:div>
        <w:div w:id="1679187035">
          <w:marLeft w:val="547"/>
          <w:marRight w:val="0"/>
          <w:marTop w:val="0"/>
          <w:marBottom w:val="0"/>
          <w:divBdr>
            <w:top w:val="none" w:sz="0" w:space="0" w:color="auto"/>
            <w:left w:val="none" w:sz="0" w:space="0" w:color="auto"/>
            <w:bottom w:val="none" w:sz="0" w:space="0" w:color="auto"/>
            <w:right w:val="none" w:sz="0" w:space="0" w:color="auto"/>
          </w:divBdr>
        </w:div>
        <w:div w:id="1774859898">
          <w:marLeft w:val="547"/>
          <w:marRight w:val="0"/>
          <w:marTop w:val="0"/>
          <w:marBottom w:val="0"/>
          <w:divBdr>
            <w:top w:val="none" w:sz="0" w:space="0" w:color="auto"/>
            <w:left w:val="none" w:sz="0" w:space="0" w:color="auto"/>
            <w:bottom w:val="none" w:sz="0" w:space="0" w:color="auto"/>
            <w:right w:val="none" w:sz="0" w:space="0" w:color="auto"/>
          </w:divBdr>
        </w:div>
        <w:div w:id="2018194113">
          <w:marLeft w:val="547"/>
          <w:marRight w:val="0"/>
          <w:marTop w:val="0"/>
          <w:marBottom w:val="0"/>
          <w:divBdr>
            <w:top w:val="none" w:sz="0" w:space="0" w:color="auto"/>
            <w:left w:val="none" w:sz="0" w:space="0" w:color="auto"/>
            <w:bottom w:val="none" w:sz="0" w:space="0" w:color="auto"/>
            <w:right w:val="none" w:sz="0" w:space="0" w:color="auto"/>
          </w:divBdr>
        </w:div>
      </w:divsChild>
    </w:div>
    <w:div w:id="116991318">
      <w:bodyDiv w:val="1"/>
      <w:marLeft w:val="0"/>
      <w:marRight w:val="0"/>
      <w:marTop w:val="0"/>
      <w:marBottom w:val="0"/>
      <w:divBdr>
        <w:top w:val="none" w:sz="0" w:space="0" w:color="auto"/>
        <w:left w:val="none" w:sz="0" w:space="0" w:color="auto"/>
        <w:bottom w:val="none" w:sz="0" w:space="0" w:color="auto"/>
        <w:right w:val="none" w:sz="0" w:space="0" w:color="auto"/>
      </w:divBdr>
    </w:div>
    <w:div w:id="136338334">
      <w:bodyDiv w:val="1"/>
      <w:marLeft w:val="0"/>
      <w:marRight w:val="0"/>
      <w:marTop w:val="0"/>
      <w:marBottom w:val="0"/>
      <w:divBdr>
        <w:top w:val="none" w:sz="0" w:space="0" w:color="auto"/>
        <w:left w:val="none" w:sz="0" w:space="0" w:color="auto"/>
        <w:bottom w:val="none" w:sz="0" w:space="0" w:color="auto"/>
        <w:right w:val="none" w:sz="0" w:space="0" w:color="auto"/>
      </w:divBdr>
    </w:div>
    <w:div w:id="141048547">
      <w:bodyDiv w:val="1"/>
      <w:marLeft w:val="0"/>
      <w:marRight w:val="0"/>
      <w:marTop w:val="0"/>
      <w:marBottom w:val="0"/>
      <w:divBdr>
        <w:top w:val="none" w:sz="0" w:space="0" w:color="auto"/>
        <w:left w:val="none" w:sz="0" w:space="0" w:color="auto"/>
        <w:bottom w:val="none" w:sz="0" w:space="0" w:color="auto"/>
        <w:right w:val="none" w:sz="0" w:space="0" w:color="auto"/>
      </w:divBdr>
    </w:div>
    <w:div w:id="155192222">
      <w:bodyDiv w:val="1"/>
      <w:marLeft w:val="0"/>
      <w:marRight w:val="0"/>
      <w:marTop w:val="0"/>
      <w:marBottom w:val="0"/>
      <w:divBdr>
        <w:top w:val="none" w:sz="0" w:space="0" w:color="auto"/>
        <w:left w:val="none" w:sz="0" w:space="0" w:color="auto"/>
        <w:bottom w:val="none" w:sz="0" w:space="0" w:color="auto"/>
        <w:right w:val="none" w:sz="0" w:space="0" w:color="auto"/>
      </w:divBdr>
    </w:div>
    <w:div w:id="155263350">
      <w:bodyDiv w:val="1"/>
      <w:marLeft w:val="0"/>
      <w:marRight w:val="0"/>
      <w:marTop w:val="0"/>
      <w:marBottom w:val="0"/>
      <w:divBdr>
        <w:top w:val="none" w:sz="0" w:space="0" w:color="auto"/>
        <w:left w:val="none" w:sz="0" w:space="0" w:color="auto"/>
        <w:bottom w:val="none" w:sz="0" w:space="0" w:color="auto"/>
        <w:right w:val="none" w:sz="0" w:space="0" w:color="auto"/>
      </w:divBdr>
    </w:div>
    <w:div w:id="162746142">
      <w:bodyDiv w:val="1"/>
      <w:marLeft w:val="0"/>
      <w:marRight w:val="0"/>
      <w:marTop w:val="0"/>
      <w:marBottom w:val="0"/>
      <w:divBdr>
        <w:top w:val="none" w:sz="0" w:space="0" w:color="auto"/>
        <w:left w:val="none" w:sz="0" w:space="0" w:color="auto"/>
        <w:bottom w:val="none" w:sz="0" w:space="0" w:color="auto"/>
        <w:right w:val="none" w:sz="0" w:space="0" w:color="auto"/>
      </w:divBdr>
      <w:divsChild>
        <w:div w:id="783503594">
          <w:marLeft w:val="0"/>
          <w:marRight w:val="0"/>
          <w:marTop w:val="0"/>
          <w:marBottom w:val="0"/>
          <w:divBdr>
            <w:top w:val="none" w:sz="0" w:space="0" w:color="auto"/>
            <w:left w:val="none" w:sz="0" w:space="0" w:color="auto"/>
            <w:bottom w:val="none" w:sz="0" w:space="0" w:color="auto"/>
            <w:right w:val="none" w:sz="0" w:space="0" w:color="auto"/>
          </w:divBdr>
        </w:div>
        <w:div w:id="1312522227">
          <w:marLeft w:val="0"/>
          <w:marRight w:val="0"/>
          <w:marTop w:val="0"/>
          <w:marBottom w:val="0"/>
          <w:divBdr>
            <w:top w:val="none" w:sz="0" w:space="0" w:color="auto"/>
            <w:left w:val="none" w:sz="0" w:space="0" w:color="auto"/>
            <w:bottom w:val="none" w:sz="0" w:space="0" w:color="auto"/>
            <w:right w:val="none" w:sz="0" w:space="0" w:color="auto"/>
          </w:divBdr>
        </w:div>
        <w:div w:id="1022316783">
          <w:marLeft w:val="0"/>
          <w:marRight w:val="0"/>
          <w:marTop w:val="0"/>
          <w:marBottom w:val="0"/>
          <w:divBdr>
            <w:top w:val="none" w:sz="0" w:space="0" w:color="auto"/>
            <w:left w:val="none" w:sz="0" w:space="0" w:color="auto"/>
            <w:bottom w:val="none" w:sz="0" w:space="0" w:color="auto"/>
            <w:right w:val="none" w:sz="0" w:space="0" w:color="auto"/>
          </w:divBdr>
        </w:div>
      </w:divsChild>
    </w:div>
    <w:div w:id="173306490">
      <w:bodyDiv w:val="1"/>
      <w:marLeft w:val="0"/>
      <w:marRight w:val="0"/>
      <w:marTop w:val="0"/>
      <w:marBottom w:val="0"/>
      <w:divBdr>
        <w:top w:val="none" w:sz="0" w:space="0" w:color="auto"/>
        <w:left w:val="none" w:sz="0" w:space="0" w:color="auto"/>
        <w:bottom w:val="none" w:sz="0" w:space="0" w:color="auto"/>
        <w:right w:val="none" w:sz="0" w:space="0" w:color="auto"/>
      </w:divBdr>
    </w:div>
    <w:div w:id="176968450">
      <w:bodyDiv w:val="1"/>
      <w:marLeft w:val="0"/>
      <w:marRight w:val="0"/>
      <w:marTop w:val="0"/>
      <w:marBottom w:val="0"/>
      <w:divBdr>
        <w:top w:val="none" w:sz="0" w:space="0" w:color="auto"/>
        <w:left w:val="none" w:sz="0" w:space="0" w:color="auto"/>
        <w:bottom w:val="none" w:sz="0" w:space="0" w:color="auto"/>
        <w:right w:val="none" w:sz="0" w:space="0" w:color="auto"/>
      </w:divBdr>
    </w:div>
    <w:div w:id="205263584">
      <w:bodyDiv w:val="1"/>
      <w:marLeft w:val="0"/>
      <w:marRight w:val="0"/>
      <w:marTop w:val="0"/>
      <w:marBottom w:val="0"/>
      <w:divBdr>
        <w:top w:val="none" w:sz="0" w:space="0" w:color="auto"/>
        <w:left w:val="none" w:sz="0" w:space="0" w:color="auto"/>
        <w:bottom w:val="none" w:sz="0" w:space="0" w:color="auto"/>
        <w:right w:val="none" w:sz="0" w:space="0" w:color="auto"/>
      </w:divBdr>
    </w:div>
    <w:div w:id="228807469">
      <w:bodyDiv w:val="1"/>
      <w:marLeft w:val="0"/>
      <w:marRight w:val="0"/>
      <w:marTop w:val="0"/>
      <w:marBottom w:val="0"/>
      <w:divBdr>
        <w:top w:val="none" w:sz="0" w:space="0" w:color="auto"/>
        <w:left w:val="none" w:sz="0" w:space="0" w:color="auto"/>
        <w:bottom w:val="none" w:sz="0" w:space="0" w:color="auto"/>
        <w:right w:val="none" w:sz="0" w:space="0" w:color="auto"/>
      </w:divBdr>
    </w:div>
    <w:div w:id="237861456">
      <w:bodyDiv w:val="1"/>
      <w:marLeft w:val="0"/>
      <w:marRight w:val="0"/>
      <w:marTop w:val="0"/>
      <w:marBottom w:val="0"/>
      <w:divBdr>
        <w:top w:val="none" w:sz="0" w:space="0" w:color="auto"/>
        <w:left w:val="none" w:sz="0" w:space="0" w:color="auto"/>
        <w:bottom w:val="none" w:sz="0" w:space="0" w:color="auto"/>
        <w:right w:val="none" w:sz="0" w:space="0" w:color="auto"/>
      </w:divBdr>
    </w:div>
    <w:div w:id="248195280">
      <w:bodyDiv w:val="1"/>
      <w:marLeft w:val="0"/>
      <w:marRight w:val="0"/>
      <w:marTop w:val="0"/>
      <w:marBottom w:val="0"/>
      <w:divBdr>
        <w:top w:val="none" w:sz="0" w:space="0" w:color="auto"/>
        <w:left w:val="none" w:sz="0" w:space="0" w:color="auto"/>
        <w:bottom w:val="none" w:sz="0" w:space="0" w:color="auto"/>
        <w:right w:val="none" w:sz="0" w:space="0" w:color="auto"/>
      </w:divBdr>
    </w:div>
    <w:div w:id="248513654">
      <w:bodyDiv w:val="1"/>
      <w:marLeft w:val="0"/>
      <w:marRight w:val="0"/>
      <w:marTop w:val="0"/>
      <w:marBottom w:val="0"/>
      <w:divBdr>
        <w:top w:val="none" w:sz="0" w:space="0" w:color="auto"/>
        <w:left w:val="none" w:sz="0" w:space="0" w:color="auto"/>
        <w:bottom w:val="none" w:sz="0" w:space="0" w:color="auto"/>
        <w:right w:val="none" w:sz="0" w:space="0" w:color="auto"/>
      </w:divBdr>
    </w:div>
    <w:div w:id="268050565">
      <w:bodyDiv w:val="1"/>
      <w:marLeft w:val="0"/>
      <w:marRight w:val="0"/>
      <w:marTop w:val="0"/>
      <w:marBottom w:val="0"/>
      <w:divBdr>
        <w:top w:val="none" w:sz="0" w:space="0" w:color="auto"/>
        <w:left w:val="none" w:sz="0" w:space="0" w:color="auto"/>
        <w:bottom w:val="none" w:sz="0" w:space="0" w:color="auto"/>
        <w:right w:val="none" w:sz="0" w:space="0" w:color="auto"/>
      </w:divBdr>
    </w:div>
    <w:div w:id="300228611">
      <w:bodyDiv w:val="1"/>
      <w:marLeft w:val="0"/>
      <w:marRight w:val="0"/>
      <w:marTop w:val="0"/>
      <w:marBottom w:val="0"/>
      <w:divBdr>
        <w:top w:val="none" w:sz="0" w:space="0" w:color="auto"/>
        <w:left w:val="none" w:sz="0" w:space="0" w:color="auto"/>
        <w:bottom w:val="none" w:sz="0" w:space="0" w:color="auto"/>
        <w:right w:val="none" w:sz="0" w:space="0" w:color="auto"/>
      </w:divBdr>
      <w:divsChild>
        <w:div w:id="1174029128">
          <w:marLeft w:val="446"/>
          <w:marRight w:val="0"/>
          <w:marTop w:val="0"/>
          <w:marBottom w:val="0"/>
          <w:divBdr>
            <w:top w:val="none" w:sz="0" w:space="0" w:color="auto"/>
            <w:left w:val="none" w:sz="0" w:space="0" w:color="auto"/>
            <w:bottom w:val="none" w:sz="0" w:space="0" w:color="auto"/>
            <w:right w:val="none" w:sz="0" w:space="0" w:color="auto"/>
          </w:divBdr>
        </w:div>
        <w:div w:id="1842352282">
          <w:marLeft w:val="446"/>
          <w:marRight w:val="0"/>
          <w:marTop w:val="0"/>
          <w:marBottom w:val="0"/>
          <w:divBdr>
            <w:top w:val="none" w:sz="0" w:space="0" w:color="auto"/>
            <w:left w:val="none" w:sz="0" w:space="0" w:color="auto"/>
            <w:bottom w:val="none" w:sz="0" w:space="0" w:color="auto"/>
            <w:right w:val="none" w:sz="0" w:space="0" w:color="auto"/>
          </w:divBdr>
        </w:div>
      </w:divsChild>
    </w:div>
    <w:div w:id="302320122">
      <w:bodyDiv w:val="1"/>
      <w:marLeft w:val="0"/>
      <w:marRight w:val="0"/>
      <w:marTop w:val="0"/>
      <w:marBottom w:val="0"/>
      <w:divBdr>
        <w:top w:val="none" w:sz="0" w:space="0" w:color="auto"/>
        <w:left w:val="none" w:sz="0" w:space="0" w:color="auto"/>
        <w:bottom w:val="none" w:sz="0" w:space="0" w:color="auto"/>
        <w:right w:val="none" w:sz="0" w:space="0" w:color="auto"/>
      </w:divBdr>
    </w:div>
    <w:div w:id="313072082">
      <w:bodyDiv w:val="1"/>
      <w:marLeft w:val="0"/>
      <w:marRight w:val="0"/>
      <w:marTop w:val="0"/>
      <w:marBottom w:val="0"/>
      <w:divBdr>
        <w:top w:val="none" w:sz="0" w:space="0" w:color="auto"/>
        <w:left w:val="none" w:sz="0" w:space="0" w:color="auto"/>
        <w:bottom w:val="none" w:sz="0" w:space="0" w:color="auto"/>
        <w:right w:val="none" w:sz="0" w:space="0" w:color="auto"/>
      </w:divBdr>
    </w:div>
    <w:div w:id="333268838">
      <w:bodyDiv w:val="1"/>
      <w:marLeft w:val="0"/>
      <w:marRight w:val="0"/>
      <w:marTop w:val="0"/>
      <w:marBottom w:val="0"/>
      <w:divBdr>
        <w:top w:val="none" w:sz="0" w:space="0" w:color="auto"/>
        <w:left w:val="none" w:sz="0" w:space="0" w:color="auto"/>
        <w:bottom w:val="none" w:sz="0" w:space="0" w:color="auto"/>
        <w:right w:val="none" w:sz="0" w:space="0" w:color="auto"/>
      </w:divBdr>
    </w:div>
    <w:div w:id="351877872">
      <w:bodyDiv w:val="1"/>
      <w:marLeft w:val="0"/>
      <w:marRight w:val="0"/>
      <w:marTop w:val="0"/>
      <w:marBottom w:val="0"/>
      <w:divBdr>
        <w:top w:val="none" w:sz="0" w:space="0" w:color="auto"/>
        <w:left w:val="none" w:sz="0" w:space="0" w:color="auto"/>
        <w:bottom w:val="none" w:sz="0" w:space="0" w:color="auto"/>
        <w:right w:val="none" w:sz="0" w:space="0" w:color="auto"/>
      </w:divBdr>
      <w:divsChild>
        <w:div w:id="294944660">
          <w:marLeft w:val="446"/>
          <w:marRight w:val="0"/>
          <w:marTop w:val="120"/>
          <w:marBottom w:val="120"/>
          <w:divBdr>
            <w:top w:val="none" w:sz="0" w:space="0" w:color="auto"/>
            <w:left w:val="none" w:sz="0" w:space="0" w:color="auto"/>
            <w:bottom w:val="none" w:sz="0" w:space="0" w:color="auto"/>
            <w:right w:val="none" w:sz="0" w:space="0" w:color="auto"/>
          </w:divBdr>
        </w:div>
        <w:div w:id="703024566">
          <w:marLeft w:val="446"/>
          <w:marRight w:val="0"/>
          <w:marTop w:val="120"/>
          <w:marBottom w:val="120"/>
          <w:divBdr>
            <w:top w:val="none" w:sz="0" w:space="0" w:color="auto"/>
            <w:left w:val="none" w:sz="0" w:space="0" w:color="auto"/>
            <w:bottom w:val="none" w:sz="0" w:space="0" w:color="auto"/>
            <w:right w:val="none" w:sz="0" w:space="0" w:color="auto"/>
          </w:divBdr>
        </w:div>
        <w:div w:id="1088382121">
          <w:marLeft w:val="446"/>
          <w:marRight w:val="0"/>
          <w:marTop w:val="120"/>
          <w:marBottom w:val="120"/>
          <w:divBdr>
            <w:top w:val="none" w:sz="0" w:space="0" w:color="auto"/>
            <w:left w:val="none" w:sz="0" w:space="0" w:color="auto"/>
            <w:bottom w:val="none" w:sz="0" w:space="0" w:color="auto"/>
            <w:right w:val="none" w:sz="0" w:space="0" w:color="auto"/>
          </w:divBdr>
        </w:div>
        <w:div w:id="1261840414">
          <w:marLeft w:val="446"/>
          <w:marRight w:val="0"/>
          <w:marTop w:val="120"/>
          <w:marBottom w:val="120"/>
          <w:divBdr>
            <w:top w:val="none" w:sz="0" w:space="0" w:color="auto"/>
            <w:left w:val="none" w:sz="0" w:space="0" w:color="auto"/>
            <w:bottom w:val="none" w:sz="0" w:space="0" w:color="auto"/>
            <w:right w:val="none" w:sz="0" w:space="0" w:color="auto"/>
          </w:divBdr>
        </w:div>
        <w:div w:id="1377777385">
          <w:marLeft w:val="446"/>
          <w:marRight w:val="0"/>
          <w:marTop w:val="120"/>
          <w:marBottom w:val="120"/>
          <w:divBdr>
            <w:top w:val="none" w:sz="0" w:space="0" w:color="auto"/>
            <w:left w:val="none" w:sz="0" w:space="0" w:color="auto"/>
            <w:bottom w:val="none" w:sz="0" w:space="0" w:color="auto"/>
            <w:right w:val="none" w:sz="0" w:space="0" w:color="auto"/>
          </w:divBdr>
        </w:div>
        <w:div w:id="1625382755">
          <w:marLeft w:val="446"/>
          <w:marRight w:val="0"/>
          <w:marTop w:val="120"/>
          <w:marBottom w:val="120"/>
          <w:divBdr>
            <w:top w:val="none" w:sz="0" w:space="0" w:color="auto"/>
            <w:left w:val="none" w:sz="0" w:space="0" w:color="auto"/>
            <w:bottom w:val="none" w:sz="0" w:space="0" w:color="auto"/>
            <w:right w:val="none" w:sz="0" w:space="0" w:color="auto"/>
          </w:divBdr>
        </w:div>
        <w:div w:id="1974942854">
          <w:marLeft w:val="446"/>
          <w:marRight w:val="0"/>
          <w:marTop w:val="120"/>
          <w:marBottom w:val="120"/>
          <w:divBdr>
            <w:top w:val="none" w:sz="0" w:space="0" w:color="auto"/>
            <w:left w:val="none" w:sz="0" w:space="0" w:color="auto"/>
            <w:bottom w:val="none" w:sz="0" w:space="0" w:color="auto"/>
            <w:right w:val="none" w:sz="0" w:space="0" w:color="auto"/>
          </w:divBdr>
        </w:div>
        <w:div w:id="2065180948">
          <w:marLeft w:val="446"/>
          <w:marRight w:val="0"/>
          <w:marTop w:val="120"/>
          <w:marBottom w:val="120"/>
          <w:divBdr>
            <w:top w:val="none" w:sz="0" w:space="0" w:color="auto"/>
            <w:left w:val="none" w:sz="0" w:space="0" w:color="auto"/>
            <w:bottom w:val="none" w:sz="0" w:space="0" w:color="auto"/>
            <w:right w:val="none" w:sz="0" w:space="0" w:color="auto"/>
          </w:divBdr>
        </w:div>
      </w:divsChild>
    </w:div>
    <w:div w:id="357240714">
      <w:bodyDiv w:val="1"/>
      <w:marLeft w:val="0"/>
      <w:marRight w:val="0"/>
      <w:marTop w:val="0"/>
      <w:marBottom w:val="0"/>
      <w:divBdr>
        <w:top w:val="none" w:sz="0" w:space="0" w:color="auto"/>
        <w:left w:val="none" w:sz="0" w:space="0" w:color="auto"/>
        <w:bottom w:val="none" w:sz="0" w:space="0" w:color="auto"/>
        <w:right w:val="none" w:sz="0" w:space="0" w:color="auto"/>
      </w:divBdr>
    </w:div>
    <w:div w:id="368845367">
      <w:bodyDiv w:val="1"/>
      <w:marLeft w:val="0"/>
      <w:marRight w:val="0"/>
      <w:marTop w:val="0"/>
      <w:marBottom w:val="0"/>
      <w:divBdr>
        <w:top w:val="none" w:sz="0" w:space="0" w:color="auto"/>
        <w:left w:val="none" w:sz="0" w:space="0" w:color="auto"/>
        <w:bottom w:val="none" w:sz="0" w:space="0" w:color="auto"/>
        <w:right w:val="none" w:sz="0" w:space="0" w:color="auto"/>
      </w:divBdr>
    </w:div>
    <w:div w:id="380059033">
      <w:bodyDiv w:val="1"/>
      <w:marLeft w:val="0"/>
      <w:marRight w:val="0"/>
      <w:marTop w:val="0"/>
      <w:marBottom w:val="0"/>
      <w:divBdr>
        <w:top w:val="none" w:sz="0" w:space="0" w:color="auto"/>
        <w:left w:val="none" w:sz="0" w:space="0" w:color="auto"/>
        <w:bottom w:val="none" w:sz="0" w:space="0" w:color="auto"/>
        <w:right w:val="none" w:sz="0" w:space="0" w:color="auto"/>
      </w:divBdr>
      <w:divsChild>
        <w:div w:id="177275494">
          <w:marLeft w:val="446"/>
          <w:marRight w:val="0"/>
          <w:marTop w:val="120"/>
          <w:marBottom w:val="120"/>
          <w:divBdr>
            <w:top w:val="none" w:sz="0" w:space="0" w:color="auto"/>
            <w:left w:val="none" w:sz="0" w:space="0" w:color="auto"/>
            <w:bottom w:val="none" w:sz="0" w:space="0" w:color="auto"/>
            <w:right w:val="none" w:sz="0" w:space="0" w:color="auto"/>
          </w:divBdr>
        </w:div>
        <w:div w:id="771970348">
          <w:marLeft w:val="446"/>
          <w:marRight w:val="0"/>
          <w:marTop w:val="120"/>
          <w:marBottom w:val="120"/>
          <w:divBdr>
            <w:top w:val="none" w:sz="0" w:space="0" w:color="auto"/>
            <w:left w:val="none" w:sz="0" w:space="0" w:color="auto"/>
            <w:bottom w:val="none" w:sz="0" w:space="0" w:color="auto"/>
            <w:right w:val="none" w:sz="0" w:space="0" w:color="auto"/>
          </w:divBdr>
        </w:div>
        <w:div w:id="936134681">
          <w:marLeft w:val="446"/>
          <w:marRight w:val="0"/>
          <w:marTop w:val="120"/>
          <w:marBottom w:val="120"/>
          <w:divBdr>
            <w:top w:val="none" w:sz="0" w:space="0" w:color="auto"/>
            <w:left w:val="none" w:sz="0" w:space="0" w:color="auto"/>
            <w:bottom w:val="none" w:sz="0" w:space="0" w:color="auto"/>
            <w:right w:val="none" w:sz="0" w:space="0" w:color="auto"/>
          </w:divBdr>
        </w:div>
      </w:divsChild>
    </w:div>
    <w:div w:id="396362776">
      <w:bodyDiv w:val="1"/>
      <w:marLeft w:val="0"/>
      <w:marRight w:val="0"/>
      <w:marTop w:val="0"/>
      <w:marBottom w:val="0"/>
      <w:divBdr>
        <w:top w:val="none" w:sz="0" w:space="0" w:color="auto"/>
        <w:left w:val="none" w:sz="0" w:space="0" w:color="auto"/>
        <w:bottom w:val="none" w:sz="0" w:space="0" w:color="auto"/>
        <w:right w:val="none" w:sz="0" w:space="0" w:color="auto"/>
      </w:divBdr>
    </w:div>
    <w:div w:id="402989518">
      <w:bodyDiv w:val="1"/>
      <w:marLeft w:val="0"/>
      <w:marRight w:val="0"/>
      <w:marTop w:val="0"/>
      <w:marBottom w:val="0"/>
      <w:divBdr>
        <w:top w:val="none" w:sz="0" w:space="0" w:color="auto"/>
        <w:left w:val="none" w:sz="0" w:space="0" w:color="auto"/>
        <w:bottom w:val="none" w:sz="0" w:space="0" w:color="auto"/>
        <w:right w:val="none" w:sz="0" w:space="0" w:color="auto"/>
      </w:divBdr>
    </w:div>
    <w:div w:id="408699136">
      <w:bodyDiv w:val="1"/>
      <w:marLeft w:val="0"/>
      <w:marRight w:val="0"/>
      <w:marTop w:val="0"/>
      <w:marBottom w:val="0"/>
      <w:divBdr>
        <w:top w:val="none" w:sz="0" w:space="0" w:color="auto"/>
        <w:left w:val="none" w:sz="0" w:space="0" w:color="auto"/>
        <w:bottom w:val="none" w:sz="0" w:space="0" w:color="auto"/>
        <w:right w:val="none" w:sz="0" w:space="0" w:color="auto"/>
      </w:divBdr>
    </w:div>
    <w:div w:id="433281680">
      <w:bodyDiv w:val="1"/>
      <w:marLeft w:val="0"/>
      <w:marRight w:val="0"/>
      <w:marTop w:val="0"/>
      <w:marBottom w:val="0"/>
      <w:divBdr>
        <w:top w:val="none" w:sz="0" w:space="0" w:color="auto"/>
        <w:left w:val="none" w:sz="0" w:space="0" w:color="auto"/>
        <w:bottom w:val="none" w:sz="0" w:space="0" w:color="auto"/>
        <w:right w:val="none" w:sz="0" w:space="0" w:color="auto"/>
      </w:divBdr>
    </w:div>
    <w:div w:id="449395285">
      <w:bodyDiv w:val="1"/>
      <w:marLeft w:val="0"/>
      <w:marRight w:val="0"/>
      <w:marTop w:val="0"/>
      <w:marBottom w:val="0"/>
      <w:divBdr>
        <w:top w:val="none" w:sz="0" w:space="0" w:color="auto"/>
        <w:left w:val="none" w:sz="0" w:space="0" w:color="auto"/>
        <w:bottom w:val="none" w:sz="0" w:space="0" w:color="auto"/>
        <w:right w:val="none" w:sz="0" w:space="0" w:color="auto"/>
      </w:divBdr>
    </w:div>
    <w:div w:id="449855988">
      <w:bodyDiv w:val="1"/>
      <w:marLeft w:val="0"/>
      <w:marRight w:val="0"/>
      <w:marTop w:val="0"/>
      <w:marBottom w:val="0"/>
      <w:divBdr>
        <w:top w:val="none" w:sz="0" w:space="0" w:color="auto"/>
        <w:left w:val="none" w:sz="0" w:space="0" w:color="auto"/>
        <w:bottom w:val="none" w:sz="0" w:space="0" w:color="auto"/>
        <w:right w:val="none" w:sz="0" w:space="0" w:color="auto"/>
      </w:divBdr>
    </w:div>
    <w:div w:id="460652911">
      <w:bodyDiv w:val="1"/>
      <w:marLeft w:val="0"/>
      <w:marRight w:val="0"/>
      <w:marTop w:val="0"/>
      <w:marBottom w:val="0"/>
      <w:divBdr>
        <w:top w:val="none" w:sz="0" w:space="0" w:color="auto"/>
        <w:left w:val="none" w:sz="0" w:space="0" w:color="auto"/>
        <w:bottom w:val="none" w:sz="0" w:space="0" w:color="auto"/>
        <w:right w:val="none" w:sz="0" w:space="0" w:color="auto"/>
      </w:divBdr>
      <w:divsChild>
        <w:div w:id="152264022">
          <w:marLeft w:val="547"/>
          <w:marRight w:val="0"/>
          <w:marTop w:val="120"/>
          <w:marBottom w:val="120"/>
          <w:divBdr>
            <w:top w:val="none" w:sz="0" w:space="0" w:color="auto"/>
            <w:left w:val="none" w:sz="0" w:space="0" w:color="auto"/>
            <w:bottom w:val="none" w:sz="0" w:space="0" w:color="auto"/>
            <w:right w:val="none" w:sz="0" w:space="0" w:color="auto"/>
          </w:divBdr>
        </w:div>
        <w:div w:id="400754739">
          <w:marLeft w:val="547"/>
          <w:marRight w:val="0"/>
          <w:marTop w:val="120"/>
          <w:marBottom w:val="120"/>
          <w:divBdr>
            <w:top w:val="none" w:sz="0" w:space="0" w:color="auto"/>
            <w:left w:val="none" w:sz="0" w:space="0" w:color="auto"/>
            <w:bottom w:val="none" w:sz="0" w:space="0" w:color="auto"/>
            <w:right w:val="none" w:sz="0" w:space="0" w:color="auto"/>
          </w:divBdr>
        </w:div>
        <w:div w:id="1115489140">
          <w:marLeft w:val="547"/>
          <w:marRight w:val="0"/>
          <w:marTop w:val="120"/>
          <w:marBottom w:val="120"/>
          <w:divBdr>
            <w:top w:val="none" w:sz="0" w:space="0" w:color="auto"/>
            <w:left w:val="none" w:sz="0" w:space="0" w:color="auto"/>
            <w:bottom w:val="none" w:sz="0" w:space="0" w:color="auto"/>
            <w:right w:val="none" w:sz="0" w:space="0" w:color="auto"/>
          </w:divBdr>
        </w:div>
        <w:div w:id="1218005751">
          <w:marLeft w:val="547"/>
          <w:marRight w:val="0"/>
          <w:marTop w:val="120"/>
          <w:marBottom w:val="120"/>
          <w:divBdr>
            <w:top w:val="none" w:sz="0" w:space="0" w:color="auto"/>
            <w:left w:val="none" w:sz="0" w:space="0" w:color="auto"/>
            <w:bottom w:val="none" w:sz="0" w:space="0" w:color="auto"/>
            <w:right w:val="none" w:sz="0" w:space="0" w:color="auto"/>
          </w:divBdr>
        </w:div>
        <w:div w:id="2083486709">
          <w:marLeft w:val="547"/>
          <w:marRight w:val="0"/>
          <w:marTop w:val="120"/>
          <w:marBottom w:val="120"/>
          <w:divBdr>
            <w:top w:val="none" w:sz="0" w:space="0" w:color="auto"/>
            <w:left w:val="none" w:sz="0" w:space="0" w:color="auto"/>
            <w:bottom w:val="none" w:sz="0" w:space="0" w:color="auto"/>
            <w:right w:val="none" w:sz="0" w:space="0" w:color="auto"/>
          </w:divBdr>
        </w:div>
      </w:divsChild>
    </w:div>
    <w:div w:id="488595314">
      <w:bodyDiv w:val="1"/>
      <w:marLeft w:val="0"/>
      <w:marRight w:val="0"/>
      <w:marTop w:val="0"/>
      <w:marBottom w:val="0"/>
      <w:divBdr>
        <w:top w:val="none" w:sz="0" w:space="0" w:color="auto"/>
        <w:left w:val="none" w:sz="0" w:space="0" w:color="auto"/>
        <w:bottom w:val="none" w:sz="0" w:space="0" w:color="auto"/>
        <w:right w:val="none" w:sz="0" w:space="0" w:color="auto"/>
      </w:divBdr>
    </w:div>
    <w:div w:id="502746639">
      <w:bodyDiv w:val="1"/>
      <w:marLeft w:val="0"/>
      <w:marRight w:val="0"/>
      <w:marTop w:val="0"/>
      <w:marBottom w:val="0"/>
      <w:divBdr>
        <w:top w:val="none" w:sz="0" w:space="0" w:color="auto"/>
        <w:left w:val="none" w:sz="0" w:space="0" w:color="auto"/>
        <w:bottom w:val="none" w:sz="0" w:space="0" w:color="auto"/>
        <w:right w:val="none" w:sz="0" w:space="0" w:color="auto"/>
      </w:divBdr>
    </w:div>
    <w:div w:id="520318896">
      <w:bodyDiv w:val="1"/>
      <w:marLeft w:val="0"/>
      <w:marRight w:val="0"/>
      <w:marTop w:val="0"/>
      <w:marBottom w:val="0"/>
      <w:divBdr>
        <w:top w:val="none" w:sz="0" w:space="0" w:color="auto"/>
        <w:left w:val="none" w:sz="0" w:space="0" w:color="auto"/>
        <w:bottom w:val="none" w:sz="0" w:space="0" w:color="auto"/>
        <w:right w:val="none" w:sz="0" w:space="0" w:color="auto"/>
      </w:divBdr>
      <w:divsChild>
        <w:div w:id="791942560">
          <w:marLeft w:val="547"/>
          <w:marRight w:val="0"/>
          <w:marTop w:val="120"/>
          <w:marBottom w:val="240"/>
          <w:divBdr>
            <w:top w:val="none" w:sz="0" w:space="0" w:color="auto"/>
            <w:left w:val="none" w:sz="0" w:space="0" w:color="auto"/>
            <w:bottom w:val="none" w:sz="0" w:space="0" w:color="auto"/>
            <w:right w:val="none" w:sz="0" w:space="0" w:color="auto"/>
          </w:divBdr>
        </w:div>
      </w:divsChild>
    </w:div>
    <w:div w:id="522397875">
      <w:bodyDiv w:val="1"/>
      <w:marLeft w:val="0"/>
      <w:marRight w:val="0"/>
      <w:marTop w:val="0"/>
      <w:marBottom w:val="0"/>
      <w:divBdr>
        <w:top w:val="none" w:sz="0" w:space="0" w:color="auto"/>
        <w:left w:val="none" w:sz="0" w:space="0" w:color="auto"/>
        <w:bottom w:val="none" w:sz="0" w:space="0" w:color="auto"/>
        <w:right w:val="none" w:sz="0" w:space="0" w:color="auto"/>
      </w:divBdr>
    </w:div>
    <w:div w:id="534002307">
      <w:bodyDiv w:val="1"/>
      <w:marLeft w:val="0"/>
      <w:marRight w:val="0"/>
      <w:marTop w:val="0"/>
      <w:marBottom w:val="0"/>
      <w:divBdr>
        <w:top w:val="none" w:sz="0" w:space="0" w:color="auto"/>
        <w:left w:val="none" w:sz="0" w:space="0" w:color="auto"/>
        <w:bottom w:val="none" w:sz="0" w:space="0" w:color="auto"/>
        <w:right w:val="none" w:sz="0" w:space="0" w:color="auto"/>
      </w:divBdr>
    </w:div>
    <w:div w:id="560795960">
      <w:bodyDiv w:val="1"/>
      <w:marLeft w:val="0"/>
      <w:marRight w:val="0"/>
      <w:marTop w:val="0"/>
      <w:marBottom w:val="0"/>
      <w:divBdr>
        <w:top w:val="none" w:sz="0" w:space="0" w:color="auto"/>
        <w:left w:val="none" w:sz="0" w:space="0" w:color="auto"/>
        <w:bottom w:val="none" w:sz="0" w:space="0" w:color="auto"/>
        <w:right w:val="none" w:sz="0" w:space="0" w:color="auto"/>
      </w:divBdr>
    </w:div>
    <w:div w:id="563679960">
      <w:bodyDiv w:val="1"/>
      <w:marLeft w:val="0"/>
      <w:marRight w:val="0"/>
      <w:marTop w:val="0"/>
      <w:marBottom w:val="0"/>
      <w:divBdr>
        <w:top w:val="none" w:sz="0" w:space="0" w:color="auto"/>
        <w:left w:val="none" w:sz="0" w:space="0" w:color="auto"/>
        <w:bottom w:val="none" w:sz="0" w:space="0" w:color="auto"/>
        <w:right w:val="none" w:sz="0" w:space="0" w:color="auto"/>
      </w:divBdr>
    </w:div>
    <w:div w:id="568998138">
      <w:bodyDiv w:val="1"/>
      <w:marLeft w:val="0"/>
      <w:marRight w:val="0"/>
      <w:marTop w:val="0"/>
      <w:marBottom w:val="0"/>
      <w:divBdr>
        <w:top w:val="none" w:sz="0" w:space="0" w:color="auto"/>
        <w:left w:val="none" w:sz="0" w:space="0" w:color="auto"/>
        <w:bottom w:val="none" w:sz="0" w:space="0" w:color="auto"/>
        <w:right w:val="none" w:sz="0" w:space="0" w:color="auto"/>
      </w:divBdr>
    </w:div>
    <w:div w:id="570166128">
      <w:bodyDiv w:val="1"/>
      <w:marLeft w:val="0"/>
      <w:marRight w:val="0"/>
      <w:marTop w:val="0"/>
      <w:marBottom w:val="0"/>
      <w:divBdr>
        <w:top w:val="none" w:sz="0" w:space="0" w:color="auto"/>
        <w:left w:val="none" w:sz="0" w:space="0" w:color="auto"/>
        <w:bottom w:val="none" w:sz="0" w:space="0" w:color="auto"/>
        <w:right w:val="none" w:sz="0" w:space="0" w:color="auto"/>
      </w:divBdr>
    </w:div>
    <w:div w:id="586770237">
      <w:bodyDiv w:val="1"/>
      <w:marLeft w:val="0"/>
      <w:marRight w:val="0"/>
      <w:marTop w:val="0"/>
      <w:marBottom w:val="0"/>
      <w:divBdr>
        <w:top w:val="none" w:sz="0" w:space="0" w:color="auto"/>
        <w:left w:val="none" w:sz="0" w:space="0" w:color="auto"/>
        <w:bottom w:val="none" w:sz="0" w:space="0" w:color="auto"/>
        <w:right w:val="none" w:sz="0" w:space="0" w:color="auto"/>
      </w:divBdr>
    </w:div>
    <w:div w:id="594943713">
      <w:bodyDiv w:val="1"/>
      <w:marLeft w:val="0"/>
      <w:marRight w:val="0"/>
      <w:marTop w:val="0"/>
      <w:marBottom w:val="0"/>
      <w:divBdr>
        <w:top w:val="none" w:sz="0" w:space="0" w:color="auto"/>
        <w:left w:val="none" w:sz="0" w:space="0" w:color="auto"/>
        <w:bottom w:val="none" w:sz="0" w:space="0" w:color="auto"/>
        <w:right w:val="none" w:sz="0" w:space="0" w:color="auto"/>
      </w:divBdr>
    </w:div>
    <w:div w:id="602615033">
      <w:bodyDiv w:val="1"/>
      <w:marLeft w:val="0"/>
      <w:marRight w:val="0"/>
      <w:marTop w:val="0"/>
      <w:marBottom w:val="0"/>
      <w:divBdr>
        <w:top w:val="none" w:sz="0" w:space="0" w:color="auto"/>
        <w:left w:val="none" w:sz="0" w:space="0" w:color="auto"/>
        <w:bottom w:val="none" w:sz="0" w:space="0" w:color="auto"/>
        <w:right w:val="none" w:sz="0" w:space="0" w:color="auto"/>
      </w:divBdr>
    </w:div>
    <w:div w:id="615018168">
      <w:bodyDiv w:val="1"/>
      <w:marLeft w:val="0"/>
      <w:marRight w:val="0"/>
      <w:marTop w:val="0"/>
      <w:marBottom w:val="0"/>
      <w:divBdr>
        <w:top w:val="none" w:sz="0" w:space="0" w:color="auto"/>
        <w:left w:val="none" w:sz="0" w:space="0" w:color="auto"/>
        <w:bottom w:val="none" w:sz="0" w:space="0" w:color="auto"/>
        <w:right w:val="none" w:sz="0" w:space="0" w:color="auto"/>
      </w:divBdr>
    </w:div>
    <w:div w:id="621300309">
      <w:bodyDiv w:val="1"/>
      <w:marLeft w:val="0"/>
      <w:marRight w:val="0"/>
      <w:marTop w:val="0"/>
      <w:marBottom w:val="0"/>
      <w:divBdr>
        <w:top w:val="none" w:sz="0" w:space="0" w:color="auto"/>
        <w:left w:val="none" w:sz="0" w:space="0" w:color="auto"/>
        <w:bottom w:val="none" w:sz="0" w:space="0" w:color="auto"/>
        <w:right w:val="none" w:sz="0" w:space="0" w:color="auto"/>
      </w:divBdr>
    </w:div>
    <w:div w:id="625821460">
      <w:bodyDiv w:val="1"/>
      <w:marLeft w:val="0"/>
      <w:marRight w:val="0"/>
      <w:marTop w:val="0"/>
      <w:marBottom w:val="0"/>
      <w:divBdr>
        <w:top w:val="none" w:sz="0" w:space="0" w:color="auto"/>
        <w:left w:val="none" w:sz="0" w:space="0" w:color="auto"/>
        <w:bottom w:val="none" w:sz="0" w:space="0" w:color="auto"/>
        <w:right w:val="none" w:sz="0" w:space="0" w:color="auto"/>
      </w:divBdr>
    </w:div>
    <w:div w:id="632828812">
      <w:bodyDiv w:val="1"/>
      <w:marLeft w:val="0"/>
      <w:marRight w:val="0"/>
      <w:marTop w:val="0"/>
      <w:marBottom w:val="0"/>
      <w:divBdr>
        <w:top w:val="none" w:sz="0" w:space="0" w:color="auto"/>
        <w:left w:val="none" w:sz="0" w:space="0" w:color="auto"/>
        <w:bottom w:val="none" w:sz="0" w:space="0" w:color="auto"/>
        <w:right w:val="none" w:sz="0" w:space="0" w:color="auto"/>
      </w:divBdr>
    </w:div>
    <w:div w:id="639920773">
      <w:bodyDiv w:val="1"/>
      <w:marLeft w:val="0"/>
      <w:marRight w:val="0"/>
      <w:marTop w:val="0"/>
      <w:marBottom w:val="0"/>
      <w:divBdr>
        <w:top w:val="none" w:sz="0" w:space="0" w:color="auto"/>
        <w:left w:val="none" w:sz="0" w:space="0" w:color="auto"/>
        <w:bottom w:val="none" w:sz="0" w:space="0" w:color="auto"/>
        <w:right w:val="none" w:sz="0" w:space="0" w:color="auto"/>
      </w:divBdr>
      <w:divsChild>
        <w:div w:id="125466907">
          <w:marLeft w:val="0"/>
          <w:marRight w:val="0"/>
          <w:marTop w:val="0"/>
          <w:marBottom w:val="0"/>
          <w:divBdr>
            <w:top w:val="none" w:sz="0" w:space="0" w:color="auto"/>
            <w:left w:val="none" w:sz="0" w:space="0" w:color="auto"/>
            <w:bottom w:val="none" w:sz="0" w:space="0" w:color="auto"/>
            <w:right w:val="none" w:sz="0" w:space="0" w:color="auto"/>
          </w:divBdr>
        </w:div>
        <w:div w:id="1242717721">
          <w:marLeft w:val="0"/>
          <w:marRight w:val="0"/>
          <w:marTop w:val="0"/>
          <w:marBottom w:val="0"/>
          <w:divBdr>
            <w:top w:val="none" w:sz="0" w:space="0" w:color="auto"/>
            <w:left w:val="none" w:sz="0" w:space="0" w:color="auto"/>
            <w:bottom w:val="none" w:sz="0" w:space="0" w:color="auto"/>
            <w:right w:val="none" w:sz="0" w:space="0" w:color="auto"/>
          </w:divBdr>
        </w:div>
        <w:div w:id="1595019585">
          <w:marLeft w:val="0"/>
          <w:marRight w:val="0"/>
          <w:marTop w:val="0"/>
          <w:marBottom w:val="0"/>
          <w:divBdr>
            <w:top w:val="none" w:sz="0" w:space="0" w:color="auto"/>
            <w:left w:val="none" w:sz="0" w:space="0" w:color="auto"/>
            <w:bottom w:val="none" w:sz="0" w:space="0" w:color="auto"/>
            <w:right w:val="none" w:sz="0" w:space="0" w:color="auto"/>
          </w:divBdr>
        </w:div>
        <w:div w:id="2036418547">
          <w:marLeft w:val="0"/>
          <w:marRight w:val="0"/>
          <w:marTop w:val="0"/>
          <w:marBottom w:val="0"/>
          <w:divBdr>
            <w:top w:val="none" w:sz="0" w:space="0" w:color="auto"/>
            <w:left w:val="none" w:sz="0" w:space="0" w:color="auto"/>
            <w:bottom w:val="none" w:sz="0" w:space="0" w:color="auto"/>
            <w:right w:val="none" w:sz="0" w:space="0" w:color="auto"/>
          </w:divBdr>
        </w:div>
      </w:divsChild>
    </w:div>
    <w:div w:id="664632525">
      <w:bodyDiv w:val="1"/>
      <w:marLeft w:val="0"/>
      <w:marRight w:val="0"/>
      <w:marTop w:val="0"/>
      <w:marBottom w:val="0"/>
      <w:divBdr>
        <w:top w:val="none" w:sz="0" w:space="0" w:color="auto"/>
        <w:left w:val="none" w:sz="0" w:space="0" w:color="auto"/>
        <w:bottom w:val="none" w:sz="0" w:space="0" w:color="auto"/>
        <w:right w:val="none" w:sz="0" w:space="0" w:color="auto"/>
      </w:divBdr>
    </w:div>
    <w:div w:id="666902325">
      <w:bodyDiv w:val="1"/>
      <w:marLeft w:val="0"/>
      <w:marRight w:val="0"/>
      <w:marTop w:val="0"/>
      <w:marBottom w:val="0"/>
      <w:divBdr>
        <w:top w:val="none" w:sz="0" w:space="0" w:color="auto"/>
        <w:left w:val="none" w:sz="0" w:space="0" w:color="auto"/>
        <w:bottom w:val="none" w:sz="0" w:space="0" w:color="auto"/>
        <w:right w:val="none" w:sz="0" w:space="0" w:color="auto"/>
      </w:divBdr>
    </w:div>
    <w:div w:id="673723832">
      <w:bodyDiv w:val="1"/>
      <w:marLeft w:val="0"/>
      <w:marRight w:val="0"/>
      <w:marTop w:val="0"/>
      <w:marBottom w:val="0"/>
      <w:divBdr>
        <w:top w:val="none" w:sz="0" w:space="0" w:color="auto"/>
        <w:left w:val="none" w:sz="0" w:space="0" w:color="auto"/>
        <w:bottom w:val="none" w:sz="0" w:space="0" w:color="auto"/>
        <w:right w:val="none" w:sz="0" w:space="0" w:color="auto"/>
      </w:divBdr>
    </w:div>
    <w:div w:id="700059989">
      <w:bodyDiv w:val="1"/>
      <w:marLeft w:val="0"/>
      <w:marRight w:val="0"/>
      <w:marTop w:val="0"/>
      <w:marBottom w:val="0"/>
      <w:divBdr>
        <w:top w:val="none" w:sz="0" w:space="0" w:color="auto"/>
        <w:left w:val="none" w:sz="0" w:space="0" w:color="auto"/>
        <w:bottom w:val="none" w:sz="0" w:space="0" w:color="auto"/>
        <w:right w:val="none" w:sz="0" w:space="0" w:color="auto"/>
      </w:divBdr>
    </w:div>
    <w:div w:id="707879300">
      <w:bodyDiv w:val="1"/>
      <w:marLeft w:val="0"/>
      <w:marRight w:val="0"/>
      <w:marTop w:val="0"/>
      <w:marBottom w:val="0"/>
      <w:divBdr>
        <w:top w:val="none" w:sz="0" w:space="0" w:color="auto"/>
        <w:left w:val="none" w:sz="0" w:space="0" w:color="auto"/>
        <w:bottom w:val="none" w:sz="0" w:space="0" w:color="auto"/>
        <w:right w:val="none" w:sz="0" w:space="0" w:color="auto"/>
      </w:divBdr>
    </w:div>
    <w:div w:id="709261274">
      <w:bodyDiv w:val="1"/>
      <w:marLeft w:val="0"/>
      <w:marRight w:val="0"/>
      <w:marTop w:val="0"/>
      <w:marBottom w:val="0"/>
      <w:divBdr>
        <w:top w:val="none" w:sz="0" w:space="0" w:color="auto"/>
        <w:left w:val="none" w:sz="0" w:space="0" w:color="auto"/>
        <w:bottom w:val="none" w:sz="0" w:space="0" w:color="auto"/>
        <w:right w:val="none" w:sz="0" w:space="0" w:color="auto"/>
      </w:divBdr>
    </w:div>
    <w:div w:id="722943593">
      <w:bodyDiv w:val="1"/>
      <w:marLeft w:val="0"/>
      <w:marRight w:val="0"/>
      <w:marTop w:val="0"/>
      <w:marBottom w:val="0"/>
      <w:divBdr>
        <w:top w:val="none" w:sz="0" w:space="0" w:color="auto"/>
        <w:left w:val="none" w:sz="0" w:space="0" w:color="auto"/>
        <w:bottom w:val="none" w:sz="0" w:space="0" w:color="auto"/>
        <w:right w:val="none" w:sz="0" w:space="0" w:color="auto"/>
      </w:divBdr>
      <w:divsChild>
        <w:div w:id="659383722">
          <w:marLeft w:val="547"/>
          <w:marRight w:val="0"/>
          <w:marTop w:val="0"/>
          <w:marBottom w:val="0"/>
          <w:divBdr>
            <w:top w:val="none" w:sz="0" w:space="0" w:color="auto"/>
            <w:left w:val="none" w:sz="0" w:space="0" w:color="auto"/>
            <w:bottom w:val="none" w:sz="0" w:space="0" w:color="auto"/>
            <w:right w:val="none" w:sz="0" w:space="0" w:color="auto"/>
          </w:divBdr>
        </w:div>
        <w:div w:id="845943507">
          <w:marLeft w:val="446"/>
          <w:marRight w:val="0"/>
          <w:marTop w:val="0"/>
          <w:marBottom w:val="0"/>
          <w:divBdr>
            <w:top w:val="none" w:sz="0" w:space="0" w:color="auto"/>
            <w:left w:val="none" w:sz="0" w:space="0" w:color="auto"/>
            <w:bottom w:val="none" w:sz="0" w:space="0" w:color="auto"/>
            <w:right w:val="none" w:sz="0" w:space="0" w:color="auto"/>
          </w:divBdr>
        </w:div>
        <w:div w:id="1578637851">
          <w:marLeft w:val="547"/>
          <w:marRight w:val="0"/>
          <w:marTop w:val="0"/>
          <w:marBottom w:val="0"/>
          <w:divBdr>
            <w:top w:val="none" w:sz="0" w:space="0" w:color="auto"/>
            <w:left w:val="none" w:sz="0" w:space="0" w:color="auto"/>
            <w:bottom w:val="none" w:sz="0" w:space="0" w:color="auto"/>
            <w:right w:val="none" w:sz="0" w:space="0" w:color="auto"/>
          </w:divBdr>
        </w:div>
        <w:div w:id="1607687416">
          <w:marLeft w:val="547"/>
          <w:marRight w:val="0"/>
          <w:marTop w:val="0"/>
          <w:marBottom w:val="0"/>
          <w:divBdr>
            <w:top w:val="none" w:sz="0" w:space="0" w:color="auto"/>
            <w:left w:val="none" w:sz="0" w:space="0" w:color="auto"/>
            <w:bottom w:val="none" w:sz="0" w:space="0" w:color="auto"/>
            <w:right w:val="none" w:sz="0" w:space="0" w:color="auto"/>
          </w:divBdr>
        </w:div>
        <w:div w:id="1986086253">
          <w:marLeft w:val="547"/>
          <w:marRight w:val="0"/>
          <w:marTop w:val="0"/>
          <w:marBottom w:val="0"/>
          <w:divBdr>
            <w:top w:val="none" w:sz="0" w:space="0" w:color="auto"/>
            <w:left w:val="none" w:sz="0" w:space="0" w:color="auto"/>
            <w:bottom w:val="none" w:sz="0" w:space="0" w:color="auto"/>
            <w:right w:val="none" w:sz="0" w:space="0" w:color="auto"/>
          </w:divBdr>
        </w:div>
      </w:divsChild>
    </w:div>
    <w:div w:id="728070068">
      <w:bodyDiv w:val="1"/>
      <w:marLeft w:val="0"/>
      <w:marRight w:val="0"/>
      <w:marTop w:val="0"/>
      <w:marBottom w:val="0"/>
      <w:divBdr>
        <w:top w:val="none" w:sz="0" w:space="0" w:color="auto"/>
        <w:left w:val="none" w:sz="0" w:space="0" w:color="auto"/>
        <w:bottom w:val="none" w:sz="0" w:space="0" w:color="auto"/>
        <w:right w:val="none" w:sz="0" w:space="0" w:color="auto"/>
      </w:divBdr>
    </w:div>
    <w:div w:id="762190488">
      <w:bodyDiv w:val="1"/>
      <w:marLeft w:val="0"/>
      <w:marRight w:val="0"/>
      <w:marTop w:val="0"/>
      <w:marBottom w:val="0"/>
      <w:divBdr>
        <w:top w:val="none" w:sz="0" w:space="0" w:color="auto"/>
        <w:left w:val="none" w:sz="0" w:space="0" w:color="auto"/>
        <w:bottom w:val="none" w:sz="0" w:space="0" w:color="auto"/>
        <w:right w:val="none" w:sz="0" w:space="0" w:color="auto"/>
      </w:divBdr>
    </w:div>
    <w:div w:id="773086832">
      <w:bodyDiv w:val="1"/>
      <w:marLeft w:val="0"/>
      <w:marRight w:val="0"/>
      <w:marTop w:val="0"/>
      <w:marBottom w:val="0"/>
      <w:divBdr>
        <w:top w:val="none" w:sz="0" w:space="0" w:color="auto"/>
        <w:left w:val="none" w:sz="0" w:space="0" w:color="auto"/>
        <w:bottom w:val="none" w:sz="0" w:space="0" w:color="auto"/>
        <w:right w:val="none" w:sz="0" w:space="0" w:color="auto"/>
      </w:divBdr>
    </w:div>
    <w:div w:id="777262561">
      <w:bodyDiv w:val="1"/>
      <w:marLeft w:val="0"/>
      <w:marRight w:val="0"/>
      <w:marTop w:val="0"/>
      <w:marBottom w:val="0"/>
      <w:divBdr>
        <w:top w:val="none" w:sz="0" w:space="0" w:color="auto"/>
        <w:left w:val="none" w:sz="0" w:space="0" w:color="auto"/>
        <w:bottom w:val="none" w:sz="0" w:space="0" w:color="auto"/>
        <w:right w:val="none" w:sz="0" w:space="0" w:color="auto"/>
      </w:divBdr>
    </w:div>
    <w:div w:id="786779548">
      <w:bodyDiv w:val="1"/>
      <w:marLeft w:val="0"/>
      <w:marRight w:val="0"/>
      <w:marTop w:val="0"/>
      <w:marBottom w:val="0"/>
      <w:divBdr>
        <w:top w:val="none" w:sz="0" w:space="0" w:color="auto"/>
        <w:left w:val="none" w:sz="0" w:space="0" w:color="auto"/>
        <w:bottom w:val="none" w:sz="0" w:space="0" w:color="auto"/>
        <w:right w:val="none" w:sz="0" w:space="0" w:color="auto"/>
      </w:divBdr>
    </w:div>
    <w:div w:id="798650179">
      <w:bodyDiv w:val="1"/>
      <w:marLeft w:val="0"/>
      <w:marRight w:val="0"/>
      <w:marTop w:val="0"/>
      <w:marBottom w:val="0"/>
      <w:divBdr>
        <w:top w:val="none" w:sz="0" w:space="0" w:color="auto"/>
        <w:left w:val="none" w:sz="0" w:space="0" w:color="auto"/>
        <w:bottom w:val="none" w:sz="0" w:space="0" w:color="auto"/>
        <w:right w:val="none" w:sz="0" w:space="0" w:color="auto"/>
      </w:divBdr>
    </w:div>
    <w:div w:id="810289449">
      <w:bodyDiv w:val="1"/>
      <w:marLeft w:val="0"/>
      <w:marRight w:val="0"/>
      <w:marTop w:val="0"/>
      <w:marBottom w:val="0"/>
      <w:divBdr>
        <w:top w:val="none" w:sz="0" w:space="0" w:color="auto"/>
        <w:left w:val="none" w:sz="0" w:space="0" w:color="auto"/>
        <w:bottom w:val="none" w:sz="0" w:space="0" w:color="auto"/>
        <w:right w:val="none" w:sz="0" w:space="0" w:color="auto"/>
      </w:divBdr>
    </w:div>
    <w:div w:id="812142564">
      <w:bodyDiv w:val="1"/>
      <w:marLeft w:val="0"/>
      <w:marRight w:val="0"/>
      <w:marTop w:val="0"/>
      <w:marBottom w:val="0"/>
      <w:divBdr>
        <w:top w:val="none" w:sz="0" w:space="0" w:color="auto"/>
        <w:left w:val="none" w:sz="0" w:space="0" w:color="auto"/>
        <w:bottom w:val="none" w:sz="0" w:space="0" w:color="auto"/>
        <w:right w:val="none" w:sz="0" w:space="0" w:color="auto"/>
      </w:divBdr>
    </w:div>
    <w:div w:id="818107084">
      <w:bodyDiv w:val="1"/>
      <w:marLeft w:val="0"/>
      <w:marRight w:val="0"/>
      <w:marTop w:val="0"/>
      <w:marBottom w:val="0"/>
      <w:divBdr>
        <w:top w:val="none" w:sz="0" w:space="0" w:color="auto"/>
        <w:left w:val="none" w:sz="0" w:space="0" w:color="auto"/>
        <w:bottom w:val="none" w:sz="0" w:space="0" w:color="auto"/>
        <w:right w:val="none" w:sz="0" w:space="0" w:color="auto"/>
      </w:divBdr>
    </w:div>
    <w:div w:id="821701015">
      <w:bodyDiv w:val="1"/>
      <w:marLeft w:val="0"/>
      <w:marRight w:val="0"/>
      <w:marTop w:val="0"/>
      <w:marBottom w:val="0"/>
      <w:divBdr>
        <w:top w:val="none" w:sz="0" w:space="0" w:color="auto"/>
        <w:left w:val="none" w:sz="0" w:space="0" w:color="auto"/>
        <w:bottom w:val="none" w:sz="0" w:space="0" w:color="auto"/>
        <w:right w:val="none" w:sz="0" w:space="0" w:color="auto"/>
      </w:divBdr>
      <w:divsChild>
        <w:div w:id="410274252">
          <w:marLeft w:val="1166"/>
          <w:marRight w:val="0"/>
          <w:marTop w:val="60"/>
          <w:marBottom w:val="60"/>
          <w:divBdr>
            <w:top w:val="none" w:sz="0" w:space="0" w:color="auto"/>
            <w:left w:val="none" w:sz="0" w:space="0" w:color="auto"/>
            <w:bottom w:val="none" w:sz="0" w:space="0" w:color="auto"/>
            <w:right w:val="none" w:sz="0" w:space="0" w:color="auto"/>
          </w:divBdr>
        </w:div>
        <w:div w:id="630746262">
          <w:marLeft w:val="1166"/>
          <w:marRight w:val="0"/>
          <w:marTop w:val="60"/>
          <w:marBottom w:val="60"/>
          <w:divBdr>
            <w:top w:val="none" w:sz="0" w:space="0" w:color="auto"/>
            <w:left w:val="none" w:sz="0" w:space="0" w:color="auto"/>
            <w:bottom w:val="none" w:sz="0" w:space="0" w:color="auto"/>
            <w:right w:val="none" w:sz="0" w:space="0" w:color="auto"/>
          </w:divBdr>
        </w:div>
        <w:div w:id="646323151">
          <w:marLeft w:val="1166"/>
          <w:marRight w:val="0"/>
          <w:marTop w:val="60"/>
          <w:marBottom w:val="60"/>
          <w:divBdr>
            <w:top w:val="none" w:sz="0" w:space="0" w:color="auto"/>
            <w:left w:val="none" w:sz="0" w:space="0" w:color="auto"/>
            <w:bottom w:val="none" w:sz="0" w:space="0" w:color="auto"/>
            <w:right w:val="none" w:sz="0" w:space="0" w:color="auto"/>
          </w:divBdr>
        </w:div>
        <w:div w:id="856820287">
          <w:marLeft w:val="1166"/>
          <w:marRight w:val="0"/>
          <w:marTop w:val="60"/>
          <w:marBottom w:val="60"/>
          <w:divBdr>
            <w:top w:val="none" w:sz="0" w:space="0" w:color="auto"/>
            <w:left w:val="none" w:sz="0" w:space="0" w:color="auto"/>
            <w:bottom w:val="none" w:sz="0" w:space="0" w:color="auto"/>
            <w:right w:val="none" w:sz="0" w:space="0" w:color="auto"/>
          </w:divBdr>
        </w:div>
        <w:div w:id="1292251107">
          <w:marLeft w:val="1166"/>
          <w:marRight w:val="0"/>
          <w:marTop w:val="60"/>
          <w:marBottom w:val="60"/>
          <w:divBdr>
            <w:top w:val="none" w:sz="0" w:space="0" w:color="auto"/>
            <w:left w:val="none" w:sz="0" w:space="0" w:color="auto"/>
            <w:bottom w:val="none" w:sz="0" w:space="0" w:color="auto"/>
            <w:right w:val="none" w:sz="0" w:space="0" w:color="auto"/>
          </w:divBdr>
        </w:div>
        <w:div w:id="1958216562">
          <w:marLeft w:val="1166"/>
          <w:marRight w:val="0"/>
          <w:marTop w:val="60"/>
          <w:marBottom w:val="60"/>
          <w:divBdr>
            <w:top w:val="none" w:sz="0" w:space="0" w:color="auto"/>
            <w:left w:val="none" w:sz="0" w:space="0" w:color="auto"/>
            <w:bottom w:val="none" w:sz="0" w:space="0" w:color="auto"/>
            <w:right w:val="none" w:sz="0" w:space="0" w:color="auto"/>
          </w:divBdr>
        </w:div>
      </w:divsChild>
    </w:div>
    <w:div w:id="860170392">
      <w:bodyDiv w:val="1"/>
      <w:marLeft w:val="0"/>
      <w:marRight w:val="0"/>
      <w:marTop w:val="0"/>
      <w:marBottom w:val="0"/>
      <w:divBdr>
        <w:top w:val="none" w:sz="0" w:space="0" w:color="auto"/>
        <w:left w:val="none" w:sz="0" w:space="0" w:color="auto"/>
        <w:bottom w:val="none" w:sz="0" w:space="0" w:color="auto"/>
        <w:right w:val="none" w:sz="0" w:space="0" w:color="auto"/>
      </w:divBdr>
    </w:div>
    <w:div w:id="871959630">
      <w:bodyDiv w:val="1"/>
      <w:marLeft w:val="0"/>
      <w:marRight w:val="0"/>
      <w:marTop w:val="0"/>
      <w:marBottom w:val="0"/>
      <w:divBdr>
        <w:top w:val="none" w:sz="0" w:space="0" w:color="auto"/>
        <w:left w:val="none" w:sz="0" w:space="0" w:color="auto"/>
        <w:bottom w:val="none" w:sz="0" w:space="0" w:color="auto"/>
        <w:right w:val="none" w:sz="0" w:space="0" w:color="auto"/>
      </w:divBdr>
    </w:div>
    <w:div w:id="872420490">
      <w:bodyDiv w:val="1"/>
      <w:marLeft w:val="0"/>
      <w:marRight w:val="0"/>
      <w:marTop w:val="0"/>
      <w:marBottom w:val="0"/>
      <w:divBdr>
        <w:top w:val="none" w:sz="0" w:space="0" w:color="auto"/>
        <w:left w:val="none" w:sz="0" w:space="0" w:color="auto"/>
        <w:bottom w:val="none" w:sz="0" w:space="0" w:color="auto"/>
        <w:right w:val="none" w:sz="0" w:space="0" w:color="auto"/>
      </w:divBdr>
    </w:div>
    <w:div w:id="924388145">
      <w:bodyDiv w:val="1"/>
      <w:marLeft w:val="0"/>
      <w:marRight w:val="0"/>
      <w:marTop w:val="0"/>
      <w:marBottom w:val="0"/>
      <w:divBdr>
        <w:top w:val="none" w:sz="0" w:space="0" w:color="auto"/>
        <w:left w:val="none" w:sz="0" w:space="0" w:color="auto"/>
        <w:bottom w:val="none" w:sz="0" w:space="0" w:color="auto"/>
        <w:right w:val="none" w:sz="0" w:space="0" w:color="auto"/>
      </w:divBdr>
    </w:div>
    <w:div w:id="944919837">
      <w:bodyDiv w:val="1"/>
      <w:marLeft w:val="0"/>
      <w:marRight w:val="0"/>
      <w:marTop w:val="0"/>
      <w:marBottom w:val="0"/>
      <w:divBdr>
        <w:top w:val="none" w:sz="0" w:space="0" w:color="auto"/>
        <w:left w:val="none" w:sz="0" w:space="0" w:color="auto"/>
        <w:bottom w:val="none" w:sz="0" w:space="0" w:color="auto"/>
        <w:right w:val="none" w:sz="0" w:space="0" w:color="auto"/>
      </w:divBdr>
    </w:div>
    <w:div w:id="958146321">
      <w:bodyDiv w:val="1"/>
      <w:marLeft w:val="0"/>
      <w:marRight w:val="0"/>
      <w:marTop w:val="0"/>
      <w:marBottom w:val="0"/>
      <w:divBdr>
        <w:top w:val="none" w:sz="0" w:space="0" w:color="auto"/>
        <w:left w:val="none" w:sz="0" w:space="0" w:color="auto"/>
        <w:bottom w:val="none" w:sz="0" w:space="0" w:color="auto"/>
        <w:right w:val="none" w:sz="0" w:space="0" w:color="auto"/>
      </w:divBdr>
    </w:div>
    <w:div w:id="963579575">
      <w:bodyDiv w:val="1"/>
      <w:marLeft w:val="0"/>
      <w:marRight w:val="0"/>
      <w:marTop w:val="0"/>
      <w:marBottom w:val="0"/>
      <w:divBdr>
        <w:top w:val="none" w:sz="0" w:space="0" w:color="auto"/>
        <w:left w:val="none" w:sz="0" w:space="0" w:color="auto"/>
        <w:bottom w:val="none" w:sz="0" w:space="0" w:color="auto"/>
        <w:right w:val="none" w:sz="0" w:space="0" w:color="auto"/>
      </w:divBdr>
    </w:div>
    <w:div w:id="969045076">
      <w:bodyDiv w:val="1"/>
      <w:marLeft w:val="0"/>
      <w:marRight w:val="0"/>
      <w:marTop w:val="0"/>
      <w:marBottom w:val="0"/>
      <w:divBdr>
        <w:top w:val="none" w:sz="0" w:space="0" w:color="auto"/>
        <w:left w:val="none" w:sz="0" w:space="0" w:color="auto"/>
        <w:bottom w:val="none" w:sz="0" w:space="0" w:color="auto"/>
        <w:right w:val="none" w:sz="0" w:space="0" w:color="auto"/>
      </w:divBdr>
    </w:div>
    <w:div w:id="986055988">
      <w:bodyDiv w:val="1"/>
      <w:marLeft w:val="0"/>
      <w:marRight w:val="0"/>
      <w:marTop w:val="0"/>
      <w:marBottom w:val="0"/>
      <w:divBdr>
        <w:top w:val="none" w:sz="0" w:space="0" w:color="auto"/>
        <w:left w:val="none" w:sz="0" w:space="0" w:color="auto"/>
        <w:bottom w:val="none" w:sz="0" w:space="0" w:color="auto"/>
        <w:right w:val="none" w:sz="0" w:space="0" w:color="auto"/>
      </w:divBdr>
      <w:divsChild>
        <w:div w:id="1661542476">
          <w:marLeft w:val="274"/>
          <w:marRight w:val="0"/>
          <w:marTop w:val="0"/>
          <w:marBottom w:val="0"/>
          <w:divBdr>
            <w:top w:val="none" w:sz="0" w:space="0" w:color="auto"/>
            <w:left w:val="none" w:sz="0" w:space="0" w:color="auto"/>
            <w:bottom w:val="none" w:sz="0" w:space="0" w:color="auto"/>
            <w:right w:val="none" w:sz="0" w:space="0" w:color="auto"/>
          </w:divBdr>
        </w:div>
        <w:div w:id="1923366478">
          <w:marLeft w:val="274"/>
          <w:marRight w:val="0"/>
          <w:marTop w:val="0"/>
          <w:marBottom w:val="0"/>
          <w:divBdr>
            <w:top w:val="none" w:sz="0" w:space="0" w:color="auto"/>
            <w:left w:val="none" w:sz="0" w:space="0" w:color="auto"/>
            <w:bottom w:val="none" w:sz="0" w:space="0" w:color="auto"/>
            <w:right w:val="none" w:sz="0" w:space="0" w:color="auto"/>
          </w:divBdr>
        </w:div>
      </w:divsChild>
    </w:div>
    <w:div w:id="986469342">
      <w:bodyDiv w:val="1"/>
      <w:marLeft w:val="0"/>
      <w:marRight w:val="0"/>
      <w:marTop w:val="0"/>
      <w:marBottom w:val="0"/>
      <w:divBdr>
        <w:top w:val="none" w:sz="0" w:space="0" w:color="auto"/>
        <w:left w:val="none" w:sz="0" w:space="0" w:color="auto"/>
        <w:bottom w:val="none" w:sz="0" w:space="0" w:color="auto"/>
        <w:right w:val="none" w:sz="0" w:space="0" w:color="auto"/>
      </w:divBdr>
    </w:div>
    <w:div w:id="987979829">
      <w:bodyDiv w:val="1"/>
      <w:marLeft w:val="0"/>
      <w:marRight w:val="0"/>
      <w:marTop w:val="0"/>
      <w:marBottom w:val="0"/>
      <w:divBdr>
        <w:top w:val="none" w:sz="0" w:space="0" w:color="auto"/>
        <w:left w:val="none" w:sz="0" w:space="0" w:color="auto"/>
        <w:bottom w:val="none" w:sz="0" w:space="0" w:color="auto"/>
        <w:right w:val="none" w:sz="0" w:space="0" w:color="auto"/>
      </w:divBdr>
    </w:div>
    <w:div w:id="988902737">
      <w:bodyDiv w:val="1"/>
      <w:marLeft w:val="0"/>
      <w:marRight w:val="0"/>
      <w:marTop w:val="0"/>
      <w:marBottom w:val="0"/>
      <w:divBdr>
        <w:top w:val="none" w:sz="0" w:space="0" w:color="auto"/>
        <w:left w:val="none" w:sz="0" w:space="0" w:color="auto"/>
        <w:bottom w:val="none" w:sz="0" w:space="0" w:color="auto"/>
        <w:right w:val="none" w:sz="0" w:space="0" w:color="auto"/>
      </w:divBdr>
    </w:div>
    <w:div w:id="996033706">
      <w:bodyDiv w:val="1"/>
      <w:marLeft w:val="0"/>
      <w:marRight w:val="0"/>
      <w:marTop w:val="0"/>
      <w:marBottom w:val="0"/>
      <w:divBdr>
        <w:top w:val="none" w:sz="0" w:space="0" w:color="auto"/>
        <w:left w:val="none" w:sz="0" w:space="0" w:color="auto"/>
        <w:bottom w:val="none" w:sz="0" w:space="0" w:color="auto"/>
        <w:right w:val="none" w:sz="0" w:space="0" w:color="auto"/>
      </w:divBdr>
    </w:div>
    <w:div w:id="1009016404">
      <w:bodyDiv w:val="1"/>
      <w:marLeft w:val="0"/>
      <w:marRight w:val="0"/>
      <w:marTop w:val="0"/>
      <w:marBottom w:val="0"/>
      <w:divBdr>
        <w:top w:val="none" w:sz="0" w:space="0" w:color="auto"/>
        <w:left w:val="none" w:sz="0" w:space="0" w:color="auto"/>
        <w:bottom w:val="none" w:sz="0" w:space="0" w:color="auto"/>
        <w:right w:val="none" w:sz="0" w:space="0" w:color="auto"/>
      </w:divBdr>
    </w:div>
    <w:div w:id="1013000096">
      <w:bodyDiv w:val="1"/>
      <w:marLeft w:val="0"/>
      <w:marRight w:val="0"/>
      <w:marTop w:val="0"/>
      <w:marBottom w:val="0"/>
      <w:divBdr>
        <w:top w:val="none" w:sz="0" w:space="0" w:color="auto"/>
        <w:left w:val="none" w:sz="0" w:space="0" w:color="auto"/>
        <w:bottom w:val="none" w:sz="0" w:space="0" w:color="auto"/>
        <w:right w:val="none" w:sz="0" w:space="0" w:color="auto"/>
      </w:divBdr>
      <w:divsChild>
        <w:div w:id="650912571">
          <w:marLeft w:val="547"/>
          <w:marRight w:val="0"/>
          <w:marTop w:val="0"/>
          <w:marBottom w:val="0"/>
          <w:divBdr>
            <w:top w:val="none" w:sz="0" w:space="0" w:color="auto"/>
            <w:left w:val="none" w:sz="0" w:space="0" w:color="auto"/>
            <w:bottom w:val="none" w:sz="0" w:space="0" w:color="auto"/>
            <w:right w:val="none" w:sz="0" w:space="0" w:color="auto"/>
          </w:divBdr>
        </w:div>
        <w:div w:id="1497258140">
          <w:marLeft w:val="547"/>
          <w:marRight w:val="0"/>
          <w:marTop w:val="0"/>
          <w:marBottom w:val="0"/>
          <w:divBdr>
            <w:top w:val="none" w:sz="0" w:space="0" w:color="auto"/>
            <w:left w:val="none" w:sz="0" w:space="0" w:color="auto"/>
            <w:bottom w:val="none" w:sz="0" w:space="0" w:color="auto"/>
            <w:right w:val="none" w:sz="0" w:space="0" w:color="auto"/>
          </w:divBdr>
        </w:div>
        <w:div w:id="1692220916">
          <w:marLeft w:val="547"/>
          <w:marRight w:val="0"/>
          <w:marTop w:val="0"/>
          <w:marBottom w:val="0"/>
          <w:divBdr>
            <w:top w:val="none" w:sz="0" w:space="0" w:color="auto"/>
            <w:left w:val="none" w:sz="0" w:space="0" w:color="auto"/>
            <w:bottom w:val="none" w:sz="0" w:space="0" w:color="auto"/>
            <w:right w:val="none" w:sz="0" w:space="0" w:color="auto"/>
          </w:divBdr>
        </w:div>
        <w:div w:id="2035417399">
          <w:marLeft w:val="446"/>
          <w:marRight w:val="0"/>
          <w:marTop w:val="0"/>
          <w:marBottom w:val="0"/>
          <w:divBdr>
            <w:top w:val="none" w:sz="0" w:space="0" w:color="auto"/>
            <w:left w:val="none" w:sz="0" w:space="0" w:color="auto"/>
            <w:bottom w:val="none" w:sz="0" w:space="0" w:color="auto"/>
            <w:right w:val="none" w:sz="0" w:space="0" w:color="auto"/>
          </w:divBdr>
        </w:div>
        <w:div w:id="2039160316">
          <w:marLeft w:val="547"/>
          <w:marRight w:val="0"/>
          <w:marTop w:val="0"/>
          <w:marBottom w:val="0"/>
          <w:divBdr>
            <w:top w:val="none" w:sz="0" w:space="0" w:color="auto"/>
            <w:left w:val="none" w:sz="0" w:space="0" w:color="auto"/>
            <w:bottom w:val="none" w:sz="0" w:space="0" w:color="auto"/>
            <w:right w:val="none" w:sz="0" w:space="0" w:color="auto"/>
          </w:divBdr>
        </w:div>
      </w:divsChild>
    </w:div>
    <w:div w:id="1016812377">
      <w:bodyDiv w:val="1"/>
      <w:marLeft w:val="0"/>
      <w:marRight w:val="0"/>
      <w:marTop w:val="0"/>
      <w:marBottom w:val="0"/>
      <w:divBdr>
        <w:top w:val="none" w:sz="0" w:space="0" w:color="auto"/>
        <w:left w:val="none" w:sz="0" w:space="0" w:color="auto"/>
        <w:bottom w:val="none" w:sz="0" w:space="0" w:color="auto"/>
        <w:right w:val="none" w:sz="0" w:space="0" w:color="auto"/>
      </w:divBdr>
    </w:div>
    <w:div w:id="1076048768">
      <w:bodyDiv w:val="1"/>
      <w:marLeft w:val="0"/>
      <w:marRight w:val="0"/>
      <w:marTop w:val="0"/>
      <w:marBottom w:val="0"/>
      <w:divBdr>
        <w:top w:val="none" w:sz="0" w:space="0" w:color="auto"/>
        <w:left w:val="none" w:sz="0" w:space="0" w:color="auto"/>
        <w:bottom w:val="none" w:sz="0" w:space="0" w:color="auto"/>
        <w:right w:val="none" w:sz="0" w:space="0" w:color="auto"/>
      </w:divBdr>
    </w:div>
    <w:div w:id="1131358787">
      <w:bodyDiv w:val="1"/>
      <w:marLeft w:val="0"/>
      <w:marRight w:val="0"/>
      <w:marTop w:val="0"/>
      <w:marBottom w:val="0"/>
      <w:divBdr>
        <w:top w:val="none" w:sz="0" w:space="0" w:color="auto"/>
        <w:left w:val="none" w:sz="0" w:space="0" w:color="auto"/>
        <w:bottom w:val="none" w:sz="0" w:space="0" w:color="auto"/>
        <w:right w:val="none" w:sz="0" w:space="0" w:color="auto"/>
      </w:divBdr>
    </w:div>
    <w:div w:id="1134718520">
      <w:bodyDiv w:val="1"/>
      <w:marLeft w:val="0"/>
      <w:marRight w:val="0"/>
      <w:marTop w:val="0"/>
      <w:marBottom w:val="0"/>
      <w:divBdr>
        <w:top w:val="none" w:sz="0" w:space="0" w:color="auto"/>
        <w:left w:val="none" w:sz="0" w:space="0" w:color="auto"/>
        <w:bottom w:val="none" w:sz="0" w:space="0" w:color="auto"/>
        <w:right w:val="none" w:sz="0" w:space="0" w:color="auto"/>
      </w:divBdr>
    </w:div>
    <w:div w:id="1144540603">
      <w:bodyDiv w:val="1"/>
      <w:marLeft w:val="0"/>
      <w:marRight w:val="0"/>
      <w:marTop w:val="0"/>
      <w:marBottom w:val="0"/>
      <w:divBdr>
        <w:top w:val="none" w:sz="0" w:space="0" w:color="auto"/>
        <w:left w:val="none" w:sz="0" w:space="0" w:color="auto"/>
        <w:bottom w:val="none" w:sz="0" w:space="0" w:color="auto"/>
        <w:right w:val="none" w:sz="0" w:space="0" w:color="auto"/>
      </w:divBdr>
    </w:div>
    <w:div w:id="1155415915">
      <w:bodyDiv w:val="1"/>
      <w:marLeft w:val="0"/>
      <w:marRight w:val="0"/>
      <w:marTop w:val="0"/>
      <w:marBottom w:val="0"/>
      <w:divBdr>
        <w:top w:val="none" w:sz="0" w:space="0" w:color="auto"/>
        <w:left w:val="none" w:sz="0" w:space="0" w:color="auto"/>
        <w:bottom w:val="none" w:sz="0" w:space="0" w:color="auto"/>
        <w:right w:val="none" w:sz="0" w:space="0" w:color="auto"/>
      </w:divBdr>
    </w:div>
    <w:div w:id="1163085130">
      <w:bodyDiv w:val="1"/>
      <w:marLeft w:val="0"/>
      <w:marRight w:val="0"/>
      <w:marTop w:val="0"/>
      <w:marBottom w:val="0"/>
      <w:divBdr>
        <w:top w:val="none" w:sz="0" w:space="0" w:color="auto"/>
        <w:left w:val="none" w:sz="0" w:space="0" w:color="auto"/>
        <w:bottom w:val="none" w:sz="0" w:space="0" w:color="auto"/>
        <w:right w:val="none" w:sz="0" w:space="0" w:color="auto"/>
      </w:divBdr>
    </w:div>
    <w:div w:id="1173766195">
      <w:bodyDiv w:val="1"/>
      <w:marLeft w:val="0"/>
      <w:marRight w:val="0"/>
      <w:marTop w:val="0"/>
      <w:marBottom w:val="0"/>
      <w:divBdr>
        <w:top w:val="none" w:sz="0" w:space="0" w:color="auto"/>
        <w:left w:val="none" w:sz="0" w:space="0" w:color="auto"/>
        <w:bottom w:val="none" w:sz="0" w:space="0" w:color="auto"/>
        <w:right w:val="none" w:sz="0" w:space="0" w:color="auto"/>
      </w:divBdr>
    </w:div>
    <w:div w:id="1177769509">
      <w:bodyDiv w:val="1"/>
      <w:marLeft w:val="0"/>
      <w:marRight w:val="0"/>
      <w:marTop w:val="0"/>
      <w:marBottom w:val="0"/>
      <w:divBdr>
        <w:top w:val="none" w:sz="0" w:space="0" w:color="auto"/>
        <w:left w:val="none" w:sz="0" w:space="0" w:color="auto"/>
        <w:bottom w:val="none" w:sz="0" w:space="0" w:color="auto"/>
        <w:right w:val="none" w:sz="0" w:space="0" w:color="auto"/>
      </w:divBdr>
      <w:divsChild>
        <w:div w:id="573855578">
          <w:marLeft w:val="547"/>
          <w:marRight w:val="0"/>
          <w:marTop w:val="120"/>
          <w:marBottom w:val="120"/>
          <w:divBdr>
            <w:top w:val="none" w:sz="0" w:space="0" w:color="auto"/>
            <w:left w:val="none" w:sz="0" w:space="0" w:color="auto"/>
            <w:bottom w:val="none" w:sz="0" w:space="0" w:color="auto"/>
            <w:right w:val="none" w:sz="0" w:space="0" w:color="auto"/>
          </w:divBdr>
        </w:div>
        <w:div w:id="810756492">
          <w:marLeft w:val="547"/>
          <w:marRight w:val="0"/>
          <w:marTop w:val="120"/>
          <w:marBottom w:val="120"/>
          <w:divBdr>
            <w:top w:val="none" w:sz="0" w:space="0" w:color="auto"/>
            <w:left w:val="none" w:sz="0" w:space="0" w:color="auto"/>
            <w:bottom w:val="none" w:sz="0" w:space="0" w:color="auto"/>
            <w:right w:val="none" w:sz="0" w:space="0" w:color="auto"/>
          </w:divBdr>
        </w:div>
        <w:div w:id="1024283232">
          <w:marLeft w:val="547"/>
          <w:marRight w:val="0"/>
          <w:marTop w:val="120"/>
          <w:marBottom w:val="120"/>
          <w:divBdr>
            <w:top w:val="none" w:sz="0" w:space="0" w:color="auto"/>
            <w:left w:val="none" w:sz="0" w:space="0" w:color="auto"/>
            <w:bottom w:val="none" w:sz="0" w:space="0" w:color="auto"/>
            <w:right w:val="none" w:sz="0" w:space="0" w:color="auto"/>
          </w:divBdr>
        </w:div>
        <w:div w:id="1719933542">
          <w:marLeft w:val="547"/>
          <w:marRight w:val="0"/>
          <w:marTop w:val="120"/>
          <w:marBottom w:val="120"/>
          <w:divBdr>
            <w:top w:val="none" w:sz="0" w:space="0" w:color="auto"/>
            <w:left w:val="none" w:sz="0" w:space="0" w:color="auto"/>
            <w:bottom w:val="none" w:sz="0" w:space="0" w:color="auto"/>
            <w:right w:val="none" w:sz="0" w:space="0" w:color="auto"/>
          </w:divBdr>
        </w:div>
        <w:div w:id="2071154107">
          <w:marLeft w:val="547"/>
          <w:marRight w:val="0"/>
          <w:marTop w:val="120"/>
          <w:marBottom w:val="120"/>
          <w:divBdr>
            <w:top w:val="none" w:sz="0" w:space="0" w:color="auto"/>
            <w:left w:val="none" w:sz="0" w:space="0" w:color="auto"/>
            <w:bottom w:val="none" w:sz="0" w:space="0" w:color="auto"/>
            <w:right w:val="none" w:sz="0" w:space="0" w:color="auto"/>
          </w:divBdr>
        </w:div>
      </w:divsChild>
    </w:div>
    <w:div w:id="1180042259">
      <w:bodyDiv w:val="1"/>
      <w:marLeft w:val="0"/>
      <w:marRight w:val="0"/>
      <w:marTop w:val="0"/>
      <w:marBottom w:val="0"/>
      <w:divBdr>
        <w:top w:val="none" w:sz="0" w:space="0" w:color="auto"/>
        <w:left w:val="none" w:sz="0" w:space="0" w:color="auto"/>
        <w:bottom w:val="none" w:sz="0" w:space="0" w:color="auto"/>
        <w:right w:val="none" w:sz="0" w:space="0" w:color="auto"/>
      </w:divBdr>
    </w:div>
    <w:div w:id="1180849179">
      <w:bodyDiv w:val="1"/>
      <w:marLeft w:val="0"/>
      <w:marRight w:val="0"/>
      <w:marTop w:val="0"/>
      <w:marBottom w:val="0"/>
      <w:divBdr>
        <w:top w:val="none" w:sz="0" w:space="0" w:color="auto"/>
        <w:left w:val="none" w:sz="0" w:space="0" w:color="auto"/>
        <w:bottom w:val="none" w:sz="0" w:space="0" w:color="auto"/>
        <w:right w:val="none" w:sz="0" w:space="0" w:color="auto"/>
      </w:divBdr>
    </w:div>
    <w:div w:id="1218056407">
      <w:bodyDiv w:val="1"/>
      <w:marLeft w:val="0"/>
      <w:marRight w:val="0"/>
      <w:marTop w:val="0"/>
      <w:marBottom w:val="0"/>
      <w:divBdr>
        <w:top w:val="none" w:sz="0" w:space="0" w:color="auto"/>
        <w:left w:val="none" w:sz="0" w:space="0" w:color="auto"/>
        <w:bottom w:val="none" w:sz="0" w:space="0" w:color="auto"/>
        <w:right w:val="none" w:sz="0" w:space="0" w:color="auto"/>
      </w:divBdr>
    </w:div>
    <w:div w:id="1219589619">
      <w:bodyDiv w:val="1"/>
      <w:marLeft w:val="0"/>
      <w:marRight w:val="0"/>
      <w:marTop w:val="0"/>
      <w:marBottom w:val="0"/>
      <w:divBdr>
        <w:top w:val="none" w:sz="0" w:space="0" w:color="auto"/>
        <w:left w:val="none" w:sz="0" w:space="0" w:color="auto"/>
        <w:bottom w:val="none" w:sz="0" w:space="0" w:color="auto"/>
        <w:right w:val="none" w:sz="0" w:space="0" w:color="auto"/>
      </w:divBdr>
    </w:div>
    <w:div w:id="1246842142">
      <w:bodyDiv w:val="1"/>
      <w:marLeft w:val="0"/>
      <w:marRight w:val="0"/>
      <w:marTop w:val="0"/>
      <w:marBottom w:val="0"/>
      <w:divBdr>
        <w:top w:val="none" w:sz="0" w:space="0" w:color="auto"/>
        <w:left w:val="none" w:sz="0" w:space="0" w:color="auto"/>
        <w:bottom w:val="none" w:sz="0" w:space="0" w:color="auto"/>
        <w:right w:val="none" w:sz="0" w:space="0" w:color="auto"/>
      </w:divBdr>
    </w:div>
    <w:div w:id="1269659892">
      <w:bodyDiv w:val="1"/>
      <w:marLeft w:val="0"/>
      <w:marRight w:val="0"/>
      <w:marTop w:val="0"/>
      <w:marBottom w:val="0"/>
      <w:divBdr>
        <w:top w:val="none" w:sz="0" w:space="0" w:color="auto"/>
        <w:left w:val="none" w:sz="0" w:space="0" w:color="auto"/>
        <w:bottom w:val="none" w:sz="0" w:space="0" w:color="auto"/>
        <w:right w:val="none" w:sz="0" w:space="0" w:color="auto"/>
      </w:divBdr>
    </w:div>
    <w:div w:id="1271083504">
      <w:bodyDiv w:val="1"/>
      <w:marLeft w:val="0"/>
      <w:marRight w:val="0"/>
      <w:marTop w:val="0"/>
      <w:marBottom w:val="0"/>
      <w:divBdr>
        <w:top w:val="none" w:sz="0" w:space="0" w:color="auto"/>
        <w:left w:val="none" w:sz="0" w:space="0" w:color="auto"/>
        <w:bottom w:val="none" w:sz="0" w:space="0" w:color="auto"/>
        <w:right w:val="none" w:sz="0" w:space="0" w:color="auto"/>
      </w:divBdr>
    </w:div>
    <w:div w:id="1273703859">
      <w:bodyDiv w:val="1"/>
      <w:marLeft w:val="0"/>
      <w:marRight w:val="0"/>
      <w:marTop w:val="0"/>
      <w:marBottom w:val="0"/>
      <w:divBdr>
        <w:top w:val="none" w:sz="0" w:space="0" w:color="auto"/>
        <w:left w:val="none" w:sz="0" w:space="0" w:color="auto"/>
        <w:bottom w:val="none" w:sz="0" w:space="0" w:color="auto"/>
        <w:right w:val="none" w:sz="0" w:space="0" w:color="auto"/>
      </w:divBdr>
      <w:divsChild>
        <w:div w:id="20859237">
          <w:marLeft w:val="446"/>
          <w:marRight w:val="0"/>
          <w:marTop w:val="120"/>
          <w:marBottom w:val="240"/>
          <w:divBdr>
            <w:top w:val="none" w:sz="0" w:space="0" w:color="auto"/>
            <w:left w:val="none" w:sz="0" w:space="0" w:color="auto"/>
            <w:bottom w:val="none" w:sz="0" w:space="0" w:color="auto"/>
            <w:right w:val="none" w:sz="0" w:space="0" w:color="auto"/>
          </w:divBdr>
        </w:div>
      </w:divsChild>
    </w:div>
    <w:div w:id="1318267177">
      <w:bodyDiv w:val="1"/>
      <w:marLeft w:val="0"/>
      <w:marRight w:val="0"/>
      <w:marTop w:val="0"/>
      <w:marBottom w:val="0"/>
      <w:divBdr>
        <w:top w:val="none" w:sz="0" w:space="0" w:color="auto"/>
        <w:left w:val="none" w:sz="0" w:space="0" w:color="auto"/>
        <w:bottom w:val="none" w:sz="0" w:space="0" w:color="auto"/>
        <w:right w:val="none" w:sz="0" w:space="0" w:color="auto"/>
      </w:divBdr>
      <w:divsChild>
        <w:div w:id="1261450986">
          <w:blockQuote w:val="1"/>
          <w:marLeft w:val="0"/>
          <w:marRight w:val="0"/>
          <w:marTop w:val="0"/>
          <w:marBottom w:val="0"/>
          <w:divBdr>
            <w:top w:val="none" w:sz="0" w:space="0" w:color="auto"/>
            <w:left w:val="none" w:sz="0" w:space="0" w:color="auto"/>
            <w:bottom w:val="none" w:sz="0" w:space="0" w:color="auto"/>
            <w:right w:val="none" w:sz="0" w:space="0" w:color="auto"/>
          </w:divBdr>
          <w:divsChild>
            <w:div w:id="372274566">
              <w:blockQuote w:val="1"/>
              <w:marLeft w:val="0"/>
              <w:marRight w:val="0"/>
              <w:marTop w:val="0"/>
              <w:marBottom w:val="0"/>
              <w:divBdr>
                <w:top w:val="none" w:sz="0" w:space="0" w:color="auto"/>
                <w:left w:val="none" w:sz="0" w:space="0" w:color="auto"/>
                <w:bottom w:val="none" w:sz="0" w:space="0" w:color="auto"/>
                <w:right w:val="none" w:sz="0" w:space="0" w:color="auto"/>
              </w:divBdr>
              <w:divsChild>
                <w:div w:id="289286044">
                  <w:blockQuote w:val="1"/>
                  <w:marLeft w:val="0"/>
                  <w:marRight w:val="0"/>
                  <w:marTop w:val="0"/>
                  <w:marBottom w:val="0"/>
                  <w:divBdr>
                    <w:top w:val="none" w:sz="0" w:space="0" w:color="auto"/>
                    <w:left w:val="none" w:sz="0" w:space="0" w:color="auto"/>
                    <w:bottom w:val="none" w:sz="0" w:space="0" w:color="auto"/>
                    <w:right w:val="none" w:sz="0" w:space="0" w:color="auto"/>
                  </w:divBdr>
                  <w:divsChild>
                    <w:div w:id="146219359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920404">
      <w:bodyDiv w:val="1"/>
      <w:marLeft w:val="0"/>
      <w:marRight w:val="0"/>
      <w:marTop w:val="0"/>
      <w:marBottom w:val="0"/>
      <w:divBdr>
        <w:top w:val="none" w:sz="0" w:space="0" w:color="auto"/>
        <w:left w:val="none" w:sz="0" w:space="0" w:color="auto"/>
        <w:bottom w:val="none" w:sz="0" w:space="0" w:color="auto"/>
        <w:right w:val="none" w:sz="0" w:space="0" w:color="auto"/>
      </w:divBdr>
    </w:div>
    <w:div w:id="1329408283">
      <w:bodyDiv w:val="1"/>
      <w:marLeft w:val="0"/>
      <w:marRight w:val="0"/>
      <w:marTop w:val="0"/>
      <w:marBottom w:val="0"/>
      <w:divBdr>
        <w:top w:val="none" w:sz="0" w:space="0" w:color="auto"/>
        <w:left w:val="none" w:sz="0" w:space="0" w:color="auto"/>
        <w:bottom w:val="none" w:sz="0" w:space="0" w:color="auto"/>
        <w:right w:val="none" w:sz="0" w:space="0" w:color="auto"/>
      </w:divBdr>
    </w:div>
    <w:div w:id="1330908500">
      <w:bodyDiv w:val="1"/>
      <w:marLeft w:val="0"/>
      <w:marRight w:val="0"/>
      <w:marTop w:val="0"/>
      <w:marBottom w:val="0"/>
      <w:divBdr>
        <w:top w:val="none" w:sz="0" w:space="0" w:color="auto"/>
        <w:left w:val="none" w:sz="0" w:space="0" w:color="auto"/>
        <w:bottom w:val="none" w:sz="0" w:space="0" w:color="auto"/>
        <w:right w:val="none" w:sz="0" w:space="0" w:color="auto"/>
      </w:divBdr>
      <w:divsChild>
        <w:div w:id="1502937300">
          <w:marLeft w:val="446"/>
          <w:marRight w:val="0"/>
          <w:marTop w:val="120"/>
          <w:marBottom w:val="240"/>
          <w:divBdr>
            <w:top w:val="none" w:sz="0" w:space="0" w:color="auto"/>
            <w:left w:val="none" w:sz="0" w:space="0" w:color="auto"/>
            <w:bottom w:val="none" w:sz="0" w:space="0" w:color="auto"/>
            <w:right w:val="none" w:sz="0" w:space="0" w:color="auto"/>
          </w:divBdr>
        </w:div>
      </w:divsChild>
    </w:div>
    <w:div w:id="1330908741">
      <w:bodyDiv w:val="1"/>
      <w:marLeft w:val="0"/>
      <w:marRight w:val="0"/>
      <w:marTop w:val="0"/>
      <w:marBottom w:val="0"/>
      <w:divBdr>
        <w:top w:val="none" w:sz="0" w:space="0" w:color="auto"/>
        <w:left w:val="none" w:sz="0" w:space="0" w:color="auto"/>
        <w:bottom w:val="none" w:sz="0" w:space="0" w:color="auto"/>
        <w:right w:val="none" w:sz="0" w:space="0" w:color="auto"/>
      </w:divBdr>
    </w:div>
    <w:div w:id="1344622921">
      <w:bodyDiv w:val="1"/>
      <w:marLeft w:val="0"/>
      <w:marRight w:val="0"/>
      <w:marTop w:val="0"/>
      <w:marBottom w:val="0"/>
      <w:divBdr>
        <w:top w:val="none" w:sz="0" w:space="0" w:color="auto"/>
        <w:left w:val="none" w:sz="0" w:space="0" w:color="auto"/>
        <w:bottom w:val="none" w:sz="0" w:space="0" w:color="auto"/>
        <w:right w:val="none" w:sz="0" w:space="0" w:color="auto"/>
      </w:divBdr>
    </w:div>
    <w:div w:id="1367216685">
      <w:bodyDiv w:val="1"/>
      <w:marLeft w:val="0"/>
      <w:marRight w:val="0"/>
      <w:marTop w:val="0"/>
      <w:marBottom w:val="0"/>
      <w:divBdr>
        <w:top w:val="none" w:sz="0" w:space="0" w:color="auto"/>
        <w:left w:val="none" w:sz="0" w:space="0" w:color="auto"/>
        <w:bottom w:val="none" w:sz="0" w:space="0" w:color="auto"/>
        <w:right w:val="none" w:sz="0" w:space="0" w:color="auto"/>
      </w:divBdr>
    </w:div>
    <w:div w:id="1382359432">
      <w:bodyDiv w:val="1"/>
      <w:marLeft w:val="0"/>
      <w:marRight w:val="0"/>
      <w:marTop w:val="0"/>
      <w:marBottom w:val="0"/>
      <w:divBdr>
        <w:top w:val="none" w:sz="0" w:space="0" w:color="auto"/>
        <w:left w:val="none" w:sz="0" w:space="0" w:color="auto"/>
        <w:bottom w:val="none" w:sz="0" w:space="0" w:color="auto"/>
        <w:right w:val="none" w:sz="0" w:space="0" w:color="auto"/>
      </w:divBdr>
    </w:div>
    <w:div w:id="1389839438">
      <w:bodyDiv w:val="1"/>
      <w:marLeft w:val="0"/>
      <w:marRight w:val="0"/>
      <w:marTop w:val="0"/>
      <w:marBottom w:val="0"/>
      <w:divBdr>
        <w:top w:val="none" w:sz="0" w:space="0" w:color="auto"/>
        <w:left w:val="none" w:sz="0" w:space="0" w:color="auto"/>
        <w:bottom w:val="none" w:sz="0" w:space="0" w:color="auto"/>
        <w:right w:val="none" w:sz="0" w:space="0" w:color="auto"/>
      </w:divBdr>
    </w:div>
    <w:div w:id="1406565959">
      <w:bodyDiv w:val="1"/>
      <w:marLeft w:val="0"/>
      <w:marRight w:val="0"/>
      <w:marTop w:val="0"/>
      <w:marBottom w:val="0"/>
      <w:divBdr>
        <w:top w:val="none" w:sz="0" w:space="0" w:color="auto"/>
        <w:left w:val="none" w:sz="0" w:space="0" w:color="auto"/>
        <w:bottom w:val="none" w:sz="0" w:space="0" w:color="auto"/>
        <w:right w:val="none" w:sz="0" w:space="0" w:color="auto"/>
      </w:divBdr>
    </w:div>
    <w:div w:id="1407456469">
      <w:bodyDiv w:val="1"/>
      <w:marLeft w:val="0"/>
      <w:marRight w:val="0"/>
      <w:marTop w:val="0"/>
      <w:marBottom w:val="0"/>
      <w:divBdr>
        <w:top w:val="none" w:sz="0" w:space="0" w:color="auto"/>
        <w:left w:val="none" w:sz="0" w:space="0" w:color="auto"/>
        <w:bottom w:val="none" w:sz="0" w:space="0" w:color="auto"/>
        <w:right w:val="none" w:sz="0" w:space="0" w:color="auto"/>
      </w:divBdr>
    </w:div>
    <w:div w:id="1418399803">
      <w:bodyDiv w:val="1"/>
      <w:marLeft w:val="0"/>
      <w:marRight w:val="0"/>
      <w:marTop w:val="0"/>
      <w:marBottom w:val="0"/>
      <w:divBdr>
        <w:top w:val="none" w:sz="0" w:space="0" w:color="auto"/>
        <w:left w:val="none" w:sz="0" w:space="0" w:color="auto"/>
        <w:bottom w:val="none" w:sz="0" w:space="0" w:color="auto"/>
        <w:right w:val="none" w:sz="0" w:space="0" w:color="auto"/>
      </w:divBdr>
      <w:divsChild>
        <w:div w:id="977076517">
          <w:marLeft w:val="288"/>
          <w:marRight w:val="0"/>
          <w:marTop w:val="0"/>
          <w:marBottom w:val="0"/>
          <w:divBdr>
            <w:top w:val="none" w:sz="0" w:space="0" w:color="auto"/>
            <w:left w:val="none" w:sz="0" w:space="0" w:color="auto"/>
            <w:bottom w:val="none" w:sz="0" w:space="0" w:color="auto"/>
            <w:right w:val="none" w:sz="0" w:space="0" w:color="auto"/>
          </w:divBdr>
        </w:div>
        <w:div w:id="1017578473">
          <w:marLeft w:val="288"/>
          <w:marRight w:val="0"/>
          <w:marTop w:val="0"/>
          <w:marBottom w:val="0"/>
          <w:divBdr>
            <w:top w:val="none" w:sz="0" w:space="0" w:color="auto"/>
            <w:left w:val="none" w:sz="0" w:space="0" w:color="auto"/>
            <w:bottom w:val="none" w:sz="0" w:space="0" w:color="auto"/>
            <w:right w:val="none" w:sz="0" w:space="0" w:color="auto"/>
          </w:divBdr>
        </w:div>
        <w:div w:id="1277639204">
          <w:marLeft w:val="288"/>
          <w:marRight w:val="0"/>
          <w:marTop w:val="0"/>
          <w:marBottom w:val="0"/>
          <w:divBdr>
            <w:top w:val="none" w:sz="0" w:space="0" w:color="auto"/>
            <w:left w:val="none" w:sz="0" w:space="0" w:color="auto"/>
            <w:bottom w:val="none" w:sz="0" w:space="0" w:color="auto"/>
            <w:right w:val="none" w:sz="0" w:space="0" w:color="auto"/>
          </w:divBdr>
        </w:div>
        <w:div w:id="1669140583">
          <w:marLeft w:val="288"/>
          <w:marRight w:val="0"/>
          <w:marTop w:val="0"/>
          <w:marBottom w:val="0"/>
          <w:divBdr>
            <w:top w:val="none" w:sz="0" w:space="0" w:color="auto"/>
            <w:left w:val="none" w:sz="0" w:space="0" w:color="auto"/>
            <w:bottom w:val="none" w:sz="0" w:space="0" w:color="auto"/>
            <w:right w:val="none" w:sz="0" w:space="0" w:color="auto"/>
          </w:divBdr>
        </w:div>
      </w:divsChild>
    </w:div>
    <w:div w:id="1419250426">
      <w:bodyDiv w:val="1"/>
      <w:marLeft w:val="0"/>
      <w:marRight w:val="0"/>
      <w:marTop w:val="0"/>
      <w:marBottom w:val="0"/>
      <w:divBdr>
        <w:top w:val="none" w:sz="0" w:space="0" w:color="auto"/>
        <w:left w:val="none" w:sz="0" w:space="0" w:color="auto"/>
        <w:bottom w:val="none" w:sz="0" w:space="0" w:color="auto"/>
        <w:right w:val="none" w:sz="0" w:space="0" w:color="auto"/>
      </w:divBdr>
    </w:div>
    <w:div w:id="1420367651">
      <w:bodyDiv w:val="1"/>
      <w:marLeft w:val="0"/>
      <w:marRight w:val="0"/>
      <w:marTop w:val="0"/>
      <w:marBottom w:val="0"/>
      <w:divBdr>
        <w:top w:val="none" w:sz="0" w:space="0" w:color="auto"/>
        <w:left w:val="none" w:sz="0" w:space="0" w:color="auto"/>
        <w:bottom w:val="none" w:sz="0" w:space="0" w:color="auto"/>
        <w:right w:val="none" w:sz="0" w:space="0" w:color="auto"/>
      </w:divBdr>
    </w:div>
    <w:div w:id="1431896945">
      <w:bodyDiv w:val="1"/>
      <w:marLeft w:val="0"/>
      <w:marRight w:val="0"/>
      <w:marTop w:val="0"/>
      <w:marBottom w:val="0"/>
      <w:divBdr>
        <w:top w:val="none" w:sz="0" w:space="0" w:color="auto"/>
        <w:left w:val="none" w:sz="0" w:space="0" w:color="auto"/>
        <w:bottom w:val="none" w:sz="0" w:space="0" w:color="auto"/>
        <w:right w:val="none" w:sz="0" w:space="0" w:color="auto"/>
      </w:divBdr>
    </w:div>
    <w:div w:id="1434856735">
      <w:bodyDiv w:val="1"/>
      <w:marLeft w:val="0"/>
      <w:marRight w:val="0"/>
      <w:marTop w:val="0"/>
      <w:marBottom w:val="0"/>
      <w:divBdr>
        <w:top w:val="none" w:sz="0" w:space="0" w:color="auto"/>
        <w:left w:val="none" w:sz="0" w:space="0" w:color="auto"/>
        <w:bottom w:val="none" w:sz="0" w:space="0" w:color="auto"/>
        <w:right w:val="none" w:sz="0" w:space="0" w:color="auto"/>
      </w:divBdr>
    </w:div>
    <w:div w:id="1457018953">
      <w:bodyDiv w:val="1"/>
      <w:marLeft w:val="0"/>
      <w:marRight w:val="0"/>
      <w:marTop w:val="0"/>
      <w:marBottom w:val="0"/>
      <w:divBdr>
        <w:top w:val="none" w:sz="0" w:space="0" w:color="auto"/>
        <w:left w:val="none" w:sz="0" w:space="0" w:color="auto"/>
        <w:bottom w:val="none" w:sz="0" w:space="0" w:color="auto"/>
        <w:right w:val="none" w:sz="0" w:space="0" w:color="auto"/>
      </w:divBdr>
      <w:divsChild>
        <w:div w:id="13924296">
          <w:marLeft w:val="274"/>
          <w:marRight w:val="0"/>
          <w:marTop w:val="0"/>
          <w:marBottom w:val="0"/>
          <w:divBdr>
            <w:top w:val="none" w:sz="0" w:space="0" w:color="auto"/>
            <w:left w:val="none" w:sz="0" w:space="0" w:color="auto"/>
            <w:bottom w:val="none" w:sz="0" w:space="0" w:color="auto"/>
            <w:right w:val="none" w:sz="0" w:space="0" w:color="auto"/>
          </w:divBdr>
        </w:div>
      </w:divsChild>
    </w:div>
    <w:div w:id="1473018863">
      <w:bodyDiv w:val="1"/>
      <w:marLeft w:val="0"/>
      <w:marRight w:val="0"/>
      <w:marTop w:val="0"/>
      <w:marBottom w:val="0"/>
      <w:divBdr>
        <w:top w:val="none" w:sz="0" w:space="0" w:color="auto"/>
        <w:left w:val="none" w:sz="0" w:space="0" w:color="auto"/>
        <w:bottom w:val="none" w:sz="0" w:space="0" w:color="auto"/>
        <w:right w:val="none" w:sz="0" w:space="0" w:color="auto"/>
      </w:divBdr>
    </w:div>
    <w:div w:id="1529030226">
      <w:bodyDiv w:val="1"/>
      <w:marLeft w:val="0"/>
      <w:marRight w:val="0"/>
      <w:marTop w:val="0"/>
      <w:marBottom w:val="0"/>
      <w:divBdr>
        <w:top w:val="none" w:sz="0" w:space="0" w:color="auto"/>
        <w:left w:val="none" w:sz="0" w:space="0" w:color="auto"/>
        <w:bottom w:val="none" w:sz="0" w:space="0" w:color="auto"/>
        <w:right w:val="none" w:sz="0" w:space="0" w:color="auto"/>
      </w:divBdr>
    </w:div>
    <w:div w:id="1532838204">
      <w:bodyDiv w:val="1"/>
      <w:marLeft w:val="0"/>
      <w:marRight w:val="0"/>
      <w:marTop w:val="0"/>
      <w:marBottom w:val="0"/>
      <w:divBdr>
        <w:top w:val="none" w:sz="0" w:space="0" w:color="auto"/>
        <w:left w:val="none" w:sz="0" w:space="0" w:color="auto"/>
        <w:bottom w:val="none" w:sz="0" w:space="0" w:color="auto"/>
        <w:right w:val="none" w:sz="0" w:space="0" w:color="auto"/>
      </w:divBdr>
    </w:div>
    <w:div w:id="1537351199">
      <w:bodyDiv w:val="1"/>
      <w:marLeft w:val="0"/>
      <w:marRight w:val="0"/>
      <w:marTop w:val="0"/>
      <w:marBottom w:val="0"/>
      <w:divBdr>
        <w:top w:val="none" w:sz="0" w:space="0" w:color="auto"/>
        <w:left w:val="none" w:sz="0" w:space="0" w:color="auto"/>
        <w:bottom w:val="none" w:sz="0" w:space="0" w:color="auto"/>
        <w:right w:val="none" w:sz="0" w:space="0" w:color="auto"/>
      </w:divBdr>
    </w:div>
    <w:div w:id="1543784554">
      <w:bodyDiv w:val="1"/>
      <w:marLeft w:val="0"/>
      <w:marRight w:val="0"/>
      <w:marTop w:val="0"/>
      <w:marBottom w:val="0"/>
      <w:divBdr>
        <w:top w:val="none" w:sz="0" w:space="0" w:color="auto"/>
        <w:left w:val="none" w:sz="0" w:space="0" w:color="auto"/>
        <w:bottom w:val="none" w:sz="0" w:space="0" w:color="auto"/>
        <w:right w:val="none" w:sz="0" w:space="0" w:color="auto"/>
      </w:divBdr>
    </w:div>
    <w:div w:id="1560246663">
      <w:bodyDiv w:val="1"/>
      <w:marLeft w:val="0"/>
      <w:marRight w:val="0"/>
      <w:marTop w:val="0"/>
      <w:marBottom w:val="0"/>
      <w:divBdr>
        <w:top w:val="none" w:sz="0" w:space="0" w:color="auto"/>
        <w:left w:val="none" w:sz="0" w:space="0" w:color="auto"/>
        <w:bottom w:val="none" w:sz="0" w:space="0" w:color="auto"/>
        <w:right w:val="none" w:sz="0" w:space="0" w:color="auto"/>
      </w:divBdr>
    </w:div>
    <w:div w:id="1561092470">
      <w:bodyDiv w:val="1"/>
      <w:marLeft w:val="0"/>
      <w:marRight w:val="0"/>
      <w:marTop w:val="0"/>
      <w:marBottom w:val="0"/>
      <w:divBdr>
        <w:top w:val="none" w:sz="0" w:space="0" w:color="auto"/>
        <w:left w:val="none" w:sz="0" w:space="0" w:color="auto"/>
        <w:bottom w:val="none" w:sz="0" w:space="0" w:color="auto"/>
        <w:right w:val="none" w:sz="0" w:space="0" w:color="auto"/>
      </w:divBdr>
      <w:divsChild>
        <w:div w:id="897057519">
          <w:marLeft w:val="446"/>
          <w:marRight w:val="0"/>
          <w:marTop w:val="0"/>
          <w:marBottom w:val="0"/>
          <w:divBdr>
            <w:top w:val="none" w:sz="0" w:space="0" w:color="auto"/>
            <w:left w:val="none" w:sz="0" w:space="0" w:color="auto"/>
            <w:bottom w:val="none" w:sz="0" w:space="0" w:color="auto"/>
            <w:right w:val="none" w:sz="0" w:space="0" w:color="auto"/>
          </w:divBdr>
        </w:div>
        <w:div w:id="1342898349">
          <w:marLeft w:val="446"/>
          <w:marRight w:val="0"/>
          <w:marTop w:val="0"/>
          <w:marBottom w:val="0"/>
          <w:divBdr>
            <w:top w:val="none" w:sz="0" w:space="0" w:color="auto"/>
            <w:left w:val="none" w:sz="0" w:space="0" w:color="auto"/>
            <w:bottom w:val="none" w:sz="0" w:space="0" w:color="auto"/>
            <w:right w:val="none" w:sz="0" w:space="0" w:color="auto"/>
          </w:divBdr>
        </w:div>
      </w:divsChild>
    </w:div>
    <w:div w:id="1562324407">
      <w:bodyDiv w:val="1"/>
      <w:marLeft w:val="0"/>
      <w:marRight w:val="0"/>
      <w:marTop w:val="0"/>
      <w:marBottom w:val="0"/>
      <w:divBdr>
        <w:top w:val="none" w:sz="0" w:space="0" w:color="auto"/>
        <w:left w:val="none" w:sz="0" w:space="0" w:color="auto"/>
        <w:bottom w:val="none" w:sz="0" w:space="0" w:color="auto"/>
        <w:right w:val="none" w:sz="0" w:space="0" w:color="auto"/>
      </w:divBdr>
    </w:div>
    <w:div w:id="1565221332">
      <w:bodyDiv w:val="1"/>
      <w:marLeft w:val="0"/>
      <w:marRight w:val="0"/>
      <w:marTop w:val="0"/>
      <w:marBottom w:val="0"/>
      <w:divBdr>
        <w:top w:val="none" w:sz="0" w:space="0" w:color="auto"/>
        <w:left w:val="none" w:sz="0" w:space="0" w:color="auto"/>
        <w:bottom w:val="none" w:sz="0" w:space="0" w:color="auto"/>
        <w:right w:val="none" w:sz="0" w:space="0" w:color="auto"/>
      </w:divBdr>
    </w:div>
    <w:div w:id="1571386800">
      <w:bodyDiv w:val="1"/>
      <w:marLeft w:val="0"/>
      <w:marRight w:val="0"/>
      <w:marTop w:val="0"/>
      <w:marBottom w:val="0"/>
      <w:divBdr>
        <w:top w:val="none" w:sz="0" w:space="0" w:color="auto"/>
        <w:left w:val="none" w:sz="0" w:space="0" w:color="auto"/>
        <w:bottom w:val="none" w:sz="0" w:space="0" w:color="auto"/>
        <w:right w:val="none" w:sz="0" w:space="0" w:color="auto"/>
      </w:divBdr>
    </w:div>
    <w:div w:id="1573732850">
      <w:bodyDiv w:val="1"/>
      <w:marLeft w:val="0"/>
      <w:marRight w:val="0"/>
      <w:marTop w:val="0"/>
      <w:marBottom w:val="0"/>
      <w:divBdr>
        <w:top w:val="none" w:sz="0" w:space="0" w:color="auto"/>
        <w:left w:val="none" w:sz="0" w:space="0" w:color="auto"/>
        <w:bottom w:val="none" w:sz="0" w:space="0" w:color="auto"/>
        <w:right w:val="none" w:sz="0" w:space="0" w:color="auto"/>
      </w:divBdr>
      <w:divsChild>
        <w:div w:id="291330614">
          <w:marLeft w:val="446"/>
          <w:marRight w:val="0"/>
          <w:marTop w:val="0"/>
          <w:marBottom w:val="0"/>
          <w:divBdr>
            <w:top w:val="none" w:sz="0" w:space="0" w:color="auto"/>
            <w:left w:val="none" w:sz="0" w:space="0" w:color="auto"/>
            <w:bottom w:val="none" w:sz="0" w:space="0" w:color="auto"/>
            <w:right w:val="none" w:sz="0" w:space="0" w:color="auto"/>
          </w:divBdr>
        </w:div>
        <w:div w:id="1164591368">
          <w:marLeft w:val="446"/>
          <w:marRight w:val="0"/>
          <w:marTop w:val="0"/>
          <w:marBottom w:val="0"/>
          <w:divBdr>
            <w:top w:val="none" w:sz="0" w:space="0" w:color="auto"/>
            <w:left w:val="none" w:sz="0" w:space="0" w:color="auto"/>
            <w:bottom w:val="none" w:sz="0" w:space="0" w:color="auto"/>
            <w:right w:val="none" w:sz="0" w:space="0" w:color="auto"/>
          </w:divBdr>
        </w:div>
        <w:div w:id="1481575762">
          <w:marLeft w:val="446"/>
          <w:marRight w:val="0"/>
          <w:marTop w:val="0"/>
          <w:marBottom w:val="0"/>
          <w:divBdr>
            <w:top w:val="none" w:sz="0" w:space="0" w:color="auto"/>
            <w:left w:val="none" w:sz="0" w:space="0" w:color="auto"/>
            <w:bottom w:val="none" w:sz="0" w:space="0" w:color="auto"/>
            <w:right w:val="none" w:sz="0" w:space="0" w:color="auto"/>
          </w:divBdr>
        </w:div>
        <w:div w:id="1976593199">
          <w:marLeft w:val="446"/>
          <w:marRight w:val="0"/>
          <w:marTop w:val="0"/>
          <w:marBottom w:val="0"/>
          <w:divBdr>
            <w:top w:val="none" w:sz="0" w:space="0" w:color="auto"/>
            <w:left w:val="none" w:sz="0" w:space="0" w:color="auto"/>
            <w:bottom w:val="none" w:sz="0" w:space="0" w:color="auto"/>
            <w:right w:val="none" w:sz="0" w:space="0" w:color="auto"/>
          </w:divBdr>
        </w:div>
        <w:div w:id="2067876857">
          <w:marLeft w:val="446"/>
          <w:marRight w:val="0"/>
          <w:marTop w:val="0"/>
          <w:marBottom w:val="0"/>
          <w:divBdr>
            <w:top w:val="none" w:sz="0" w:space="0" w:color="auto"/>
            <w:left w:val="none" w:sz="0" w:space="0" w:color="auto"/>
            <w:bottom w:val="none" w:sz="0" w:space="0" w:color="auto"/>
            <w:right w:val="none" w:sz="0" w:space="0" w:color="auto"/>
          </w:divBdr>
        </w:div>
        <w:div w:id="2135362044">
          <w:marLeft w:val="446"/>
          <w:marRight w:val="0"/>
          <w:marTop w:val="0"/>
          <w:marBottom w:val="0"/>
          <w:divBdr>
            <w:top w:val="none" w:sz="0" w:space="0" w:color="auto"/>
            <w:left w:val="none" w:sz="0" w:space="0" w:color="auto"/>
            <w:bottom w:val="none" w:sz="0" w:space="0" w:color="auto"/>
            <w:right w:val="none" w:sz="0" w:space="0" w:color="auto"/>
          </w:divBdr>
        </w:div>
      </w:divsChild>
    </w:div>
    <w:div w:id="1587180898">
      <w:bodyDiv w:val="1"/>
      <w:marLeft w:val="0"/>
      <w:marRight w:val="0"/>
      <w:marTop w:val="0"/>
      <w:marBottom w:val="0"/>
      <w:divBdr>
        <w:top w:val="none" w:sz="0" w:space="0" w:color="auto"/>
        <w:left w:val="none" w:sz="0" w:space="0" w:color="auto"/>
        <w:bottom w:val="none" w:sz="0" w:space="0" w:color="auto"/>
        <w:right w:val="none" w:sz="0" w:space="0" w:color="auto"/>
      </w:divBdr>
    </w:div>
    <w:div w:id="1615285458">
      <w:bodyDiv w:val="1"/>
      <w:marLeft w:val="0"/>
      <w:marRight w:val="0"/>
      <w:marTop w:val="0"/>
      <w:marBottom w:val="0"/>
      <w:divBdr>
        <w:top w:val="none" w:sz="0" w:space="0" w:color="auto"/>
        <w:left w:val="none" w:sz="0" w:space="0" w:color="auto"/>
        <w:bottom w:val="none" w:sz="0" w:space="0" w:color="auto"/>
        <w:right w:val="none" w:sz="0" w:space="0" w:color="auto"/>
      </w:divBdr>
    </w:div>
    <w:div w:id="1618902019">
      <w:bodyDiv w:val="1"/>
      <w:marLeft w:val="0"/>
      <w:marRight w:val="0"/>
      <w:marTop w:val="0"/>
      <w:marBottom w:val="0"/>
      <w:divBdr>
        <w:top w:val="none" w:sz="0" w:space="0" w:color="auto"/>
        <w:left w:val="none" w:sz="0" w:space="0" w:color="auto"/>
        <w:bottom w:val="none" w:sz="0" w:space="0" w:color="auto"/>
        <w:right w:val="none" w:sz="0" w:space="0" w:color="auto"/>
      </w:divBdr>
      <w:divsChild>
        <w:div w:id="125005313">
          <w:marLeft w:val="547"/>
          <w:marRight w:val="0"/>
          <w:marTop w:val="120"/>
          <w:marBottom w:val="120"/>
          <w:divBdr>
            <w:top w:val="none" w:sz="0" w:space="0" w:color="auto"/>
            <w:left w:val="none" w:sz="0" w:space="0" w:color="auto"/>
            <w:bottom w:val="none" w:sz="0" w:space="0" w:color="auto"/>
            <w:right w:val="none" w:sz="0" w:space="0" w:color="auto"/>
          </w:divBdr>
        </w:div>
        <w:div w:id="1603341936">
          <w:marLeft w:val="547"/>
          <w:marRight w:val="0"/>
          <w:marTop w:val="120"/>
          <w:marBottom w:val="120"/>
          <w:divBdr>
            <w:top w:val="none" w:sz="0" w:space="0" w:color="auto"/>
            <w:left w:val="none" w:sz="0" w:space="0" w:color="auto"/>
            <w:bottom w:val="none" w:sz="0" w:space="0" w:color="auto"/>
            <w:right w:val="none" w:sz="0" w:space="0" w:color="auto"/>
          </w:divBdr>
        </w:div>
      </w:divsChild>
    </w:div>
    <w:div w:id="1625042980">
      <w:bodyDiv w:val="1"/>
      <w:marLeft w:val="0"/>
      <w:marRight w:val="0"/>
      <w:marTop w:val="0"/>
      <w:marBottom w:val="0"/>
      <w:divBdr>
        <w:top w:val="none" w:sz="0" w:space="0" w:color="auto"/>
        <w:left w:val="none" w:sz="0" w:space="0" w:color="auto"/>
        <w:bottom w:val="none" w:sz="0" w:space="0" w:color="auto"/>
        <w:right w:val="none" w:sz="0" w:space="0" w:color="auto"/>
      </w:divBdr>
    </w:div>
    <w:div w:id="1635871437">
      <w:bodyDiv w:val="1"/>
      <w:marLeft w:val="0"/>
      <w:marRight w:val="0"/>
      <w:marTop w:val="0"/>
      <w:marBottom w:val="0"/>
      <w:divBdr>
        <w:top w:val="none" w:sz="0" w:space="0" w:color="auto"/>
        <w:left w:val="none" w:sz="0" w:space="0" w:color="auto"/>
        <w:bottom w:val="none" w:sz="0" w:space="0" w:color="auto"/>
        <w:right w:val="none" w:sz="0" w:space="0" w:color="auto"/>
      </w:divBdr>
      <w:divsChild>
        <w:div w:id="1118837494">
          <w:marLeft w:val="0"/>
          <w:marRight w:val="0"/>
          <w:marTop w:val="0"/>
          <w:marBottom w:val="0"/>
          <w:divBdr>
            <w:top w:val="none" w:sz="0" w:space="0" w:color="auto"/>
            <w:left w:val="none" w:sz="0" w:space="0" w:color="auto"/>
            <w:bottom w:val="none" w:sz="0" w:space="0" w:color="auto"/>
            <w:right w:val="none" w:sz="0" w:space="0" w:color="auto"/>
          </w:divBdr>
          <w:divsChild>
            <w:div w:id="29573070">
              <w:marLeft w:val="0"/>
              <w:marRight w:val="0"/>
              <w:marTop w:val="0"/>
              <w:marBottom w:val="0"/>
              <w:divBdr>
                <w:top w:val="none" w:sz="0" w:space="0" w:color="auto"/>
                <w:left w:val="none" w:sz="0" w:space="0" w:color="auto"/>
                <w:bottom w:val="none" w:sz="0" w:space="0" w:color="auto"/>
                <w:right w:val="none" w:sz="0" w:space="0" w:color="auto"/>
              </w:divBdr>
            </w:div>
            <w:div w:id="53433939">
              <w:marLeft w:val="0"/>
              <w:marRight w:val="0"/>
              <w:marTop w:val="0"/>
              <w:marBottom w:val="0"/>
              <w:divBdr>
                <w:top w:val="none" w:sz="0" w:space="0" w:color="auto"/>
                <w:left w:val="none" w:sz="0" w:space="0" w:color="auto"/>
                <w:bottom w:val="none" w:sz="0" w:space="0" w:color="auto"/>
                <w:right w:val="none" w:sz="0" w:space="0" w:color="auto"/>
              </w:divBdr>
            </w:div>
            <w:div w:id="66542812">
              <w:marLeft w:val="0"/>
              <w:marRight w:val="0"/>
              <w:marTop w:val="0"/>
              <w:marBottom w:val="0"/>
              <w:divBdr>
                <w:top w:val="none" w:sz="0" w:space="0" w:color="auto"/>
                <w:left w:val="none" w:sz="0" w:space="0" w:color="auto"/>
                <w:bottom w:val="none" w:sz="0" w:space="0" w:color="auto"/>
                <w:right w:val="none" w:sz="0" w:space="0" w:color="auto"/>
              </w:divBdr>
            </w:div>
            <w:div w:id="98726352">
              <w:marLeft w:val="0"/>
              <w:marRight w:val="0"/>
              <w:marTop w:val="0"/>
              <w:marBottom w:val="0"/>
              <w:divBdr>
                <w:top w:val="none" w:sz="0" w:space="0" w:color="auto"/>
                <w:left w:val="none" w:sz="0" w:space="0" w:color="auto"/>
                <w:bottom w:val="none" w:sz="0" w:space="0" w:color="auto"/>
                <w:right w:val="none" w:sz="0" w:space="0" w:color="auto"/>
              </w:divBdr>
            </w:div>
            <w:div w:id="104807421">
              <w:marLeft w:val="0"/>
              <w:marRight w:val="0"/>
              <w:marTop w:val="0"/>
              <w:marBottom w:val="0"/>
              <w:divBdr>
                <w:top w:val="none" w:sz="0" w:space="0" w:color="auto"/>
                <w:left w:val="none" w:sz="0" w:space="0" w:color="auto"/>
                <w:bottom w:val="none" w:sz="0" w:space="0" w:color="auto"/>
                <w:right w:val="none" w:sz="0" w:space="0" w:color="auto"/>
              </w:divBdr>
            </w:div>
            <w:div w:id="182785564">
              <w:marLeft w:val="0"/>
              <w:marRight w:val="0"/>
              <w:marTop w:val="0"/>
              <w:marBottom w:val="0"/>
              <w:divBdr>
                <w:top w:val="none" w:sz="0" w:space="0" w:color="auto"/>
                <w:left w:val="none" w:sz="0" w:space="0" w:color="auto"/>
                <w:bottom w:val="none" w:sz="0" w:space="0" w:color="auto"/>
                <w:right w:val="none" w:sz="0" w:space="0" w:color="auto"/>
              </w:divBdr>
            </w:div>
            <w:div w:id="234098192">
              <w:marLeft w:val="0"/>
              <w:marRight w:val="0"/>
              <w:marTop w:val="0"/>
              <w:marBottom w:val="0"/>
              <w:divBdr>
                <w:top w:val="none" w:sz="0" w:space="0" w:color="auto"/>
                <w:left w:val="none" w:sz="0" w:space="0" w:color="auto"/>
                <w:bottom w:val="none" w:sz="0" w:space="0" w:color="auto"/>
                <w:right w:val="none" w:sz="0" w:space="0" w:color="auto"/>
              </w:divBdr>
            </w:div>
            <w:div w:id="286816260">
              <w:marLeft w:val="0"/>
              <w:marRight w:val="0"/>
              <w:marTop w:val="0"/>
              <w:marBottom w:val="0"/>
              <w:divBdr>
                <w:top w:val="none" w:sz="0" w:space="0" w:color="auto"/>
                <w:left w:val="none" w:sz="0" w:space="0" w:color="auto"/>
                <w:bottom w:val="none" w:sz="0" w:space="0" w:color="auto"/>
                <w:right w:val="none" w:sz="0" w:space="0" w:color="auto"/>
              </w:divBdr>
            </w:div>
            <w:div w:id="392196455">
              <w:marLeft w:val="0"/>
              <w:marRight w:val="0"/>
              <w:marTop w:val="0"/>
              <w:marBottom w:val="0"/>
              <w:divBdr>
                <w:top w:val="none" w:sz="0" w:space="0" w:color="auto"/>
                <w:left w:val="none" w:sz="0" w:space="0" w:color="auto"/>
                <w:bottom w:val="none" w:sz="0" w:space="0" w:color="auto"/>
                <w:right w:val="none" w:sz="0" w:space="0" w:color="auto"/>
              </w:divBdr>
            </w:div>
            <w:div w:id="490828468">
              <w:marLeft w:val="0"/>
              <w:marRight w:val="0"/>
              <w:marTop w:val="0"/>
              <w:marBottom w:val="0"/>
              <w:divBdr>
                <w:top w:val="none" w:sz="0" w:space="0" w:color="auto"/>
                <w:left w:val="none" w:sz="0" w:space="0" w:color="auto"/>
                <w:bottom w:val="none" w:sz="0" w:space="0" w:color="auto"/>
                <w:right w:val="none" w:sz="0" w:space="0" w:color="auto"/>
              </w:divBdr>
            </w:div>
            <w:div w:id="505247532">
              <w:marLeft w:val="0"/>
              <w:marRight w:val="0"/>
              <w:marTop w:val="0"/>
              <w:marBottom w:val="0"/>
              <w:divBdr>
                <w:top w:val="none" w:sz="0" w:space="0" w:color="auto"/>
                <w:left w:val="none" w:sz="0" w:space="0" w:color="auto"/>
                <w:bottom w:val="none" w:sz="0" w:space="0" w:color="auto"/>
                <w:right w:val="none" w:sz="0" w:space="0" w:color="auto"/>
              </w:divBdr>
            </w:div>
            <w:div w:id="525606697">
              <w:marLeft w:val="0"/>
              <w:marRight w:val="0"/>
              <w:marTop w:val="0"/>
              <w:marBottom w:val="0"/>
              <w:divBdr>
                <w:top w:val="none" w:sz="0" w:space="0" w:color="auto"/>
                <w:left w:val="none" w:sz="0" w:space="0" w:color="auto"/>
                <w:bottom w:val="none" w:sz="0" w:space="0" w:color="auto"/>
                <w:right w:val="none" w:sz="0" w:space="0" w:color="auto"/>
              </w:divBdr>
            </w:div>
            <w:div w:id="531768290">
              <w:marLeft w:val="0"/>
              <w:marRight w:val="0"/>
              <w:marTop w:val="0"/>
              <w:marBottom w:val="0"/>
              <w:divBdr>
                <w:top w:val="none" w:sz="0" w:space="0" w:color="auto"/>
                <w:left w:val="none" w:sz="0" w:space="0" w:color="auto"/>
                <w:bottom w:val="none" w:sz="0" w:space="0" w:color="auto"/>
                <w:right w:val="none" w:sz="0" w:space="0" w:color="auto"/>
              </w:divBdr>
            </w:div>
            <w:div w:id="588660516">
              <w:marLeft w:val="0"/>
              <w:marRight w:val="0"/>
              <w:marTop w:val="0"/>
              <w:marBottom w:val="0"/>
              <w:divBdr>
                <w:top w:val="none" w:sz="0" w:space="0" w:color="auto"/>
                <w:left w:val="none" w:sz="0" w:space="0" w:color="auto"/>
                <w:bottom w:val="none" w:sz="0" w:space="0" w:color="auto"/>
                <w:right w:val="none" w:sz="0" w:space="0" w:color="auto"/>
              </w:divBdr>
            </w:div>
            <w:div w:id="735712510">
              <w:marLeft w:val="0"/>
              <w:marRight w:val="0"/>
              <w:marTop w:val="0"/>
              <w:marBottom w:val="0"/>
              <w:divBdr>
                <w:top w:val="none" w:sz="0" w:space="0" w:color="auto"/>
                <w:left w:val="none" w:sz="0" w:space="0" w:color="auto"/>
                <w:bottom w:val="none" w:sz="0" w:space="0" w:color="auto"/>
                <w:right w:val="none" w:sz="0" w:space="0" w:color="auto"/>
              </w:divBdr>
            </w:div>
            <w:div w:id="925572147">
              <w:marLeft w:val="0"/>
              <w:marRight w:val="0"/>
              <w:marTop w:val="0"/>
              <w:marBottom w:val="0"/>
              <w:divBdr>
                <w:top w:val="none" w:sz="0" w:space="0" w:color="auto"/>
                <w:left w:val="none" w:sz="0" w:space="0" w:color="auto"/>
                <w:bottom w:val="none" w:sz="0" w:space="0" w:color="auto"/>
                <w:right w:val="none" w:sz="0" w:space="0" w:color="auto"/>
              </w:divBdr>
            </w:div>
            <w:div w:id="973094666">
              <w:marLeft w:val="0"/>
              <w:marRight w:val="0"/>
              <w:marTop w:val="0"/>
              <w:marBottom w:val="0"/>
              <w:divBdr>
                <w:top w:val="none" w:sz="0" w:space="0" w:color="auto"/>
                <w:left w:val="none" w:sz="0" w:space="0" w:color="auto"/>
                <w:bottom w:val="none" w:sz="0" w:space="0" w:color="auto"/>
                <w:right w:val="none" w:sz="0" w:space="0" w:color="auto"/>
              </w:divBdr>
            </w:div>
            <w:div w:id="1124692753">
              <w:marLeft w:val="0"/>
              <w:marRight w:val="0"/>
              <w:marTop w:val="0"/>
              <w:marBottom w:val="0"/>
              <w:divBdr>
                <w:top w:val="none" w:sz="0" w:space="0" w:color="auto"/>
                <w:left w:val="none" w:sz="0" w:space="0" w:color="auto"/>
                <w:bottom w:val="none" w:sz="0" w:space="0" w:color="auto"/>
                <w:right w:val="none" w:sz="0" w:space="0" w:color="auto"/>
              </w:divBdr>
            </w:div>
            <w:div w:id="1160852710">
              <w:marLeft w:val="0"/>
              <w:marRight w:val="0"/>
              <w:marTop w:val="0"/>
              <w:marBottom w:val="0"/>
              <w:divBdr>
                <w:top w:val="none" w:sz="0" w:space="0" w:color="auto"/>
                <w:left w:val="none" w:sz="0" w:space="0" w:color="auto"/>
                <w:bottom w:val="none" w:sz="0" w:space="0" w:color="auto"/>
                <w:right w:val="none" w:sz="0" w:space="0" w:color="auto"/>
              </w:divBdr>
            </w:div>
            <w:div w:id="1172259743">
              <w:marLeft w:val="0"/>
              <w:marRight w:val="0"/>
              <w:marTop w:val="0"/>
              <w:marBottom w:val="0"/>
              <w:divBdr>
                <w:top w:val="none" w:sz="0" w:space="0" w:color="auto"/>
                <w:left w:val="none" w:sz="0" w:space="0" w:color="auto"/>
                <w:bottom w:val="none" w:sz="0" w:space="0" w:color="auto"/>
                <w:right w:val="none" w:sz="0" w:space="0" w:color="auto"/>
              </w:divBdr>
            </w:div>
            <w:div w:id="1185823183">
              <w:marLeft w:val="0"/>
              <w:marRight w:val="0"/>
              <w:marTop w:val="0"/>
              <w:marBottom w:val="0"/>
              <w:divBdr>
                <w:top w:val="none" w:sz="0" w:space="0" w:color="auto"/>
                <w:left w:val="none" w:sz="0" w:space="0" w:color="auto"/>
                <w:bottom w:val="none" w:sz="0" w:space="0" w:color="auto"/>
                <w:right w:val="none" w:sz="0" w:space="0" w:color="auto"/>
              </w:divBdr>
            </w:div>
            <w:div w:id="1199053914">
              <w:marLeft w:val="0"/>
              <w:marRight w:val="0"/>
              <w:marTop w:val="0"/>
              <w:marBottom w:val="0"/>
              <w:divBdr>
                <w:top w:val="none" w:sz="0" w:space="0" w:color="auto"/>
                <w:left w:val="none" w:sz="0" w:space="0" w:color="auto"/>
                <w:bottom w:val="none" w:sz="0" w:space="0" w:color="auto"/>
                <w:right w:val="none" w:sz="0" w:space="0" w:color="auto"/>
              </w:divBdr>
            </w:div>
            <w:div w:id="1209606972">
              <w:marLeft w:val="0"/>
              <w:marRight w:val="0"/>
              <w:marTop w:val="0"/>
              <w:marBottom w:val="0"/>
              <w:divBdr>
                <w:top w:val="none" w:sz="0" w:space="0" w:color="auto"/>
                <w:left w:val="none" w:sz="0" w:space="0" w:color="auto"/>
                <w:bottom w:val="none" w:sz="0" w:space="0" w:color="auto"/>
                <w:right w:val="none" w:sz="0" w:space="0" w:color="auto"/>
              </w:divBdr>
            </w:div>
            <w:div w:id="1236090093">
              <w:marLeft w:val="0"/>
              <w:marRight w:val="0"/>
              <w:marTop w:val="0"/>
              <w:marBottom w:val="0"/>
              <w:divBdr>
                <w:top w:val="none" w:sz="0" w:space="0" w:color="auto"/>
                <w:left w:val="none" w:sz="0" w:space="0" w:color="auto"/>
                <w:bottom w:val="none" w:sz="0" w:space="0" w:color="auto"/>
                <w:right w:val="none" w:sz="0" w:space="0" w:color="auto"/>
              </w:divBdr>
            </w:div>
            <w:div w:id="1341809517">
              <w:marLeft w:val="0"/>
              <w:marRight w:val="0"/>
              <w:marTop w:val="0"/>
              <w:marBottom w:val="0"/>
              <w:divBdr>
                <w:top w:val="none" w:sz="0" w:space="0" w:color="auto"/>
                <w:left w:val="none" w:sz="0" w:space="0" w:color="auto"/>
                <w:bottom w:val="none" w:sz="0" w:space="0" w:color="auto"/>
                <w:right w:val="none" w:sz="0" w:space="0" w:color="auto"/>
              </w:divBdr>
            </w:div>
            <w:div w:id="1422877117">
              <w:marLeft w:val="0"/>
              <w:marRight w:val="0"/>
              <w:marTop w:val="0"/>
              <w:marBottom w:val="0"/>
              <w:divBdr>
                <w:top w:val="none" w:sz="0" w:space="0" w:color="auto"/>
                <w:left w:val="none" w:sz="0" w:space="0" w:color="auto"/>
                <w:bottom w:val="none" w:sz="0" w:space="0" w:color="auto"/>
                <w:right w:val="none" w:sz="0" w:space="0" w:color="auto"/>
              </w:divBdr>
            </w:div>
            <w:div w:id="1434549304">
              <w:marLeft w:val="0"/>
              <w:marRight w:val="0"/>
              <w:marTop w:val="0"/>
              <w:marBottom w:val="0"/>
              <w:divBdr>
                <w:top w:val="none" w:sz="0" w:space="0" w:color="auto"/>
                <w:left w:val="none" w:sz="0" w:space="0" w:color="auto"/>
                <w:bottom w:val="none" w:sz="0" w:space="0" w:color="auto"/>
                <w:right w:val="none" w:sz="0" w:space="0" w:color="auto"/>
              </w:divBdr>
            </w:div>
            <w:div w:id="1436054875">
              <w:marLeft w:val="0"/>
              <w:marRight w:val="0"/>
              <w:marTop w:val="0"/>
              <w:marBottom w:val="0"/>
              <w:divBdr>
                <w:top w:val="none" w:sz="0" w:space="0" w:color="auto"/>
                <w:left w:val="none" w:sz="0" w:space="0" w:color="auto"/>
                <w:bottom w:val="none" w:sz="0" w:space="0" w:color="auto"/>
                <w:right w:val="none" w:sz="0" w:space="0" w:color="auto"/>
              </w:divBdr>
            </w:div>
            <w:div w:id="1487278330">
              <w:marLeft w:val="0"/>
              <w:marRight w:val="0"/>
              <w:marTop w:val="0"/>
              <w:marBottom w:val="0"/>
              <w:divBdr>
                <w:top w:val="none" w:sz="0" w:space="0" w:color="auto"/>
                <w:left w:val="none" w:sz="0" w:space="0" w:color="auto"/>
                <w:bottom w:val="none" w:sz="0" w:space="0" w:color="auto"/>
                <w:right w:val="none" w:sz="0" w:space="0" w:color="auto"/>
              </w:divBdr>
            </w:div>
            <w:div w:id="1502887782">
              <w:marLeft w:val="0"/>
              <w:marRight w:val="0"/>
              <w:marTop w:val="0"/>
              <w:marBottom w:val="0"/>
              <w:divBdr>
                <w:top w:val="none" w:sz="0" w:space="0" w:color="auto"/>
                <w:left w:val="none" w:sz="0" w:space="0" w:color="auto"/>
                <w:bottom w:val="none" w:sz="0" w:space="0" w:color="auto"/>
                <w:right w:val="none" w:sz="0" w:space="0" w:color="auto"/>
              </w:divBdr>
            </w:div>
            <w:div w:id="1590847420">
              <w:marLeft w:val="0"/>
              <w:marRight w:val="0"/>
              <w:marTop w:val="0"/>
              <w:marBottom w:val="0"/>
              <w:divBdr>
                <w:top w:val="none" w:sz="0" w:space="0" w:color="auto"/>
                <w:left w:val="none" w:sz="0" w:space="0" w:color="auto"/>
                <w:bottom w:val="none" w:sz="0" w:space="0" w:color="auto"/>
                <w:right w:val="none" w:sz="0" w:space="0" w:color="auto"/>
              </w:divBdr>
            </w:div>
            <w:div w:id="1628313025">
              <w:marLeft w:val="0"/>
              <w:marRight w:val="0"/>
              <w:marTop w:val="0"/>
              <w:marBottom w:val="0"/>
              <w:divBdr>
                <w:top w:val="none" w:sz="0" w:space="0" w:color="auto"/>
                <w:left w:val="none" w:sz="0" w:space="0" w:color="auto"/>
                <w:bottom w:val="none" w:sz="0" w:space="0" w:color="auto"/>
                <w:right w:val="none" w:sz="0" w:space="0" w:color="auto"/>
              </w:divBdr>
            </w:div>
            <w:div w:id="1630668750">
              <w:marLeft w:val="0"/>
              <w:marRight w:val="0"/>
              <w:marTop w:val="0"/>
              <w:marBottom w:val="0"/>
              <w:divBdr>
                <w:top w:val="none" w:sz="0" w:space="0" w:color="auto"/>
                <w:left w:val="none" w:sz="0" w:space="0" w:color="auto"/>
                <w:bottom w:val="none" w:sz="0" w:space="0" w:color="auto"/>
                <w:right w:val="none" w:sz="0" w:space="0" w:color="auto"/>
              </w:divBdr>
            </w:div>
            <w:div w:id="1700080600">
              <w:marLeft w:val="0"/>
              <w:marRight w:val="0"/>
              <w:marTop w:val="0"/>
              <w:marBottom w:val="0"/>
              <w:divBdr>
                <w:top w:val="none" w:sz="0" w:space="0" w:color="auto"/>
                <w:left w:val="none" w:sz="0" w:space="0" w:color="auto"/>
                <w:bottom w:val="none" w:sz="0" w:space="0" w:color="auto"/>
                <w:right w:val="none" w:sz="0" w:space="0" w:color="auto"/>
              </w:divBdr>
            </w:div>
            <w:div w:id="1798528473">
              <w:marLeft w:val="0"/>
              <w:marRight w:val="0"/>
              <w:marTop w:val="0"/>
              <w:marBottom w:val="0"/>
              <w:divBdr>
                <w:top w:val="none" w:sz="0" w:space="0" w:color="auto"/>
                <w:left w:val="none" w:sz="0" w:space="0" w:color="auto"/>
                <w:bottom w:val="none" w:sz="0" w:space="0" w:color="auto"/>
                <w:right w:val="none" w:sz="0" w:space="0" w:color="auto"/>
              </w:divBdr>
            </w:div>
            <w:div w:id="1954630760">
              <w:marLeft w:val="0"/>
              <w:marRight w:val="0"/>
              <w:marTop w:val="0"/>
              <w:marBottom w:val="0"/>
              <w:divBdr>
                <w:top w:val="none" w:sz="0" w:space="0" w:color="auto"/>
                <w:left w:val="none" w:sz="0" w:space="0" w:color="auto"/>
                <w:bottom w:val="none" w:sz="0" w:space="0" w:color="auto"/>
                <w:right w:val="none" w:sz="0" w:space="0" w:color="auto"/>
              </w:divBdr>
            </w:div>
            <w:div w:id="1979143979">
              <w:marLeft w:val="0"/>
              <w:marRight w:val="0"/>
              <w:marTop w:val="0"/>
              <w:marBottom w:val="0"/>
              <w:divBdr>
                <w:top w:val="none" w:sz="0" w:space="0" w:color="auto"/>
                <w:left w:val="none" w:sz="0" w:space="0" w:color="auto"/>
                <w:bottom w:val="none" w:sz="0" w:space="0" w:color="auto"/>
                <w:right w:val="none" w:sz="0" w:space="0" w:color="auto"/>
              </w:divBdr>
            </w:div>
            <w:div w:id="2041322254">
              <w:marLeft w:val="0"/>
              <w:marRight w:val="0"/>
              <w:marTop w:val="0"/>
              <w:marBottom w:val="0"/>
              <w:divBdr>
                <w:top w:val="none" w:sz="0" w:space="0" w:color="auto"/>
                <w:left w:val="none" w:sz="0" w:space="0" w:color="auto"/>
                <w:bottom w:val="none" w:sz="0" w:space="0" w:color="auto"/>
                <w:right w:val="none" w:sz="0" w:space="0" w:color="auto"/>
              </w:divBdr>
            </w:div>
            <w:div w:id="2111194198">
              <w:marLeft w:val="0"/>
              <w:marRight w:val="0"/>
              <w:marTop w:val="0"/>
              <w:marBottom w:val="0"/>
              <w:divBdr>
                <w:top w:val="none" w:sz="0" w:space="0" w:color="auto"/>
                <w:left w:val="none" w:sz="0" w:space="0" w:color="auto"/>
                <w:bottom w:val="none" w:sz="0" w:space="0" w:color="auto"/>
                <w:right w:val="none" w:sz="0" w:space="0" w:color="auto"/>
              </w:divBdr>
            </w:div>
            <w:div w:id="2142503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518433">
      <w:bodyDiv w:val="1"/>
      <w:marLeft w:val="0"/>
      <w:marRight w:val="0"/>
      <w:marTop w:val="0"/>
      <w:marBottom w:val="0"/>
      <w:divBdr>
        <w:top w:val="none" w:sz="0" w:space="0" w:color="auto"/>
        <w:left w:val="none" w:sz="0" w:space="0" w:color="auto"/>
        <w:bottom w:val="none" w:sz="0" w:space="0" w:color="auto"/>
        <w:right w:val="none" w:sz="0" w:space="0" w:color="auto"/>
      </w:divBdr>
    </w:div>
    <w:div w:id="1669820827">
      <w:bodyDiv w:val="1"/>
      <w:marLeft w:val="0"/>
      <w:marRight w:val="0"/>
      <w:marTop w:val="0"/>
      <w:marBottom w:val="0"/>
      <w:divBdr>
        <w:top w:val="none" w:sz="0" w:space="0" w:color="auto"/>
        <w:left w:val="none" w:sz="0" w:space="0" w:color="auto"/>
        <w:bottom w:val="none" w:sz="0" w:space="0" w:color="auto"/>
        <w:right w:val="none" w:sz="0" w:space="0" w:color="auto"/>
      </w:divBdr>
    </w:div>
    <w:div w:id="1692879789">
      <w:bodyDiv w:val="1"/>
      <w:marLeft w:val="0"/>
      <w:marRight w:val="0"/>
      <w:marTop w:val="0"/>
      <w:marBottom w:val="0"/>
      <w:divBdr>
        <w:top w:val="none" w:sz="0" w:space="0" w:color="auto"/>
        <w:left w:val="none" w:sz="0" w:space="0" w:color="auto"/>
        <w:bottom w:val="none" w:sz="0" w:space="0" w:color="auto"/>
        <w:right w:val="none" w:sz="0" w:space="0" w:color="auto"/>
      </w:divBdr>
    </w:div>
    <w:div w:id="1693921623">
      <w:bodyDiv w:val="1"/>
      <w:marLeft w:val="0"/>
      <w:marRight w:val="0"/>
      <w:marTop w:val="0"/>
      <w:marBottom w:val="0"/>
      <w:divBdr>
        <w:top w:val="none" w:sz="0" w:space="0" w:color="auto"/>
        <w:left w:val="none" w:sz="0" w:space="0" w:color="auto"/>
        <w:bottom w:val="none" w:sz="0" w:space="0" w:color="auto"/>
        <w:right w:val="none" w:sz="0" w:space="0" w:color="auto"/>
      </w:divBdr>
    </w:div>
    <w:div w:id="1698461910">
      <w:bodyDiv w:val="1"/>
      <w:marLeft w:val="0"/>
      <w:marRight w:val="0"/>
      <w:marTop w:val="0"/>
      <w:marBottom w:val="0"/>
      <w:divBdr>
        <w:top w:val="none" w:sz="0" w:space="0" w:color="auto"/>
        <w:left w:val="none" w:sz="0" w:space="0" w:color="auto"/>
        <w:bottom w:val="none" w:sz="0" w:space="0" w:color="auto"/>
        <w:right w:val="none" w:sz="0" w:space="0" w:color="auto"/>
      </w:divBdr>
    </w:div>
    <w:div w:id="1716734386">
      <w:bodyDiv w:val="1"/>
      <w:marLeft w:val="0"/>
      <w:marRight w:val="0"/>
      <w:marTop w:val="0"/>
      <w:marBottom w:val="0"/>
      <w:divBdr>
        <w:top w:val="none" w:sz="0" w:space="0" w:color="auto"/>
        <w:left w:val="none" w:sz="0" w:space="0" w:color="auto"/>
        <w:bottom w:val="none" w:sz="0" w:space="0" w:color="auto"/>
        <w:right w:val="none" w:sz="0" w:space="0" w:color="auto"/>
      </w:divBdr>
      <w:divsChild>
        <w:div w:id="557397622">
          <w:marLeft w:val="547"/>
          <w:marRight w:val="0"/>
          <w:marTop w:val="0"/>
          <w:marBottom w:val="0"/>
          <w:divBdr>
            <w:top w:val="none" w:sz="0" w:space="0" w:color="auto"/>
            <w:left w:val="none" w:sz="0" w:space="0" w:color="auto"/>
            <w:bottom w:val="none" w:sz="0" w:space="0" w:color="auto"/>
            <w:right w:val="none" w:sz="0" w:space="0" w:color="auto"/>
          </w:divBdr>
        </w:div>
      </w:divsChild>
    </w:div>
    <w:div w:id="1716930293">
      <w:bodyDiv w:val="1"/>
      <w:marLeft w:val="0"/>
      <w:marRight w:val="0"/>
      <w:marTop w:val="0"/>
      <w:marBottom w:val="0"/>
      <w:divBdr>
        <w:top w:val="none" w:sz="0" w:space="0" w:color="auto"/>
        <w:left w:val="none" w:sz="0" w:space="0" w:color="auto"/>
        <w:bottom w:val="none" w:sz="0" w:space="0" w:color="auto"/>
        <w:right w:val="none" w:sz="0" w:space="0" w:color="auto"/>
      </w:divBdr>
      <w:divsChild>
        <w:div w:id="230312200">
          <w:marLeft w:val="547"/>
          <w:marRight w:val="0"/>
          <w:marTop w:val="0"/>
          <w:marBottom w:val="120"/>
          <w:divBdr>
            <w:top w:val="none" w:sz="0" w:space="0" w:color="auto"/>
            <w:left w:val="none" w:sz="0" w:space="0" w:color="auto"/>
            <w:bottom w:val="none" w:sz="0" w:space="0" w:color="auto"/>
            <w:right w:val="none" w:sz="0" w:space="0" w:color="auto"/>
          </w:divBdr>
        </w:div>
        <w:div w:id="392041997">
          <w:marLeft w:val="547"/>
          <w:marRight w:val="0"/>
          <w:marTop w:val="0"/>
          <w:marBottom w:val="120"/>
          <w:divBdr>
            <w:top w:val="none" w:sz="0" w:space="0" w:color="auto"/>
            <w:left w:val="none" w:sz="0" w:space="0" w:color="auto"/>
            <w:bottom w:val="none" w:sz="0" w:space="0" w:color="auto"/>
            <w:right w:val="none" w:sz="0" w:space="0" w:color="auto"/>
          </w:divBdr>
        </w:div>
        <w:div w:id="685866716">
          <w:marLeft w:val="547"/>
          <w:marRight w:val="0"/>
          <w:marTop w:val="0"/>
          <w:marBottom w:val="120"/>
          <w:divBdr>
            <w:top w:val="none" w:sz="0" w:space="0" w:color="auto"/>
            <w:left w:val="none" w:sz="0" w:space="0" w:color="auto"/>
            <w:bottom w:val="none" w:sz="0" w:space="0" w:color="auto"/>
            <w:right w:val="none" w:sz="0" w:space="0" w:color="auto"/>
          </w:divBdr>
        </w:div>
        <w:div w:id="725494991">
          <w:marLeft w:val="547"/>
          <w:marRight w:val="0"/>
          <w:marTop w:val="0"/>
          <w:marBottom w:val="120"/>
          <w:divBdr>
            <w:top w:val="none" w:sz="0" w:space="0" w:color="auto"/>
            <w:left w:val="none" w:sz="0" w:space="0" w:color="auto"/>
            <w:bottom w:val="none" w:sz="0" w:space="0" w:color="auto"/>
            <w:right w:val="none" w:sz="0" w:space="0" w:color="auto"/>
          </w:divBdr>
        </w:div>
        <w:div w:id="906695052">
          <w:marLeft w:val="547"/>
          <w:marRight w:val="0"/>
          <w:marTop w:val="0"/>
          <w:marBottom w:val="120"/>
          <w:divBdr>
            <w:top w:val="none" w:sz="0" w:space="0" w:color="auto"/>
            <w:left w:val="none" w:sz="0" w:space="0" w:color="auto"/>
            <w:bottom w:val="none" w:sz="0" w:space="0" w:color="auto"/>
            <w:right w:val="none" w:sz="0" w:space="0" w:color="auto"/>
          </w:divBdr>
        </w:div>
        <w:div w:id="933629473">
          <w:marLeft w:val="547"/>
          <w:marRight w:val="0"/>
          <w:marTop w:val="0"/>
          <w:marBottom w:val="120"/>
          <w:divBdr>
            <w:top w:val="none" w:sz="0" w:space="0" w:color="auto"/>
            <w:left w:val="none" w:sz="0" w:space="0" w:color="auto"/>
            <w:bottom w:val="none" w:sz="0" w:space="0" w:color="auto"/>
            <w:right w:val="none" w:sz="0" w:space="0" w:color="auto"/>
          </w:divBdr>
        </w:div>
        <w:div w:id="1033650251">
          <w:marLeft w:val="547"/>
          <w:marRight w:val="0"/>
          <w:marTop w:val="0"/>
          <w:marBottom w:val="120"/>
          <w:divBdr>
            <w:top w:val="none" w:sz="0" w:space="0" w:color="auto"/>
            <w:left w:val="none" w:sz="0" w:space="0" w:color="auto"/>
            <w:bottom w:val="none" w:sz="0" w:space="0" w:color="auto"/>
            <w:right w:val="none" w:sz="0" w:space="0" w:color="auto"/>
          </w:divBdr>
        </w:div>
        <w:div w:id="1390301464">
          <w:marLeft w:val="547"/>
          <w:marRight w:val="0"/>
          <w:marTop w:val="0"/>
          <w:marBottom w:val="120"/>
          <w:divBdr>
            <w:top w:val="none" w:sz="0" w:space="0" w:color="auto"/>
            <w:left w:val="none" w:sz="0" w:space="0" w:color="auto"/>
            <w:bottom w:val="none" w:sz="0" w:space="0" w:color="auto"/>
            <w:right w:val="none" w:sz="0" w:space="0" w:color="auto"/>
          </w:divBdr>
        </w:div>
        <w:div w:id="1395666877">
          <w:marLeft w:val="547"/>
          <w:marRight w:val="0"/>
          <w:marTop w:val="0"/>
          <w:marBottom w:val="120"/>
          <w:divBdr>
            <w:top w:val="none" w:sz="0" w:space="0" w:color="auto"/>
            <w:left w:val="none" w:sz="0" w:space="0" w:color="auto"/>
            <w:bottom w:val="none" w:sz="0" w:space="0" w:color="auto"/>
            <w:right w:val="none" w:sz="0" w:space="0" w:color="auto"/>
          </w:divBdr>
        </w:div>
        <w:div w:id="1458378704">
          <w:marLeft w:val="547"/>
          <w:marRight w:val="0"/>
          <w:marTop w:val="0"/>
          <w:marBottom w:val="120"/>
          <w:divBdr>
            <w:top w:val="none" w:sz="0" w:space="0" w:color="auto"/>
            <w:left w:val="none" w:sz="0" w:space="0" w:color="auto"/>
            <w:bottom w:val="none" w:sz="0" w:space="0" w:color="auto"/>
            <w:right w:val="none" w:sz="0" w:space="0" w:color="auto"/>
          </w:divBdr>
        </w:div>
        <w:div w:id="1714768167">
          <w:marLeft w:val="547"/>
          <w:marRight w:val="0"/>
          <w:marTop w:val="0"/>
          <w:marBottom w:val="120"/>
          <w:divBdr>
            <w:top w:val="none" w:sz="0" w:space="0" w:color="auto"/>
            <w:left w:val="none" w:sz="0" w:space="0" w:color="auto"/>
            <w:bottom w:val="none" w:sz="0" w:space="0" w:color="auto"/>
            <w:right w:val="none" w:sz="0" w:space="0" w:color="auto"/>
          </w:divBdr>
        </w:div>
        <w:div w:id="1798720783">
          <w:marLeft w:val="547"/>
          <w:marRight w:val="0"/>
          <w:marTop w:val="0"/>
          <w:marBottom w:val="120"/>
          <w:divBdr>
            <w:top w:val="none" w:sz="0" w:space="0" w:color="auto"/>
            <w:left w:val="none" w:sz="0" w:space="0" w:color="auto"/>
            <w:bottom w:val="none" w:sz="0" w:space="0" w:color="auto"/>
            <w:right w:val="none" w:sz="0" w:space="0" w:color="auto"/>
          </w:divBdr>
        </w:div>
        <w:div w:id="1857574582">
          <w:marLeft w:val="547"/>
          <w:marRight w:val="0"/>
          <w:marTop w:val="0"/>
          <w:marBottom w:val="120"/>
          <w:divBdr>
            <w:top w:val="none" w:sz="0" w:space="0" w:color="auto"/>
            <w:left w:val="none" w:sz="0" w:space="0" w:color="auto"/>
            <w:bottom w:val="none" w:sz="0" w:space="0" w:color="auto"/>
            <w:right w:val="none" w:sz="0" w:space="0" w:color="auto"/>
          </w:divBdr>
        </w:div>
        <w:div w:id="2081633915">
          <w:marLeft w:val="547"/>
          <w:marRight w:val="0"/>
          <w:marTop w:val="0"/>
          <w:marBottom w:val="120"/>
          <w:divBdr>
            <w:top w:val="none" w:sz="0" w:space="0" w:color="auto"/>
            <w:left w:val="none" w:sz="0" w:space="0" w:color="auto"/>
            <w:bottom w:val="none" w:sz="0" w:space="0" w:color="auto"/>
            <w:right w:val="none" w:sz="0" w:space="0" w:color="auto"/>
          </w:divBdr>
        </w:div>
      </w:divsChild>
    </w:div>
    <w:div w:id="1729256419">
      <w:bodyDiv w:val="1"/>
      <w:marLeft w:val="0"/>
      <w:marRight w:val="0"/>
      <w:marTop w:val="0"/>
      <w:marBottom w:val="0"/>
      <w:divBdr>
        <w:top w:val="none" w:sz="0" w:space="0" w:color="auto"/>
        <w:left w:val="none" w:sz="0" w:space="0" w:color="auto"/>
        <w:bottom w:val="none" w:sz="0" w:space="0" w:color="auto"/>
        <w:right w:val="none" w:sz="0" w:space="0" w:color="auto"/>
      </w:divBdr>
      <w:divsChild>
        <w:div w:id="459031324">
          <w:marLeft w:val="1354"/>
          <w:marRight w:val="0"/>
          <w:marTop w:val="60"/>
          <w:marBottom w:val="60"/>
          <w:divBdr>
            <w:top w:val="none" w:sz="0" w:space="0" w:color="auto"/>
            <w:left w:val="none" w:sz="0" w:space="0" w:color="auto"/>
            <w:bottom w:val="none" w:sz="0" w:space="0" w:color="auto"/>
            <w:right w:val="none" w:sz="0" w:space="0" w:color="auto"/>
          </w:divBdr>
        </w:div>
        <w:div w:id="481234180">
          <w:marLeft w:val="1886"/>
          <w:marRight w:val="0"/>
          <w:marTop w:val="60"/>
          <w:marBottom w:val="60"/>
          <w:divBdr>
            <w:top w:val="none" w:sz="0" w:space="0" w:color="auto"/>
            <w:left w:val="none" w:sz="0" w:space="0" w:color="auto"/>
            <w:bottom w:val="none" w:sz="0" w:space="0" w:color="auto"/>
            <w:right w:val="none" w:sz="0" w:space="0" w:color="auto"/>
          </w:divBdr>
        </w:div>
        <w:div w:id="751244235">
          <w:marLeft w:val="1886"/>
          <w:marRight w:val="0"/>
          <w:marTop w:val="60"/>
          <w:marBottom w:val="60"/>
          <w:divBdr>
            <w:top w:val="none" w:sz="0" w:space="0" w:color="auto"/>
            <w:left w:val="none" w:sz="0" w:space="0" w:color="auto"/>
            <w:bottom w:val="none" w:sz="0" w:space="0" w:color="auto"/>
            <w:right w:val="none" w:sz="0" w:space="0" w:color="auto"/>
          </w:divBdr>
        </w:div>
        <w:div w:id="778842684">
          <w:marLeft w:val="1354"/>
          <w:marRight w:val="0"/>
          <w:marTop w:val="60"/>
          <w:marBottom w:val="60"/>
          <w:divBdr>
            <w:top w:val="none" w:sz="0" w:space="0" w:color="auto"/>
            <w:left w:val="none" w:sz="0" w:space="0" w:color="auto"/>
            <w:bottom w:val="none" w:sz="0" w:space="0" w:color="auto"/>
            <w:right w:val="none" w:sz="0" w:space="0" w:color="auto"/>
          </w:divBdr>
        </w:div>
        <w:div w:id="833912519">
          <w:marLeft w:val="1886"/>
          <w:marRight w:val="0"/>
          <w:marTop w:val="60"/>
          <w:marBottom w:val="60"/>
          <w:divBdr>
            <w:top w:val="none" w:sz="0" w:space="0" w:color="auto"/>
            <w:left w:val="none" w:sz="0" w:space="0" w:color="auto"/>
            <w:bottom w:val="none" w:sz="0" w:space="0" w:color="auto"/>
            <w:right w:val="none" w:sz="0" w:space="0" w:color="auto"/>
          </w:divBdr>
        </w:div>
        <w:div w:id="919869957">
          <w:marLeft w:val="1354"/>
          <w:marRight w:val="0"/>
          <w:marTop w:val="60"/>
          <w:marBottom w:val="60"/>
          <w:divBdr>
            <w:top w:val="none" w:sz="0" w:space="0" w:color="auto"/>
            <w:left w:val="none" w:sz="0" w:space="0" w:color="auto"/>
            <w:bottom w:val="none" w:sz="0" w:space="0" w:color="auto"/>
            <w:right w:val="none" w:sz="0" w:space="0" w:color="auto"/>
          </w:divBdr>
        </w:div>
        <w:div w:id="1428958711">
          <w:marLeft w:val="1886"/>
          <w:marRight w:val="0"/>
          <w:marTop w:val="60"/>
          <w:marBottom w:val="60"/>
          <w:divBdr>
            <w:top w:val="none" w:sz="0" w:space="0" w:color="auto"/>
            <w:left w:val="none" w:sz="0" w:space="0" w:color="auto"/>
            <w:bottom w:val="none" w:sz="0" w:space="0" w:color="auto"/>
            <w:right w:val="none" w:sz="0" w:space="0" w:color="auto"/>
          </w:divBdr>
        </w:div>
        <w:div w:id="1442647294">
          <w:marLeft w:val="1886"/>
          <w:marRight w:val="0"/>
          <w:marTop w:val="60"/>
          <w:marBottom w:val="60"/>
          <w:divBdr>
            <w:top w:val="none" w:sz="0" w:space="0" w:color="auto"/>
            <w:left w:val="none" w:sz="0" w:space="0" w:color="auto"/>
            <w:bottom w:val="none" w:sz="0" w:space="0" w:color="auto"/>
            <w:right w:val="none" w:sz="0" w:space="0" w:color="auto"/>
          </w:divBdr>
        </w:div>
        <w:div w:id="1890455932">
          <w:marLeft w:val="1886"/>
          <w:marRight w:val="0"/>
          <w:marTop w:val="60"/>
          <w:marBottom w:val="60"/>
          <w:divBdr>
            <w:top w:val="none" w:sz="0" w:space="0" w:color="auto"/>
            <w:left w:val="none" w:sz="0" w:space="0" w:color="auto"/>
            <w:bottom w:val="none" w:sz="0" w:space="0" w:color="auto"/>
            <w:right w:val="none" w:sz="0" w:space="0" w:color="auto"/>
          </w:divBdr>
        </w:div>
        <w:div w:id="1967351998">
          <w:marLeft w:val="1354"/>
          <w:marRight w:val="0"/>
          <w:marTop w:val="60"/>
          <w:marBottom w:val="60"/>
          <w:divBdr>
            <w:top w:val="none" w:sz="0" w:space="0" w:color="auto"/>
            <w:left w:val="none" w:sz="0" w:space="0" w:color="auto"/>
            <w:bottom w:val="none" w:sz="0" w:space="0" w:color="auto"/>
            <w:right w:val="none" w:sz="0" w:space="0" w:color="auto"/>
          </w:divBdr>
        </w:div>
      </w:divsChild>
    </w:div>
    <w:div w:id="1735272728">
      <w:bodyDiv w:val="1"/>
      <w:marLeft w:val="0"/>
      <w:marRight w:val="0"/>
      <w:marTop w:val="0"/>
      <w:marBottom w:val="0"/>
      <w:divBdr>
        <w:top w:val="none" w:sz="0" w:space="0" w:color="auto"/>
        <w:left w:val="none" w:sz="0" w:space="0" w:color="auto"/>
        <w:bottom w:val="none" w:sz="0" w:space="0" w:color="auto"/>
        <w:right w:val="none" w:sz="0" w:space="0" w:color="auto"/>
      </w:divBdr>
    </w:div>
    <w:div w:id="1746995367">
      <w:bodyDiv w:val="1"/>
      <w:marLeft w:val="0"/>
      <w:marRight w:val="0"/>
      <w:marTop w:val="0"/>
      <w:marBottom w:val="0"/>
      <w:divBdr>
        <w:top w:val="none" w:sz="0" w:space="0" w:color="auto"/>
        <w:left w:val="none" w:sz="0" w:space="0" w:color="auto"/>
        <w:bottom w:val="none" w:sz="0" w:space="0" w:color="auto"/>
        <w:right w:val="none" w:sz="0" w:space="0" w:color="auto"/>
      </w:divBdr>
    </w:div>
    <w:div w:id="1762486311">
      <w:bodyDiv w:val="1"/>
      <w:marLeft w:val="0"/>
      <w:marRight w:val="0"/>
      <w:marTop w:val="0"/>
      <w:marBottom w:val="0"/>
      <w:divBdr>
        <w:top w:val="none" w:sz="0" w:space="0" w:color="auto"/>
        <w:left w:val="none" w:sz="0" w:space="0" w:color="auto"/>
        <w:bottom w:val="none" w:sz="0" w:space="0" w:color="auto"/>
        <w:right w:val="none" w:sz="0" w:space="0" w:color="auto"/>
      </w:divBdr>
    </w:div>
    <w:div w:id="1769154188">
      <w:bodyDiv w:val="1"/>
      <w:marLeft w:val="0"/>
      <w:marRight w:val="0"/>
      <w:marTop w:val="0"/>
      <w:marBottom w:val="0"/>
      <w:divBdr>
        <w:top w:val="none" w:sz="0" w:space="0" w:color="auto"/>
        <w:left w:val="none" w:sz="0" w:space="0" w:color="auto"/>
        <w:bottom w:val="none" w:sz="0" w:space="0" w:color="auto"/>
        <w:right w:val="none" w:sz="0" w:space="0" w:color="auto"/>
      </w:divBdr>
      <w:divsChild>
        <w:div w:id="720599665">
          <w:marLeft w:val="274"/>
          <w:marRight w:val="0"/>
          <w:marTop w:val="0"/>
          <w:marBottom w:val="0"/>
          <w:divBdr>
            <w:top w:val="none" w:sz="0" w:space="0" w:color="auto"/>
            <w:left w:val="none" w:sz="0" w:space="0" w:color="auto"/>
            <w:bottom w:val="none" w:sz="0" w:space="0" w:color="auto"/>
            <w:right w:val="none" w:sz="0" w:space="0" w:color="auto"/>
          </w:divBdr>
        </w:div>
      </w:divsChild>
    </w:div>
    <w:div w:id="1776899785">
      <w:bodyDiv w:val="1"/>
      <w:marLeft w:val="0"/>
      <w:marRight w:val="0"/>
      <w:marTop w:val="0"/>
      <w:marBottom w:val="0"/>
      <w:divBdr>
        <w:top w:val="none" w:sz="0" w:space="0" w:color="auto"/>
        <w:left w:val="none" w:sz="0" w:space="0" w:color="auto"/>
        <w:bottom w:val="none" w:sz="0" w:space="0" w:color="auto"/>
        <w:right w:val="none" w:sz="0" w:space="0" w:color="auto"/>
      </w:divBdr>
    </w:div>
    <w:div w:id="1778066125">
      <w:bodyDiv w:val="1"/>
      <w:marLeft w:val="0"/>
      <w:marRight w:val="0"/>
      <w:marTop w:val="0"/>
      <w:marBottom w:val="0"/>
      <w:divBdr>
        <w:top w:val="none" w:sz="0" w:space="0" w:color="auto"/>
        <w:left w:val="none" w:sz="0" w:space="0" w:color="auto"/>
        <w:bottom w:val="none" w:sz="0" w:space="0" w:color="auto"/>
        <w:right w:val="none" w:sz="0" w:space="0" w:color="auto"/>
      </w:divBdr>
    </w:div>
    <w:div w:id="1794132278">
      <w:bodyDiv w:val="1"/>
      <w:marLeft w:val="0"/>
      <w:marRight w:val="0"/>
      <w:marTop w:val="0"/>
      <w:marBottom w:val="0"/>
      <w:divBdr>
        <w:top w:val="none" w:sz="0" w:space="0" w:color="auto"/>
        <w:left w:val="none" w:sz="0" w:space="0" w:color="auto"/>
        <w:bottom w:val="none" w:sz="0" w:space="0" w:color="auto"/>
        <w:right w:val="none" w:sz="0" w:space="0" w:color="auto"/>
      </w:divBdr>
      <w:divsChild>
        <w:div w:id="293022829">
          <w:marLeft w:val="547"/>
          <w:marRight w:val="0"/>
          <w:marTop w:val="120"/>
          <w:marBottom w:val="120"/>
          <w:divBdr>
            <w:top w:val="none" w:sz="0" w:space="0" w:color="auto"/>
            <w:left w:val="none" w:sz="0" w:space="0" w:color="auto"/>
            <w:bottom w:val="none" w:sz="0" w:space="0" w:color="auto"/>
            <w:right w:val="none" w:sz="0" w:space="0" w:color="auto"/>
          </w:divBdr>
        </w:div>
      </w:divsChild>
    </w:div>
    <w:div w:id="1799251585">
      <w:bodyDiv w:val="1"/>
      <w:marLeft w:val="0"/>
      <w:marRight w:val="0"/>
      <w:marTop w:val="0"/>
      <w:marBottom w:val="0"/>
      <w:divBdr>
        <w:top w:val="none" w:sz="0" w:space="0" w:color="auto"/>
        <w:left w:val="none" w:sz="0" w:space="0" w:color="auto"/>
        <w:bottom w:val="none" w:sz="0" w:space="0" w:color="auto"/>
        <w:right w:val="none" w:sz="0" w:space="0" w:color="auto"/>
      </w:divBdr>
      <w:divsChild>
        <w:div w:id="1016226452">
          <w:marLeft w:val="446"/>
          <w:marRight w:val="0"/>
          <w:marTop w:val="0"/>
          <w:marBottom w:val="0"/>
          <w:divBdr>
            <w:top w:val="none" w:sz="0" w:space="0" w:color="auto"/>
            <w:left w:val="none" w:sz="0" w:space="0" w:color="auto"/>
            <w:bottom w:val="none" w:sz="0" w:space="0" w:color="auto"/>
            <w:right w:val="none" w:sz="0" w:space="0" w:color="auto"/>
          </w:divBdr>
        </w:div>
      </w:divsChild>
    </w:div>
    <w:div w:id="1842502227">
      <w:bodyDiv w:val="1"/>
      <w:marLeft w:val="0"/>
      <w:marRight w:val="0"/>
      <w:marTop w:val="0"/>
      <w:marBottom w:val="0"/>
      <w:divBdr>
        <w:top w:val="none" w:sz="0" w:space="0" w:color="auto"/>
        <w:left w:val="none" w:sz="0" w:space="0" w:color="auto"/>
        <w:bottom w:val="none" w:sz="0" w:space="0" w:color="auto"/>
        <w:right w:val="none" w:sz="0" w:space="0" w:color="auto"/>
      </w:divBdr>
      <w:divsChild>
        <w:div w:id="1588615033">
          <w:marLeft w:val="547"/>
          <w:marRight w:val="0"/>
          <w:marTop w:val="0"/>
          <w:marBottom w:val="120"/>
          <w:divBdr>
            <w:top w:val="none" w:sz="0" w:space="0" w:color="auto"/>
            <w:left w:val="none" w:sz="0" w:space="0" w:color="auto"/>
            <w:bottom w:val="none" w:sz="0" w:space="0" w:color="auto"/>
            <w:right w:val="none" w:sz="0" w:space="0" w:color="auto"/>
          </w:divBdr>
        </w:div>
      </w:divsChild>
    </w:div>
    <w:div w:id="1854613761">
      <w:bodyDiv w:val="1"/>
      <w:marLeft w:val="0"/>
      <w:marRight w:val="0"/>
      <w:marTop w:val="0"/>
      <w:marBottom w:val="0"/>
      <w:divBdr>
        <w:top w:val="none" w:sz="0" w:space="0" w:color="auto"/>
        <w:left w:val="none" w:sz="0" w:space="0" w:color="auto"/>
        <w:bottom w:val="none" w:sz="0" w:space="0" w:color="auto"/>
        <w:right w:val="none" w:sz="0" w:space="0" w:color="auto"/>
      </w:divBdr>
    </w:div>
    <w:div w:id="1856457309">
      <w:bodyDiv w:val="1"/>
      <w:marLeft w:val="0"/>
      <w:marRight w:val="0"/>
      <w:marTop w:val="0"/>
      <w:marBottom w:val="0"/>
      <w:divBdr>
        <w:top w:val="none" w:sz="0" w:space="0" w:color="auto"/>
        <w:left w:val="none" w:sz="0" w:space="0" w:color="auto"/>
        <w:bottom w:val="none" w:sz="0" w:space="0" w:color="auto"/>
        <w:right w:val="none" w:sz="0" w:space="0" w:color="auto"/>
      </w:divBdr>
    </w:div>
    <w:div w:id="1885824104">
      <w:bodyDiv w:val="1"/>
      <w:marLeft w:val="0"/>
      <w:marRight w:val="0"/>
      <w:marTop w:val="0"/>
      <w:marBottom w:val="0"/>
      <w:divBdr>
        <w:top w:val="none" w:sz="0" w:space="0" w:color="auto"/>
        <w:left w:val="none" w:sz="0" w:space="0" w:color="auto"/>
        <w:bottom w:val="none" w:sz="0" w:space="0" w:color="auto"/>
        <w:right w:val="none" w:sz="0" w:space="0" w:color="auto"/>
      </w:divBdr>
    </w:div>
    <w:div w:id="1890651872">
      <w:bodyDiv w:val="1"/>
      <w:marLeft w:val="0"/>
      <w:marRight w:val="0"/>
      <w:marTop w:val="0"/>
      <w:marBottom w:val="0"/>
      <w:divBdr>
        <w:top w:val="none" w:sz="0" w:space="0" w:color="auto"/>
        <w:left w:val="none" w:sz="0" w:space="0" w:color="auto"/>
        <w:bottom w:val="none" w:sz="0" w:space="0" w:color="auto"/>
        <w:right w:val="none" w:sz="0" w:space="0" w:color="auto"/>
      </w:divBdr>
    </w:div>
    <w:div w:id="1917981539">
      <w:bodyDiv w:val="1"/>
      <w:marLeft w:val="0"/>
      <w:marRight w:val="0"/>
      <w:marTop w:val="0"/>
      <w:marBottom w:val="0"/>
      <w:divBdr>
        <w:top w:val="none" w:sz="0" w:space="0" w:color="auto"/>
        <w:left w:val="none" w:sz="0" w:space="0" w:color="auto"/>
        <w:bottom w:val="none" w:sz="0" w:space="0" w:color="auto"/>
        <w:right w:val="none" w:sz="0" w:space="0" w:color="auto"/>
      </w:divBdr>
    </w:div>
    <w:div w:id="1918976109">
      <w:bodyDiv w:val="1"/>
      <w:marLeft w:val="0"/>
      <w:marRight w:val="0"/>
      <w:marTop w:val="0"/>
      <w:marBottom w:val="0"/>
      <w:divBdr>
        <w:top w:val="none" w:sz="0" w:space="0" w:color="auto"/>
        <w:left w:val="none" w:sz="0" w:space="0" w:color="auto"/>
        <w:bottom w:val="none" w:sz="0" w:space="0" w:color="auto"/>
        <w:right w:val="none" w:sz="0" w:space="0" w:color="auto"/>
      </w:divBdr>
    </w:div>
    <w:div w:id="1946688820">
      <w:bodyDiv w:val="1"/>
      <w:marLeft w:val="0"/>
      <w:marRight w:val="0"/>
      <w:marTop w:val="0"/>
      <w:marBottom w:val="0"/>
      <w:divBdr>
        <w:top w:val="none" w:sz="0" w:space="0" w:color="auto"/>
        <w:left w:val="none" w:sz="0" w:space="0" w:color="auto"/>
        <w:bottom w:val="none" w:sz="0" w:space="0" w:color="auto"/>
        <w:right w:val="none" w:sz="0" w:space="0" w:color="auto"/>
      </w:divBdr>
    </w:div>
    <w:div w:id="1965573716">
      <w:bodyDiv w:val="1"/>
      <w:marLeft w:val="0"/>
      <w:marRight w:val="0"/>
      <w:marTop w:val="0"/>
      <w:marBottom w:val="0"/>
      <w:divBdr>
        <w:top w:val="none" w:sz="0" w:space="0" w:color="auto"/>
        <w:left w:val="none" w:sz="0" w:space="0" w:color="auto"/>
        <w:bottom w:val="none" w:sz="0" w:space="0" w:color="auto"/>
        <w:right w:val="none" w:sz="0" w:space="0" w:color="auto"/>
      </w:divBdr>
    </w:div>
    <w:div w:id="1978875542">
      <w:bodyDiv w:val="1"/>
      <w:marLeft w:val="0"/>
      <w:marRight w:val="0"/>
      <w:marTop w:val="0"/>
      <w:marBottom w:val="0"/>
      <w:divBdr>
        <w:top w:val="none" w:sz="0" w:space="0" w:color="auto"/>
        <w:left w:val="none" w:sz="0" w:space="0" w:color="auto"/>
        <w:bottom w:val="none" w:sz="0" w:space="0" w:color="auto"/>
        <w:right w:val="none" w:sz="0" w:space="0" w:color="auto"/>
      </w:divBdr>
    </w:div>
    <w:div w:id="2009554249">
      <w:bodyDiv w:val="1"/>
      <w:marLeft w:val="0"/>
      <w:marRight w:val="0"/>
      <w:marTop w:val="0"/>
      <w:marBottom w:val="0"/>
      <w:divBdr>
        <w:top w:val="none" w:sz="0" w:space="0" w:color="auto"/>
        <w:left w:val="none" w:sz="0" w:space="0" w:color="auto"/>
        <w:bottom w:val="none" w:sz="0" w:space="0" w:color="auto"/>
        <w:right w:val="none" w:sz="0" w:space="0" w:color="auto"/>
      </w:divBdr>
    </w:div>
    <w:div w:id="2056850756">
      <w:bodyDiv w:val="1"/>
      <w:marLeft w:val="0"/>
      <w:marRight w:val="0"/>
      <w:marTop w:val="0"/>
      <w:marBottom w:val="0"/>
      <w:divBdr>
        <w:top w:val="none" w:sz="0" w:space="0" w:color="auto"/>
        <w:left w:val="none" w:sz="0" w:space="0" w:color="auto"/>
        <w:bottom w:val="none" w:sz="0" w:space="0" w:color="auto"/>
        <w:right w:val="none" w:sz="0" w:space="0" w:color="auto"/>
      </w:divBdr>
    </w:div>
    <w:div w:id="2074621935">
      <w:bodyDiv w:val="1"/>
      <w:marLeft w:val="0"/>
      <w:marRight w:val="0"/>
      <w:marTop w:val="0"/>
      <w:marBottom w:val="0"/>
      <w:divBdr>
        <w:top w:val="none" w:sz="0" w:space="0" w:color="auto"/>
        <w:left w:val="none" w:sz="0" w:space="0" w:color="auto"/>
        <w:bottom w:val="none" w:sz="0" w:space="0" w:color="auto"/>
        <w:right w:val="none" w:sz="0" w:space="0" w:color="auto"/>
      </w:divBdr>
    </w:div>
    <w:div w:id="2090275058">
      <w:bodyDiv w:val="1"/>
      <w:marLeft w:val="0"/>
      <w:marRight w:val="0"/>
      <w:marTop w:val="0"/>
      <w:marBottom w:val="0"/>
      <w:divBdr>
        <w:top w:val="none" w:sz="0" w:space="0" w:color="auto"/>
        <w:left w:val="none" w:sz="0" w:space="0" w:color="auto"/>
        <w:bottom w:val="none" w:sz="0" w:space="0" w:color="auto"/>
        <w:right w:val="none" w:sz="0" w:space="0" w:color="auto"/>
      </w:divBdr>
    </w:div>
    <w:div w:id="2091147958">
      <w:bodyDiv w:val="1"/>
      <w:marLeft w:val="0"/>
      <w:marRight w:val="0"/>
      <w:marTop w:val="0"/>
      <w:marBottom w:val="0"/>
      <w:divBdr>
        <w:top w:val="none" w:sz="0" w:space="0" w:color="auto"/>
        <w:left w:val="none" w:sz="0" w:space="0" w:color="auto"/>
        <w:bottom w:val="none" w:sz="0" w:space="0" w:color="auto"/>
        <w:right w:val="none" w:sz="0" w:space="0" w:color="auto"/>
      </w:divBdr>
    </w:div>
    <w:div w:id="2104253596">
      <w:bodyDiv w:val="1"/>
      <w:marLeft w:val="0"/>
      <w:marRight w:val="0"/>
      <w:marTop w:val="0"/>
      <w:marBottom w:val="0"/>
      <w:divBdr>
        <w:top w:val="none" w:sz="0" w:space="0" w:color="auto"/>
        <w:left w:val="none" w:sz="0" w:space="0" w:color="auto"/>
        <w:bottom w:val="none" w:sz="0" w:space="0" w:color="auto"/>
        <w:right w:val="none" w:sz="0" w:space="0" w:color="auto"/>
      </w:divBdr>
    </w:div>
    <w:div w:id="2123259709">
      <w:bodyDiv w:val="1"/>
      <w:marLeft w:val="0"/>
      <w:marRight w:val="0"/>
      <w:marTop w:val="0"/>
      <w:marBottom w:val="0"/>
      <w:divBdr>
        <w:top w:val="none" w:sz="0" w:space="0" w:color="auto"/>
        <w:left w:val="none" w:sz="0" w:space="0" w:color="auto"/>
        <w:bottom w:val="none" w:sz="0" w:space="0" w:color="auto"/>
        <w:right w:val="none" w:sz="0" w:space="0" w:color="auto"/>
      </w:divBdr>
    </w:div>
    <w:div w:id="212900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transparencia.tamaulipas.gob.mx/informacion-publica/tema/recursos-federales/ejercicio-y-destino-de-los-recursos-federales-sfu-historico/" TargetMode="External"/><Relationship Id="rId18" Type="http://schemas.openxmlformats.org/officeDocument/2006/relationships/hyperlink" Target="https://www.transparenciapresupuestaria.gob.mx/es/PTP/Datos_Abiertos" TargetMode="External"/><Relationship Id="rId26" Type="http://schemas.openxmlformats.org/officeDocument/2006/relationships/hyperlink" Target="http://www.dof.gob.mx/nota_detalle.php?codigo=5466319&amp;fecha=21/12/2016" TargetMode="External"/><Relationship Id="rId39" Type="http://schemas.openxmlformats.org/officeDocument/2006/relationships/hyperlink" Target="https://www.transparenciapresupuestaria.gob.mx/work/models/PTP/Capacitacion/Resources/files/guia_criterios.pdf" TargetMode="External"/><Relationship Id="rId21" Type="http://schemas.openxmlformats.org/officeDocument/2006/relationships/hyperlink" Target="http://finanzas.tamaulipas.gob.mx/reportes-financieros/informe-de-recursos-federales.php" TargetMode="External"/><Relationship Id="rId34" Type="http://schemas.openxmlformats.org/officeDocument/2006/relationships/hyperlink" Target="http://www.diputados.gob.mx/LeyesBiblio/pdf/31_300118.pdf" TargetMode="External"/><Relationship Id="rId42" Type="http://schemas.openxmlformats.org/officeDocument/2006/relationships/hyperlink" Target="https://www.transparenciapresupuestaria.gob.mx/work/models/PTP/SED/Documentos/Modelo_TdR_SHCP_FAFEF_2018.docx" TargetMode="External"/><Relationship Id="rId47" Type="http://schemas.openxmlformats.org/officeDocument/2006/relationships/hyperlink" Target="https://www.gob.mx/cms/uploads/attachment/file/56904/Gu_a_para_la_Optimizaci_n__Estandarizaci_n_y_Mejora_Continua_de_Procesos.pdf" TargetMode="External"/><Relationship Id="rId50" Type="http://schemas.openxmlformats.org/officeDocument/2006/relationships/image" Target="media/image7.png"/><Relationship Id="rId55" Type="http://schemas.openxmlformats.org/officeDocument/2006/relationships/hyperlink" Target="mailto:juan.ramirez@tam.gob.mx"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inanzas.tamaulipas.gob.mx/" TargetMode="External"/><Relationship Id="rId29" Type="http://schemas.openxmlformats.org/officeDocument/2006/relationships/hyperlink" Target="https://transparencia.tamaulipas.gob.mx/informacion-publica/tema/recursos-federales/ejercicio-y-destino-de-los-recursos-federales-sfu-historico/" TargetMode="External"/><Relationship Id="rId11" Type="http://schemas.openxmlformats.org/officeDocument/2006/relationships/footer" Target="footer2.xml"/><Relationship Id="rId24" Type="http://schemas.openxmlformats.org/officeDocument/2006/relationships/hyperlink" Target="http://www.dof.gob.mx/nota_detalle.php?codigo=5376981&amp;fecha=23/12/2014" TargetMode="External"/><Relationship Id="rId32" Type="http://schemas.openxmlformats.org/officeDocument/2006/relationships/hyperlink" Target="https://repositorio.cepal.org/bitstream/handle/11362/5507/1/S1100211_es.pdf" TargetMode="External"/><Relationship Id="rId37" Type="http://schemas.openxmlformats.org/officeDocument/2006/relationships/hyperlink" Target="http://po.tamaulipas.gob.mx/wp-content/uploads/2018/11/cxliii-Ext.No_.12-291018F.pdf" TargetMode="External"/><Relationship Id="rId40" Type="http://schemas.openxmlformats.org/officeDocument/2006/relationships/hyperlink" Target="http://finanzas.tamaulipas.gob.mx/reportes-financieros/informe-de-recursos-federales.php" TargetMode="External"/><Relationship Id="rId45" Type="http://schemas.openxmlformats.org/officeDocument/2006/relationships/footer" Target="footer3.xml"/><Relationship Id="rId53" Type="http://schemas.openxmlformats.org/officeDocument/2006/relationships/footer" Target="footer4.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finanzas.tamaulipas.gob.mx/reportes-financieros/informe-de-recursos-federales.php"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transparencia.tamaulipas.gob.mx/transparencia-fiscal/marco-programatico/evaluaciones/" TargetMode="External"/><Relationship Id="rId22" Type="http://schemas.openxmlformats.org/officeDocument/2006/relationships/hyperlink" Target="https://www.asf.gob.mx/Trans/Informes/IR2018a/Documentos/Auditorias/2018_1410_a.pdf" TargetMode="External"/><Relationship Id="rId27" Type="http://schemas.openxmlformats.org/officeDocument/2006/relationships/hyperlink" Target="https://www.dof.gob.mx/nota_detalle.php?codigo=5508435&amp;fecha=20/12/2017" TargetMode="External"/><Relationship Id="rId30" Type="http://schemas.openxmlformats.org/officeDocument/2006/relationships/hyperlink" Target="https://transparencia.tamaulipas.gob.mx/armonizacion_contable/obligaciones_f_f/info2013/" TargetMode="External"/><Relationship Id="rId35" Type="http://schemas.openxmlformats.org/officeDocument/2006/relationships/hyperlink" Target="http://po.tamaulipas.gob.mx/wp-content/uploads/2018/12/cxliii-150-131218F-ANEXO.pdf" TargetMode="External"/><Relationship Id="rId43" Type="http://schemas.openxmlformats.org/officeDocument/2006/relationships/hyperlink" Target="https://www.coneval.org.mx/Evaluacion/NME/Documents/PAE_2018.pdf" TargetMode="External"/><Relationship Id="rId48" Type="http://schemas.openxmlformats.org/officeDocument/2006/relationships/image" Target="media/image5.png"/><Relationship Id="rId56" Type="http://schemas.openxmlformats.org/officeDocument/2006/relationships/hyperlink" Target="mailto:juan.ramirez@tam.gob.mx" TargetMode="External"/><Relationship Id="rId8" Type="http://schemas.openxmlformats.org/officeDocument/2006/relationships/header" Target="header1.xml"/><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hyperlink" Target="http://transparencia.tamaulipas.gob.mx/transparencia-fiscal/marco-programatico/evaluaciones/" TargetMode="External"/><Relationship Id="rId25" Type="http://schemas.openxmlformats.org/officeDocument/2006/relationships/hyperlink" Target="http://dof.gob.mx/nota_detalle.php?codigo=5420652&amp;fecha=18/12/2015" TargetMode="External"/><Relationship Id="rId33" Type="http://schemas.openxmlformats.org/officeDocument/2006/relationships/hyperlink" Target="https://www.gob.mx/inafed/articulos/que-es-la-recaudacion-federal-participable-rfp" TargetMode="External"/><Relationship Id="rId38" Type="http://schemas.openxmlformats.org/officeDocument/2006/relationships/hyperlink" Target="http://www.gob.mx/shcp/documentos/guia-para-el-diseno-de-la-matriz-de-indicadores-para-resultados" TargetMode="External"/><Relationship Id="rId46" Type="http://schemas.openxmlformats.org/officeDocument/2006/relationships/header" Target="header4.xml"/><Relationship Id="rId59" Type="http://schemas.openxmlformats.org/officeDocument/2006/relationships/theme" Target="theme/theme1.xml"/><Relationship Id="rId20" Type="http://schemas.openxmlformats.org/officeDocument/2006/relationships/hyperlink" Target="http://transparencia.tamaulipas.gob.mx/informacion-publica/tema/recursos-federales/" TargetMode="External"/><Relationship Id="rId41" Type="http://schemas.openxmlformats.org/officeDocument/2006/relationships/hyperlink" Target="https://www.tamaulipas.gob.mx/planestatal/" TargetMode="External"/><Relationship Id="rId54"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transparencia.tamaulipas.gob.mx/informacion-publica/tema/recursos-federales/ejercicio-y-destino-de-los-recursos-federales-sfu-historico/" TargetMode="External"/><Relationship Id="rId23" Type="http://schemas.openxmlformats.org/officeDocument/2006/relationships/hyperlink" Target="https://www.dof.gob.mx/nota_detalle.php?codigo=5327835&amp;fecha=24/12/2013" TargetMode="External"/><Relationship Id="rId28" Type="http://schemas.openxmlformats.org/officeDocument/2006/relationships/hyperlink" Target="https://dof.gob.mx/nota_detalle.php?codigo=5297066&amp;fecha=25/04/2013" TargetMode="External"/><Relationship Id="rId36" Type="http://schemas.openxmlformats.org/officeDocument/2006/relationships/hyperlink" Target="http://po.tamaulipas.gob.mx/wp-content/uploads/2016/09/Ley_Deuda_Publica.pdf" TargetMode="External"/><Relationship Id="rId49" Type="http://schemas.openxmlformats.org/officeDocument/2006/relationships/image" Target="media/image6.png"/><Relationship Id="rId57" Type="http://schemas.openxmlformats.org/officeDocument/2006/relationships/header" Target="header7.xml"/><Relationship Id="rId10" Type="http://schemas.openxmlformats.org/officeDocument/2006/relationships/header" Target="header2.xml"/><Relationship Id="rId31" Type="http://schemas.openxmlformats.org/officeDocument/2006/relationships/hyperlink" Target="https://transparencia.tamaulipas.gob.mx/prontuario/estatal/manuales/" TargetMode="External"/><Relationship Id="rId44" Type="http://schemas.openxmlformats.org/officeDocument/2006/relationships/header" Target="header3.xml"/><Relationship Id="rId52" Type="http://schemas.openxmlformats.org/officeDocument/2006/relationships/header" Target="header6.xml"/></Relationships>
</file>

<file path=word/_rels/footnotes.xml.rels><?xml version="1.0" encoding="UTF-8" standalone="yes"?>
<Relationships xmlns="http://schemas.openxmlformats.org/package/2006/relationships"><Relationship Id="rId3" Type="http://schemas.openxmlformats.org/officeDocument/2006/relationships/hyperlink" Target="http://transparencia.tamaulipas.gob.mx/prontuario/estatal/manuales/" TargetMode="External"/><Relationship Id="rId2" Type="http://schemas.openxmlformats.org/officeDocument/2006/relationships/hyperlink" Target="https://repositorio.cepal.org/bitstream/handle/11362/5507/1/S1100211_es.pdf" TargetMode="External"/><Relationship Id="rId1" Type="http://schemas.openxmlformats.org/officeDocument/2006/relationships/hyperlink" Target="http://www.diputados.gob.mx/LeyesBiblio/pdf/31_300118.pdf" TargetMode="External"/><Relationship Id="rId4" Type="http://schemas.openxmlformats.org/officeDocument/2006/relationships/hyperlink" Target="http://po.tamaulipas.gob.mx/wp-content/uploads/2016/09/Ley_Deuda_Publica.pdf"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ropbox\PROYECTO%20SERPRO\Tamaulipas\Ejemplo%20excel%20calculo%20valoraci&#243;n%20Tamaulipa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spPr>
            <a:ln w="28575" cap="rnd">
              <a:solidFill>
                <a:schemeClr val="accent1"/>
              </a:solidFill>
              <a:round/>
            </a:ln>
            <a:effectLst/>
          </c:spPr>
          <c:marker>
            <c:symbol val="none"/>
          </c:marker>
          <c:dLbls>
            <c:dLbl>
              <c:idx val="0"/>
              <c:layout>
                <c:manualLayout>
                  <c:x val="2.014098690835851E-3"/>
                  <c:y val="2.0523345305284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D34-49FB-8DD3-C4F93C0E3C2C}"/>
                </c:ext>
              </c:extLst>
            </c:dLbl>
            <c:dLbl>
              <c:idx val="1"/>
              <c:layout>
                <c:manualLayout>
                  <c:x val="-2.0140986908358437E-2"/>
                  <c:y val="6.15700359158542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D34-49FB-8DD3-C4F93C0E3C2C}"/>
                </c:ext>
              </c:extLst>
            </c:dLbl>
            <c:dLbl>
              <c:idx val="2"/>
              <c:layout>
                <c:manualLayout>
                  <c:x val="-3.0211480362537766E-2"/>
                  <c:y val="-8.209338122113980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D34-49FB-8DD3-C4F93C0E3C2C}"/>
                </c:ext>
              </c:extLst>
            </c:dLbl>
            <c:dLbl>
              <c:idx val="4"/>
              <c:layout>
                <c:manualLayout>
                  <c:x val="3.0211480362537766E-2"/>
                  <c:y val="-6.97793740379683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D34-49FB-8DD3-C4F93C0E3C2C}"/>
                </c:ext>
              </c:extLst>
            </c:dLbl>
            <c:dLbl>
              <c:idx val="6"/>
              <c:layout>
                <c:manualLayout>
                  <c:x val="1.4098690835850957E-2"/>
                  <c:y val="1.8471010774756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D34-49FB-8DD3-C4F93C0E3C2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Tamaulipas!$H$2:$H$8</c:f>
              <c:strCache>
                <c:ptCount val="7"/>
                <c:pt idx="0">
                  <c:v>1. Justificación del diseño del Fondo y de su mecanismo de intervención</c:v>
                </c:pt>
                <c:pt idx="1">
                  <c:v>2. Matriz de Indicadores para Resultados</c:v>
                </c:pt>
                <c:pt idx="2">
                  <c:v>3. Consistencia entre los elementos del diseño</c:v>
                </c:pt>
                <c:pt idx="3">
                  <c:v>4. Alineación del Fondo a la Planeación Nacional y a los Objetivos de Desarrollo Sostenible</c:v>
                </c:pt>
                <c:pt idx="4">
                  <c:v>5. Mecanismos de coordinación</c:v>
                </c:pt>
                <c:pt idx="5">
                  <c:v>6. Complementariedad y coincidencias</c:v>
                </c:pt>
                <c:pt idx="6">
                  <c:v>7. Calidad de la información</c:v>
                </c:pt>
              </c:strCache>
            </c:strRef>
          </c:cat>
          <c:val>
            <c:numRef>
              <c:f>Tamaulipas!$I$2:$I$8</c:f>
              <c:numCache>
                <c:formatCode>General</c:formatCode>
                <c:ptCount val="7"/>
                <c:pt idx="0">
                  <c:v>0.25</c:v>
                </c:pt>
                <c:pt idx="1">
                  <c:v>0.75</c:v>
                </c:pt>
                <c:pt idx="2">
                  <c:v>0.5</c:v>
                </c:pt>
                <c:pt idx="4" formatCode="0">
                  <c:v>1</c:v>
                </c:pt>
                <c:pt idx="6" formatCode="0.00">
                  <c:v>0.41666666666666669</c:v>
                </c:pt>
              </c:numCache>
            </c:numRef>
          </c:val>
          <c:extLst>
            <c:ext xmlns:c16="http://schemas.microsoft.com/office/drawing/2014/chart" uri="{C3380CC4-5D6E-409C-BE32-E72D297353CC}">
              <c16:uniqueId val="{00000000-0D34-49FB-8DD3-C4F93C0E3C2C}"/>
            </c:ext>
          </c:extLst>
        </c:ser>
        <c:dLbls>
          <c:showLegendKey val="0"/>
          <c:showVal val="0"/>
          <c:showCatName val="0"/>
          <c:showSerName val="0"/>
          <c:showPercent val="0"/>
          <c:showBubbleSize val="0"/>
        </c:dLbls>
        <c:axId val="-1026541168"/>
        <c:axId val="-1026543888"/>
      </c:radarChart>
      <c:catAx>
        <c:axId val="-1026541168"/>
        <c:scaling>
          <c:orientation val="minMax"/>
        </c:scaling>
        <c:delete val="0"/>
        <c:axPos val="b"/>
        <c:numFmt formatCode="General" sourceLinked="1"/>
        <c:majorTickMark val="none"/>
        <c:minorTickMark val="none"/>
        <c:tickLblPos val="nextTo"/>
        <c:spPr>
          <a:solidFill>
            <a:schemeClr val="bg2">
              <a:lumMod val="90000"/>
            </a:schemeClr>
          </a:solid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crossAx val="-1026543888"/>
        <c:crosses val="autoZero"/>
        <c:auto val="1"/>
        <c:lblAlgn val="ctr"/>
        <c:lblOffset val="100"/>
        <c:noMultiLvlLbl val="0"/>
      </c:catAx>
      <c:valAx>
        <c:axId val="-1026543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crossAx val="-1026541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95A01-F648-4B6D-9A98-67EB1DAC7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116</Pages>
  <Words>47251</Words>
  <Characters>259885</Characters>
  <Application>Microsoft Office Word</Application>
  <DocSecurity>0</DocSecurity>
  <Lines>2165</Lines>
  <Paragraphs>613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306523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Ángel</dc:creator>
  <cp:keywords/>
  <dc:description/>
  <cp:lastModifiedBy>SERVICIOS PROFESIONALES PARA EL DESARROLLO ECONOMICO S.C.</cp:lastModifiedBy>
  <cp:revision>119</cp:revision>
  <cp:lastPrinted>2020-11-06T07:56:00Z</cp:lastPrinted>
  <dcterms:created xsi:type="dcterms:W3CDTF">2020-11-20T21:49:00Z</dcterms:created>
  <dcterms:modified xsi:type="dcterms:W3CDTF">2021-01-16T02:07:00Z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zotero-version="4.0.26.4"&gt;&lt;session id="pzyXrVgR"/&gt;&lt;style id="http://www.zotero.org/styles/apa" hasBibliography="1" bibliographyStyleHasBeenSet="0"/&gt;&lt;prefs&gt;&lt;pref name="fieldType" value="Field"/&gt;&lt;pref name="storeReferences" value="tru</vt:lpwstr>
  </property>
  <property fmtid="{D5CDD505-2E9C-101B-9397-08002B2CF9AE}" pid="3" name="ZOTERO_PREF_2">
    <vt:lpwstr>e"/&gt;&lt;pref name="automaticJournalAbbreviations" value="true"/&gt;&lt;pref name="noteType" value="0"/&gt;&lt;/prefs&gt;&lt;/data&gt;</vt:lpwstr>
  </property>
</Properties>
</file>