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3A8724" w14:textId="203BBCFD" w:rsidR="00BF2181" w:rsidRDefault="00BF2181" w:rsidP="00A2739A">
      <w:pPr>
        <w:tabs>
          <w:tab w:val="left" w:pos="2268"/>
        </w:tabs>
        <w:ind w:right="-93"/>
        <w:jc w:val="center"/>
        <w:rPr>
          <w:b/>
          <w:sz w:val="40"/>
          <w:szCs w:val="40"/>
        </w:rPr>
      </w:pPr>
    </w:p>
    <w:p w14:paraId="2ECE066C" w14:textId="75351BD1" w:rsidR="00FE3552" w:rsidRDefault="00FE3552" w:rsidP="005244CC">
      <w:pPr>
        <w:tabs>
          <w:tab w:val="left" w:pos="2268"/>
        </w:tabs>
        <w:jc w:val="center"/>
        <w:rPr>
          <w:b/>
          <w:sz w:val="36"/>
          <w:szCs w:val="36"/>
        </w:rPr>
      </w:pPr>
    </w:p>
    <w:p w14:paraId="3A8686D8" w14:textId="77777777" w:rsidR="009A64B1" w:rsidRPr="009A64B1" w:rsidRDefault="009A64B1" w:rsidP="005244CC">
      <w:pPr>
        <w:tabs>
          <w:tab w:val="left" w:pos="2268"/>
        </w:tabs>
        <w:jc w:val="center"/>
        <w:rPr>
          <w:b/>
          <w:sz w:val="36"/>
          <w:szCs w:val="36"/>
        </w:rPr>
      </w:pPr>
    </w:p>
    <w:p w14:paraId="6DEEE7BF" w14:textId="5D0E9272" w:rsidR="00FE3552" w:rsidRPr="00497FBC" w:rsidRDefault="00FE3552" w:rsidP="00FE3552">
      <w:pPr>
        <w:tabs>
          <w:tab w:val="left" w:pos="2268"/>
        </w:tabs>
        <w:jc w:val="center"/>
        <w:rPr>
          <w:b/>
          <w:sz w:val="36"/>
          <w:szCs w:val="36"/>
        </w:rPr>
      </w:pPr>
      <w:r w:rsidRPr="005E43D5">
        <w:rPr>
          <w:b/>
          <w:sz w:val="36"/>
          <w:szCs w:val="36"/>
        </w:rPr>
        <w:t xml:space="preserve">EVALUACIÓN ESTRATÉGICA AL FONDO DE APORTACIONES PARA EL FORTALECIMIENTO DE LAS ENTIDADES FEDERATIVAS (FAFEF) EN EL ÁMBITO ESTATAL PARA </w:t>
      </w:r>
      <w:r>
        <w:rPr>
          <w:b/>
          <w:sz w:val="36"/>
          <w:szCs w:val="36"/>
        </w:rPr>
        <w:t>HIDALGO</w:t>
      </w:r>
      <w:r w:rsidRPr="005806B4">
        <w:rPr>
          <w:b/>
          <w:sz w:val="36"/>
          <w:szCs w:val="36"/>
        </w:rPr>
        <w:t>, EN EL MARCO DEL PAE 2018</w:t>
      </w:r>
    </w:p>
    <w:p w14:paraId="3CEBDC7E" w14:textId="02C35C19" w:rsidR="00AB7E14" w:rsidRPr="00E01B94" w:rsidRDefault="00AB7E14" w:rsidP="00167C8B">
      <w:pPr>
        <w:tabs>
          <w:tab w:val="left" w:pos="2268"/>
        </w:tabs>
        <w:jc w:val="center"/>
        <w:rPr>
          <w:b/>
          <w:sz w:val="36"/>
          <w:szCs w:val="36"/>
        </w:rPr>
      </w:pPr>
    </w:p>
    <w:p w14:paraId="433D43E9" w14:textId="79BC51F0" w:rsidR="00B668F0" w:rsidRDefault="00B668F0" w:rsidP="005244CC">
      <w:pPr>
        <w:tabs>
          <w:tab w:val="left" w:pos="2268"/>
        </w:tabs>
        <w:jc w:val="center"/>
        <w:rPr>
          <w:b/>
          <w:sz w:val="40"/>
          <w:szCs w:val="40"/>
        </w:rPr>
      </w:pPr>
    </w:p>
    <w:p w14:paraId="61BAC359" w14:textId="0C27A1B5" w:rsidR="000D7DAE" w:rsidRDefault="00907A75" w:rsidP="00907A75">
      <w:pPr>
        <w:jc w:val="center"/>
        <w:rPr>
          <w:b/>
          <w:sz w:val="36"/>
          <w:szCs w:val="36"/>
        </w:rPr>
      </w:pPr>
      <w:r>
        <w:rPr>
          <w:b/>
          <w:sz w:val="36"/>
          <w:szCs w:val="36"/>
        </w:rPr>
        <w:t>SECRETAR</w:t>
      </w:r>
      <w:r w:rsidR="00E01B94">
        <w:rPr>
          <w:b/>
          <w:sz w:val="36"/>
          <w:szCs w:val="36"/>
        </w:rPr>
        <w:t>Í</w:t>
      </w:r>
      <w:r>
        <w:rPr>
          <w:b/>
          <w:sz w:val="36"/>
          <w:szCs w:val="36"/>
        </w:rPr>
        <w:t xml:space="preserve">A DE </w:t>
      </w:r>
      <w:r w:rsidR="000D7DAE">
        <w:rPr>
          <w:b/>
          <w:sz w:val="36"/>
          <w:szCs w:val="36"/>
        </w:rPr>
        <w:t>HACIENDA Y CRÉDITO PÚBLICO (SHCP)</w:t>
      </w:r>
    </w:p>
    <w:p w14:paraId="677343B7" w14:textId="6937FC64" w:rsidR="005535E7" w:rsidRDefault="005535E7" w:rsidP="00907A75">
      <w:pPr>
        <w:jc w:val="center"/>
        <w:rPr>
          <w:b/>
          <w:sz w:val="36"/>
          <w:szCs w:val="36"/>
        </w:rPr>
      </w:pPr>
    </w:p>
    <w:p w14:paraId="23DA714E" w14:textId="77777777" w:rsidR="005E5427" w:rsidRDefault="005E5427" w:rsidP="00907A75">
      <w:pPr>
        <w:jc w:val="center"/>
        <w:rPr>
          <w:b/>
          <w:sz w:val="36"/>
          <w:szCs w:val="36"/>
        </w:rPr>
      </w:pPr>
    </w:p>
    <w:p w14:paraId="568E2242" w14:textId="0383F97F" w:rsidR="00BF2181" w:rsidRPr="005535E7" w:rsidRDefault="006954D1" w:rsidP="005244CC">
      <w:pPr>
        <w:jc w:val="center"/>
        <w:rPr>
          <w:b/>
          <w:sz w:val="36"/>
          <w:szCs w:val="36"/>
        </w:rPr>
      </w:pPr>
      <w:r w:rsidRPr="005535E7">
        <w:rPr>
          <w:b/>
          <w:sz w:val="36"/>
          <w:szCs w:val="36"/>
        </w:rPr>
        <w:t>SECRETARÍA DE FINANZAS PÚBLICAS DEL ESTADO DE HIDALGO</w:t>
      </w:r>
      <w:r w:rsidR="008043BF">
        <w:rPr>
          <w:b/>
          <w:sz w:val="36"/>
          <w:szCs w:val="36"/>
        </w:rPr>
        <w:t xml:space="preserve"> (SFP)</w:t>
      </w:r>
    </w:p>
    <w:p w14:paraId="1C4881F6" w14:textId="1EC3A3AB" w:rsidR="00992F24" w:rsidRPr="00985D96" w:rsidRDefault="00992F24" w:rsidP="005244CC">
      <w:pPr>
        <w:jc w:val="center"/>
        <w:rPr>
          <w:b/>
          <w:sz w:val="36"/>
          <w:szCs w:val="36"/>
        </w:rPr>
      </w:pPr>
    </w:p>
    <w:p w14:paraId="0D2EA44D" w14:textId="0A9F4E6D" w:rsidR="006954D1" w:rsidRPr="00985D96" w:rsidRDefault="006954D1" w:rsidP="00985D96">
      <w:pPr>
        <w:tabs>
          <w:tab w:val="left" w:pos="7752"/>
        </w:tabs>
        <w:jc w:val="center"/>
        <w:rPr>
          <w:b/>
          <w:sz w:val="36"/>
          <w:szCs w:val="36"/>
        </w:rPr>
      </w:pPr>
    </w:p>
    <w:p w14:paraId="24AE7EB4" w14:textId="77777777" w:rsidR="00992F24" w:rsidRPr="00BE773E" w:rsidRDefault="00992F24" w:rsidP="005244CC">
      <w:pPr>
        <w:jc w:val="center"/>
        <w:rPr>
          <w:b/>
          <w:sz w:val="32"/>
          <w:szCs w:val="32"/>
        </w:rPr>
      </w:pPr>
      <w:r w:rsidRPr="00BE773E">
        <w:rPr>
          <w:b/>
          <w:sz w:val="32"/>
          <w:szCs w:val="32"/>
        </w:rPr>
        <w:t>Entidad Evaluadora</w:t>
      </w:r>
    </w:p>
    <w:p w14:paraId="553F8C0B" w14:textId="77777777" w:rsidR="00992F24" w:rsidRPr="00BE773E" w:rsidRDefault="00992F24" w:rsidP="005244CC">
      <w:pPr>
        <w:jc w:val="center"/>
        <w:rPr>
          <w:sz w:val="32"/>
          <w:szCs w:val="32"/>
        </w:rPr>
      </w:pPr>
      <w:r w:rsidRPr="00BE773E">
        <w:rPr>
          <w:sz w:val="32"/>
          <w:szCs w:val="32"/>
        </w:rPr>
        <w:t>Servicios Profesionales para el Desarrollo Económico S.C.</w:t>
      </w:r>
    </w:p>
    <w:p w14:paraId="62809E71" w14:textId="1004AC2A" w:rsidR="00EA5BB3" w:rsidRPr="00985D96" w:rsidRDefault="006956A7" w:rsidP="005244CC">
      <w:pPr>
        <w:jc w:val="center"/>
        <w:rPr>
          <w:sz w:val="36"/>
          <w:szCs w:val="36"/>
        </w:rPr>
      </w:pPr>
      <w:r>
        <w:rPr>
          <w:rFonts w:ascii="Calibri" w:eastAsia="Calibri" w:hAnsi="Calibri" w:cs="Times New Roman"/>
          <w:noProof/>
          <w:lang w:eastAsia="es-MX"/>
        </w:rPr>
        <mc:AlternateContent>
          <mc:Choice Requires="wps">
            <w:drawing>
              <wp:anchor distT="4294967293" distB="4294967293" distL="114300" distR="114300" simplePos="0" relativeHeight="251659264" behindDoc="0" locked="0" layoutInCell="1" allowOverlap="1" wp14:anchorId="46EA1F49" wp14:editId="234B9C73">
                <wp:simplePos x="0" y="0"/>
                <wp:positionH relativeFrom="margin">
                  <wp:align>center</wp:align>
                </wp:positionH>
                <wp:positionV relativeFrom="paragraph">
                  <wp:posOffset>6985</wp:posOffset>
                </wp:positionV>
                <wp:extent cx="4798695" cy="0"/>
                <wp:effectExtent l="0" t="0" r="0" b="0"/>
                <wp:wrapNone/>
                <wp:docPr id="7" name="Conector recto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798695" cy="0"/>
                        </a:xfrm>
                        <a:prstGeom prst="line">
                          <a:avLst/>
                        </a:prstGeom>
                        <a:noFill/>
                        <a:ln w="12700" cap="flat" cmpd="sng" algn="ctr">
                          <a:solidFill>
                            <a:schemeClr val="accent5">
                              <a:lumMod val="75000"/>
                            </a:schemeClr>
                          </a:solidFill>
                          <a:prstDash val="solid"/>
                          <a:miter lim="800000"/>
                        </a:ln>
                        <a:effectLst/>
                      </wps:spPr>
                      <wps:bodyPr/>
                    </wps:wsp>
                  </a:graphicData>
                </a:graphic>
                <wp14:sizeRelH relativeFrom="page">
                  <wp14:pctWidth>0</wp14:pctWidth>
                </wp14:sizeRelH>
                <wp14:sizeRelV relativeFrom="margin">
                  <wp14:pctHeight>0</wp14:pctHeight>
                </wp14:sizeRelV>
              </wp:anchor>
            </w:drawing>
          </mc:Choice>
          <mc:Fallback>
            <w:pict>
              <v:line w14:anchorId="50B90821" id="Conector recto 7" o:spid="_x0000_s1026" style="position:absolute;flip:y;z-index:251659264;visibility:visible;mso-wrap-style:square;mso-width-percent:0;mso-height-percent:0;mso-wrap-distance-left:9pt;mso-wrap-distance-top:-8e-5mm;mso-wrap-distance-right:9pt;mso-wrap-distance-bottom:-8e-5mm;mso-position-horizontal:center;mso-position-horizontal-relative:margin;mso-position-vertical:absolute;mso-position-vertical-relative:text;mso-width-percent:0;mso-height-percent:0;mso-width-relative:page;mso-height-relative:margin" from="0,.55pt" to="377.8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mhQ5QEAAL4DAAAOAAAAZHJzL2Uyb0RvYy54bWysU01v2zAMvQ/YfxB0X+wGS5MacXpI0F26&#10;LUC73VlZioXpC5QaJ/9+lJy67XYbdpEpknrkI5/Xtydr2FFi1N61/GpWcyad8J12h5b/eLz7tOIs&#10;JnAdGO9ky88y8tvNxw/rITRy7ntvOomMQFxshtDyPqXQVFUUvbQQZz5IR0Hl0UKiKx6qDmEgdGuq&#10;eV1fV4PHLqAXMkby7sYg3xR8paRI35WKMjHTcuotlRPL+ZTParOG5oAQei0ubcA/dGFBOyo6Qe0g&#10;AXtG/ReU1QJ99CrNhLeVV0oLWTgQm6v6DzYPPQRZuNBwYpjGFP8frPh23CPTXcuXnDmwtKItLUok&#10;jwzzhy3zjIYQG0rduj1mluLkHsK9F78ixap3wXyJYUw7KbRMGR1+kjTKeIgwO5Xpn6fpy1Nigpyf&#10;lzer65sFZ+IlVkGTIXLFgDF9kd6ybLTcaJcHAw0c72PKTbymZLfzd9qYslzj2EDl58ua9i+ANKYM&#10;JDJtINbRHTgDcyDxioQFMnqju/w8AxUhyq1BdgSSEAghXVqUPPNsv/pu9C8XNcGPfUxPSlfv0HLz&#10;O4j9+KiERgVaneg3MNq2fEVIE5ZxuQlZhHwh+jrgbD357rzHly2QSErRi6CzCt/eyX77221+AwAA&#10;//8DAFBLAwQUAAYACAAAACEAAMDyqtYAAAAEAQAADwAAAGRycy9kb3ducmV2LnhtbEyPzU7DMBCE&#10;70h9B2srcaNOQf1RiFMhVM6UUu5OvI0j7HVku2l4exYucJyd1cw31W7yTowYUx9IwXJRgEBqg+mp&#10;U3B6f7nbgkhZk9EuECr4wgS7enZT6dKEK73heMyd4BBKpVZgcx5KKVNr0eu0CAMSe+cQvc4sYydN&#10;1FcO907eF8Vaet0TN1g94LPF9vN48QrWmU5du//YPzR42NroXs8HPyp1O5+eHkFknPLfM/zgMzrU&#10;zNSEC5kknAIekvm6BMHmZrXagGh+tawr+R++/gYAAP//AwBQSwECLQAUAAYACAAAACEAtoM4kv4A&#10;AADhAQAAEwAAAAAAAAAAAAAAAAAAAAAAW0NvbnRlbnRfVHlwZXNdLnhtbFBLAQItABQABgAIAAAA&#10;IQA4/SH/1gAAAJQBAAALAAAAAAAAAAAAAAAAAC8BAABfcmVscy8ucmVsc1BLAQItABQABgAIAAAA&#10;IQBCImhQ5QEAAL4DAAAOAAAAAAAAAAAAAAAAAC4CAABkcnMvZTJvRG9jLnhtbFBLAQItABQABgAI&#10;AAAAIQAAwPKq1gAAAAQBAAAPAAAAAAAAAAAAAAAAAD8EAABkcnMvZG93bnJldi54bWxQSwUGAAAA&#10;AAQABADzAAAAQgUAAAAA&#10;" strokecolor="#2f5496 [2408]" strokeweight="1pt">
                <v:stroke joinstyle="miter"/>
                <o:lock v:ext="edit" shapetype="f"/>
                <w10:wrap anchorx="margin"/>
              </v:line>
            </w:pict>
          </mc:Fallback>
        </mc:AlternateContent>
      </w:r>
    </w:p>
    <w:p w14:paraId="7B4B2E11" w14:textId="25C51EA3" w:rsidR="004C57AE" w:rsidRPr="00985D96" w:rsidRDefault="004C57AE" w:rsidP="005244CC">
      <w:pPr>
        <w:jc w:val="center"/>
        <w:rPr>
          <w:sz w:val="36"/>
          <w:szCs w:val="36"/>
        </w:rPr>
      </w:pPr>
    </w:p>
    <w:p w14:paraId="163512D5" w14:textId="0D203106" w:rsidR="00BF2181" w:rsidRPr="00985D96" w:rsidRDefault="00BF2181" w:rsidP="005244CC">
      <w:pPr>
        <w:jc w:val="center"/>
        <w:rPr>
          <w:sz w:val="36"/>
          <w:szCs w:val="36"/>
        </w:rPr>
      </w:pPr>
    </w:p>
    <w:p w14:paraId="3F3B13CF" w14:textId="0713678C" w:rsidR="004979B6" w:rsidRPr="00BE773E" w:rsidRDefault="00E7320E" w:rsidP="005535E7">
      <w:pPr>
        <w:jc w:val="right"/>
      </w:pPr>
      <w:r w:rsidRPr="00BE773E">
        <w:rPr>
          <w:sz w:val="32"/>
          <w:szCs w:val="32"/>
        </w:rPr>
        <w:t>Septiembre de</w:t>
      </w:r>
      <w:r w:rsidR="002C552B" w:rsidRPr="00BE773E">
        <w:rPr>
          <w:sz w:val="32"/>
          <w:szCs w:val="32"/>
        </w:rPr>
        <w:t xml:space="preserve"> 2020</w:t>
      </w:r>
    </w:p>
    <w:p w14:paraId="5873D4DF" w14:textId="77777777" w:rsidR="00470905" w:rsidRPr="004A18C8" w:rsidRDefault="00470905" w:rsidP="005244CC">
      <w:pPr>
        <w:sectPr w:rsidR="00470905" w:rsidRPr="004A18C8" w:rsidSect="00744333">
          <w:headerReference w:type="default" r:id="rId8"/>
          <w:footerReference w:type="default" r:id="rId9"/>
          <w:headerReference w:type="first" r:id="rId10"/>
          <w:pgSz w:w="12240" w:h="15840"/>
          <w:pgMar w:top="1134" w:right="1134" w:bottom="1134" w:left="1134" w:header="1134" w:footer="708" w:gutter="0"/>
          <w:cols w:space="708"/>
          <w:titlePg/>
          <w:docGrid w:linePitch="360"/>
        </w:sectPr>
      </w:pPr>
    </w:p>
    <w:p w14:paraId="6EBA65B2" w14:textId="36E7DD10" w:rsidR="00152AC1" w:rsidRPr="00E77F91" w:rsidRDefault="00A47D65" w:rsidP="00C56D72">
      <w:pPr>
        <w:spacing w:after="360"/>
        <w:jc w:val="center"/>
        <w:rPr>
          <w:b/>
          <w:bCs/>
          <w:sz w:val="32"/>
          <w:szCs w:val="32"/>
        </w:rPr>
      </w:pPr>
      <w:bookmarkStart w:id="1" w:name="_Toc44244378"/>
      <w:r w:rsidRPr="00E77F91">
        <w:rPr>
          <w:b/>
          <w:bCs/>
          <w:sz w:val="32"/>
          <w:szCs w:val="32"/>
        </w:rPr>
        <w:lastRenderedPageBreak/>
        <w:t>Índice de c</w:t>
      </w:r>
      <w:r w:rsidR="003F6594" w:rsidRPr="00E77F91">
        <w:rPr>
          <w:b/>
          <w:bCs/>
          <w:sz w:val="32"/>
          <w:szCs w:val="32"/>
        </w:rPr>
        <w:t>ontenido</w:t>
      </w:r>
      <w:bookmarkEnd w:id="1"/>
    </w:p>
    <w:sdt>
      <w:sdtPr>
        <w:id w:val="-1751032746"/>
        <w:docPartObj>
          <w:docPartGallery w:val="Table of Contents"/>
          <w:docPartUnique/>
        </w:docPartObj>
      </w:sdtPr>
      <w:sdtEndPr>
        <w:rPr>
          <w:b/>
          <w:bCs/>
          <w:noProof/>
        </w:rPr>
      </w:sdtEndPr>
      <w:sdtContent>
        <w:p w14:paraId="1B80D6F5" w14:textId="76740C5F" w:rsidR="001E038D" w:rsidRDefault="004A2BED" w:rsidP="00712FA0">
          <w:pPr>
            <w:pStyle w:val="TDC1"/>
            <w:rPr>
              <w:rFonts w:eastAsiaTheme="minorEastAsia"/>
              <w:noProof/>
              <w:lang w:eastAsia="es-MX"/>
            </w:rPr>
          </w:pPr>
          <w:r>
            <w:fldChar w:fldCharType="begin"/>
          </w:r>
          <w:r>
            <w:instrText xml:space="preserve"> TOC \o "1-2" \h \z \u </w:instrText>
          </w:r>
          <w:r>
            <w:fldChar w:fldCharType="separate"/>
          </w:r>
          <w:hyperlink w:anchor="_Toc56423697" w:history="1">
            <w:r w:rsidR="001E038D" w:rsidRPr="000A6B9C">
              <w:rPr>
                <w:rStyle w:val="Hipervnculo"/>
                <w:noProof/>
              </w:rPr>
              <w:t>I. Resumen ejecutivo</w:t>
            </w:r>
            <w:r w:rsidR="001E038D">
              <w:rPr>
                <w:noProof/>
                <w:webHidden/>
              </w:rPr>
              <w:tab/>
            </w:r>
            <w:r w:rsidR="001E038D">
              <w:rPr>
                <w:noProof/>
                <w:webHidden/>
              </w:rPr>
              <w:fldChar w:fldCharType="begin"/>
            </w:r>
            <w:r w:rsidR="001E038D">
              <w:rPr>
                <w:noProof/>
                <w:webHidden/>
              </w:rPr>
              <w:instrText xml:space="preserve"> PAGEREF _Toc56423697 \h </w:instrText>
            </w:r>
            <w:r w:rsidR="001E038D">
              <w:rPr>
                <w:noProof/>
                <w:webHidden/>
              </w:rPr>
            </w:r>
            <w:r w:rsidR="001E038D">
              <w:rPr>
                <w:noProof/>
                <w:webHidden/>
              </w:rPr>
              <w:fldChar w:fldCharType="separate"/>
            </w:r>
            <w:r w:rsidR="00552215">
              <w:rPr>
                <w:noProof/>
                <w:webHidden/>
              </w:rPr>
              <w:t>1</w:t>
            </w:r>
            <w:r w:rsidR="001E038D">
              <w:rPr>
                <w:noProof/>
                <w:webHidden/>
              </w:rPr>
              <w:fldChar w:fldCharType="end"/>
            </w:r>
          </w:hyperlink>
        </w:p>
        <w:p w14:paraId="38C3452E" w14:textId="3DE28DA7" w:rsidR="001E038D" w:rsidRDefault="00552215" w:rsidP="00712FA0">
          <w:pPr>
            <w:pStyle w:val="TDC1"/>
            <w:rPr>
              <w:rFonts w:eastAsiaTheme="minorEastAsia"/>
              <w:noProof/>
              <w:lang w:eastAsia="es-MX"/>
            </w:rPr>
          </w:pPr>
          <w:hyperlink w:anchor="_Toc56423698" w:history="1">
            <w:r w:rsidR="001E038D" w:rsidRPr="000A6B9C">
              <w:rPr>
                <w:rStyle w:val="Hipervnculo"/>
                <w:noProof/>
              </w:rPr>
              <w:t>II. Introducción</w:t>
            </w:r>
            <w:r w:rsidR="001E038D">
              <w:rPr>
                <w:noProof/>
                <w:webHidden/>
              </w:rPr>
              <w:tab/>
            </w:r>
            <w:r w:rsidR="001E038D">
              <w:rPr>
                <w:noProof/>
                <w:webHidden/>
              </w:rPr>
              <w:fldChar w:fldCharType="begin"/>
            </w:r>
            <w:r w:rsidR="001E038D">
              <w:rPr>
                <w:noProof/>
                <w:webHidden/>
              </w:rPr>
              <w:instrText xml:space="preserve"> PAGEREF _Toc56423698 \h </w:instrText>
            </w:r>
            <w:r w:rsidR="001E038D">
              <w:rPr>
                <w:noProof/>
                <w:webHidden/>
              </w:rPr>
            </w:r>
            <w:r w:rsidR="001E038D">
              <w:rPr>
                <w:noProof/>
                <w:webHidden/>
              </w:rPr>
              <w:fldChar w:fldCharType="separate"/>
            </w:r>
            <w:r>
              <w:rPr>
                <w:noProof/>
                <w:webHidden/>
              </w:rPr>
              <w:t>10</w:t>
            </w:r>
            <w:r w:rsidR="001E038D">
              <w:rPr>
                <w:noProof/>
                <w:webHidden/>
              </w:rPr>
              <w:fldChar w:fldCharType="end"/>
            </w:r>
          </w:hyperlink>
        </w:p>
        <w:p w14:paraId="3641CDD4" w14:textId="71968000" w:rsidR="001E038D" w:rsidRDefault="00552215" w:rsidP="00712FA0">
          <w:pPr>
            <w:pStyle w:val="TDC1"/>
            <w:rPr>
              <w:rFonts w:eastAsiaTheme="minorEastAsia"/>
              <w:noProof/>
              <w:lang w:eastAsia="es-MX"/>
            </w:rPr>
          </w:pPr>
          <w:hyperlink w:anchor="_Toc56423699" w:history="1">
            <w:r w:rsidR="001E038D" w:rsidRPr="000A6B9C">
              <w:rPr>
                <w:rStyle w:val="Hipervnculo"/>
                <w:noProof/>
              </w:rPr>
              <w:t>III. Módulo 1. Justificación del diseño del Fondo y de su mecanismo de intervención</w:t>
            </w:r>
            <w:r w:rsidR="001E038D">
              <w:rPr>
                <w:noProof/>
                <w:webHidden/>
              </w:rPr>
              <w:tab/>
            </w:r>
            <w:r w:rsidR="001E038D">
              <w:rPr>
                <w:noProof/>
                <w:webHidden/>
              </w:rPr>
              <w:fldChar w:fldCharType="begin"/>
            </w:r>
            <w:r w:rsidR="001E038D">
              <w:rPr>
                <w:noProof/>
                <w:webHidden/>
              </w:rPr>
              <w:instrText xml:space="preserve"> PAGEREF _Toc56423699 \h </w:instrText>
            </w:r>
            <w:r w:rsidR="001E038D">
              <w:rPr>
                <w:noProof/>
                <w:webHidden/>
              </w:rPr>
            </w:r>
            <w:r w:rsidR="001E038D">
              <w:rPr>
                <w:noProof/>
                <w:webHidden/>
              </w:rPr>
              <w:fldChar w:fldCharType="separate"/>
            </w:r>
            <w:r>
              <w:rPr>
                <w:noProof/>
                <w:webHidden/>
              </w:rPr>
              <w:t>12</w:t>
            </w:r>
            <w:r w:rsidR="001E038D">
              <w:rPr>
                <w:noProof/>
                <w:webHidden/>
              </w:rPr>
              <w:fldChar w:fldCharType="end"/>
            </w:r>
          </w:hyperlink>
        </w:p>
        <w:p w14:paraId="158208DF" w14:textId="4497FEF7" w:rsidR="001E038D" w:rsidRDefault="00552215">
          <w:pPr>
            <w:pStyle w:val="TDC2"/>
            <w:rPr>
              <w:rFonts w:eastAsiaTheme="minorEastAsia"/>
              <w:bCs w:val="0"/>
              <w:i w:val="0"/>
              <w:noProof/>
              <w:lang w:eastAsia="es-MX"/>
            </w:rPr>
          </w:pPr>
          <w:hyperlink w:anchor="_Toc56423700" w:history="1">
            <w:r w:rsidR="001E038D" w:rsidRPr="000A6B9C">
              <w:rPr>
                <w:rStyle w:val="Hipervnculo"/>
                <w:iCs/>
                <w:noProof/>
              </w:rPr>
              <w:t>1.1 Características del Fondo en la entidad federativa</w:t>
            </w:r>
            <w:r w:rsidR="001E038D">
              <w:rPr>
                <w:noProof/>
                <w:webHidden/>
              </w:rPr>
              <w:tab/>
            </w:r>
            <w:r w:rsidR="001E038D">
              <w:rPr>
                <w:noProof/>
                <w:webHidden/>
              </w:rPr>
              <w:fldChar w:fldCharType="begin"/>
            </w:r>
            <w:r w:rsidR="001E038D">
              <w:rPr>
                <w:noProof/>
                <w:webHidden/>
              </w:rPr>
              <w:instrText xml:space="preserve"> PAGEREF _Toc56423700 \h </w:instrText>
            </w:r>
            <w:r w:rsidR="001E038D">
              <w:rPr>
                <w:noProof/>
                <w:webHidden/>
              </w:rPr>
            </w:r>
            <w:r w:rsidR="001E038D">
              <w:rPr>
                <w:noProof/>
                <w:webHidden/>
              </w:rPr>
              <w:fldChar w:fldCharType="separate"/>
            </w:r>
            <w:r>
              <w:rPr>
                <w:noProof/>
                <w:webHidden/>
              </w:rPr>
              <w:t>12</w:t>
            </w:r>
            <w:r w:rsidR="001E038D">
              <w:rPr>
                <w:noProof/>
                <w:webHidden/>
              </w:rPr>
              <w:fldChar w:fldCharType="end"/>
            </w:r>
          </w:hyperlink>
        </w:p>
        <w:p w14:paraId="389B1819" w14:textId="0A70E9C9" w:rsidR="001E038D" w:rsidRDefault="00552215">
          <w:pPr>
            <w:pStyle w:val="TDC2"/>
            <w:rPr>
              <w:rFonts w:eastAsiaTheme="minorEastAsia"/>
              <w:bCs w:val="0"/>
              <w:i w:val="0"/>
              <w:noProof/>
              <w:lang w:eastAsia="es-MX"/>
            </w:rPr>
          </w:pPr>
          <w:hyperlink w:anchor="_Toc56423701" w:history="1">
            <w:r w:rsidR="001E038D" w:rsidRPr="000A6B9C">
              <w:rPr>
                <w:rStyle w:val="Hipervnculo"/>
                <w:iCs/>
                <w:noProof/>
              </w:rPr>
              <w:t>1.2 Valoración de la contribución del FAFEF a la o las problemáticas de la entidad federativa</w:t>
            </w:r>
            <w:r w:rsidR="001E038D">
              <w:rPr>
                <w:noProof/>
                <w:webHidden/>
              </w:rPr>
              <w:tab/>
            </w:r>
            <w:r w:rsidR="001E038D">
              <w:rPr>
                <w:noProof/>
                <w:webHidden/>
              </w:rPr>
              <w:fldChar w:fldCharType="begin"/>
            </w:r>
            <w:r w:rsidR="001E038D">
              <w:rPr>
                <w:noProof/>
                <w:webHidden/>
              </w:rPr>
              <w:instrText xml:space="preserve"> PAGEREF _Toc56423701 \h </w:instrText>
            </w:r>
            <w:r w:rsidR="001E038D">
              <w:rPr>
                <w:noProof/>
                <w:webHidden/>
              </w:rPr>
            </w:r>
            <w:r w:rsidR="001E038D">
              <w:rPr>
                <w:noProof/>
                <w:webHidden/>
              </w:rPr>
              <w:fldChar w:fldCharType="separate"/>
            </w:r>
            <w:r>
              <w:rPr>
                <w:noProof/>
                <w:webHidden/>
              </w:rPr>
              <w:t>22</w:t>
            </w:r>
            <w:r w:rsidR="001E038D">
              <w:rPr>
                <w:noProof/>
                <w:webHidden/>
              </w:rPr>
              <w:fldChar w:fldCharType="end"/>
            </w:r>
          </w:hyperlink>
        </w:p>
        <w:p w14:paraId="30F83CB1" w14:textId="3ADA39D8" w:rsidR="001E038D" w:rsidRDefault="00552215" w:rsidP="00712FA0">
          <w:pPr>
            <w:pStyle w:val="TDC1"/>
            <w:rPr>
              <w:rFonts w:eastAsiaTheme="minorEastAsia"/>
              <w:noProof/>
              <w:lang w:eastAsia="es-MX"/>
            </w:rPr>
          </w:pPr>
          <w:hyperlink w:anchor="_Toc56423702" w:history="1">
            <w:r w:rsidR="001E038D" w:rsidRPr="000A6B9C">
              <w:rPr>
                <w:rStyle w:val="Hipervnculo"/>
                <w:noProof/>
              </w:rPr>
              <w:t>IV. Módulo 2. Matriz de Indicadores para Resultados (MIR)</w:t>
            </w:r>
            <w:r w:rsidR="001E038D">
              <w:rPr>
                <w:noProof/>
                <w:webHidden/>
              </w:rPr>
              <w:tab/>
            </w:r>
            <w:r w:rsidR="001E038D">
              <w:rPr>
                <w:noProof/>
                <w:webHidden/>
              </w:rPr>
              <w:fldChar w:fldCharType="begin"/>
            </w:r>
            <w:r w:rsidR="001E038D">
              <w:rPr>
                <w:noProof/>
                <w:webHidden/>
              </w:rPr>
              <w:instrText xml:space="preserve"> PAGEREF _Toc56423702 \h </w:instrText>
            </w:r>
            <w:r w:rsidR="001E038D">
              <w:rPr>
                <w:noProof/>
                <w:webHidden/>
              </w:rPr>
            </w:r>
            <w:r w:rsidR="001E038D">
              <w:rPr>
                <w:noProof/>
                <w:webHidden/>
              </w:rPr>
              <w:fldChar w:fldCharType="separate"/>
            </w:r>
            <w:r>
              <w:rPr>
                <w:noProof/>
                <w:webHidden/>
              </w:rPr>
              <w:t>26</w:t>
            </w:r>
            <w:r w:rsidR="001E038D">
              <w:rPr>
                <w:noProof/>
                <w:webHidden/>
              </w:rPr>
              <w:fldChar w:fldCharType="end"/>
            </w:r>
          </w:hyperlink>
        </w:p>
        <w:p w14:paraId="3E3D2253" w14:textId="3733C218" w:rsidR="001E038D" w:rsidRDefault="00552215" w:rsidP="00712FA0">
          <w:pPr>
            <w:pStyle w:val="TDC1"/>
            <w:rPr>
              <w:rFonts w:eastAsiaTheme="minorEastAsia"/>
              <w:noProof/>
              <w:lang w:eastAsia="es-MX"/>
            </w:rPr>
          </w:pPr>
          <w:hyperlink w:anchor="_Toc56423703" w:history="1">
            <w:r w:rsidR="001E038D" w:rsidRPr="000A6B9C">
              <w:rPr>
                <w:rStyle w:val="Hipervnculo"/>
                <w:noProof/>
              </w:rPr>
              <w:t>V. Módulo 3. Consistencia entre los elementos del diseño</w:t>
            </w:r>
            <w:r w:rsidR="001E038D">
              <w:rPr>
                <w:noProof/>
                <w:webHidden/>
              </w:rPr>
              <w:tab/>
            </w:r>
            <w:r w:rsidR="001E038D">
              <w:rPr>
                <w:noProof/>
                <w:webHidden/>
              </w:rPr>
              <w:fldChar w:fldCharType="begin"/>
            </w:r>
            <w:r w:rsidR="001E038D">
              <w:rPr>
                <w:noProof/>
                <w:webHidden/>
              </w:rPr>
              <w:instrText xml:space="preserve"> PAGEREF _Toc56423703 \h </w:instrText>
            </w:r>
            <w:r w:rsidR="001E038D">
              <w:rPr>
                <w:noProof/>
                <w:webHidden/>
              </w:rPr>
            </w:r>
            <w:r w:rsidR="001E038D">
              <w:rPr>
                <w:noProof/>
                <w:webHidden/>
              </w:rPr>
              <w:fldChar w:fldCharType="separate"/>
            </w:r>
            <w:r>
              <w:rPr>
                <w:noProof/>
                <w:webHidden/>
              </w:rPr>
              <w:t>30</w:t>
            </w:r>
            <w:r w:rsidR="001E038D">
              <w:rPr>
                <w:noProof/>
                <w:webHidden/>
              </w:rPr>
              <w:fldChar w:fldCharType="end"/>
            </w:r>
          </w:hyperlink>
        </w:p>
        <w:p w14:paraId="4A5AA3B1" w14:textId="383CE31F" w:rsidR="001E038D" w:rsidRDefault="00552215" w:rsidP="00712FA0">
          <w:pPr>
            <w:pStyle w:val="TDC1"/>
            <w:rPr>
              <w:rFonts w:eastAsiaTheme="minorEastAsia"/>
              <w:noProof/>
              <w:lang w:eastAsia="es-MX"/>
            </w:rPr>
          </w:pPr>
          <w:hyperlink w:anchor="_Toc56423704" w:history="1">
            <w:r w:rsidR="001E038D" w:rsidRPr="000A6B9C">
              <w:rPr>
                <w:rStyle w:val="Hipervnculo"/>
                <w:noProof/>
              </w:rPr>
              <w:t>VI. Módulo 4. Alineación del Fondo a la Planeación Nacional y a los Objetivos de Desarrollo Sostenible</w:t>
            </w:r>
            <w:r w:rsidR="001E038D">
              <w:rPr>
                <w:noProof/>
                <w:webHidden/>
              </w:rPr>
              <w:tab/>
            </w:r>
            <w:r w:rsidR="001E038D">
              <w:rPr>
                <w:noProof/>
                <w:webHidden/>
              </w:rPr>
              <w:fldChar w:fldCharType="begin"/>
            </w:r>
            <w:r w:rsidR="001E038D">
              <w:rPr>
                <w:noProof/>
                <w:webHidden/>
              </w:rPr>
              <w:instrText xml:space="preserve"> PAGEREF _Toc56423704 \h </w:instrText>
            </w:r>
            <w:r w:rsidR="001E038D">
              <w:rPr>
                <w:noProof/>
                <w:webHidden/>
              </w:rPr>
            </w:r>
            <w:r w:rsidR="001E038D">
              <w:rPr>
                <w:noProof/>
                <w:webHidden/>
              </w:rPr>
              <w:fldChar w:fldCharType="separate"/>
            </w:r>
            <w:r>
              <w:rPr>
                <w:noProof/>
                <w:webHidden/>
              </w:rPr>
              <w:t>40</w:t>
            </w:r>
            <w:r w:rsidR="001E038D">
              <w:rPr>
                <w:noProof/>
                <w:webHidden/>
              </w:rPr>
              <w:fldChar w:fldCharType="end"/>
            </w:r>
          </w:hyperlink>
        </w:p>
        <w:p w14:paraId="12469977" w14:textId="69F6FF16" w:rsidR="001E038D" w:rsidRDefault="00552215" w:rsidP="00712FA0">
          <w:pPr>
            <w:pStyle w:val="TDC1"/>
            <w:rPr>
              <w:rFonts w:eastAsiaTheme="minorEastAsia"/>
              <w:noProof/>
              <w:lang w:eastAsia="es-MX"/>
            </w:rPr>
          </w:pPr>
          <w:hyperlink w:anchor="_Toc56423705" w:history="1">
            <w:r w:rsidR="001E038D" w:rsidRPr="000A6B9C">
              <w:rPr>
                <w:rStyle w:val="Hipervnculo"/>
                <w:noProof/>
              </w:rPr>
              <w:t>VII. Módulo 5. Mecanismos de coordinación</w:t>
            </w:r>
            <w:r w:rsidR="001E038D">
              <w:rPr>
                <w:noProof/>
                <w:webHidden/>
              </w:rPr>
              <w:tab/>
            </w:r>
            <w:r w:rsidR="001E038D">
              <w:rPr>
                <w:noProof/>
                <w:webHidden/>
              </w:rPr>
              <w:fldChar w:fldCharType="begin"/>
            </w:r>
            <w:r w:rsidR="001E038D">
              <w:rPr>
                <w:noProof/>
                <w:webHidden/>
              </w:rPr>
              <w:instrText xml:space="preserve"> PAGEREF _Toc56423705 \h </w:instrText>
            </w:r>
            <w:r w:rsidR="001E038D">
              <w:rPr>
                <w:noProof/>
                <w:webHidden/>
              </w:rPr>
            </w:r>
            <w:r w:rsidR="001E038D">
              <w:rPr>
                <w:noProof/>
                <w:webHidden/>
              </w:rPr>
              <w:fldChar w:fldCharType="separate"/>
            </w:r>
            <w:r>
              <w:rPr>
                <w:noProof/>
                <w:webHidden/>
              </w:rPr>
              <w:t>44</w:t>
            </w:r>
            <w:r w:rsidR="001E038D">
              <w:rPr>
                <w:noProof/>
                <w:webHidden/>
              </w:rPr>
              <w:fldChar w:fldCharType="end"/>
            </w:r>
          </w:hyperlink>
        </w:p>
        <w:p w14:paraId="397A2DBE" w14:textId="625BF55A" w:rsidR="001E038D" w:rsidRDefault="00552215">
          <w:pPr>
            <w:pStyle w:val="TDC2"/>
            <w:rPr>
              <w:rFonts w:eastAsiaTheme="minorEastAsia"/>
              <w:bCs w:val="0"/>
              <w:i w:val="0"/>
              <w:noProof/>
              <w:lang w:eastAsia="es-MX"/>
            </w:rPr>
          </w:pPr>
          <w:hyperlink w:anchor="_Toc56423706" w:history="1">
            <w:r w:rsidR="001E038D" w:rsidRPr="000A6B9C">
              <w:rPr>
                <w:rStyle w:val="Hipervnculo"/>
                <w:iCs/>
                <w:noProof/>
              </w:rPr>
              <w:t>5. 1 Gestión, operación y planeación</w:t>
            </w:r>
            <w:r w:rsidR="001E038D">
              <w:rPr>
                <w:noProof/>
                <w:webHidden/>
              </w:rPr>
              <w:tab/>
            </w:r>
            <w:r w:rsidR="001E038D">
              <w:rPr>
                <w:noProof/>
                <w:webHidden/>
              </w:rPr>
              <w:fldChar w:fldCharType="begin"/>
            </w:r>
            <w:r w:rsidR="001E038D">
              <w:rPr>
                <w:noProof/>
                <w:webHidden/>
              </w:rPr>
              <w:instrText xml:space="preserve"> PAGEREF _Toc56423706 \h </w:instrText>
            </w:r>
            <w:r w:rsidR="001E038D">
              <w:rPr>
                <w:noProof/>
                <w:webHidden/>
              </w:rPr>
            </w:r>
            <w:r w:rsidR="001E038D">
              <w:rPr>
                <w:noProof/>
                <w:webHidden/>
              </w:rPr>
              <w:fldChar w:fldCharType="separate"/>
            </w:r>
            <w:r>
              <w:rPr>
                <w:noProof/>
                <w:webHidden/>
              </w:rPr>
              <w:t>44</w:t>
            </w:r>
            <w:r w:rsidR="001E038D">
              <w:rPr>
                <w:noProof/>
                <w:webHidden/>
              </w:rPr>
              <w:fldChar w:fldCharType="end"/>
            </w:r>
          </w:hyperlink>
        </w:p>
        <w:p w14:paraId="1F399EC1" w14:textId="40F0140B" w:rsidR="001E038D" w:rsidRDefault="00552215">
          <w:pPr>
            <w:pStyle w:val="TDC2"/>
            <w:rPr>
              <w:rFonts w:eastAsiaTheme="minorEastAsia"/>
              <w:bCs w:val="0"/>
              <w:i w:val="0"/>
              <w:noProof/>
              <w:lang w:eastAsia="es-MX"/>
            </w:rPr>
          </w:pPr>
          <w:hyperlink w:anchor="_Toc56423707" w:history="1">
            <w:r w:rsidR="001E038D" w:rsidRPr="000A6B9C">
              <w:rPr>
                <w:rStyle w:val="Hipervnculo"/>
                <w:iCs/>
                <w:noProof/>
              </w:rPr>
              <w:t>5.2 Obstáculos para la implementación</w:t>
            </w:r>
            <w:r w:rsidR="001E038D">
              <w:rPr>
                <w:noProof/>
                <w:webHidden/>
              </w:rPr>
              <w:tab/>
            </w:r>
            <w:r w:rsidR="001E038D">
              <w:rPr>
                <w:noProof/>
                <w:webHidden/>
              </w:rPr>
              <w:fldChar w:fldCharType="begin"/>
            </w:r>
            <w:r w:rsidR="001E038D">
              <w:rPr>
                <w:noProof/>
                <w:webHidden/>
              </w:rPr>
              <w:instrText xml:space="preserve"> PAGEREF _Toc56423707 \h </w:instrText>
            </w:r>
            <w:r w:rsidR="001E038D">
              <w:rPr>
                <w:noProof/>
                <w:webHidden/>
              </w:rPr>
            </w:r>
            <w:r w:rsidR="001E038D">
              <w:rPr>
                <w:noProof/>
                <w:webHidden/>
              </w:rPr>
              <w:fldChar w:fldCharType="separate"/>
            </w:r>
            <w:r>
              <w:rPr>
                <w:noProof/>
                <w:webHidden/>
              </w:rPr>
              <w:t>53</w:t>
            </w:r>
            <w:r w:rsidR="001E038D">
              <w:rPr>
                <w:noProof/>
                <w:webHidden/>
              </w:rPr>
              <w:fldChar w:fldCharType="end"/>
            </w:r>
          </w:hyperlink>
        </w:p>
        <w:p w14:paraId="008C0598" w14:textId="196845B4" w:rsidR="001E038D" w:rsidRDefault="00552215" w:rsidP="00712FA0">
          <w:pPr>
            <w:pStyle w:val="TDC1"/>
            <w:rPr>
              <w:rFonts w:eastAsiaTheme="minorEastAsia"/>
              <w:noProof/>
              <w:lang w:eastAsia="es-MX"/>
            </w:rPr>
          </w:pPr>
          <w:hyperlink w:anchor="_Toc56423708" w:history="1">
            <w:r w:rsidR="001E038D" w:rsidRPr="000A6B9C">
              <w:rPr>
                <w:rStyle w:val="Hipervnculo"/>
                <w:noProof/>
              </w:rPr>
              <w:t>VIII. Módulo 6. Complementariedades y coincidencias</w:t>
            </w:r>
            <w:r w:rsidR="001E038D">
              <w:rPr>
                <w:noProof/>
                <w:webHidden/>
              </w:rPr>
              <w:tab/>
            </w:r>
            <w:r w:rsidR="001E038D">
              <w:rPr>
                <w:noProof/>
                <w:webHidden/>
              </w:rPr>
              <w:fldChar w:fldCharType="begin"/>
            </w:r>
            <w:r w:rsidR="001E038D">
              <w:rPr>
                <w:noProof/>
                <w:webHidden/>
              </w:rPr>
              <w:instrText xml:space="preserve"> PAGEREF _Toc56423708 \h </w:instrText>
            </w:r>
            <w:r w:rsidR="001E038D">
              <w:rPr>
                <w:noProof/>
                <w:webHidden/>
              </w:rPr>
            </w:r>
            <w:r w:rsidR="001E038D">
              <w:rPr>
                <w:noProof/>
                <w:webHidden/>
              </w:rPr>
              <w:fldChar w:fldCharType="separate"/>
            </w:r>
            <w:r>
              <w:rPr>
                <w:noProof/>
                <w:webHidden/>
              </w:rPr>
              <w:t>54</w:t>
            </w:r>
            <w:r w:rsidR="001E038D">
              <w:rPr>
                <w:noProof/>
                <w:webHidden/>
              </w:rPr>
              <w:fldChar w:fldCharType="end"/>
            </w:r>
          </w:hyperlink>
        </w:p>
        <w:p w14:paraId="16BF4388" w14:textId="7DE67820" w:rsidR="001E038D" w:rsidRDefault="00552215" w:rsidP="00712FA0">
          <w:pPr>
            <w:pStyle w:val="TDC1"/>
            <w:rPr>
              <w:rFonts w:eastAsiaTheme="minorEastAsia"/>
              <w:noProof/>
              <w:lang w:eastAsia="es-MX"/>
            </w:rPr>
          </w:pPr>
          <w:hyperlink w:anchor="_Toc56423709" w:history="1">
            <w:r w:rsidR="001E038D" w:rsidRPr="000A6B9C">
              <w:rPr>
                <w:rStyle w:val="Hipervnculo"/>
                <w:noProof/>
              </w:rPr>
              <w:t>IX. Módulo 7. Calidad de la información</w:t>
            </w:r>
            <w:r w:rsidR="001E038D">
              <w:rPr>
                <w:noProof/>
                <w:webHidden/>
              </w:rPr>
              <w:tab/>
            </w:r>
            <w:r w:rsidR="001E038D">
              <w:rPr>
                <w:noProof/>
                <w:webHidden/>
              </w:rPr>
              <w:fldChar w:fldCharType="begin"/>
            </w:r>
            <w:r w:rsidR="001E038D">
              <w:rPr>
                <w:noProof/>
                <w:webHidden/>
              </w:rPr>
              <w:instrText xml:space="preserve"> PAGEREF _Toc56423709 \h </w:instrText>
            </w:r>
            <w:r w:rsidR="001E038D">
              <w:rPr>
                <w:noProof/>
                <w:webHidden/>
              </w:rPr>
            </w:r>
            <w:r w:rsidR="001E038D">
              <w:rPr>
                <w:noProof/>
                <w:webHidden/>
              </w:rPr>
              <w:fldChar w:fldCharType="separate"/>
            </w:r>
            <w:r>
              <w:rPr>
                <w:noProof/>
                <w:webHidden/>
              </w:rPr>
              <w:t>58</w:t>
            </w:r>
            <w:r w:rsidR="001E038D">
              <w:rPr>
                <w:noProof/>
                <w:webHidden/>
              </w:rPr>
              <w:fldChar w:fldCharType="end"/>
            </w:r>
          </w:hyperlink>
        </w:p>
        <w:p w14:paraId="428E6B6F" w14:textId="782FB6F7" w:rsidR="001E038D" w:rsidRDefault="00552215">
          <w:pPr>
            <w:pStyle w:val="TDC2"/>
            <w:rPr>
              <w:rFonts w:eastAsiaTheme="minorEastAsia"/>
              <w:bCs w:val="0"/>
              <w:i w:val="0"/>
              <w:noProof/>
              <w:lang w:eastAsia="es-MX"/>
            </w:rPr>
          </w:pPr>
          <w:hyperlink w:anchor="_Toc56423710" w:history="1">
            <w:r w:rsidR="001E038D" w:rsidRPr="000A6B9C">
              <w:rPr>
                <w:rStyle w:val="Hipervnculo"/>
                <w:iCs/>
                <w:noProof/>
              </w:rPr>
              <w:t>7.1 Generación de información, rendición de cuentas y medición de resultados</w:t>
            </w:r>
            <w:r w:rsidR="001E038D">
              <w:rPr>
                <w:noProof/>
                <w:webHidden/>
              </w:rPr>
              <w:tab/>
            </w:r>
            <w:r w:rsidR="001E038D">
              <w:rPr>
                <w:noProof/>
                <w:webHidden/>
              </w:rPr>
              <w:fldChar w:fldCharType="begin"/>
            </w:r>
            <w:r w:rsidR="001E038D">
              <w:rPr>
                <w:noProof/>
                <w:webHidden/>
              </w:rPr>
              <w:instrText xml:space="preserve"> PAGEREF _Toc56423710 \h </w:instrText>
            </w:r>
            <w:r w:rsidR="001E038D">
              <w:rPr>
                <w:noProof/>
                <w:webHidden/>
              </w:rPr>
            </w:r>
            <w:r w:rsidR="001E038D">
              <w:rPr>
                <w:noProof/>
                <w:webHidden/>
              </w:rPr>
              <w:fldChar w:fldCharType="separate"/>
            </w:r>
            <w:r>
              <w:rPr>
                <w:noProof/>
                <w:webHidden/>
              </w:rPr>
              <w:t>58</w:t>
            </w:r>
            <w:r w:rsidR="001E038D">
              <w:rPr>
                <w:noProof/>
                <w:webHidden/>
              </w:rPr>
              <w:fldChar w:fldCharType="end"/>
            </w:r>
          </w:hyperlink>
        </w:p>
        <w:p w14:paraId="6CBC5B0C" w14:textId="1D34BE8F" w:rsidR="001E038D" w:rsidRDefault="00552215" w:rsidP="00712FA0">
          <w:pPr>
            <w:pStyle w:val="TDC1"/>
            <w:rPr>
              <w:rFonts w:eastAsiaTheme="minorEastAsia"/>
              <w:noProof/>
              <w:lang w:eastAsia="es-MX"/>
            </w:rPr>
          </w:pPr>
          <w:hyperlink w:anchor="_Toc56423711" w:history="1">
            <w:r w:rsidR="001E038D" w:rsidRPr="000A6B9C">
              <w:rPr>
                <w:rStyle w:val="Hipervnculo"/>
                <w:noProof/>
              </w:rPr>
              <w:t>X. Análisis de Fortalezas, Oportunidades, Debilidades, Amenazas y Recomendaciones</w:t>
            </w:r>
            <w:r w:rsidR="001E038D">
              <w:rPr>
                <w:noProof/>
                <w:webHidden/>
              </w:rPr>
              <w:tab/>
            </w:r>
            <w:r w:rsidR="001E038D">
              <w:rPr>
                <w:noProof/>
                <w:webHidden/>
              </w:rPr>
              <w:fldChar w:fldCharType="begin"/>
            </w:r>
            <w:r w:rsidR="001E038D">
              <w:rPr>
                <w:noProof/>
                <w:webHidden/>
              </w:rPr>
              <w:instrText xml:space="preserve"> PAGEREF _Toc56423711 \h </w:instrText>
            </w:r>
            <w:r w:rsidR="001E038D">
              <w:rPr>
                <w:noProof/>
                <w:webHidden/>
              </w:rPr>
            </w:r>
            <w:r w:rsidR="001E038D">
              <w:rPr>
                <w:noProof/>
                <w:webHidden/>
              </w:rPr>
              <w:fldChar w:fldCharType="separate"/>
            </w:r>
            <w:r>
              <w:rPr>
                <w:noProof/>
                <w:webHidden/>
              </w:rPr>
              <w:t>73</w:t>
            </w:r>
            <w:r w:rsidR="001E038D">
              <w:rPr>
                <w:noProof/>
                <w:webHidden/>
              </w:rPr>
              <w:fldChar w:fldCharType="end"/>
            </w:r>
          </w:hyperlink>
        </w:p>
        <w:p w14:paraId="10FDDC17" w14:textId="2A1C4037" w:rsidR="001E038D" w:rsidRDefault="00552215" w:rsidP="00712FA0">
          <w:pPr>
            <w:pStyle w:val="TDC1"/>
            <w:rPr>
              <w:rFonts w:eastAsiaTheme="minorEastAsia"/>
              <w:noProof/>
              <w:lang w:eastAsia="es-MX"/>
            </w:rPr>
          </w:pPr>
          <w:hyperlink w:anchor="_Toc56423712" w:history="1">
            <w:r w:rsidR="001E038D" w:rsidRPr="000A6B9C">
              <w:rPr>
                <w:rStyle w:val="Hipervnculo"/>
                <w:noProof/>
              </w:rPr>
              <w:t>XI. Conclusiones y valoración de la pertinencia del Fondo</w:t>
            </w:r>
            <w:r w:rsidR="001E038D">
              <w:rPr>
                <w:noProof/>
                <w:webHidden/>
              </w:rPr>
              <w:tab/>
            </w:r>
            <w:r w:rsidR="001E038D">
              <w:rPr>
                <w:noProof/>
                <w:webHidden/>
              </w:rPr>
              <w:fldChar w:fldCharType="begin"/>
            </w:r>
            <w:r w:rsidR="001E038D">
              <w:rPr>
                <w:noProof/>
                <w:webHidden/>
              </w:rPr>
              <w:instrText xml:space="preserve"> PAGEREF _Toc56423712 \h </w:instrText>
            </w:r>
            <w:r w:rsidR="001E038D">
              <w:rPr>
                <w:noProof/>
                <w:webHidden/>
              </w:rPr>
            </w:r>
            <w:r w:rsidR="001E038D">
              <w:rPr>
                <w:noProof/>
                <w:webHidden/>
              </w:rPr>
              <w:fldChar w:fldCharType="separate"/>
            </w:r>
            <w:r>
              <w:rPr>
                <w:noProof/>
                <w:webHidden/>
              </w:rPr>
              <w:t>76</w:t>
            </w:r>
            <w:r w:rsidR="001E038D">
              <w:rPr>
                <w:noProof/>
                <w:webHidden/>
              </w:rPr>
              <w:fldChar w:fldCharType="end"/>
            </w:r>
          </w:hyperlink>
        </w:p>
        <w:p w14:paraId="75F1143A" w14:textId="3BFC3A76" w:rsidR="001E038D" w:rsidRDefault="00552215" w:rsidP="00712FA0">
          <w:pPr>
            <w:pStyle w:val="TDC1"/>
            <w:rPr>
              <w:rFonts w:eastAsiaTheme="minorEastAsia"/>
              <w:noProof/>
              <w:lang w:eastAsia="es-MX"/>
            </w:rPr>
          </w:pPr>
          <w:hyperlink w:anchor="_Toc56423713" w:history="1">
            <w:r w:rsidR="001E038D" w:rsidRPr="000A6B9C">
              <w:rPr>
                <w:rStyle w:val="Hipervnculo"/>
                <w:noProof/>
              </w:rPr>
              <w:t>XII. Bibliografía</w:t>
            </w:r>
            <w:r w:rsidR="001E038D">
              <w:rPr>
                <w:noProof/>
                <w:webHidden/>
              </w:rPr>
              <w:tab/>
            </w:r>
            <w:r w:rsidR="001E038D">
              <w:rPr>
                <w:noProof/>
                <w:webHidden/>
              </w:rPr>
              <w:fldChar w:fldCharType="begin"/>
            </w:r>
            <w:r w:rsidR="001E038D">
              <w:rPr>
                <w:noProof/>
                <w:webHidden/>
              </w:rPr>
              <w:instrText xml:space="preserve"> PAGEREF _Toc56423713 \h </w:instrText>
            </w:r>
            <w:r w:rsidR="001E038D">
              <w:rPr>
                <w:noProof/>
                <w:webHidden/>
              </w:rPr>
            </w:r>
            <w:r w:rsidR="001E038D">
              <w:rPr>
                <w:noProof/>
                <w:webHidden/>
              </w:rPr>
              <w:fldChar w:fldCharType="separate"/>
            </w:r>
            <w:r>
              <w:rPr>
                <w:noProof/>
                <w:webHidden/>
              </w:rPr>
              <w:t>80</w:t>
            </w:r>
            <w:r w:rsidR="001E038D">
              <w:rPr>
                <w:noProof/>
                <w:webHidden/>
              </w:rPr>
              <w:fldChar w:fldCharType="end"/>
            </w:r>
          </w:hyperlink>
        </w:p>
        <w:p w14:paraId="3CA1E5EA" w14:textId="3142F775" w:rsidR="001E038D" w:rsidRDefault="00552215" w:rsidP="00712FA0">
          <w:pPr>
            <w:pStyle w:val="TDC1"/>
            <w:rPr>
              <w:rFonts w:eastAsiaTheme="minorEastAsia"/>
              <w:noProof/>
              <w:lang w:eastAsia="es-MX"/>
            </w:rPr>
          </w:pPr>
          <w:hyperlink w:anchor="_Toc56423714" w:history="1">
            <w:r w:rsidR="001E038D" w:rsidRPr="000A6B9C">
              <w:rPr>
                <w:rStyle w:val="Hipervnculo"/>
                <w:noProof/>
              </w:rPr>
              <w:t>XIII. Anexos</w:t>
            </w:r>
            <w:r w:rsidR="001E038D">
              <w:rPr>
                <w:noProof/>
                <w:webHidden/>
              </w:rPr>
              <w:tab/>
            </w:r>
            <w:r w:rsidR="001E038D">
              <w:rPr>
                <w:noProof/>
                <w:webHidden/>
              </w:rPr>
              <w:fldChar w:fldCharType="begin"/>
            </w:r>
            <w:r w:rsidR="001E038D">
              <w:rPr>
                <w:noProof/>
                <w:webHidden/>
              </w:rPr>
              <w:instrText xml:space="preserve"> PAGEREF _Toc56423714 \h </w:instrText>
            </w:r>
            <w:r w:rsidR="001E038D">
              <w:rPr>
                <w:noProof/>
                <w:webHidden/>
              </w:rPr>
            </w:r>
            <w:r w:rsidR="001E038D">
              <w:rPr>
                <w:noProof/>
                <w:webHidden/>
              </w:rPr>
              <w:fldChar w:fldCharType="separate"/>
            </w:r>
            <w:r>
              <w:rPr>
                <w:noProof/>
                <w:webHidden/>
              </w:rPr>
              <w:t>83</w:t>
            </w:r>
            <w:r w:rsidR="001E038D">
              <w:rPr>
                <w:noProof/>
                <w:webHidden/>
              </w:rPr>
              <w:fldChar w:fldCharType="end"/>
            </w:r>
          </w:hyperlink>
        </w:p>
        <w:p w14:paraId="11D85FD3" w14:textId="209DD178" w:rsidR="004A2BED" w:rsidRDefault="004A2BED">
          <w:r>
            <w:fldChar w:fldCharType="end"/>
          </w:r>
        </w:p>
      </w:sdtContent>
    </w:sdt>
    <w:p w14:paraId="68B9121A" w14:textId="09E70508" w:rsidR="00241B29" w:rsidRDefault="00241B29" w:rsidP="009D6B1E">
      <w:pPr>
        <w:pStyle w:val="TDC2"/>
      </w:pPr>
    </w:p>
    <w:p w14:paraId="05C53E62" w14:textId="77777777" w:rsidR="00241B29" w:rsidRDefault="00241B29">
      <w:pPr>
        <w:spacing w:before="0" w:after="160" w:line="259" w:lineRule="auto"/>
        <w:jc w:val="left"/>
      </w:pPr>
      <w:r>
        <w:br w:type="page"/>
      </w:r>
    </w:p>
    <w:p w14:paraId="6E22BF58" w14:textId="28D6B131" w:rsidR="00241B29" w:rsidRPr="00E77F91" w:rsidRDefault="00241B29" w:rsidP="00E77F91">
      <w:pPr>
        <w:spacing w:after="360"/>
        <w:jc w:val="center"/>
        <w:rPr>
          <w:b/>
          <w:bCs/>
          <w:sz w:val="32"/>
          <w:szCs w:val="32"/>
        </w:rPr>
      </w:pPr>
      <w:r w:rsidRPr="00E77F91">
        <w:rPr>
          <w:b/>
          <w:bCs/>
          <w:sz w:val="32"/>
          <w:szCs w:val="32"/>
        </w:rPr>
        <w:lastRenderedPageBreak/>
        <w:t>Índice de cuadros</w:t>
      </w:r>
    </w:p>
    <w:p w14:paraId="481417DF" w14:textId="1C2E8A0D" w:rsidR="009553A7" w:rsidRDefault="005B1878" w:rsidP="00712FA0">
      <w:pPr>
        <w:pStyle w:val="TDC1"/>
        <w:rPr>
          <w:rFonts w:eastAsiaTheme="minorEastAsia"/>
          <w:noProof/>
          <w:lang w:eastAsia="es-MX"/>
        </w:rPr>
      </w:pPr>
      <w:r>
        <w:fldChar w:fldCharType="begin"/>
      </w:r>
      <w:r>
        <w:instrText xml:space="preserve"> TOC \h \z \t "Cuadro,1" </w:instrText>
      </w:r>
      <w:r>
        <w:fldChar w:fldCharType="separate"/>
      </w:r>
      <w:hyperlink w:anchor="_Toc56741054" w:history="1">
        <w:r w:rsidR="009553A7" w:rsidRPr="00C6555D">
          <w:rPr>
            <w:rStyle w:val="Hipervnculo"/>
            <w:noProof/>
          </w:rPr>
          <w:t>Cuadro 1. Apartados que integran el informe final de la evaluación</w:t>
        </w:r>
        <w:r w:rsidR="009553A7">
          <w:rPr>
            <w:noProof/>
            <w:webHidden/>
          </w:rPr>
          <w:tab/>
        </w:r>
        <w:r w:rsidR="009553A7">
          <w:rPr>
            <w:noProof/>
            <w:webHidden/>
          </w:rPr>
          <w:fldChar w:fldCharType="begin"/>
        </w:r>
        <w:r w:rsidR="009553A7">
          <w:rPr>
            <w:noProof/>
            <w:webHidden/>
          </w:rPr>
          <w:instrText xml:space="preserve"> PAGEREF _Toc56741054 \h </w:instrText>
        </w:r>
        <w:r w:rsidR="009553A7">
          <w:rPr>
            <w:noProof/>
            <w:webHidden/>
          </w:rPr>
        </w:r>
        <w:r w:rsidR="009553A7">
          <w:rPr>
            <w:noProof/>
            <w:webHidden/>
          </w:rPr>
          <w:fldChar w:fldCharType="separate"/>
        </w:r>
        <w:r w:rsidR="00552215">
          <w:rPr>
            <w:noProof/>
            <w:webHidden/>
          </w:rPr>
          <w:t>11</w:t>
        </w:r>
        <w:r w:rsidR="009553A7">
          <w:rPr>
            <w:noProof/>
            <w:webHidden/>
          </w:rPr>
          <w:fldChar w:fldCharType="end"/>
        </w:r>
      </w:hyperlink>
    </w:p>
    <w:p w14:paraId="45E4A83E" w14:textId="64B9A4FE" w:rsidR="009553A7" w:rsidRDefault="00552215" w:rsidP="00712FA0">
      <w:pPr>
        <w:pStyle w:val="TDC1"/>
        <w:rPr>
          <w:rFonts w:eastAsiaTheme="minorEastAsia"/>
          <w:noProof/>
          <w:lang w:eastAsia="es-MX"/>
        </w:rPr>
      </w:pPr>
      <w:hyperlink w:anchor="_Toc56741055" w:history="1">
        <w:r w:rsidR="009553A7" w:rsidRPr="00C6555D">
          <w:rPr>
            <w:rStyle w:val="Hipervnculo"/>
            <w:noProof/>
          </w:rPr>
          <w:t>Cuadro 2. Asignación del FAFEF en 2018 por rubro de gasto y programas en el Estado de Hidalgo</w:t>
        </w:r>
        <w:r w:rsidR="009553A7">
          <w:rPr>
            <w:noProof/>
            <w:webHidden/>
          </w:rPr>
          <w:tab/>
        </w:r>
        <w:r w:rsidR="009553A7">
          <w:rPr>
            <w:noProof/>
            <w:webHidden/>
          </w:rPr>
          <w:fldChar w:fldCharType="begin"/>
        </w:r>
        <w:r w:rsidR="009553A7">
          <w:rPr>
            <w:noProof/>
            <w:webHidden/>
          </w:rPr>
          <w:instrText xml:space="preserve"> PAGEREF _Toc56741055 \h </w:instrText>
        </w:r>
        <w:r w:rsidR="009553A7">
          <w:rPr>
            <w:noProof/>
            <w:webHidden/>
          </w:rPr>
        </w:r>
        <w:r w:rsidR="009553A7">
          <w:rPr>
            <w:noProof/>
            <w:webHidden/>
          </w:rPr>
          <w:fldChar w:fldCharType="separate"/>
        </w:r>
        <w:r>
          <w:rPr>
            <w:noProof/>
            <w:webHidden/>
          </w:rPr>
          <w:t>13</w:t>
        </w:r>
        <w:r w:rsidR="009553A7">
          <w:rPr>
            <w:noProof/>
            <w:webHidden/>
          </w:rPr>
          <w:fldChar w:fldCharType="end"/>
        </w:r>
      </w:hyperlink>
    </w:p>
    <w:p w14:paraId="70173161" w14:textId="0683CAEB" w:rsidR="009553A7" w:rsidRDefault="00552215" w:rsidP="00712FA0">
      <w:pPr>
        <w:pStyle w:val="TDC1"/>
        <w:rPr>
          <w:rFonts w:eastAsiaTheme="minorEastAsia"/>
          <w:noProof/>
          <w:lang w:eastAsia="es-MX"/>
        </w:rPr>
      </w:pPr>
      <w:hyperlink w:anchor="_Toc56741056" w:history="1">
        <w:r w:rsidR="009553A7" w:rsidRPr="00C6555D">
          <w:rPr>
            <w:rStyle w:val="Hipervnculo"/>
            <w:noProof/>
          </w:rPr>
          <w:t>Cuadro 3. Resumen narrativo de la MIR federal del FAFEF y de la MIR estatal para el FAFEF 2018</w:t>
        </w:r>
        <w:r w:rsidR="009553A7">
          <w:rPr>
            <w:noProof/>
            <w:webHidden/>
          </w:rPr>
          <w:tab/>
        </w:r>
        <w:r w:rsidR="009553A7">
          <w:rPr>
            <w:noProof/>
            <w:webHidden/>
          </w:rPr>
          <w:fldChar w:fldCharType="begin"/>
        </w:r>
        <w:r w:rsidR="009553A7">
          <w:rPr>
            <w:noProof/>
            <w:webHidden/>
          </w:rPr>
          <w:instrText xml:space="preserve"> PAGEREF _Toc56741056 \h </w:instrText>
        </w:r>
        <w:r w:rsidR="009553A7">
          <w:rPr>
            <w:noProof/>
            <w:webHidden/>
          </w:rPr>
        </w:r>
        <w:r w:rsidR="009553A7">
          <w:rPr>
            <w:noProof/>
            <w:webHidden/>
          </w:rPr>
          <w:fldChar w:fldCharType="separate"/>
        </w:r>
        <w:r>
          <w:rPr>
            <w:noProof/>
            <w:webHidden/>
          </w:rPr>
          <w:t>14</w:t>
        </w:r>
        <w:r w:rsidR="009553A7">
          <w:rPr>
            <w:noProof/>
            <w:webHidden/>
          </w:rPr>
          <w:fldChar w:fldCharType="end"/>
        </w:r>
      </w:hyperlink>
    </w:p>
    <w:p w14:paraId="44CE54CB" w14:textId="77104486" w:rsidR="009553A7" w:rsidRDefault="00552215" w:rsidP="00712FA0">
      <w:pPr>
        <w:pStyle w:val="TDC1"/>
        <w:rPr>
          <w:rFonts w:eastAsiaTheme="minorEastAsia"/>
          <w:noProof/>
          <w:lang w:eastAsia="es-MX"/>
        </w:rPr>
      </w:pPr>
      <w:hyperlink w:anchor="_Toc56741057" w:history="1">
        <w:r w:rsidR="009553A7" w:rsidRPr="00C6555D">
          <w:rPr>
            <w:rStyle w:val="Hipervnculo"/>
            <w:noProof/>
          </w:rPr>
          <w:t>Cua</w:t>
        </w:r>
        <w:r w:rsidR="009553A7" w:rsidRPr="00A33F8E">
          <w:rPr>
            <w:rStyle w:val="Hipervnculo"/>
            <w:noProof/>
          </w:rPr>
          <w:t xml:space="preserve">dro 4. Destino del gasto de los recursos del FAFEF en la entidad federativa, según rubro de la LCF, periodo 2013-2018 </w:t>
        </w:r>
        <w:r w:rsidR="009553A7" w:rsidRPr="00A33F8E">
          <w:rPr>
            <w:rStyle w:val="Hipervnculo"/>
            <w:rFonts w:eastAsia="MS Mincho"/>
            <w:bCs/>
            <w:noProof/>
            <w:kern w:val="2"/>
            <w:lang w:eastAsia="ja-JP"/>
          </w:rPr>
          <w:t>(</w:t>
        </w:r>
        <w:r w:rsidR="009553A7" w:rsidRPr="00A33F8E">
          <w:rPr>
            <w:rStyle w:val="Hipervnculo"/>
            <w:rFonts w:eastAsia="MS Mincho"/>
            <w:bCs/>
            <w:iCs/>
            <w:noProof/>
            <w:kern w:val="2"/>
            <w:lang w:eastAsia="ja-JP"/>
          </w:rPr>
          <w:t>Mdp</w:t>
        </w:r>
        <w:r w:rsidR="009553A7" w:rsidRPr="00A33F8E">
          <w:rPr>
            <w:rStyle w:val="Hipervnculo"/>
            <w:rFonts w:eastAsia="MS Mincho"/>
            <w:bCs/>
            <w:iCs/>
            <w:noProof/>
            <w:kern w:val="2"/>
            <w:vertAlign w:val="superscript"/>
            <w:lang w:eastAsia="ja-JP"/>
          </w:rPr>
          <w:t>1</w:t>
        </w:r>
        <w:r w:rsidR="009553A7" w:rsidRPr="00A33F8E">
          <w:rPr>
            <w:rStyle w:val="Hipervnculo"/>
            <w:rFonts w:eastAsia="MS Mincho"/>
            <w:bCs/>
            <w:noProof/>
            <w:kern w:val="2"/>
            <w:lang w:eastAsia="ja-JP"/>
          </w:rPr>
          <w:t xml:space="preserve"> a precios corrientes)</w:t>
        </w:r>
        <w:r w:rsidR="009553A7">
          <w:rPr>
            <w:noProof/>
            <w:webHidden/>
          </w:rPr>
          <w:tab/>
        </w:r>
        <w:r w:rsidR="009553A7">
          <w:rPr>
            <w:noProof/>
            <w:webHidden/>
          </w:rPr>
          <w:fldChar w:fldCharType="begin"/>
        </w:r>
        <w:r w:rsidR="009553A7">
          <w:rPr>
            <w:noProof/>
            <w:webHidden/>
          </w:rPr>
          <w:instrText xml:space="preserve"> PAGEREF _Toc56741057 \h </w:instrText>
        </w:r>
        <w:r w:rsidR="009553A7">
          <w:rPr>
            <w:noProof/>
            <w:webHidden/>
          </w:rPr>
        </w:r>
        <w:r w:rsidR="009553A7">
          <w:rPr>
            <w:noProof/>
            <w:webHidden/>
          </w:rPr>
          <w:fldChar w:fldCharType="separate"/>
        </w:r>
        <w:r>
          <w:rPr>
            <w:noProof/>
            <w:webHidden/>
          </w:rPr>
          <w:t>15</w:t>
        </w:r>
        <w:r w:rsidR="009553A7">
          <w:rPr>
            <w:noProof/>
            <w:webHidden/>
          </w:rPr>
          <w:fldChar w:fldCharType="end"/>
        </w:r>
      </w:hyperlink>
    </w:p>
    <w:p w14:paraId="3A97C1A5" w14:textId="52043069" w:rsidR="009553A7" w:rsidRDefault="00552215" w:rsidP="00712FA0">
      <w:pPr>
        <w:pStyle w:val="TDC1"/>
        <w:rPr>
          <w:rFonts w:eastAsiaTheme="minorEastAsia"/>
          <w:noProof/>
          <w:lang w:eastAsia="es-MX"/>
        </w:rPr>
      </w:pPr>
      <w:hyperlink w:anchor="_Toc56741058" w:history="1">
        <w:r w:rsidR="009553A7" w:rsidRPr="00C6555D">
          <w:rPr>
            <w:rStyle w:val="Hipervnculo"/>
            <w:noProof/>
          </w:rPr>
          <w:t>Cuadro 5. Presupuesto FAFEF en el Estado, a nivel federal y presupuesto total de la entidad federativa.</w:t>
        </w:r>
        <w:r w:rsidR="009553A7">
          <w:rPr>
            <w:noProof/>
            <w:webHidden/>
          </w:rPr>
          <w:tab/>
        </w:r>
        <w:r w:rsidR="009553A7">
          <w:rPr>
            <w:noProof/>
            <w:webHidden/>
          </w:rPr>
          <w:fldChar w:fldCharType="begin"/>
        </w:r>
        <w:r w:rsidR="009553A7">
          <w:rPr>
            <w:noProof/>
            <w:webHidden/>
          </w:rPr>
          <w:instrText xml:space="preserve"> PAGEREF _Toc56741058 \h </w:instrText>
        </w:r>
        <w:r w:rsidR="009553A7">
          <w:rPr>
            <w:noProof/>
            <w:webHidden/>
          </w:rPr>
        </w:r>
        <w:r w:rsidR="009553A7">
          <w:rPr>
            <w:noProof/>
            <w:webHidden/>
          </w:rPr>
          <w:fldChar w:fldCharType="separate"/>
        </w:r>
        <w:r>
          <w:rPr>
            <w:noProof/>
            <w:webHidden/>
          </w:rPr>
          <w:t>17</w:t>
        </w:r>
        <w:r w:rsidR="009553A7">
          <w:rPr>
            <w:noProof/>
            <w:webHidden/>
          </w:rPr>
          <w:fldChar w:fldCharType="end"/>
        </w:r>
      </w:hyperlink>
    </w:p>
    <w:p w14:paraId="6AEC9EDF" w14:textId="6AC19884" w:rsidR="009553A7" w:rsidRDefault="00552215" w:rsidP="00712FA0">
      <w:pPr>
        <w:pStyle w:val="TDC1"/>
        <w:rPr>
          <w:rFonts w:eastAsiaTheme="minorEastAsia"/>
          <w:noProof/>
          <w:lang w:eastAsia="es-MX"/>
        </w:rPr>
      </w:pPr>
      <w:hyperlink w:anchor="_Toc56741059" w:history="1">
        <w:r w:rsidR="009553A7" w:rsidRPr="00C6555D">
          <w:rPr>
            <w:rStyle w:val="Hipervnculo"/>
            <w:noProof/>
          </w:rPr>
          <w:t>Cuadro 6. Alineación de los objetivos del PEDH 2016-2022 inherentes a los rubros ejercidos del FAFEF en 2018 con el PND 2013-2018</w:t>
        </w:r>
        <w:r w:rsidR="009553A7">
          <w:rPr>
            <w:noProof/>
            <w:webHidden/>
          </w:rPr>
          <w:tab/>
        </w:r>
        <w:r w:rsidR="009553A7">
          <w:rPr>
            <w:noProof/>
            <w:webHidden/>
          </w:rPr>
          <w:fldChar w:fldCharType="begin"/>
        </w:r>
        <w:r w:rsidR="009553A7">
          <w:rPr>
            <w:noProof/>
            <w:webHidden/>
          </w:rPr>
          <w:instrText xml:space="preserve"> PAGEREF _Toc56741059 \h </w:instrText>
        </w:r>
        <w:r w:rsidR="009553A7">
          <w:rPr>
            <w:noProof/>
            <w:webHidden/>
          </w:rPr>
        </w:r>
        <w:r w:rsidR="009553A7">
          <w:rPr>
            <w:noProof/>
            <w:webHidden/>
          </w:rPr>
          <w:fldChar w:fldCharType="separate"/>
        </w:r>
        <w:r>
          <w:rPr>
            <w:noProof/>
            <w:webHidden/>
          </w:rPr>
          <w:t>40</w:t>
        </w:r>
        <w:r w:rsidR="009553A7">
          <w:rPr>
            <w:noProof/>
            <w:webHidden/>
          </w:rPr>
          <w:fldChar w:fldCharType="end"/>
        </w:r>
      </w:hyperlink>
    </w:p>
    <w:p w14:paraId="1297B93D" w14:textId="682DB64B" w:rsidR="009553A7" w:rsidRDefault="00552215" w:rsidP="00712FA0">
      <w:pPr>
        <w:pStyle w:val="TDC1"/>
        <w:rPr>
          <w:rFonts w:eastAsiaTheme="minorEastAsia"/>
          <w:noProof/>
          <w:lang w:eastAsia="es-MX"/>
        </w:rPr>
      </w:pPr>
      <w:hyperlink w:anchor="_Toc56741060" w:history="1">
        <w:r w:rsidR="009553A7" w:rsidRPr="00C6555D">
          <w:rPr>
            <w:rStyle w:val="Hipervnculo"/>
            <w:noProof/>
          </w:rPr>
          <w:t>Cuadro 7. Contribución de la ejecución del FAFEF a los ODS</w:t>
        </w:r>
        <w:r w:rsidR="009553A7">
          <w:rPr>
            <w:noProof/>
            <w:webHidden/>
          </w:rPr>
          <w:tab/>
        </w:r>
        <w:r w:rsidR="009553A7">
          <w:rPr>
            <w:noProof/>
            <w:webHidden/>
          </w:rPr>
          <w:fldChar w:fldCharType="begin"/>
        </w:r>
        <w:r w:rsidR="009553A7">
          <w:rPr>
            <w:noProof/>
            <w:webHidden/>
          </w:rPr>
          <w:instrText xml:space="preserve"> PAGEREF _Toc56741060 \h </w:instrText>
        </w:r>
        <w:r w:rsidR="009553A7">
          <w:rPr>
            <w:noProof/>
            <w:webHidden/>
          </w:rPr>
        </w:r>
        <w:r w:rsidR="009553A7">
          <w:rPr>
            <w:noProof/>
            <w:webHidden/>
          </w:rPr>
          <w:fldChar w:fldCharType="separate"/>
        </w:r>
        <w:r>
          <w:rPr>
            <w:noProof/>
            <w:webHidden/>
          </w:rPr>
          <w:t>42</w:t>
        </w:r>
        <w:r w:rsidR="009553A7">
          <w:rPr>
            <w:noProof/>
            <w:webHidden/>
          </w:rPr>
          <w:fldChar w:fldCharType="end"/>
        </w:r>
      </w:hyperlink>
    </w:p>
    <w:p w14:paraId="61AA261C" w14:textId="1B4DED6A" w:rsidR="009553A7" w:rsidRDefault="00552215" w:rsidP="00712FA0">
      <w:pPr>
        <w:pStyle w:val="TDC1"/>
        <w:rPr>
          <w:rFonts w:eastAsiaTheme="minorEastAsia"/>
          <w:noProof/>
          <w:lang w:eastAsia="es-MX"/>
        </w:rPr>
      </w:pPr>
      <w:hyperlink w:anchor="_Toc56741061" w:history="1">
        <w:r w:rsidR="009553A7" w:rsidRPr="00C6555D">
          <w:rPr>
            <w:rStyle w:val="Hipervnculo"/>
            <w:rFonts w:cstheme="minorHAnsi"/>
            <w:noProof/>
          </w:rPr>
          <w:t xml:space="preserve">Cuadro 8. </w:t>
        </w:r>
        <w:r w:rsidR="009553A7" w:rsidRPr="00C6555D">
          <w:rPr>
            <w:rStyle w:val="Hipervnculo"/>
            <w:noProof/>
          </w:rPr>
          <w:t>Análisis de complementariedades y coincidencias con programas o proyectos locales</w:t>
        </w:r>
        <w:r w:rsidR="009553A7">
          <w:rPr>
            <w:noProof/>
            <w:webHidden/>
          </w:rPr>
          <w:tab/>
        </w:r>
        <w:r w:rsidR="009553A7">
          <w:rPr>
            <w:noProof/>
            <w:webHidden/>
          </w:rPr>
          <w:fldChar w:fldCharType="begin"/>
        </w:r>
        <w:r w:rsidR="009553A7">
          <w:rPr>
            <w:noProof/>
            <w:webHidden/>
          </w:rPr>
          <w:instrText xml:space="preserve"> PAGEREF _Toc56741061 \h </w:instrText>
        </w:r>
        <w:r w:rsidR="009553A7">
          <w:rPr>
            <w:noProof/>
            <w:webHidden/>
          </w:rPr>
        </w:r>
        <w:r w:rsidR="009553A7">
          <w:rPr>
            <w:noProof/>
            <w:webHidden/>
          </w:rPr>
          <w:fldChar w:fldCharType="separate"/>
        </w:r>
        <w:r>
          <w:rPr>
            <w:noProof/>
            <w:webHidden/>
          </w:rPr>
          <w:t>54</w:t>
        </w:r>
        <w:r w:rsidR="009553A7">
          <w:rPr>
            <w:noProof/>
            <w:webHidden/>
          </w:rPr>
          <w:fldChar w:fldCharType="end"/>
        </w:r>
      </w:hyperlink>
    </w:p>
    <w:p w14:paraId="5784EEEA" w14:textId="68B0CCF2" w:rsidR="009553A7" w:rsidRDefault="00552215" w:rsidP="00712FA0">
      <w:pPr>
        <w:pStyle w:val="TDC1"/>
        <w:rPr>
          <w:rFonts w:eastAsiaTheme="minorEastAsia"/>
          <w:noProof/>
          <w:lang w:eastAsia="es-MX"/>
        </w:rPr>
      </w:pPr>
      <w:hyperlink w:anchor="_Toc56741062" w:history="1">
        <w:r w:rsidR="009553A7" w:rsidRPr="00C6555D">
          <w:rPr>
            <w:rStyle w:val="Hipervnculo"/>
            <w:rFonts w:cstheme="minorHAnsi"/>
            <w:noProof/>
          </w:rPr>
          <w:t xml:space="preserve">Cuadro 9. Sinergias del FAFEF </w:t>
        </w:r>
        <w:r w:rsidR="009553A7" w:rsidRPr="00C6555D">
          <w:rPr>
            <w:rStyle w:val="Hipervnculo"/>
            <w:noProof/>
          </w:rPr>
          <w:t>con programas o proyectos en la entidad federativa</w:t>
        </w:r>
        <w:r w:rsidR="009553A7">
          <w:rPr>
            <w:noProof/>
            <w:webHidden/>
          </w:rPr>
          <w:tab/>
        </w:r>
        <w:r w:rsidR="009553A7">
          <w:rPr>
            <w:noProof/>
            <w:webHidden/>
          </w:rPr>
          <w:fldChar w:fldCharType="begin"/>
        </w:r>
        <w:r w:rsidR="009553A7">
          <w:rPr>
            <w:noProof/>
            <w:webHidden/>
          </w:rPr>
          <w:instrText xml:space="preserve"> PAGEREF _Toc56741062 \h </w:instrText>
        </w:r>
        <w:r w:rsidR="009553A7">
          <w:rPr>
            <w:noProof/>
            <w:webHidden/>
          </w:rPr>
        </w:r>
        <w:r w:rsidR="009553A7">
          <w:rPr>
            <w:noProof/>
            <w:webHidden/>
          </w:rPr>
          <w:fldChar w:fldCharType="separate"/>
        </w:r>
        <w:r>
          <w:rPr>
            <w:noProof/>
            <w:webHidden/>
          </w:rPr>
          <w:t>56</w:t>
        </w:r>
        <w:r w:rsidR="009553A7">
          <w:rPr>
            <w:noProof/>
            <w:webHidden/>
          </w:rPr>
          <w:fldChar w:fldCharType="end"/>
        </w:r>
      </w:hyperlink>
    </w:p>
    <w:p w14:paraId="21CE72AF" w14:textId="6392929A" w:rsidR="009553A7" w:rsidRDefault="00552215" w:rsidP="00712FA0">
      <w:pPr>
        <w:pStyle w:val="TDC1"/>
        <w:rPr>
          <w:rFonts w:eastAsiaTheme="minorEastAsia"/>
          <w:noProof/>
          <w:lang w:eastAsia="es-MX"/>
        </w:rPr>
      </w:pPr>
      <w:hyperlink w:anchor="_Toc56741063" w:history="1">
        <w:r w:rsidR="009553A7" w:rsidRPr="00C6555D">
          <w:rPr>
            <w:rStyle w:val="Hipervnculo"/>
            <w:noProof/>
          </w:rPr>
          <w:t>Cuadro 10. Tipo de evaluaciones o análisis externos sugeridos al FAFEF en Hidalgo.</w:t>
        </w:r>
        <w:r w:rsidR="009553A7">
          <w:rPr>
            <w:noProof/>
            <w:webHidden/>
          </w:rPr>
          <w:tab/>
        </w:r>
        <w:r w:rsidR="009553A7">
          <w:rPr>
            <w:noProof/>
            <w:webHidden/>
          </w:rPr>
          <w:fldChar w:fldCharType="begin"/>
        </w:r>
        <w:r w:rsidR="009553A7">
          <w:rPr>
            <w:noProof/>
            <w:webHidden/>
          </w:rPr>
          <w:instrText xml:space="preserve"> PAGEREF _Toc56741063 \h </w:instrText>
        </w:r>
        <w:r w:rsidR="009553A7">
          <w:rPr>
            <w:noProof/>
            <w:webHidden/>
          </w:rPr>
        </w:r>
        <w:r w:rsidR="009553A7">
          <w:rPr>
            <w:noProof/>
            <w:webHidden/>
          </w:rPr>
          <w:fldChar w:fldCharType="separate"/>
        </w:r>
        <w:r>
          <w:rPr>
            <w:noProof/>
            <w:webHidden/>
          </w:rPr>
          <w:t>70</w:t>
        </w:r>
        <w:r w:rsidR="009553A7">
          <w:rPr>
            <w:noProof/>
            <w:webHidden/>
          </w:rPr>
          <w:fldChar w:fldCharType="end"/>
        </w:r>
      </w:hyperlink>
    </w:p>
    <w:p w14:paraId="081257BA" w14:textId="293487E5" w:rsidR="009553A7" w:rsidRDefault="00552215" w:rsidP="00712FA0">
      <w:pPr>
        <w:pStyle w:val="TDC1"/>
        <w:rPr>
          <w:rFonts w:eastAsiaTheme="minorEastAsia"/>
          <w:noProof/>
          <w:lang w:eastAsia="es-MX"/>
        </w:rPr>
      </w:pPr>
      <w:hyperlink w:anchor="_Toc56741064" w:history="1">
        <w:r w:rsidR="009553A7" w:rsidRPr="00C6555D">
          <w:rPr>
            <w:rStyle w:val="Hipervnculo"/>
            <w:noProof/>
          </w:rPr>
          <w:t>Cuadro 11. Principales resultados de evaluaciones externas realizadas al FAFEF en Hidalgo</w:t>
        </w:r>
        <w:r w:rsidR="009553A7">
          <w:rPr>
            <w:noProof/>
            <w:webHidden/>
          </w:rPr>
          <w:tab/>
        </w:r>
        <w:r w:rsidR="009553A7">
          <w:rPr>
            <w:noProof/>
            <w:webHidden/>
          </w:rPr>
          <w:fldChar w:fldCharType="begin"/>
        </w:r>
        <w:r w:rsidR="009553A7">
          <w:rPr>
            <w:noProof/>
            <w:webHidden/>
          </w:rPr>
          <w:instrText xml:space="preserve"> PAGEREF _Toc56741064 \h </w:instrText>
        </w:r>
        <w:r w:rsidR="009553A7">
          <w:rPr>
            <w:noProof/>
            <w:webHidden/>
          </w:rPr>
        </w:r>
        <w:r w:rsidR="009553A7">
          <w:rPr>
            <w:noProof/>
            <w:webHidden/>
          </w:rPr>
          <w:fldChar w:fldCharType="separate"/>
        </w:r>
        <w:r>
          <w:rPr>
            <w:noProof/>
            <w:webHidden/>
          </w:rPr>
          <w:t>71</w:t>
        </w:r>
        <w:r w:rsidR="009553A7">
          <w:rPr>
            <w:noProof/>
            <w:webHidden/>
          </w:rPr>
          <w:fldChar w:fldCharType="end"/>
        </w:r>
      </w:hyperlink>
    </w:p>
    <w:p w14:paraId="58F78CF9" w14:textId="7A92DF4F" w:rsidR="008D0067" w:rsidRPr="008D0067" w:rsidRDefault="005B1878" w:rsidP="005B1878">
      <w:pPr>
        <w:rPr>
          <w:rStyle w:val="Hipervnculo"/>
          <w:color w:val="000000" w:themeColor="text1"/>
          <w:u w:val="none"/>
        </w:rPr>
      </w:pPr>
      <w:r>
        <w:fldChar w:fldCharType="end"/>
      </w:r>
    </w:p>
    <w:p w14:paraId="507A5C52" w14:textId="77777777" w:rsidR="0064070D" w:rsidRDefault="0064070D" w:rsidP="00241B29">
      <w:pPr>
        <w:sectPr w:rsidR="0064070D" w:rsidSect="004075A8">
          <w:footerReference w:type="default" r:id="rId11"/>
          <w:pgSz w:w="12240" w:h="15840" w:code="1"/>
          <w:pgMar w:top="1134" w:right="1134" w:bottom="1134" w:left="1134" w:header="709" w:footer="709" w:gutter="0"/>
          <w:pgNumType w:fmt="lowerRoman"/>
          <w:cols w:space="708"/>
          <w:docGrid w:linePitch="360"/>
        </w:sectPr>
      </w:pPr>
    </w:p>
    <w:p w14:paraId="21CE139D" w14:textId="77777777" w:rsidR="004B6150" w:rsidRDefault="00E77F91" w:rsidP="00FC259A">
      <w:pPr>
        <w:spacing w:after="360"/>
        <w:jc w:val="center"/>
        <w:rPr>
          <w:noProof/>
        </w:rPr>
      </w:pPr>
      <w:r w:rsidRPr="00E77F91">
        <w:rPr>
          <w:b/>
          <w:bCs/>
          <w:sz w:val="32"/>
          <w:szCs w:val="32"/>
        </w:rPr>
        <w:lastRenderedPageBreak/>
        <w:t xml:space="preserve">Índice </w:t>
      </w:r>
      <w:r w:rsidR="00241B29" w:rsidRPr="00E77F91">
        <w:rPr>
          <w:b/>
          <w:bCs/>
          <w:sz w:val="32"/>
          <w:szCs w:val="32"/>
        </w:rPr>
        <w:t>de anexos</w:t>
      </w:r>
      <w:r w:rsidR="00FC259A">
        <w:rPr>
          <w:bCs/>
          <w:i/>
        </w:rPr>
        <w:fldChar w:fldCharType="begin"/>
      </w:r>
      <w:r w:rsidR="00FC259A">
        <w:rPr>
          <w:bCs/>
          <w:i/>
        </w:rPr>
        <w:instrText xml:space="preserve"> TOC \h \z \t "Anexos,1" </w:instrText>
      </w:r>
      <w:r w:rsidR="00FC259A">
        <w:rPr>
          <w:bCs/>
          <w:i/>
        </w:rPr>
        <w:fldChar w:fldCharType="separate"/>
      </w:r>
    </w:p>
    <w:p w14:paraId="79D3434D" w14:textId="3CC4D20B" w:rsidR="004B6150" w:rsidRDefault="00552215" w:rsidP="00712FA0">
      <w:pPr>
        <w:pStyle w:val="TDC1"/>
        <w:rPr>
          <w:rFonts w:eastAsiaTheme="minorEastAsia"/>
          <w:noProof/>
          <w:lang w:eastAsia="es-MX"/>
        </w:rPr>
      </w:pPr>
      <w:hyperlink w:anchor="_Toc56449866" w:history="1">
        <w:r w:rsidR="004B6150" w:rsidRPr="009714B1">
          <w:rPr>
            <w:rStyle w:val="Hipervnculo"/>
            <w:iCs/>
            <w:noProof/>
          </w:rPr>
          <w:t xml:space="preserve">Anexo 1. </w:t>
        </w:r>
        <w:r w:rsidR="004B6150" w:rsidRPr="009714B1">
          <w:rPr>
            <w:rStyle w:val="Hipervnculo"/>
            <w:noProof/>
          </w:rPr>
          <w:t>Indicadore</w:t>
        </w:r>
        <w:r w:rsidR="004B6150" w:rsidRPr="009714B1">
          <w:rPr>
            <w:rStyle w:val="Hipervnculo"/>
            <w:iCs/>
            <w:noProof/>
          </w:rPr>
          <w:t>s</w:t>
        </w:r>
        <w:r w:rsidR="004B6150">
          <w:rPr>
            <w:noProof/>
            <w:webHidden/>
          </w:rPr>
          <w:tab/>
        </w:r>
        <w:r w:rsidR="004B6150">
          <w:rPr>
            <w:noProof/>
            <w:webHidden/>
          </w:rPr>
          <w:fldChar w:fldCharType="begin"/>
        </w:r>
        <w:r w:rsidR="004B6150">
          <w:rPr>
            <w:noProof/>
            <w:webHidden/>
          </w:rPr>
          <w:instrText xml:space="preserve"> PAGEREF _Toc56449866 \h </w:instrText>
        </w:r>
        <w:r w:rsidR="004B6150">
          <w:rPr>
            <w:noProof/>
            <w:webHidden/>
          </w:rPr>
        </w:r>
        <w:r w:rsidR="004B6150">
          <w:rPr>
            <w:noProof/>
            <w:webHidden/>
          </w:rPr>
          <w:fldChar w:fldCharType="separate"/>
        </w:r>
        <w:r>
          <w:rPr>
            <w:noProof/>
            <w:webHidden/>
          </w:rPr>
          <w:t>84</w:t>
        </w:r>
        <w:r w:rsidR="004B6150">
          <w:rPr>
            <w:noProof/>
            <w:webHidden/>
          </w:rPr>
          <w:fldChar w:fldCharType="end"/>
        </w:r>
      </w:hyperlink>
    </w:p>
    <w:p w14:paraId="38C9D5F0" w14:textId="78B7634D" w:rsidR="004B6150" w:rsidRDefault="00552215" w:rsidP="00712FA0">
      <w:pPr>
        <w:pStyle w:val="TDC1"/>
        <w:rPr>
          <w:rFonts w:eastAsiaTheme="minorEastAsia"/>
          <w:noProof/>
          <w:lang w:eastAsia="es-MX"/>
        </w:rPr>
      </w:pPr>
      <w:hyperlink w:anchor="_Toc56449867" w:history="1">
        <w:r w:rsidR="004B6150" w:rsidRPr="009714B1">
          <w:rPr>
            <w:rStyle w:val="Hipervnculo"/>
            <w:iCs/>
            <w:noProof/>
          </w:rPr>
          <w:t>Anexo 2. Metas del Fondo</w:t>
        </w:r>
        <w:r w:rsidR="004B6150">
          <w:rPr>
            <w:noProof/>
            <w:webHidden/>
          </w:rPr>
          <w:tab/>
        </w:r>
        <w:r w:rsidR="004B6150">
          <w:rPr>
            <w:noProof/>
            <w:webHidden/>
          </w:rPr>
          <w:fldChar w:fldCharType="begin"/>
        </w:r>
        <w:r w:rsidR="004B6150">
          <w:rPr>
            <w:noProof/>
            <w:webHidden/>
          </w:rPr>
          <w:instrText xml:space="preserve"> PAGEREF _Toc56449867 \h </w:instrText>
        </w:r>
        <w:r w:rsidR="004B6150">
          <w:rPr>
            <w:noProof/>
            <w:webHidden/>
          </w:rPr>
        </w:r>
        <w:r w:rsidR="004B6150">
          <w:rPr>
            <w:noProof/>
            <w:webHidden/>
          </w:rPr>
          <w:fldChar w:fldCharType="separate"/>
        </w:r>
        <w:r>
          <w:rPr>
            <w:noProof/>
            <w:webHidden/>
          </w:rPr>
          <w:t>85</w:t>
        </w:r>
        <w:r w:rsidR="004B6150">
          <w:rPr>
            <w:noProof/>
            <w:webHidden/>
          </w:rPr>
          <w:fldChar w:fldCharType="end"/>
        </w:r>
      </w:hyperlink>
    </w:p>
    <w:p w14:paraId="3221207F" w14:textId="1DC2B1F0" w:rsidR="004B6150" w:rsidRDefault="00552215" w:rsidP="00712FA0">
      <w:pPr>
        <w:pStyle w:val="TDC1"/>
        <w:rPr>
          <w:rFonts w:eastAsiaTheme="minorEastAsia"/>
          <w:noProof/>
          <w:lang w:eastAsia="es-MX"/>
        </w:rPr>
      </w:pPr>
      <w:hyperlink w:anchor="_Toc56449868" w:history="1">
        <w:r w:rsidR="004B6150" w:rsidRPr="009714B1">
          <w:rPr>
            <w:rStyle w:val="Hipervnculo"/>
            <w:iCs/>
            <w:noProof/>
          </w:rPr>
          <w:t>Anexo 3 Propuestas de mejora de la Matriz de Indicadores para Resultados</w:t>
        </w:r>
        <w:r w:rsidR="004B6150">
          <w:rPr>
            <w:noProof/>
            <w:webHidden/>
          </w:rPr>
          <w:tab/>
        </w:r>
        <w:r w:rsidR="004B6150">
          <w:rPr>
            <w:noProof/>
            <w:webHidden/>
          </w:rPr>
          <w:fldChar w:fldCharType="begin"/>
        </w:r>
        <w:r w:rsidR="004B6150">
          <w:rPr>
            <w:noProof/>
            <w:webHidden/>
          </w:rPr>
          <w:instrText xml:space="preserve"> PAGEREF _Toc56449868 \h </w:instrText>
        </w:r>
        <w:r w:rsidR="004B6150">
          <w:rPr>
            <w:noProof/>
            <w:webHidden/>
          </w:rPr>
        </w:r>
        <w:r w:rsidR="004B6150">
          <w:rPr>
            <w:noProof/>
            <w:webHidden/>
          </w:rPr>
          <w:fldChar w:fldCharType="separate"/>
        </w:r>
        <w:r>
          <w:rPr>
            <w:noProof/>
            <w:webHidden/>
          </w:rPr>
          <w:t>86</w:t>
        </w:r>
        <w:r w:rsidR="004B6150">
          <w:rPr>
            <w:noProof/>
            <w:webHidden/>
          </w:rPr>
          <w:fldChar w:fldCharType="end"/>
        </w:r>
      </w:hyperlink>
    </w:p>
    <w:p w14:paraId="3BE8667A" w14:textId="24B5A642" w:rsidR="004B6150" w:rsidRDefault="00552215" w:rsidP="00712FA0">
      <w:pPr>
        <w:pStyle w:val="TDC1"/>
        <w:rPr>
          <w:rFonts w:eastAsiaTheme="minorEastAsia"/>
          <w:noProof/>
          <w:lang w:eastAsia="es-MX"/>
        </w:rPr>
      </w:pPr>
      <w:hyperlink w:anchor="_Toc56449869" w:history="1">
        <w:r w:rsidR="004B6150" w:rsidRPr="009714B1">
          <w:rPr>
            <w:rStyle w:val="Hipervnculo"/>
            <w:iCs/>
            <w:noProof/>
          </w:rPr>
          <w:t>Anexo 4. Evolución de la Cobertura</w:t>
        </w:r>
        <w:r w:rsidR="004B6150">
          <w:rPr>
            <w:noProof/>
            <w:webHidden/>
          </w:rPr>
          <w:tab/>
        </w:r>
        <w:r w:rsidR="004B6150">
          <w:rPr>
            <w:noProof/>
            <w:webHidden/>
          </w:rPr>
          <w:fldChar w:fldCharType="begin"/>
        </w:r>
        <w:r w:rsidR="004B6150">
          <w:rPr>
            <w:noProof/>
            <w:webHidden/>
          </w:rPr>
          <w:instrText xml:space="preserve"> PAGEREF _Toc56449869 \h </w:instrText>
        </w:r>
        <w:r w:rsidR="004B6150">
          <w:rPr>
            <w:noProof/>
            <w:webHidden/>
          </w:rPr>
        </w:r>
        <w:r w:rsidR="004B6150">
          <w:rPr>
            <w:noProof/>
            <w:webHidden/>
          </w:rPr>
          <w:fldChar w:fldCharType="separate"/>
        </w:r>
        <w:r>
          <w:rPr>
            <w:noProof/>
            <w:webHidden/>
          </w:rPr>
          <w:t>87</w:t>
        </w:r>
        <w:r w:rsidR="004B6150">
          <w:rPr>
            <w:noProof/>
            <w:webHidden/>
          </w:rPr>
          <w:fldChar w:fldCharType="end"/>
        </w:r>
      </w:hyperlink>
    </w:p>
    <w:p w14:paraId="5DB034F4" w14:textId="511CB273" w:rsidR="004B6150" w:rsidRDefault="00552215" w:rsidP="00712FA0">
      <w:pPr>
        <w:pStyle w:val="TDC1"/>
        <w:rPr>
          <w:rFonts w:eastAsiaTheme="minorEastAsia"/>
          <w:noProof/>
          <w:lang w:eastAsia="es-MX"/>
        </w:rPr>
      </w:pPr>
      <w:hyperlink w:anchor="_Toc56449870" w:history="1">
        <w:r w:rsidR="004B6150" w:rsidRPr="009714B1">
          <w:rPr>
            <w:rStyle w:val="Hipervnculo"/>
            <w:iCs/>
            <w:noProof/>
          </w:rPr>
          <w:t>Anexo 5. Diagramas de flujo de la coordinación del Fondo</w:t>
        </w:r>
        <w:r w:rsidR="004B6150">
          <w:rPr>
            <w:noProof/>
            <w:webHidden/>
          </w:rPr>
          <w:tab/>
        </w:r>
        <w:r w:rsidR="004B6150">
          <w:rPr>
            <w:noProof/>
            <w:webHidden/>
          </w:rPr>
          <w:fldChar w:fldCharType="begin"/>
        </w:r>
        <w:r w:rsidR="004B6150">
          <w:rPr>
            <w:noProof/>
            <w:webHidden/>
          </w:rPr>
          <w:instrText xml:space="preserve"> PAGEREF _Toc56449870 \h </w:instrText>
        </w:r>
        <w:r w:rsidR="004B6150">
          <w:rPr>
            <w:noProof/>
            <w:webHidden/>
          </w:rPr>
        </w:r>
        <w:r w:rsidR="004B6150">
          <w:rPr>
            <w:noProof/>
            <w:webHidden/>
          </w:rPr>
          <w:fldChar w:fldCharType="separate"/>
        </w:r>
        <w:r>
          <w:rPr>
            <w:noProof/>
            <w:webHidden/>
          </w:rPr>
          <w:t>88</w:t>
        </w:r>
        <w:r w:rsidR="004B6150">
          <w:rPr>
            <w:noProof/>
            <w:webHidden/>
          </w:rPr>
          <w:fldChar w:fldCharType="end"/>
        </w:r>
      </w:hyperlink>
    </w:p>
    <w:p w14:paraId="4BEC5E4A" w14:textId="7288F050" w:rsidR="004B6150" w:rsidRDefault="00552215" w:rsidP="00712FA0">
      <w:pPr>
        <w:pStyle w:val="TDC1"/>
        <w:rPr>
          <w:rFonts w:eastAsiaTheme="minorEastAsia"/>
          <w:noProof/>
          <w:lang w:eastAsia="es-MX"/>
        </w:rPr>
      </w:pPr>
      <w:hyperlink w:anchor="_Toc56449871" w:history="1">
        <w:r w:rsidR="004B6150" w:rsidRPr="009714B1">
          <w:rPr>
            <w:rStyle w:val="Hipervnculo"/>
            <w:iCs/>
            <w:noProof/>
          </w:rPr>
          <w:t>Anexo 6. Complementariedades y coincidencias entre programas federales y sinergias con políticas, programas o proyectos locales</w:t>
        </w:r>
        <w:r w:rsidR="004B6150">
          <w:rPr>
            <w:noProof/>
            <w:webHidden/>
          </w:rPr>
          <w:tab/>
        </w:r>
        <w:r w:rsidR="004B6150">
          <w:rPr>
            <w:noProof/>
            <w:webHidden/>
          </w:rPr>
          <w:fldChar w:fldCharType="begin"/>
        </w:r>
        <w:r w:rsidR="004B6150">
          <w:rPr>
            <w:noProof/>
            <w:webHidden/>
          </w:rPr>
          <w:instrText xml:space="preserve"> PAGEREF _Toc56449871 \h </w:instrText>
        </w:r>
        <w:r w:rsidR="004B6150">
          <w:rPr>
            <w:noProof/>
            <w:webHidden/>
          </w:rPr>
        </w:r>
        <w:r w:rsidR="004B6150">
          <w:rPr>
            <w:noProof/>
            <w:webHidden/>
          </w:rPr>
          <w:fldChar w:fldCharType="separate"/>
        </w:r>
        <w:r>
          <w:rPr>
            <w:noProof/>
            <w:webHidden/>
          </w:rPr>
          <w:t>94</w:t>
        </w:r>
        <w:r w:rsidR="004B6150">
          <w:rPr>
            <w:noProof/>
            <w:webHidden/>
          </w:rPr>
          <w:fldChar w:fldCharType="end"/>
        </w:r>
      </w:hyperlink>
    </w:p>
    <w:p w14:paraId="45EA1B11" w14:textId="5F514A18" w:rsidR="004B6150" w:rsidRDefault="00552215" w:rsidP="00712FA0">
      <w:pPr>
        <w:pStyle w:val="TDC1"/>
        <w:rPr>
          <w:rFonts w:eastAsiaTheme="minorEastAsia"/>
          <w:noProof/>
          <w:lang w:eastAsia="es-MX"/>
        </w:rPr>
      </w:pPr>
      <w:hyperlink w:anchor="_Toc56449872" w:history="1">
        <w:r w:rsidR="004B6150" w:rsidRPr="009714B1">
          <w:rPr>
            <w:rStyle w:val="Hipervnculo"/>
            <w:iCs/>
            <w:noProof/>
          </w:rPr>
          <w:t>Anexo 7. Valor agregado de los Programas presupuestarios al Fondo</w:t>
        </w:r>
        <w:r w:rsidR="004B6150">
          <w:rPr>
            <w:noProof/>
            <w:webHidden/>
          </w:rPr>
          <w:tab/>
        </w:r>
        <w:r w:rsidR="004B6150">
          <w:rPr>
            <w:noProof/>
            <w:webHidden/>
          </w:rPr>
          <w:fldChar w:fldCharType="begin"/>
        </w:r>
        <w:r w:rsidR="004B6150">
          <w:rPr>
            <w:noProof/>
            <w:webHidden/>
          </w:rPr>
          <w:instrText xml:space="preserve"> PAGEREF _Toc56449872 \h </w:instrText>
        </w:r>
        <w:r w:rsidR="004B6150">
          <w:rPr>
            <w:noProof/>
            <w:webHidden/>
          </w:rPr>
        </w:r>
        <w:r w:rsidR="004B6150">
          <w:rPr>
            <w:noProof/>
            <w:webHidden/>
          </w:rPr>
          <w:fldChar w:fldCharType="separate"/>
        </w:r>
        <w:r>
          <w:rPr>
            <w:noProof/>
            <w:webHidden/>
          </w:rPr>
          <w:t>96</w:t>
        </w:r>
        <w:r w:rsidR="004B6150">
          <w:rPr>
            <w:noProof/>
            <w:webHidden/>
          </w:rPr>
          <w:fldChar w:fldCharType="end"/>
        </w:r>
      </w:hyperlink>
    </w:p>
    <w:p w14:paraId="411D4161" w14:textId="0BA96140" w:rsidR="004B6150" w:rsidRDefault="00552215" w:rsidP="00712FA0">
      <w:pPr>
        <w:pStyle w:val="TDC1"/>
        <w:rPr>
          <w:rFonts w:eastAsiaTheme="minorEastAsia"/>
          <w:noProof/>
          <w:lang w:eastAsia="es-MX"/>
        </w:rPr>
      </w:pPr>
      <w:hyperlink w:anchor="_Toc56449873" w:history="1">
        <w:r w:rsidR="004B6150" w:rsidRPr="009714B1">
          <w:rPr>
            <w:rStyle w:val="Hipervnculo"/>
            <w:iCs/>
            <w:noProof/>
          </w:rPr>
          <w:t>Anexo 8. Sinergias con políticas, programas o proyectos locales de Fondos de otras Aportaciones Federales aplicados en la Entidad Federativa</w:t>
        </w:r>
        <w:r w:rsidR="004B6150">
          <w:rPr>
            <w:noProof/>
            <w:webHidden/>
          </w:rPr>
          <w:tab/>
        </w:r>
        <w:r w:rsidR="004B6150">
          <w:rPr>
            <w:noProof/>
            <w:webHidden/>
          </w:rPr>
          <w:fldChar w:fldCharType="begin"/>
        </w:r>
        <w:r w:rsidR="004B6150">
          <w:rPr>
            <w:noProof/>
            <w:webHidden/>
          </w:rPr>
          <w:instrText xml:space="preserve"> PAGEREF _Toc56449873 \h </w:instrText>
        </w:r>
        <w:r w:rsidR="004B6150">
          <w:rPr>
            <w:noProof/>
            <w:webHidden/>
          </w:rPr>
        </w:r>
        <w:r w:rsidR="004B6150">
          <w:rPr>
            <w:noProof/>
            <w:webHidden/>
          </w:rPr>
          <w:fldChar w:fldCharType="separate"/>
        </w:r>
        <w:r>
          <w:rPr>
            <w:noProof/>
            <w:webHidden/>
          </w:rPr>
          <w:t>100</w:t>
        </w:r>
        <w:r w:rsidR="004B6150">
          <w:rPr>
            <w:noProof/>
            <w:webHidden/>
          </w:rPr>
          <w:fldChar w:fldCharType="end"/>
        </w:r>
      </w:hyperlink>
    </w:p>
    <w:p w14:paraId="1A61F6CA" w14:textId="13410E5F" w:rsidR="004B6150" w:rsidRDefault="00552215" w:rsidP="00712FA0">
      <w:pPr>
        <w:pStyle w:val="TDC1"/>
        <w:rPr>
          <w:rFonts w:eastAsiaTheme="minorEastAsia"/>
          <w:noProof/>
          <w:lang w:eastAsia="es-MX"/>
        </w:rPr>
      </w:pPr>
      <w:hyperlink w:anchor="_Toc56449874" w:history="1">
        <w:r w:rsidR="004B6150" w:rsidRPr="009714B1">
          <w:rPr>
            <w:rStyle w:val="Hipervnculo"/>
            <w:iCs/>
            <w:noProof/>
          </w:rPr>
          <w:t>Anexo 9. Principales Fortalezas, Oportunidades, Debilidades, Amenazas y Recomendaciones</w:t>
        </w:r>
        <w:r w:rsidR="004B6150">
          <w:rPr>
            <w:noProof/>
            <w:webHidden/>
          </w:rPr>
          <w:tab/>
        </w:r>
        <w:r w:rsidR="004B6150">
          <w:rPr>
            <w:noProof/>
            <w:webHidden/>
          </w:rPr>
          <w:fldChar w:fldCharType="begin"/>
        </w:r>
        <w:r w:rsidR="004B6150">
          <w:rPr>
            <w:noProof/>
            <w:webHidden/>
          </w:rPr>
          <w:instrText xml:space="preserve"> PAGEREF _Toc56449874 \h </w:instrText>
        </w:r>
        <w:r w:rsidR="004B6150">
          <w:rPr>
            <w:noProof/>
            <w:webHidden/>
          </w:rPr>
        </w:r>
        <w:r w:rsidR="004B6150">
          <w:rPr>
            <w:noProof/>
            <w:webHidden/>
          </w:rPr>
          <w:fldChar w:fldCharType="separate"/>
        </w:r>
        <w:r>
          <w:rPr>
            <w:noProof/>
            <w:webHidden/>
          </w:rPr>
          <w:t>105</w:t>
        </w:r>
        <w:r w:rsidR="004B6150">
          <w:rPr>
            <w:noProof/>
            <w:webHidden/>
          </w:rPr>
          <w:fldChar w:fldCharType="end"/>
        </w:r>
      </w:hyperlink>
    </w:p>
    <w:p w14:paraId="3B4560F9" w14:textId="50C183B1" w:rsidR="004B6150" w:rsidRDefault="00552215" w:rsidP="00712FA0">
      <w:pPr>
        <w:pStyle w:val="TDC1"/>
        <w:rPr>
          <w:rFonts w:eastAsiaTheme="minorEastAsia"/>
          <w:noProof/>
          <w:lang w:eastAsia="es-MX"/>
        </w:rPr>
      </w:pPr>
      <w:hyperlink w:anchor="_Toc56449875" w:history="1">
        <w:r w:rsidR="004B6150" w:rsidRPr="009714B1">
          <w:rPr>
            <w:rStyle w:val="Hipervnculo"/>
            <w:iCs/>
            <w:noProof/>
          </w:rPr>
          <w:t>Anexo 10. Valoración final del Fondo en la Entidad Federativa</w:t>
        </w:r>
        <w:r w:rsidR="004B6150">
          <w:rPr>
            <w:noProof/>
            <w:webHidden/>
          </w:rPr>
          <w:tab/>
        </w:r>
        <w:r w:rsidR="004B6150">
          <w:rPr>
            <w:noProof/>
            <w:webHidden/>
          </w:rPr>
          <w:fldChar w:fldCharType="begin"/>
        </w:r>
        <w:r w:rsidR="004B6150">
          <w:rPr>
            <w:noProof/>
            <w:webHidden/>
          </w:rPr>
          <w:instrText xml:space="preserve"> PAGEREF _Toc56449875 \h </w:instrText>
        </w:r>
        <w:r w:rsidR="004B6150">
          <w:rPr>
            <w:noProof/>
            <w:webHidden/>
          </w:rPr>
        </w:r>
        <w:r w:rsidR="004B6150">
          <w:rPr>
            <w:noProof/>
            <w:webHidden/>
          </w:rPr>
          <w:fldChar w:fldCharType="separate"/>
        </w:r>
        <w:r>
          <w:rPr>
            <w:noProof/>
            <w:webHidden/>
          </w:rPr>
          <w:t>113</w:t>
        </w:r>
        <w:r w:rsidR="004B6150">
          <w:rPr>
            <w:noProof/>
            <w:webHidden/>
          </w:rPr>
          <w:fldChar w:fldCharType="end"/>
        </w:r>
      </w:hyperlink>
    </w:p>
    <w:p w14:paraId="6FA61622" w14:textId="013571F5" w:rsidR="004B6150" w:rsidRDefault="00552215" w:rsidP="00712FA0">
      <w:pPr>
        <w:pStyle w:val="TDC1"/>
        <w:rPr>
          <w:rFonts w:eastAsiaTheme="minorEastAsia"/>
          <w:noProof/>
          <w:lang w:eastAsia="es-MX"/>
        </w:rPr>
      </w:pPr>
      <w:hyperlink w:anchor="_Toc56449876" w:history="1">
        <w:r w:rsidR="004B6150" w:rsidRPr="009714B1">
          <w:rPr>
            <w:rStyle w:val="Hipervnculo"/>
            <w:iCs/>
            <w:noProof/>
          </w:rPr>
          <w:t>Anexo 11. Ficha Técnica con los datos generales de la evaluación</w:t>
        </w:r>
        <w:r w:rsidR="004B6150">
          <w:rPr>
            <w:noProof/>
            <w:webHidden/>
          </w:rPr>
          <w:tab/>
        </w:r>
        <w:r w:rsidR="004B6150">
          <w:rPr>
            <w:noProof/>
            <w:webHidden/>
          </w:rPr>
          <w:fldChar w:fldCharType="begin"/>
        </w:r>
        <w:r w:rsidR="004B6150">
          <w:rPr>
            <w:noProof/>
            <w:webHidden/>
          </w:rPr>
          <w:instrText xml:space="preserve"> PAGEREF _Toc56449876 \h </w:instrText>
        </w:r>
        <w:r w:rsidR="004B6150">
          <w:rPr>
            <w:noProof/>
            <w:webHidden/>
          </w:rPr>
        </w:r>
        <w:r w:rsidR="004B6150">
          <w:rPr>
            <w:noProof/>
            <w:webHidden/>
          </w:rPr>
          <w:fldChar w:fldCharType="separate"/>
        </w:r>
        <w:r>
          <w:rPr>
            <w:noProof/>
            <w:webHidden/>
          </w:rPr>
          <w:t>116</w:t>
        </w:r>
        <w:r w:rsidR="004B6150">
          <w:rPr>
            <w:noProof/>
            <w:webHidden/>
          </w:rPr>
          <w:fldChar w:fldCharType="end"/>
        </w:r>
      </w:hyperlink>
    </w:p>
    <w:p w14:paraId="72E926A8" w14:textId="6297B73C" w:rsidR="00E97D39" w:rsidRPr="00241B29" w:rsidRDefault="00FC259A" w:rsidP="00FC259A">
      <w:pPr>
        <w:spacing w:after="360"/>
        <w:jc w:val="center"/>
      </w:pPr>
      <w:r>
        <w:rPr>
          <w:bCs/>
          <w:i/>
        </w:rPr>
        <w:fldChar w:fldCharType="end"/>
      </w:r>
    </w:p>
    <w:p w14:paraId="0E824125" w14:textId="77777777" w:rsidR="008D0067" w:rsidRDefault="008D0067" w:rsidP="009D6B1E">
      <w:pPr>
        <w:pStyle w:val="TDC2"/>
        <w:sectPr w:rsidR="008D0067" w:rsidSect="0064070D">
          <w:pgSz w:w="12240" w:h="15840" w:code="1"/>
          <w:pgMar w:top="1134" w:right="1134" w:bottom="1134" w:left="1134" w:header="709" w:footer="709" w:gutter="0"/>
          <w:pgNumType w:fmt="lowerRoman"/>
          <w:cols w:space="708"/>
          <w:docGrid w:linePitch="360"/>
        </w:sectPr>
      </w:pPr>
    </w:p>
    <w:p w14:paraId="6E9F9C60" w14:textId="40496EE4" w:rsidR="00BC6200" w:rsidRPr="00E77F91" w:rsidRDefault="0012146B" w:rsidP="00E77F91">
      <w:pPr>
        <w:spacing w:after="360"/>
        <w:jc w:val="center"/>
        <w:rPr>
          <w:b/>
          <w:bCs/>
          <w:sz w:val="32"/>
          <w:szCs w:val="32"/>
        </w:rPr>
      </w:pPr>
      <w:bookmarkStart w:id="2" w:name="_Toc44244379"/>
      <w:bookmarkStart w:id="3" w:name="_Hlk51229874"/>
      <w:r w:rsidRPr="00E77F91">
        <w:rPr>
          <w:b/>
          <w:bCs/>
          <w:sz w:val="32"/>
          <w:szCs w:val="32"/>
        </w:rPr>
        <w:lastRenderedPageBreak/>
        <w:t xml:space="preserve">Siglas y </w:t>
      </w:r>
      <w:r w:rsidR="00E27391" w:rsidRPr="00E77F91">
        <w:rPr>
          <w:b/>
          <w:bCs/>
          <w:sz w:val="32"/>
          <w:szCs w:val="32"/>
        </w:rPr>
        <w:t>a</w:t>
      </w:r>
      <w:r w:rsidRPr="00E77F91">
        <w:rPr>
          <w:b/>
          <w:bCs/>
          <w:sz w:val="32"/>
          <w:szCs w:val="32"/>
        </w:rPr>
        <w:t>crónimos</w:t>
      </w:r>
      <w:bookmarkEnd w:id="2"/>
    </w:p>
    <w:tbl>
      <w:tblPr>
        <w:tblW w:w="9922" w:type="dxa"/>
        <w:tblLook w:val="04A0" w:firstRow="1" w:lastRow="0" w:firstColumn="1" w:lastColumn="0" w:noHBand="0" w:noVBand="1"/>
      </w:tblPr>
      <w:tblGrid>
        <w:gridCol w:w="1843"/>
        <w:gridCol w:w="8079"/>
      </w:tblGrid>
      <w:tr w:rsidR="000A4614" w:rsidRPr="00D652EE" w:rsidDel="008A1E67" w14:paraId="15D04AA8" w14:textId="77777777" w:rsidTr="000F3860">
        <w:tc>
          <w:tcPr>
            <w:tcW w:w="1843" w:type="dxa"/>
            <w:shd w:val="clear" w:color="auto" w:fill="auto"/>
          </w:tcPr>
          <w:bookmarkEnd w:id="3"/>
          <w:p w14:paraId="0708FBC1" w14:textId="77777777" w:rsidR="000A4614" w:rsidRPr="00C67650" w:rsidDel="008A1E67" w:rsidRDefault="000A4614" w:rsidP="00054D7B">
            <w:pPr>
              <w:spacing w:before="0" w:after="0"/>
              <w:rPr>
                <w:rFonts w:cstheme="minorHAnsi"/>
              </w:rPr>
            </w:pPr>
            <w:r w:rsidRPr="00C67650" w:rsidDel="008A1E67">
              <w:rPr>
                <w:rFonts w:cstheme="minorHAnsi"/>
              </w:rPr>
              <w:t>APF</w:t>
            </w:r>
          </w:p>
        </w:tc>
        <w:tc>
          <w:tcPr>
            <w:tcW w:w="8079" w:type="dxa"/>
            <w:shd w:val="clear" w:color="auto" w:fill="auto"/>
          </w:tcPr>
          <w:p w14:paraId="7EAEDFE5" w14:textId="77777777" w:rsidR="000A4614" w:rsidRPr="00C67650" w:rsidDel="008A1E67" w:rsidRDefault="000A4614" w:rsidP="000A4614">
            <w:pPr>
              <w:spacing w:before="0" w:after="0"/>
              <w:rPr>
                <w:rFonts w:cstheme="minorHAnsi"/>
              </w:rPr>
            </w:pPr>
            <w:r w:rsidRPr="00C67650" w:rsidDel="008A1E67">
              <w:rPr>
                <w:rFonts w:cstheme="minorHAnsi"/>
              </w:rPr>
              <w:t>Administración Pública Federal</w:t>
            </w:r>
          </w:p>
        </w:tc>
      </w:tr>
      <w:tr w:rsidR="000A4614" w:rsidRPr="00D652EE" w:rsidDel="008A1E67" w14:paraId="11F2791B" w14:textId="77777777" w:rsidTr="000F3860">
        <w:tc>
          <w:tcPr>
            <w:tcW w:w="1843" w:type="dxa"/>
            <w:shd w:val="clear" w:color="auto" w:fill="auto"/>
          </w:tcPr>
          <w:p w14:paraId="72CCC93F" w14:textId="77777777" w:rsidR="000A4614" w:rsidRPr="00C67650" w:rsidDel="008A1E67" w:rsidRDefault="000A4614" w:rsidP="00054D7B">
            <w:pPr>
              <w:spacing w:before="0" w:after="0"/>
              <w:rPr>
                <w:rFonts w:cstheme="minorHAnsi"/>
              </w:rPr>
            </w:pPr>
            <w:r w:rsidRPr="00C67650" w:rsidDel="008A1E67">
              <w:rPr>
                <w:rFonts w:cstheme="minorHAnsi"/>
              </w:rPr>
              <w:t>ASM</w:t>
            </w:r>
          </w:p>
        </w:tc>
        <w:tc>
          <w:tcPr>
            <w:tcW w:w="8079" w:type="dxa"/>
            <w:shd w:val="clear" w:color="auto" w:fill="auto"/>
          </w:tcPr>
          <w:p w14:paraId="35517B43" w14:textId="77777777" w:rsidR="000A4614" w:rsidRPr="00C67650" w:rsidDel="008A1E67" w:rsidRDefault="000A4614" w:rsidP="000A4614">
            <w:pPr>
              <w:spacing w:before="0" w:after="0"/>
              <w:rPr>
                <w:rFonts w:cstheme="minorHAnsi"/>
              </w:rPr>
            </w:pPr>
            <w:r w:rsidRPr="00C67650" w:rsidDel="008A1E67">
              <w:rPr>
                <w:rFonts w:cstheme="minorHAnsi"/>
              </w:rPr>
              <w:t>Aspectos Susceptibles de Mejora</w:t>
            </w:r>
          </w:p>
        </w:tc>
      </w:tr>
      <w:tr w:rsidR="000A4614" w:rsidRPr="00D652EE" w14:paraId="2E1304F0" w14:textId="77777777" w:rsidTr="000F3860">
        <w:tc>
          <w:tcPr>
            <w:tcW w:w="1843" w:type="dxa"/>
            <w:shd w:val="clear" w:color="auto" w:fill="auto"/>
          </w:tcPr>
          <w:p w14:paraId="1E1CCA64" w14:textId="77777777" w:rsidR="000A4614" w:rsidRPr="00C67650" w:rsidRDefault="000A4614" w:rsidP="00054D7B">
            <w:pPr>
              <w:spacing w:before="0" w:after="0"/>
              <w:rPr>
                <w:rFonts w:cstheme="minorHAnsi"/>
              </w:rPr>
            </w:pPr>
            <w:r w:rsidRPr="00C67650">
              <w:rPr>
                <w:rFonts w:cstheme="minorHAnsi"/>
              </w:rPr>
              <w:t>CEDSPI</w:t>
            </w:r>
          </w:p>
        </w:tc>
        <w:tc>
          <w:tcPr>
            <w:tcW w:w="8079" w:type="dxa"/>
            <w:shd w:val="clear" w:color="auto" w:fill="auto"/>
          </w:tcPr>
          <w:p w14:paraId="518D200A" w14:textId="77777777" w:rsidR="000A4614" w:rsidRPr="00C67650" w:rsidRDefault="000A4614" w:rsidP="000A4614">
            <w:pPr>
              <w:spacing w:before="0" w:after="0"/>
              <w:rPr>
                <w:rFonts w:cstheme="minorHAnsi"/>
              </w:rPr>
            </w:pPr>
            <w:r w:rsidRPr="00C67650">
              <w:rPr>
                <w:rFonts w:cstheme="minorHAnsi"/>
              </w:rPr>
              <w:t>Comisión Estatal para el Desarrollo Sostenible de los Pueblos Indígenas</w:t>
            </w:r>
          </w:p>
        </w:tc>
      </w:tr>
      <w:tr w:rsidR="000A4614" w:rsidRPr="00D652EE" w:rsidDel="008A1E67" w14:paraId="52C991FC" w14:textId="77777777" w:rsidTr="000F3860">
        <w:tc>
          <w:tcPr>
            <w:tcW w:w="1843" w:type="dxa"/>
            <w:shd w:val="clear" w:color="auto" w:fill="auto"/>
          </w:tcPr>
          <w:p w14:paraId="2AB134D8" w14:textId="77777777" w:rsidR="000A4614" w:rsidRPr="00C67650" w:rsidDel="008A1E67" w:rsidRDefault="000A4614" w:rsidP="00054D7B">
            <w:pPr>
              <w:spacing w:before="0" w:after="0"/>
              <w:rPr>
                <w:rFonts w:cstheme="minorHAnsi"/>
              </w:rPr>
            </w:pPr>
            <w:r w:rsidRPr="00C67650" w:rsidDel="008A1E67">
              <w:rPr>
                <w:rFonts w:cstheme="minorHAnsi"/>
              </w:rPr>
              <w:t>CONAPO</w:t>
            </w:r>
          </w:p>
        </w:tc>
        <w:tc>
          <w:tcPr>
            <w:tcW w:w="8079" w:type="dxa"/>
            <w:shd w:val="clear" w:color="auto" w:fill="auto"/>
          </w:tcPr>
          <w:p w14:paraId="6B450B26" w14:textId="77777777" w:rsidR="000A4614" w:rsidRPr="00C67650" w:rsidDel="008A1E67" w:rsidRDefault="000A4614" w:rsidP="000A4614">
            <w:pPr>
              <w:spacing w:before="0" w:after="0"/>
              <w:rPr>
                <w:rFonts w:cstheme="minorHAnsi"/>
              </w:rPr>
            </w:pPr>
            <w:r w:rsidRPr="00C67650" w:rsidDel="008A1E67">
              <w:rPr>
                <w:rFonts w:cstheme="minorHAnsi"/>
              </w:rPr>
              <w:t>Consejo Nacional de Población</w:t>
            </w:r>
          </w:p>
        </w:tc>
      </w:tr>
      <w:tr w:rsidR="000A4614" w:rsidRPr="00D652EE" w:rsidDel="008A1E67" w14:paraId="1BE9F696" w14:textId="77777777" w:rsidTr="000F3860">
        <w:tc>
          <w:tcPr>
            <w:tcW w:w="1843" w:type="dxa"/>
            <w:shd w:val="clear" w:color="auto" w:fill="auto"/>
          </w:tcPr>
          <w:p w14:paraId="19F26104" w14:textId="77777777" w:rsidR="000A4614" w:rsidRPr="00C67650" w:rsidDel="008A1E67" w:rsidRDefault="000A4614" w:rsidP="00054D7B">
            <w:pPr>
              <w:spacing w:before="0" w:after="0"/>
              <w:rPr>
                <w:rFonts w:cstheme="minorHAnsi"/>
              </w:rPr>
            </w:pPr>
            <w:r w:rsidRPr="00C67650" w:rsidDel="008A1E67">
              <w:rPr>
                <w:rFonts w:cstheme="minorHAnsi"/>
              </w:rPr>
              <w:t>CONEVAL</w:t>
            </w:r>
          </w:p>
        </w:tc>
        <w:tc>
          <w:tcPr>
            <w:tcW w:w="8079" w:type="dxa"/>
            <w:shd w:val="clear" w:color="auto" w:fill="auto"/>
          </w:tcPr>
          <w:p w14:paraId="0280A296" w14:textId="77777777" w:rsidR="000A4614" w:rsidRPr="00C67650" w:rsidDel="008A1E67" w:rsidRDefault="000A4614" w:rsidP="000A4614">
            <w:pPr>
              <w:spacing w:before="0" w:after="0"/>
              <w:rPr>
                <w:rFonts w:cstheme="minorHAnsi"/>
              </w:rPr>
            </w:pPr>
            <w:r w:rsidRPr="00C67650" w:rsidDel="008A1E67">
              <w:rPr>
                <w:rFonts w:cstheme="minorHAnsi"/>
              </w:rPr>
              <w:t>Consejo Nacional de Evaluación de la Política de Desarrollo Social</w:t>
            </w:r>
          </w:p>
        </w:tc>
      </w:tr>
      <w:tr w:rsidR="005471D5" w:rsidRPr="00D652EE" w:rsidDel="008A1E67" w14:paraId="1F60B38C" w14:textId="77777777" w:rsidTr="000F3860">
        <w:tc>
          <w:tcPr>
            <w:tcW w:w="1843" w:type="dxa"/>
            <w:shd w:val="clear" w:color="auto" w:fill="auto"/>
          </w:tcPr>
          <w:p w14:paraId="7AC152F4" w14:textId="5FBF5333" w:rsidR="005471D5" w:rsidRPr="00C67650" w:rsidDel="008A1E67" w:rsidRDefault="00A61F6B" w:rsidP="00054D7B">
            <w:pPr>
              <w:spacing w:before="0" w:after="0"/>
              <w:rPr>
                <w:rFonts w:cstheme="minorHAnsi"/>
              </w:rPr>
            </w:pPr>
            <w:r w:rsidRPr="00C67650">
              <w:rPr>
                <w:rFonts w:cstheme="minorHAnsi"/>
              </w:rPr>
              <w:t>COPLADEHI</w:t>
            </w:r>
          </w:p>
        </w:tc>
        <w:tc>
          <w:tcPr>
            <w:tcW w:w="8079" w:type="dxa"/>
            <w:shd w:val="clear" w:color="auto" w:fill="auto"/>
          </w:tcPr>
          <w:p w14:paraId="659850CD" w14:textId="593DFC1C" w:rsidR="005471D5" w:rsidRPr="00C67650" w:rsidDel="008A1E67" w:rsidRDefault="00A61F6B">
            <w:pPr>
              <w:spacing w:before="0" w:after="0"/>
              <w:rPr>
                <w:rFonts w:cstheme="minorHAnsi"/>
              </w:rPr>
            </w:pPr>
            <w:r w:rsidRPr="00C67650">
              <w:rPr>
                <w:rFonts w:cstheme="minorHAnsi"/>
              </w:rPr>
              <w:t xml:space="preserve">Comité de Planeación para el Desarrollo del Estado de Hidalgo </w:t>
            </w:r>
          </w:p>
        </w:tc>
      </w:tr>
      <w:tr w:rsidR="000A4614" w:rsidRPr="00D652EE" w:rsidDel="008A1E67" w14:paraId="6FAAECB2" w14:textId="77777777" w:rsidTr="000F3860">
        <w:tc>
          <w:tcPr>
            <w:tcW w:w="1843" w:type="dxa"/>
            <w:shd w:val="clear" w:color="auto" w:fill="auto"/>
          </w:tcPr>
          <w:p w14:paraId="79A5A4C5" w14:textId="77777777" w:rsidR="000A4614" w:rsidRPr="00C67650" w:rsidDel="008A1E67" w:rsidRDefault="000A4614" w:rsidP="00054D7B">
            <w:pPr>
              <w:spacing w:before="0" w:after="0"/>
              <w:rPr>
                <w:rFonts w:cstheme="minorHAnsi"/>
              </w:rPr>
            </w:pPr>
            <w:r w:rsidRPr="00C67650" w:rsidDel="008A1E67">
              <w:rPr>
                <w:rFonts w:cstheme="minorHAnsi"/>
              </w:rPr>
              <w:t>COPLADEM</w:t>
            </w:r>
          </w:p>
        </w:tc>
        <w:tc>
          <w:tcPr>
            <w:tcW w:w="8079" w:type="dxa"/>
            <w:shd w:val="clear" w:color="auto" w:fill="auto"/>
          </w:tcPr>
          <w:p w14:paraId="62AF06F6" w14:textId="77777777" w:rsidR="000A4614" w:rsidRPr="00C67650" w:rsidDel="008A1E67" w:rsidRDefault="000A4614" w:rsidP="000A4614">
            <w:pPr>
              <w:spacing w:before="0" w:after="0"/>
              <w:rPr>
                <w:rFonts w:cstheme="minorHAnsi"/>
              </w:rPr>
            </w:pPr>
            <w:r w:rsidRPr="00C67650" w:rsidDel="008A1E67">
              <w:rPr>
                <w:rFonts w:cstheme="minorHAnsi"/>
              </w:rPr>
              <w:t>Comités de Planeación para el Desarrollo Municipal</w:t>
            </w:r>
          </w:p>
        </w:tc>
      </w:tr>
      <w:tr w:rsidR="000A4614" w:rsidRPr="00D652EE" w:rsidDel="008A1E67" w14:paraId="381931A7" w14:textId="77777777" w:rsidTr="000F3860">
        <w:tc>
          <w:tcPr>
            <w:tcW w:w="1843" w:type="dxa"/>
            <w:shd w:val="clear" w:color="auto" w:fill="auto"/>
          </w:tcPr>
          <w:p w14:paraId="0B4766FF" w14:textId="77777777" w:rsidR="000A4614" w:rsidRPr="00C67650" w:rsidDel="008A1E67" w:rsidRDefault="000A4614" w:rsidP="00054D7B">
            <w:pPr>
              <w:spacing w:before="0" w:after="0"/>
              <w:rPr>
                <w:rFonts w:cstheme="minorHAnsi"/>
              </w:rPr>
            </w:pPr>
            <w:r w:rsidRPr="00C67650" w:rsidDel="008A1E67">
              <w:rPr>
                <w:rFonts w:cstheme="minorHAnsi"/>
              </w:rPr>
              <w:t>COPLADER</w:t>
            </w:r>
          </w:p>
        </w:tc>
        <w:tc>
          <w:tcPr>
            <w:tcW w:w="8079" w:type="dxa"/>
            <w:shd w:val="clear" w:color="auto" w:fill="auto"/>
          </w:tcPr>
          <w:p w14:paraId="4D4701B4" w14:textId="77777777" w:rsidR="000A4614" w:rsidRPr="00C67650" w:rsidDel="008A1E67" w:rsidRDefault="000A4614" w:rsidP="000A4614">
            <w:pPr>
              <w:spacing w:before="0" w:after="0"/>
              <w:rPr>
                <w:rFonts w:cstheme="minorHAnsi"/>
              </w:rPr>
            </w:pPr>
            <w:r w:rsidRPr="00C67650" w:rsidDel="008A1E67">
              <w:rPr>
                <w:rFonts w:cstheme="minorHAnsi"/>
              </w:rPr>
              <w:t>Comités de Planeación para el Desarrollo Regional</w:t>
            </w:r>
          </w:p>
        </w:tc>
      </w:tr>
      <w:tr w:rsidR="000A4614" w:rsidRPr="00D652EE" w:rsidDel="008A1E67" w14:paraId="5FA4389A" w14:textId="77777777" w:rsidTr="000F3860">
        <w:tc>
          <w:tcPr>
            <w:tcW w:w="1843" w:type="dxa"/>
            <w:shd w:val="clear" w:color="auto" w:fill="auto"/>
          </w:tcPr>
          <w:p w14:paraId="3992B6A6" w14:textId="77777777" w:rsidR="000A4614" w:rsidRPr="00C67650" w:rsidDel="008A1E67" w:rsidRDefault="000A4614" w:rsidP="00054D7B">
            <w:pPr>
              <w:spacing w:before="0" w:after="0"/>
              <w:rPr>
                <w:rFonts w:cstheme="minorHAnsi"/>
              </w:rPr>
            </w:pPr>
            <w:r w:rsidRPr="00C67650" w:rsidDel="008A1E67">
              <w:rPr>
                <w:rFonts w:cstheme="minorHAnsi"/>
              </w:rPr>
              <w:t>DC</w:t>
            </w:r>
          </w:p>
        </w:tc>
        <w:tc>
          <w:tcPr>
            <w:tcW w:w="8079" w:type="dxa"/>
            <w:shd w:val="clear" w:color="auto" w:fill="auto"/>
          </w:tcPr>
          <w:p w14:paraId="4C75D61F" w14:textId="77777777" w:rsidR="000A4614" w:rsidRPr="00C67650" w:rsidDel="008A1E67" w:rsidRDefault="000A4614" w:rsidP="000A4614">
            <w:pPr>
              <w:spacing w:before="0" w:after="0"/>
              <w:rPr>
                <w:rFonts w:cstheme="minorHAnsi"/>
              </w:rPr>
            </w:pPr>
            <w:r w:rsidRPr="00C67650" w:rsidDel="008A1E67">
              <w:rPr>
                <w:rFonts w:cstheme="minorHAnsi"/>
              </w:rPr>
              <w:t>Dirección de contabilidad</w:t>
            </w:r>
          </w:p>
        </w:tc>
      </w:tr>
      <w:tr w:rsidR="005471D5" w:rsidRPr="00D652EE" w:rsidDel="008A1E67" w14:paraId="6E7F1BFE" w14:textId="77777777" w:rsidTr="000F3860">
        <w:tc>
          <w:tcPr>
            <w:tcW w:w="1843" w:type="dxa"/>
            <w:shd w:val="clear" w:color="auto" w:fill="auto"/>
          </w:tcPr>
          <w:p w14:paraId="1889BA54" w14:textId="3230EDA1" w:rsidR="005471D5" w:rsidRPr="00C67650" w:rsidDel="008A1E67" w:rsidRDefault="005471D5" w:rsidP="005471D5">
            <w:pPr>
              <w:spacing w:before="0" w:after="0"/>
              <w:rPr>
                <w:rFonts w:cstheme="minorHAnsi"/>
              </w:rPr>
            </w:pPr>
            <w:r w:rsidRPr="00C67650">
              <w:rPr>
                <w:rFonts w:cstheme="minorHAnsi"/>
              </w:rPr>
              <w:t>DGAIH-SEDAGRO</w:t>
            </w:r>
          </w:p>
        </w:tc>
        <w:tc>
          <w:tcPr>
            <w:tcW w:w="8079" w:type="dxa"/>
            <w:shd w:val="clear" w:color="auto" w:fill="auto"/>
          </w:tcPr>
          <w:p w14:paraId="76BDE820" w14:textId="416CCDD2" w:rsidR="005471D5" w:rsidRPr="00C67650" w:rsidDel="008A1E67" w:rsidRDefault="005471D5" w:rsidP="005471D5">
            <w:pPr>
              <w:spacing w:before="0" w:after="0"/>
              <w:rPr>
                <w:rFonts w:cstheme="minorHAnsi"/>
              </w:rPr>
            </w:pPr>
            <w:r w:rsidRPr="00C67650">
              <w:rPr>
                <w:rFonts w:cstheme="minorHAnsi"/>
              </w:rPr>
              <w:t>Dirección General de Agricultura e Infraestructura Hidroagrícola</w:t>
            </w:r>
            <w:r w:rsidR="00DE3ADD">
              <w:rPr>
                <w:rFonts w:cstheme="minorHAnsi"/>
              </w:rPr>
              <w:t xml:space="preserve"> de la Secretaría de Desarrollo Agropecuario</w:t>
            </w:r>
          </w:p>
        </w:tc>
      </w:tr>
      <w:tr w:rsidR="000A4614" w:rsidRPr="00D652EE" w:rsidDel="008A1E67" w14:paraId="52A9F0F1" w14:textId="77777777" w:rsidTr="000F3860">
        <w:tc>
          <w:tcPr>
            <w:tcW w:w="1843" w:type="dxa"/>
            <w:shd w:val="clear" w:color="auto" w:fill="auto"/>
          </w:tcPr>
          <w:p w14:paraId="3A1C67E1" w14:textId="60E02EBE" w:rsidR="000A4614" w:rsidRPr="00C67650" w:rsidDel="008A1E67" w:rsidRDefault="005471D5" w:rsidP="00054D7B">
            <w:pPr>
              <w:spacing w:before="0" w:after="0"/>
              <w:rPr>
                <w:rFonts w:cstheme="minorHAnsi"/>
              </w:rPr>
            </w:pPr>
            <w:r w:rsidRPr="00C67650">
              <w:rPr>
                <w:rFonts w:cstheme="minorHAnsi"/>
              </w:rPr>
              <w:t>DGPy</w:t>
            </w:r>
            <w:r w:rsidR="000A4614" w:rsidRPr="00C67650" w:rsidDel="008A1E67">
              <w:rPr>
                <w:rFonts w:cstheme="minorHAnsi"/>
              </w:rPr>
              <w:t>P “A”</w:t>
            </w:r>
          </w:p>
        </w:tc>
        <w:tc>
          <w:tcPr>
            <w:tcW w:w="8079" w:type="dxa"/>
            <w:shd w:val="clear" w:color="auto" w:fill="auto"/>
          </w:tcPr>
          <w:p w14:paraId="6EC9E6D8" w14:textId="77777777" w:rsidR="000A4614" w:rsidRPr="00C67650" w:rsidDel="008A1E67" w:rsidRDefault="000A4614" w:rsidP="000A4614">
            <w:pPr>
              <w:spacing w:before="0" w:after="0"/>
              <w:rPr>
                <w:rFonts w:cstheme="minorHAnsi"/>
              </w:rPr>
            </w:pPr>
            <w:r w:rsidRPr="00C67650" w:rsidDel="008A1E67">
              <w:rPr>
                <w:rFonts w:cstheme="minorHAnsi"/>
              </w:rPr>
              <w:t>Dirección General de Programación y Presupuesto “A” de la SHCP</w:t>
            </w:r>
          </w:p>
        </w:tc>
      </w:tr>
      <w:tr w:rsidR="000A4614" w:rsidRPr="00D652EE" w:rsidDel="008A1E67" w14:paraId="12271685" w14:textId="77777777" w:rsidTr="000F3860">
        <w:tc>
          <w:tcPr>
            <w:tcW w:w="1843" w:type="dxa"/>
            <w:shd w:val="clear" w:color="auto" w:fill="auto"/>
          </w:tcPr>
          <w:p w14:paraId="5C8D2CC9" w14:textId="77777777" w:rsidR="000A4614" w:rsidRPr="00C67650" w:rsidDel="008A1E67" w:rsidRDefault="000A4614" w:rsidP="00054D7B">
            <w:pPr>
              <w:spacing w:before="0" w:after="0"/>
              <w:rPr>
                <w:rFonts w:cstheme="minorHAnsi"/>
              </w:rPr>
            </w:pPr>
            <w:r w:rsidRPr="00C67650" w:rsidDel="008A1E67">
              <w:rPr>
                <w:rFonts w:cstheme="minorHAnsi"/>
              </w:rPr>
              <w:t>DOF</w:t>
            </w:r>
          </w:p>
        </w:tc>
        <w:tc>
          <w:tcPr>
            <w:tcW w:w="8079" w:type="dxa"/>
            <w:shd w:val="clear" w:color="auto" w:fill="auto"/>
          </w:tcPr>
          <w:p w14:paraId="2EFBEFB1" w14:textId="77777777" w:rsidR="000A4614" w:rsidRPr="00C67650" w:rsidDel="008A1E67" w:rsidRDefault="000A4614" w:rsidP="000A4614">
            <w:pPr>
              <w:spacing w:before="0" w:after="0"/>
              <w:rPr>
                <w:rFonts w:cstheme="minorHAnsi"/>
              </w:rPr>
            </w:pPr>
            <w:r w:rsidRPr="00C67650" w:rsidDel="008A1E67">
              <w:rPr>
                <w:rFonts w:cstheme="minorHAnsi"/>
              </w:rPr>
              <w:t>Diario Oficial de la Federación</w:t>
            </w:r>
          </w:p>
        </w:tc>
      </w:tr>
      <w:tr w:rsidR="000A4614" w:rsidRPr="00D652EE" w:rsidDel="008A1E67" w14:paraId="3BB1ADD9" w14:textId="77777777" w:rsidTr="000F3860">
        <w:tc>
          <w:tcPr>
            <w:tcW w:w="1843" w:type="dxa"/>
            <w:shd w:val="clear" w:color="auto" w:fill="auto"/>
          </w:tcPr>
          <w:p w14:paraId="0097AF28" w14:textId="77777777" w:rsidR="000A4614" w:rsidRPr="00C67650" w:rsidDel="008A1E67" w:rsidRDefault="000A4614" w:rsidP="00054D7B">
            <w:pPr>
              <w:spacing w:before="0" w:after="0"/>
              <w:rPr>
                <w:rFonts w:cstheme="minorHAnsi"/>
              </w:rPr>
            </w:pPr>
            <w:r w:rsidRPr="00C67650" w:rsidDel="008A1E67">
              <w:rPr>
                <w:rFonts w:cstheme="minorHAnsi"/>
              </w:rPr>
              <w:t>DPCH</w:t>
            </w:r>
          </w:p>
        </w:tc>
        <w:tc>
          <w:tcPr>
            <w:tcW w:w="8079" w:type="dxa"/>
            <w:shd w:val="clear" w:color="auto" w:fill="auto"/>
          </w:tcPr>
          <w:p w14:paraId="562745E8" w14:textId="77777777" w:rsidR="000A4614" w:rsidRPr="00C67650" w:rsidDel="008A1E67" w:rsidRDefault="000A4614" w:rsidP="000A4614">
            <w:pPr>
              <w:spacing w:before="0" w:after="0"/>
              <w:rPr>
                <w:rFonts w:cstheme="minorHAnsi"/>
              </w:rPr>
            </w:pPr>
            <w:r w:rsidRPr="00C67650" w:rsidDel="008A1E67">
              <w:rPr>
                <w:rFonts w:cstheme="minorHAnsi"/>
              </w:rPr>
              <w:t>Dirección de Planeación y Control Hacendario</w:t>
            </w:r>
          </w:p>
        </w:tc>
      </w:tr>
      <w:tr w:rsidR="000A4614" w:rsidRPr="00D652EE" w:rsidDel="008A1E67" w14:paraId="4C06D508" w14:textId="77777777" w:rsidTr="000F3860">
        <w:tc>
          <w:tcPr>
            <w:tcW w:w="1843" w:type="dxa"/>
            <w:shd w:val="clear" w:color="auto" w:fill="auto"/>
          </w:tcPr>
          <w:p w14:paraId="2A673799" w14:textId="77777777" w:rsidR="000A4614" w:rsidRPr="00C67650" w:rsidDel="008A1E67" w:rsidRDefault="000A4614" w:rsidP="00054D7B">
            <w:pPr>
              <w:spacing w:before="0" w:after="0"/>
              <w:rPr>
                <w:rFonts w:cstheme="minorHAnsi"/>
              </w:rPr>
            </w:pPr>
            <w:r w:rsidRPr="00C67650" w:rsidDel="008A1E67">
              <w:rPr>
                <w:rFonts w:cstheme="minorHAnsi"/>
              </w:rPr>
              <w:t>DPE</w:t>
            </w:r>
          </w:p>
        </w:tc>
        <w:tc>
          <w:tcPr>
            <w:tcW w:w="8079" w:type="dxa"/>
            <w:shd w:val="clear" w:color="auto" w:fill="auto"/>
          </w:tcPr>
          <w:p w14:paraId="54CCB349" w14:textId="77777777" w:rsidR="000A4614" w:rsidRPr="00C67650" w:rsidDel="008A1E67" w:rsidRDefault="000A4614" w:rsidP="000A4614">
            <w:pPr>
              <w:spacing w:before="0" w:after="0"/>
              <w:rPr>
                <w:rFonts w:cstheme="minorHAnsi"/>
              </w:rPr>
            </w:pPr>
            <w:r w:rsidRPr="00C67650" w:rsidDel="008A1E67">
              <w:rPr>
                <w:rFonts w:cstheme="minorHAnsi"/>
              </w:rPr>
              <w:t>Dirección de Planeación Estratégica</w:t>
            </w:r>
          </w:p>
        </w:tc>
      </w:tr>
      <w:tr w:rsidR="000A4614" w:rsidRPr="00D652EE" w:rsidDel="008A1E67" w14:paraId="264E8C56" w14:textId="77777777" w:rsidTr="000F3860">
        <w:tc>
          <w:tcPr>
            <w:tcW w:w="1843" w:type="dxa"/>
            <w:shd w:val="clear" w:color="auto" w:fill="auto"/>
          </w:tcPr>
          <w:p w14:paraId="3D2761C2" w14:textId="77777777" w:rsidR="000A4614" w:rsidRPr="00C67650" w:rsidDel="008A1E67" w:rsidRDefault="000A4614" w:rsidP="00054D7B">
            <w:pPr>
              <w:spacing w:before="0" w:after="0"/>
              <w:rPr>
                <w:rFonts w:cstheme="minorHAnsi"/>
              </w:rPr>
            </w:pPr>
            <w:r w:rsidRPr="00C67650" w:rsidDel="008A1E67">
              <w:rPr>
                <w:rFonts w:cstheme="minorHAnsi"/>
              </w:rPr>
              <w:t>DUI</w:t>
            </w:r>
          </w:p>
        </w:tc>
        <w:tc>
          <w:tcPr>
            <w:tcW w:w="8079" w:type="dxa"/>
            <w:shd w:val="clear" w:color="auto" w:fill="auto"/>
          </w:tcPr>
          <w:p w14:paraId="2ADE1EC1" w14:textId="77777777" w:rsidR="000A4614" w:rsidRPr="00C67650" w:rsidDel="008A1E67" w:rsidRDefault="000A4614" w:rsidP="000A4614">
            <w:pPr>
              <w:spacing w:before="0" w:after="0"/>
              <w:rPr>
                <w:rFonts w:cstheme="minorHAnsi"/>
              </w:rPr>
            </w:pPr>
            <w:r w:rsidRPr="00C67650" w:rsidDel="008A1E67">
              <w:rPr>
                <w:rFonts w:cstheme="minorHAnsi"/>
              </w:rPr>
              <w:t>Dirección de la Unidad de Inversión</w:t>
            </w:r>
          </w:p>
        </w:tc>
      </w:tr>
      <w:tr w:rsidR="000A4614" w:rsidRPr="00D652EE" w:rsidDel="008A1E67" w14:paraId="465D01CC" w14:textId="77777777" w:rsidTr="000F3860">
        <w:tc>
          <w:tcPr>
            <w:tcW w:w="1843" w:type="dxa"/>
            <w:shd w:val="clear" w:color="auto" w:fill="auto"/>
          </w:tcPr>
          <w:p w14:paraId="2E6A77E4" w14:textId="77777777" w:rsidR="000A4614" w:rsidRPr="00C67650" w:rsidDel="008A1E67" w:rsidRDefault="000A4614" w:rsidP="00054D7B">
            <w:pPr>
              <w:spacing w:before="0" w:after="0"/>
              <w:rPr>
                <w:rFonts w:cstheme="minorHAnsi"/>
              </w:rPr>
            </w:pPr>
            <w:r w:rsidRPr="00C67650" w:rsidDel="008A1E67">
              <w:rPr>
                <w:rFonts w:cstheme="minorHAnsi"/>
              </w:rPr>
              <w:t>FAETA</w:t>
            </w:r>
          </w:p>
        </w:tc>
        <w:tc>
          <w:tcPr>
            <w:tcW w:w="8079" w:type="dxa"/>
            <w:shd w:val="clear" w:color="auto" w:fill="auto"/>
          </w:tcPr>
          <w:p w14:paraId="45862598" w14:textId="77777777" w:rsidR="000A4614" w:rsidRPr="00C67650" w:rsidDel="008A1E67" w:rsidRDefault="000A4614" w:rsidP="000A4614">
            <w:pPr>
              <w:spacing w:before="0" w:after="0"/>
              <w:rPr>
                <w:rFonts w:cstheme="minorHAnsi"/>
              </w:rPr>
            </w:pPr>
            <w:r w:rsidRPr="00C67650" w:rsidDel="008A1E67">
              <w:rPr>
                <w:rFonts w:cstheme="minorHAnsi"/>
              </w:rPr>
              <w:t>Fondo de Aportaciones para Educación Tecnológica y de Adultos</w:t>
            </w:r>
          </w:p>
        </w:tc>
      </w:tr>
      <w:tr w:rsidR="000A4614" w:rsidRPr="00D652EE" w:rsidDel="008A1E67" w14:paraId="36C751E5" w14:textId="77777777" w:rsidTr="000F3860">
        <w:tc>
          <w:tcPr>
            <w:tcW w:w="1843" w:type="dxa"/>
            <w:shd w:val="clear" w:color="auto" w:fill="auto"/>
          </w:tcPr>
          <w:p w14:paraId="791AD72E" w14:textId="77777777" w:rsidR="000A4614" w:rsidRPr="00C67650" w:rsidDel="008A1E67" w:rsidRDefault="000A4614" w:rsidP="00054D7B">
            <w:pPr>
              <w:spacing w:before="0" w:after="0"/>
              <w:rPr>
                <w:rFonts w:cstheme="minorHAnsi"/>
              </w:rPr>
            </w:pPr>
            <w:r w:rsidRPr="00C67650" w:rsidDel="008A1E67">
              <w:rPr>
                <w:rFonts w:cstheme="minorHAnsi"/>
              </w:rPr>
              <w:t>FAF</w:t>
            </w:r>
          </w:p>
        </w:tc>
        <w:tc>
          <w:tcPr>
            <w:tcW w:w="8079" w:type="dxa"/>
            <w:shd w:val="clear" w:color="auto" w:fill="auto"/>
          </w:tcPr>
          <w:p w14:paraId="15BE0B61" w14:textId="77777777" w:rsidR="000A4614" w:rsidRPr="00C67650" w:rsidDel="008A1E67" w:rsidRDefault="000A4614" w:rsidP="000A4614">
            <w:pPr>
              <w:spacing w:before="0" w:after="0"/>
              <w:rPr>
                <w:rFonts w:cstheme="minorHAnsi"/>
              </w:rPr>
            </w:pPr>
            <w:r w:rsidRPr="00C67650" w:rsidDel="008A1E67">
              <w:rPr>
                <w:rFonts w:cstheme="minorHAnsi"/>
              </w:rPr>
              <w:t>Fondo de Aportaciones Federales</w:t>
            </w:r>
          </w:p>
        </w:tc>
      </w:tr>
      <w:tr w:rsidR="000A4614" w:rsidRPr="00D652EE" w:rsidDel="008A1E67" w14:paraId="2ACA1A32" w14:textId="77777777" w:rsidTr="000F3860">
        <w:tc>
          <w:tcPr>
            <w:tcW w:w="1843" w:type="dxa"/>
            <w:shd w:val="clear" w:color="auto" w:fill="auto"/>
          </w:tcPr>
          <w:p w14:paraId="179D86E0" w14:textId="77777777" w:rsidR="000A4614" w:rsidRPr="00C67650" w:rsidDel="008A1E67" w:rsidRDefault="000A4614" w:rsidP="00054D7B">
            <w:pPr>
              <w:spacing w:before="0" w:after="0"/>
              <w:rPr>
                <w:rFonts w:cstheme="minorHAnsi"/>
              </w:rPr>
            </w:pPr>
            <w:r w:rsidRPr="00C67650" w:rsidDel="008A1E67">
              <w:rPr>
                <w:rFonts w:cstheme="minorHAnsi"/>
              </w:rPr>
              <w:t>FAFEF</w:t>
            </w:r>
          </w:p>
        </w:tc>
        <w:tc>
          <w:tcPr>
            <w:tcW w:w="8079" w:type="dxa"/>
            <w:shd w:val="clear" w:color="auto" w:fill="auto"/>
          </w:tcPr>
          <w:p w14:paraId="114BFA32" w14:textId="77777777" w:rsidR="000A4614" w:rsidRPr="00C67650" w:rsidDel="008A1E67" w:rsidRDefault="000A4614" w:rsidP="000A4614">
            <w:pPr>
              <w:spacing w:before="0" w:after="0"/>
              <w:rPr>
                <w:rFonts w:cstheme="minorHAnsi"/>
              </w:rPr>
            </w:pPr>
            <w:r w:rsidRPr="00C67650" w:rsidDel="008A1E67">
              <w:rPr>
                <w:rFonts w:cstheme="minorHAnsi"/>
              </w:rPr>
              <w:t>Fondo de Aportaciones para el Fortalecimiento de las Entidades Federativas</w:t>
            </w:r>
          </w:p>
        </w:tc>
      </w:tr>
      <w:tr w:rsidR="000A4614" w:rsidRPr="00D652EE" w:rsidDel="008A1E67" w14:paraId="0FDDBAD7" w14:textId="77777777" w:rsidTr="000F3860">
        <w:tc>
          <w:tcPr>
            <w:tcW w:w="1843" w:type="dxa"/>
            <w:shd w:val="clear" w:color="auto" w:fill="auto"/>
          </w:tcPr>
          <w:p w14:paraId="265BB553" w14:textId="77777777" w:rsidR="000A4614" w:rsidRPr="00C67650" w:rsidDel="008A1E67" w:rsidRDefault="000A4614" w:rsidP="00054D7B">
            <w:pPr>
              <w:spacing w:before="0" w:after="0"/>
              <w:rPr>
                <w:rFonts w:cstheme="minorHAnsi"/>
              </w:rPr>
            </w:pPr>
            <w:r w:rsidRPr="00C67650" w:rsidDel="008A1E67">
              <w:rPr>
                <w:rFonts w:cstheme="minorHAnsi"/>
              </w:rPr>
              <w:t>FAIS</w:t>
            </w:r>
          </w:p>
        </w:tc>
        <w:tc>
          <w:tcPr>
            <w:tcW w:w="8079" w:type="dxa"/>
            <w:shd w:val="clear" w:color="auto" w:fill="auto"/>
          </w:tcPr>
          <w:p w14:paraId="2747FDBB" w14:textId="77777777" w:rsidR="000A4614" w:rsidRPr="00C67650" w:rsidDel="008A1E67" w:rsidRDefault="000A4614" w:rsidP="000A4614">
            <w:pPr>
              <w:spacing w:before="0" w:after="0"/>
              <w:rPr>
                <w:rFonts w:cstheme="minorHAnsi"/>
              </w:rPr>
            </w:pPr>
            <w:r w:rsidRPr="00C67650" w:rsidDel="008A1E67">
              <w:rPr>
                <w:rFonts w:cstheme="minorHAnsi"/>
              </w:rPr>
              <w:t>Fondo de Aportaciones para la Infraestructura Social</w:t>
            </w:r>
          </w:p>
        </w:tc>
      </w:tr>
      <w:tr w:rsidR="000A4614" w:rsidRPr="00D652EE" w:rsidDel="008A1E67" w14:paraId="481C91C1" w14:textId="77777777" w:rsidTr="000F3860">
        <w:tc>
          <w:tcPr>
            <w:tcW w:w="1843" w:type="dxa"/>
            <w:shd w:val="clear" w:color="auto" w:fill="auto"/>
          </w:tcPr>
          <w:p w14:paraId="48557DA8" w14:textId="77777777" w:rsidR="000A4614" w:rsidRPr="00C67650" w:rsidDel="008A1E67" w:rsidRDefault="000A4614" w:rsidP="00054D7B">
            <w:pPr>
              <w:spacing w:before="0" w:after="0"/>
              <w:rPr>
                <w:rFonts w:cstheme="minorHAnsi"/>
              </w:rPr>
            </w:pPr>
            <w:r w:rsidRPr="00C67650" w:rsidDel="008A1E67">
              <w:rPr>
                <w:rFonts w:cstheme="minorHAnsi"/>
              </w:rPr>
              <w:t>FAM</w:t>
            </w:r>
          </w:p>
        </w:tc>
        <w:tc>
          <w:tcPr>
            <w:tcW w:w="8079" w:type="dxa"/>
            <w:shd w:val="clear" w:color="auto" w:fill="auto"/>
          </w:tcPr>
          <w:p w14:paraId="12C26EAD" w14:textId="77777777" w:rsidR="000A4614" w:rsidRPr="00C67650" w:rsidDel="008A1E67" w:rsidRDefault="000A4614" w:rsidP="000A4614">
            <w:pPr>
              <w:spacing w:before="0" w:after="0"/>
              <w:rPr>
                <w:rFonts w:cstheme="minorHAnsi"/>
              </w:rPr>
            </w:pPr>
            <w:r w:rsidRPr="00C67650" w:rsidDel="008A1E67">
              <w:rPr>
                <w:rFonts w:cstheme="minorHAnsi"/>
              </w:rPr>
              <w:t>Fondo de Aportaciones Múltiples</w:t>
            </w:r>
          </w:p>
        </w:tc>
      </w:tr>
      <w:tr w:rsidR="000A4614" w:rsidRPr="00D652EE" w:rsidDel="008A1E67" w14:paraId="1566E6DB" w14:textId="77777777" w:rsidTr="000F3860">
        <w:tc>
          <w:tcPr>
            <w:tcW w:w="1843" w:type="dxa"/>
            <w:shd w:val="clear" w:color="auto" w:fill="auto"/>
          </w:tcPr>
          <w:p w14:paraId="0B1067B7" w14:textId="77777777" w:rsidR="000A4614" w:rsidRPr="00C67650" w:rsidDel="008A1E67" w:rsidRDefault="000A4614" w:rsidP="00054D7B">
            <w:pPr>
              <w:spacing w:before="0" w:after="0"/>
              <w:rPr>
                <w:rFonts w:cstheme="minorHAnsi"/>
              </w:rPr>
            </w:pPr>
            <w:r w:rsidRPr="00C67650" w:rsidDel="008A1E67">
              <w:rPr>
                <w:rFonts w:cstheme="minorHAnsi"/>
              </w:rPr>
              <w:t>FASP</w:t>
            </w:r>
          </w:p>
        </w:tc>
        <w:tc>
          <w:tcPr>
            <w:tcW w:w="8079" w:type="dxa"/>
            <w:shd w:val="clear" w:color="auto" w:fill="auto"/>
          </w:tcPr>
          <w:p w14:paraId="0F679FB7" w14:textId="77777777" w:rsidR="000A4614" w:rsidRPr="00C67650" w:rsidDel="008A1E67" w:rsidRDefault="000A4614" w:rsidP="000A4614">
            <w:pPr>
              <w:spacing w:before="0" w:after="0"/>
              <w:rPr>
                <w:rFonts w:cstheme="minorHAnsi"/>
              </w:rPr>
            </w:pPr>
            <w:r w:rsidRPr="00C67650" w:rsidDel="008A1E67">
              <w:rPr>
                <w:rFonts w:cstheme="minorHAnsi"/>
              </w:rPr>
              <w:t>Fondo de Aportaciones para la Seguridad Pública</w:t>
            </w:r>
          </w:p>
        </w:tc>
      </w:tr>
      <w:tr w:rsidR="000A4614" w:rsidRPr="00D652EE" w:rsidDel="008A1E67" w14:paraId="59EE5CEE" w14:textId="77777777" w:rsidTr="000F3860">
        <w:tc>
          <w:tcPr>
            <w:tcW w:w="1843" w:type="dxa"/>
            <w:shd w:val="clear" w:color="auto" w:fill="auto"/>
          </w:tcPr>
          <w:p w14:paraId="27B31BF4" w14:textId="77777777" w:rsidR="000A4614" w:rsidRPr="00C67650" w:rsidDel="008A1E67" w:rsidRDefault="000A4614" w:rsidP="00054D7B">
            <w:pPr>
              <w:spacing w:before="0" w:after="0"/>
              <w:rPr>
                <w:rFonts w:cstheme="minorHAnsi"/>
              </w:rPr>
            </w:pPr>
            <w:r w:rsidRPr="00C67650" w:rsidDel="008A1E67">
              <w:rPr>
                <w:rFonts w:cstheme="minorHAnsi"/>
              </w:rPr>
              <w:t>FASSA</w:t>
            </w:r>
          </w:p>
        </w:tc>
        <w:tc>
          <w:tcPr>
            <w:tcW w:w="8079" w:type="dxa"/>
            <w:shd w:val="clear" w:color="auto" w:fill="auto"/>
          </w:tcPr>
          <w:p w14:paraId="1D44228E" w14:textId="77777777" w:rsidR="000A4614" w:rsidRPr="00C67650" w:rsidDel="008A1E67" w:rsidRDefault="000A4614" w:rsidP="000A4614">
            <w:pPr>
              <w:spacing w:before="0" w:after="0"/>
              <w:rPr>
                <w:rFonts w:cstheme="minorHAnsi"/>
              </w:rPr>
            </w:pPr>
            <w:r w:rsidRPr="00C67650" w:rsidDel="008A1E67">
              <w:rPr>
                <w:rFonts w:cstheme="minorHAnsi"/>
              </w:rPr>
              <w:t>Fondo de Aportaciones para los Servicios de Salud</w:t>
            </w:r>
          </w:p>
        </w:tc>
      </w:tr>
      <w:tr w:rsidR="000A4614" w:rsidRPr="00D652EE" w14:paraId="00C64A35" w14:textId="77777777" w:rsidTr="000F3860">
        <w:tc>
          <w:tcPr>
            <w:tcW w:w="1843" w:type="dxa"/>
            <w:shd w:val="clear" w:color="auto" w:fill="auto"/>
          </w:tcPr>
          <w:p w14:paraId="286FEAE8" w14:textId="77777777" w:rsidR="000A4614" w:rsidRPr="00C67650" w:rsidRDefault="000A4614" w:rsidP="00054D7B">
            <w:pPr>
              <w:spacing w:before="0" w:after="0"/>
              <w:rPr>
                <w:rFonts w:cstheme="minorHAnsi"/>
              </w:rPr>
            </w:pPr>
            <w:r w:rsidRPr="00C67650">
              <w:rPr>
                <w:rFonts w:cstheme="minorHAnsi"/>
              </w:rPr>
              <w:t>FID</w:t>
            </w:r>
          </w:p>
        </w:tc>
        <w:tc>
          <w:tcPr>
            <w:tcW w:w="8079" w:type="dxa"/>
            <w:shd w:val="clear" w:color="auto" w:fill="auto"/>
          </w:tcPr>
          <w:p w14:paraId="689394F4" w14:textId="77777777" w:rsidR="000A4614" w:rsidRPr="00C67650" w:rsidRDefault="000A4614" w:rsidP="000A4614">
            <w:pPr>
              <w:spacing w:before="0" w:after="0"/>
              <w:rPr>
                <w:rFonts w:cstheme="minorHAnsi"/>
              </w:rPr>
            </w:pPr>
            <w:r w:rsidRPr="00C67650">
              <w:rPr>
                <w:rFonts w:cstheme="minorHAnsi"/>
              </w:rPr>
              <w:t>Fichas de Indicadores de Desempeño</w:t>
            </w:r>
          </w:p>
        </w:tc>
      </w:tr>
      <w:tr w:rsidR="000A4614" w:rsidRPr="00D652EE" w14:paraId="0609327E" w14:textId="77777777" w:rsidTr="000F3860">
        <w:tc>
          <w:tcPr>
            <w:tcW w:w="1843" w:type="dxa"/>
            <w:shd w:val="clear" w:color="auto" w:fill="auto"/>
          </w:tcPr>
          <w:p w14:paraId="52198681" w14:textId="77777777" w:rsidR="000A4614" w:rsidRPr="00C67650" w:rsidRDefault="000A4614" w:rsidP="00054D7B">
            <w:pPr>
              <w:spacing w:before="0" w:after="0"/>
              <w:rPr>
                <w:rFonts w:cstheme="minorHAnsi"/>
              </w:rPr>
            </w:pPr>
            <w:r w:rsidRPr="00C67650">
              <w:rPr>
                <w:rFonts w:cstheme="minorHAnsi"/>
              </w:rPr>
              <w:t>FIDEFAF</w:t>
            </w:r>
          </w:p>
        </w:tc>
        <w:tc>
          <w:tcPr>
            <w:tcW w:w="8079" w:type="dxa"/>
            <w:shd w:val="clear" w:color="auto" w:fill="auto"/>
          </w:tcPr>
          <w:p w14:paraId="3849E5FF" w14:textId="77777777" w:rsidR="000A4614" w:rsidRPr="00C67650" w:rsidRDefault="000A4614" w:rsidP="000A4614">
            <w:pPr>
              <w:spacing w:before="0" w:after="0"/>
              <w:rPr>
                <w:rFonts w:cstheme="minorHAnsi"/>
              </w:rPr>
            </w:pPr>
            <w:r w:rsidRPr="00C67650">
              <w:rPr>
                <w:rFonts w:cstheme="minorHAnsi"/>
              </w:rPr>
              <w:t>Fideicomiso para la Evaluación de los Fondos de Aportaciones Federales</w:t>
            </w:r>
          </w:p>
        </w:tc>
      </w:tr>
      <w:tr w:rsidR="000A4614" w:rsidRPr="00D652EE" w14:paraId="4B722A6E" w14:textId="77777777" w:rsidTr="000F3860">
        <w:tc>
          <w:tcPr>
            <w:tcW w:w="1843" w:type="dxa"/>
            <w:shd w:val="clear" w:color="auto" w:fill="auto"/>
          </w:tcPr>
          <w:p w14:paraId="29E2D0DC" w14:textId="77777777" w:rsidR="000A4614" w:rsidRPr="00C67650" w:rsidRDefault="000A4614" w:rsidP="00054D7B">
            <w:pPr>
              <w:spacing w:before="0" w:after="0"/>
              <w:rPr>
                <w:rFonts w:cstheme="minorHAnsi"/>
              </w:rPr>
            </w:pPr>
            <w:r w:rsidRPr="00C67650">
              <w:rPr>
                <w:rFonts w:cstheme="minorHAnsi"/>
              </w:rPr>
              <w:t>FISMDF</w:t>
            </w:r>
          </w:p>
        </w:tc>
        <w:tc>
          <w:tcPr>
            <w:tcW w:w="8079" w:type="dxa"/>
            <w:shd w:val="clear" w:color="auto" w:fill="auto"/>
          </w:tcPr>
          <w:p w14:paraId="7D734D87" w14:textId="77777777" w:rsidR="000A4614" w:rsidRPr="00C67650" w:rsidRDefault="000A4614" w:rsidP="00054D7B">
            <w:pPr>
              <w:spacing w:before="0" w:after="0"/>
              <w:rPr>
                <w:rFonts w:cstheme="minorHAnsi"/>
              </w:rPr>
            </w:pPr>
            <w:r w:rsidRPr="00C67650">
              <w:rPr>
                <w:rFonts w:cstheme="minorHAnsi"/>
              </w:rPr>
              <w:t>Fondo de Aportaciones para la Infraestructura Social Municipal y de las Demarcaciones Territoriales del Distrito Federal</w:t>
            </w:r>
          </w:p>
        </w:tc>
      </w:tr>
      <w:tr w:rsidR="000A4614" w:rsidRPr="00D652EE" w:rsidDel="008A1E67" w14:paraId="5C196E6B" w14:textId="77777777" w:rsidTr="000F3860">
        <w:tc>
          <w:tcPr>
            <w:tcW w:w="1843" w:type="dxa"/>
            <w:shd w:val="clear" w:color="auto" w:fill="auto"/>
          </w:tcPr>
          <w:p w14:paraId="75D2977F" w14:textId="77777777" w:rsidR="000A4614" w:rsidRPr="00C67650" w:rsidDel="008A1E67" w:rsidRDefault="000A4614" w:rsidP="00054D7B">
            <w:pPr>
              <w:spacing w:before="0" w:after="0"/>
              <w:rPr>
                <w:rFonts w:cstheme="minorHAnsi"/>
              </w:rPr>
            </w:pPr>
            <w:r w:rsidRPr="00C67650" w:rsidDel="008A1E67">
              <w:rPr>
                <w:rFonts w:cstheme="minorHAnsi"/>
              </w:rPr>
              <w:t>FODA</w:t>
            </w:r>
          </w:p>
        </w:tc>
        <w:tc>
          <w:tcPr>
            <w:tcW w:w="8079" w:type="dxa"/>
            <w:shd w:val="clear" w:color="auto" w:fill="auto"/>
          </w:tcPr>
          <w:p w14:paraId="2B0AE5AA" w14:textId="77777777" w:rsidR="000A4614" w:rsidRPr="00C67650" w:rsidDel="008A1E67" w:rsidRDefault="000A4614" w:rsidP="000A4614">
            <w:pPr>
              <w:spacing w:before="0" w:after="0"/>
              <w:rPr>
                <w:rFonts w:cstheme="minorHAnsi"/>
              </w:rPr>
            </w:pPr>
            <w:r w:rsidRPr="00C67650" w:rsidDel="008A1E67">
              <w:rPr>
                <w:rFonts w:cstheme="minorHAnsi"/>
              </w:rPr>
              <w:t>Fortalezas, Oportunidades, Debilidades, Amenazas</w:t>
            </w:r>
          </w:p>
        </w:tc>
      </w:tr>
      <w:tr w:rsidR="000A4614" w:rsidRPr="00D652EE" w:rsidDel="008A1E67" w14:paraId="38229E92" w14:textId="77777777" w:rsidTr="000F3860">
        <w:tc>
          <w:tcPr>
            <w:tcW w:w="1843" w:type="dxa"/>
            <w:shd w:val="clear" w:color="auto" w:fill="auto"/>
          </w:tcPr>
          <w:p w14:paraId="56ADD989" w14:textId="77777777" w:rsidR="000A4614" w:rsidRPr="00C67650" w:rsidDel="008A1E67" w:rsidRDefault="000A4614" w:rsidP="00054D7B">
            <w:pPr>
              <w:spacing w:before="0" w:after="0"/>
              <w:rPr>
                <w:rFonts w:cstheme="minorHAnsi"/>
              </w:rPr>
            </w:pPr>
            <w:r w:rsidRPr="00C67650" w:rsidDel="008A1E67">
              <w:rPr>
                <w:rFonts w:cstheme="minorHAnsi"/>
              </w:rPr>
              <w:t>FONE</w:t>
            </w:r>
          </w:p>
        </w:tc>
        <w:tc>
          <w:tcPr>
            <w:tcW w:w="8079" w:type="dxa"/>
            <w:shd w:val="clear" w:color="auto" w:fill="auto"/>
          </w:tcPr>
          <w:p w14:paraId="667F2E5D" w14:textId="77777777" w:rsidR="000A4614" w:rsidRPr="00C67650" w:rsidDel="008A1E67" w:rsidRDefault="000A4614" w:rsidP="000A4614">
            <w:pPr>
              <w:spacing w:before="0" w:after="0"/>
              <w:rPr>
                <w:rFonts w:cstheme="minorHAnsi"/>
              </w:rPr>
            </w:pPr>
            <w:r w:rsidRPr="00C67650" w:rsidDel="008A1E67">
              <w:rPr>
                <w:rFonts w:cstheme="minorHAnsi"/>
              </w:rPr>
              <w:t>Fondo de Aportaciones para la Nómina Educativa y Gasto Operativo</w:t>
            </w:r>
          </w:p>
        </w:tc>
      </w:tr>
      <w:tr w:rsidR="000A4614" w:rsidRPr="00D652EE" w14:paraId="658C1D77" w14:textId="77777777" w:rsidTr="000F3860">
        <w:tc>
          <w:tcPr>
            <w:tcW w:w="1843" w:type="dxa"/>
            <w:shd w:val="clear" w:color="auto" w:fill="auto"/>
          </w:tcPr>
          <w:p w14:paraId="232A1963" w14:textId="77777777" w:rsidR="000A4614" w:rsidRPr="00C67650" w:rsidRDefault="000A4614" w:rsidP="00054D7B">
            <w:pPr>
              <w:spacing w:before="0" w:after="0"/>
              <w:rPr>
                <w:rFonts w:cstheme="minorHAnsi"/>
              </w:rPr>
            </w:pPr>
            <w:r w:rsidRPr="00C67650">
              <w:rPr>
                <w:rFonts w:cstheme="minorHAnsi"/>
              </w:rPr>
              <w:t>FORTAMUN</w:t>
            </w:r>
          </w:p>
        </w:tc>
        <w:tc>
          <w:tcPr>
            <w:tcW w:w="8079" w:type="dxa"/>
            <w:shd w:val="clear" w:color="auto" w:fill="auto"/>
          </w:tcPr>
          <w:p w14:paraId="211CB658" w14:textId="77777777" w:rsidR="000A4614" w:rsidRPr="00C67650" w:rsidRDefault="000A4614" w:rsidP="000A4614">
            <w:pPr>
              <w:spacing w:before="0" w:after="0"/>
              <w:rPr>
                <w:rFonts w:cstheme="minorHAnsi"/>
              </w:rPr>
            </w:pPr>
            <w:r w:rsidRPr="00C67650">
              <w:rPr>
                <w:rFonts w:cstheme="minorHAnsi"/>
              </w:rPr>
              <w:t>Fortalecimiento de los Municipios y de las Demarcaciones Territoriales del Distrito Federal</w:t>
            </w:r>
          </w:p>
        </w:tc>
      </w:tr>
      <w:tr w:rsidR="000A4614" w:rsidRPr="00D652EE" w14:paraId="0D7D7EAA" w14:textId="77777777" w:rsidTr="000F3860">
        <w:tc>
          <w:tcPr>
            <w:tcW w:w="1843" w:type="dxa"/>
            <w:shd w:val="clear" w:color="auto" w:fill="auto"/>
          </w:tcPr>
          <w:p w14:paraId="4B5353B8" w14:textId="77777777" w:rsidR="000A4614" w:rsidRPr="00C67650" w:rsidRDefault="000A4614" w:rsidP="00054D7B">
            <w:pPr>
              <w:spacing w:before="0" w:after="0"/>
              <w:rPr>
                <w:rFonts w:cstheme="minorHAnsi"/>
              </w:rPr>
            </w:pPr>
            <w:r w:rsidRPr="00C67650">
              <w:rPr>
                <w:rFonts w:cstheme="minorHAnsi"/>
              </w:rPr>
              <w:t>IAAMEH</w:t>
            </w:r>
          </w:p>
        </w:tc>
        <w:tc>
          <w:tcPr>
            <w:tcW w:w="8079" w:type="dxa"/>
            <w:shd w:val="clear" w:color="auto" w:fill="auto"/>
          </w:tcPr>
          <w:p w14:paraId="56BF8C7D" w14:textId="77777777" w:rsidR="000A4614" w:rsidRPr="00C67650" w:rsidRDefault="000A4614" w:rsidP="000A4614">
            <w:pPr>
              <w:spacing w:before="0" w:after="0"/>
              <w:rPr>
                <w:rFonts w:cstheme="minorHAnsi"/>
              </w:rPr>
            </w:pPr>
            <w:r w:rsidRPr="00C67650">
              <w:rPr>
                <w:rFonts w:cstheme="minorHAnsi"/>
              </w:rPr>
              <w:t>Instituto para la Atención de las y los Adultos Mayores del Estado de Hidalgo</w:t>
            </w:r>
          </w:p>
        </w:tc>
      </w:tr>
      <w:tr w:rsidR="000A4614" w:rsidRPr="00D652EE" w14:paraId="40368625" w14:textId="77777777" w:rsidTr="000F3860">
        <w:tc>
          <w:tcPr>
            <w:tcW w:w="1843" w:type="dxa"/>
            <w:shd w:val="clear" w:color="auto" w:fill="auto"/>
          </w:tcPr>
          <w:p w14:paraId="2270FEC6" w14:textId="77777777" w:rsidR="000A4614" w:rsidRPr="00C67650" w:rsidRDefault="000A4614" w:rsidP="00054D7B">
            <w:pPr>
              <w:spacing w:before="0" w:after="0"/>
              <w:rPr>
                <w:rFonts w:cstheme="minorHAnsi"/>
              </w:rPr>
            </w:pPr>
            <w:r w:rsidRPr="00C67650">
              <w:rPr>
                <w:rFonts w:cstheme="minorHAnsi"/>
              </w:rPr>
              <w:t>IDH</w:t>
            </w:r>
          </w:p>
        </w:tc>
        <w:tc>
          <w:tcPr>
            <w:tcW w:w="8079" w:type="dxa"/>
            <w:shd w:val="clear" w:color="auto" w:fill="auto"/>
          </w:tcPr>
          <w:p w14:paraId="63EAC28D" w14:textId="77777777" w:rsidR="000A4614" w:rsidRPr="00C67650" w:rsidRDefault="000A4614" w:rsidP="000A4614">
            <w:pPr>
              <w:spacing w:before="0" w:after="0"/>
              <w:rPr>
                <w:rFonts w:cstheme="minorHAnsi"/>
              </w:rPr>
            </w:pPr>
            <w:r w:rsidRPr="00C67650">
              <w:rPr>
                <w:rFonts w:cstheme="minorHAnsi"/>
              </w:rPr>
              <w:t>Índice de Desarrollo Humano</w:t>
            </w:r>
          </w:p>
        </w:tc>
      </w:tr>
      <w:tr w:rsidR="000A4614" w:rsidRPr="00D652EE" w14:paraId="4ED97325" w14:textId="77777777" w:rsidTr="000F3860">
        <w:tc>
          <w:tcPr>
            <w:tcW w:w="1843" w:type="dxa"/>
            <w:shd w:val="clear" w:color="auto" w:fill="auto"/>
          </w:tcPr>
          <w:p w14:paraId="06C51B00" w14:textId="77777777" w:rsidR="000A4614" w:rsidRPr="00C67650" w:rsidRDefault="000A4614" w:rsidP="00054D7B">
            <w:pPr>
              <w:spacing w:before="0" w:after="0"/>
              <w:rPr>
                <w:rFonts w:cstheme="minorHAnsi"/>
              </w:rPr>
            </w:pPr>
            <w:r w:rsidRPr="00C67650">
              <w:rPr>
                <w:rFonts w:cstheme="minorHAnsi"/>
              </w:rPr>
              <w:t>LCF</w:t>
            </w:r>
          </w:p>
        </w:tc>
        <w:tc>
          <w:tcPr>
            <w:tcW w:w="8079" w:type="dxa"/>
            <w:shd w:val="clear" w:color="auto" w:fill="auto"/>
          </w:tcPr>
          <w:p w14:paraId="52A99582" w14:textId="77777777" w:rsidR="000A4614" w:rsidRPr="00C67650" w:rsidRDefault="000A4614" w:rsidP="000A4614">
            <w:pPr>
              <w:spacing w:before="0" w:after="0"/>
              <w:rPr>
                <w:rFonts w:cstheme="minorHAnsi"/>
              </w:rPr>
            </w:pPr>
            <w:r w:rsidRPr="00C67650">
              <w:rPr>
                <w:rFonts w:cstheme="minorHAnsi"/>
              </w:rPr>
              <w:t xml:space="preserve">Ley de Coordinación Fiscal </w:t>
            </w:r>
          </w:p>
        </w:tc>
      </w:tr>
      <w:tr w:rsidR="000A4614" w:rsidRPr="00D652EE" w14:paraId="600C9A06" w14:textId="77777777" w:rsidTr="000F3860">
        <w:tc>
          <w:tcPr>
            <w:tcW w:w="1843" w:type="dxa"/>
            <w:shd w:val="clear" w:color="auto" w:fill="auto"/>
          </w:tcPr>
          <w:p w14:paraId="072320E5" w14:textId="77777777" w:rsidR="000A4614" w:rsidRPr="00C67650" w:rsidRDefault="000A4614" w:rsidP="00054D7B">
            <w:pPr>
              <w:spacing w:before="0" w:after="0"/>
              <w:rPr>
                <w:rFonts w:cstheme="minorHAnsi"/>
              </w:rPr>
            </w:pPr>
            <w:r w:rsidRPr="00C67650">
              <w:rPr>
                <w:rFonts w:cstheme="minorHAnsi"/>
              </w:rPr>
              <w:t>LFPRH</w:t>
            </w:r>
          </w:p>
        </w:tc>
        <w:tc>
          <w:tcPr>
            <w:tcW w:w="8079" w:type="dxa"/>
            <w:shd w:val="clear" w:color="auto" w:fill="auto"/>
          </w:tcPr>
          <w:p w14:paraId="69B1AB7C" w14:textId="77777777" w:rsidR="000A4614" w:rsidRPr="00C67650" w:rsidRDefault="000A4614" w:rsidP="000A4614">
            <w:pPr>
              <w:spacing w:before="0" w:after="0"/>
              <w:rPr>
                <w:rFonts w:cstheme="minorHAnsi"/>
              </w:rPr>
            </w:pPr>
            <w:r w:rsidRPr="00C67650">
              <w:rPr>
                <w:rFonts w:cstheme="minorHAnsi"/>
              </w:rPr>
              <w:t>Ley Federal de Presupuesto y Responsabilidad Hacendaria</w:t>
            </w:r>
          </w:p>
        </w:tc>
      </w:tr>
      <w:tr w:rsidR="000A4614" w:rsidRPr="00D652EE" w14:paraId="31A919E2" w14:textId="77777777" w:rsidTr="000F3860">
        <w:tc>
          <w:tcPr>
            <w:tcW w:w="1843" w:type="dxa"/>
            <w:shd w:val="clear" w:color="auto" w:fill="auto"/>
          </w:tcPr>
          <w:p w14:paraId="5E7DBA2F" w14:textId="77777777" w:rsidR="000A4614" w:rsidRPr="00C67650" w:rsidRDefault="000A4614" w:rsidP="00054D7B">
            <w:pPr>
              <w:spacing w:before="0" w:after="0"/>
              <w:rPr>
                <w:rFonts w:cstheme="minorHAnsi"/>
              </w:rPr>
            </w:pPr>
            <w:r w:rsidRPr="00C67650">
              <w:rPr>
                <w:rFonts w:cstheme="minorHAnsi"/>
              </w:rPr>
              <w:t>LFRCF</w:t>
            </w:r>
          </w:p>
        </w:tc>
        <w:tc>
          <w:tcPr>
            <w:tcW w:w="8079" w:type="dxa"/>
            <w:shd w:val="clear" w:color="auto" w:fill="auto"/>
          </w:tcPr>
          <w:p w14:paraId="185C8D65" w14:textId="77777777" w:rsidR="000A4614" w:rsidRPr="00C67650" w:rsidRDefault="000A4614" w:rsidP="000A4614">
            <w:pPr>
              <w:spacing w:before="0" w:after="0"/>
              <w:rPr>
                <w:rFonts w:cstheme="minorHAnsi"/>
              </w:rPr>
            </w:pPr>
            <w:r w:rsidRPr="00C67650">
              <w:rPr>
                <w:rFonts w:cstheme="minorHAnsi"/>
              </w:rPr>
              <w:t>Ley de Fiscalización y Rendición de Cuentas de la Federación</w:t>
            </w:r>
          </w:p>
        </w:tc>
      </w:tr>
      <w:tr w:rsidR="000A4614" w:rsidRPr="00D652EE" w14:paraId="3E65EC70" w14:textId="77777777" w:rsidTr="000F3860">
        <w:tc>
          <w:tcPr>
            <w:tcW w:w="1843" w:type="dxa"/>
            <w:shd w:val="clear" w:color="auto" w:fill="auto"/>
          </w:tcPr>
          <w:p w14:paraId="3F52C3CD" w14:textId="77777777" w:rsidR="000A4614" w:rsidRPr="00C67650" w:rsidRDefault="000A4614" w:rsidP="00054D7B">
            <w:pPr>
              <w:spacing w:before="0" w:after="0"/>
              <w:rPr>
                <w:rFonts w:cstheme="minorHAnsi"/>
              </w:rPr>
            </w:pPr>
            <w:r w:rsidRPr="00C67650">
              <w:rPr>
                <w:rFonts w:cstheme="minorHAnsi"/>
              </w:rPr>
              <w:t>LGCG</w:t>
            </w:r>
          </w:p>
        </w:tc>
        <w:tc>
          <w:tcPr>
            <w:tcW w:w="8079" w:type="dxa"/>
            <w:shd w:val="clear" w:color="auto" w:fill="auto"/>
          </w:tcPr>
          <w:p w14:paraId="652E5B00" w14:textId="77777777" w:rsidR="000A4614" w:rsidRPr="00C67650" w:rsidRDefault="000A4614" w:rsidP="000A4614">
            <w:pPr>
              <w:spacing w:before="0" w:after="0"/>
              <w:rPr>
                <w:rFonts w:cstheme="minorHAnsi"/>
              </w:rPr>
            </w:pPr>
            <w:r w:rsidRPr="00C67650">
              <w:rPr>
                <w:rFonts w:cstheme="minorHAnsi"/>
              </w:rPr>
              <w:t>Ley General de Contabilidad Gubernamental</w:t>
            </w:r>
          </w:p>
        </w:tc>
      </w:tr>
      <w:tr w:rsidR="000A4614" w:rsidRPr="00D652EE" w14:paraId="4796C988" w14:textId="77777777" w:rsidTr="000F3860">
        <w:tc>
          <w:tcPr>
            <w:tcW w:w="1843" w:type="dxa"/>
            <w:shd w:val="clear" w:color="auto" w:fill="auto"/>
          </w:tcPr>
          <w:p w14:paraId="672C4B91" w14:textId="77777777" w:rsidR="000A4614" w:rsidRPr="00C67650" w:rsidRDefault="000A4614" w:rsidP="00054D7B">
            <w:pPr>
              <w:spacing w:before="0" w:after="0"/>
              <w:rPr>
                <w:rFonts w:cstheme="minorHAnsi"/>
              </w:rPr>
            </w:pPr>
            <w:r w:rsidRPr="00C67650">
              <w:rPr>
                <w:rFonts w:cstheme="minorHAnsi"/>
              </w:rPr>
              <w:t>MiPyME</w:t>
            </w:r>
          </w:p>
        </w:tc>
        <w:tc>
          <w:tcPr>
            <w:tcW w:w="8079" w:type="dxa"/>
            <w:shd w:val="clear" w:color="auto" w:fill="auto"/>
          </w:tcPr>
          <w:p w14:paraId="295BF370" w14:textId="77777777" w:rsidR="000A4614" w:rsidRPr="00C67650" w:rsidRDefault="000A4614" w:rsidP="000A4614">
            <w:pPr>
              <w:spacing w:before="0" w:after="0"/>
              <w:rPr>
                <w:rFonts w:cstheme="minorHAnsi"/>
              </w:rPr>
            </w:pPr>
            <w:r w:rsidRPr="00C67650">
              <w:rPr>
                <w:rFonts w:cstheme="minorHAnsi"/>
              </w:rPr>
              <w:t>Micro, Pequeña y Mediana Empresa</w:t>
            </w:r>
          </w:p>
        </w:tc>
      </w:tr>
      <w:tr w:rsidR="000A4614" w:rsidRPr="00D652EE" w14:paraId="708C7CCE" w14:textId="77777777" w:rsidTr="000F3860">
        <w:tc>
          <w:tcPr>
            <w:tcW w:w="1843" w:type="dxa"/>
            <w:shd w:val="clear" w:color="auto" w:fill="auto"/>
          </w:tcPr>
          <w:p w14:paraId="7EBE48EF" w14:textId="77777777" w:rsidR="000A4614" w:rsidRPr="00C67650" w:rsidRDefault="000A4614" w:rsidP="00054D7B">
            <w:pPr>
              <w:spacing w:before="0" w:after="0"/>
              <w:rPr>
                <w:rFonts w:cstheme="minorHAnsi"/>
              </w:rPr>
            </w:pPr>
            <w:r w:rsidRPr="00C67650">
              <w:rPr>
                <w:rFonts w:cstheme="minorHAnsi"/>
              </w:rPr>
              <w:t>MIR</w:t>
            </w:r>
          </w:p>
        </w:tc>
        <w:tc>
          <w:tcPr>
            <w:tcW w:w="8079" w:type="dxa"/>
            <w:shd w:val="clear" w:color="auto" w:fill="auto"/>
          </w:tcPr>
          <w:p w14:paraId="6500F38E" w14:textId="77777777" w:rsidR="000A4614" w:rsidRPr="00C67650" w:rsidRDefault="000A4614" w:rsidP="000A4614">
            <w:pPr>
              <w:spacing w:before="0" w:after="0"/>
              <w:rPr>
                <w:rFonts w:cstheme="minorHAnsi"/>
              </w:rPr>
            </w:pPr>
            <w:r w:rsidRPr="00C67650">
              <w:rPr>
                <w:rFonts w:cstheme="minorHAnsi"/>
              </w:rPr>
              <w:t>Matriz de Indicadores para Resultados</w:t>
            </w:r>
          </w:p>
        </w:tc>
      </w:tr>
      <w:tr w:rsidR="000A4614" w:rsidRPr="00D652EE" w14:paraId="6972649F" w14:textId="77777777" w:rsidTr="000F3860">
        <w:tc>
          <w:tcPr>
            <w:tcW w:w="1843" w:type="dxa"/>
            <w:shd w:val="clear" w:color="auto" w:fill="auto"/>
          </w:tcPr>
          <w:p w14:paraId="589CCC17" w14:textId="77777777" w:rsidR="000A4614" w:rsidRPr="00C67650" w:rsidRDefault="000A4614" w:rsidP="00054D7B">
            <w:pPr>
              <w:spacing w:before="0" w:after="0"/>
              <w:rPr>
                <w:rFonts w:cstheme="minorHAnsi"/>
              </w:rPr>
            </w:pPr>
            <w:r w:rsidRPr="00C67650">
              <w:rPr>
                <w:rFonts w:cstheme="minorHAnsi"/>
              </w:rPr>
              <w:t>MML</w:t>
            </w:r>
          </w:p>
        </w:tc>
        <w:tc>
          <w:tcPr>
            <w:tcW w:w="8079" w:type="dxa"/>
            <w:shd w:val="clear" w:color="auto" w:fill="auto"/>
          </w:tcPr>
          <w:p w14:paraId="124E85DF" w14:textId="77777777" w:rsidR="000A4614" w:rsidRPr="00C67650" w:rsidRDefault="000A4614" w:rsidP="000A4614">
            <w:pPr>
              <w:spacing w:before="0" w:after="0"/>
              <w:rPr>
                <w:rFonts w:cstheme="minorHAnsi"/>
              </w:rPr>
            </w:pPr>
            <w:r w:rsidRPr="00C67650">
              <w:rPr>
                <w:rFonts w:cstheme="minorHAnsi"/>
              </w:rPr>
              <w:t>Metodología de Marco Lógico</w:t>
            </w:r>
          </w:p>
        </w:tc>
      </w:tr>
      <w:tr w:rsidR="000A4614" w:rsidRPr="00D652EE" w14:paraId="2E50A3A4" w14:textId="77777777" w:rsidTr="000F3860">
        <w:tc>
          <w:tcPr>
            <w:tcW w:w="1843" w:type="dxa"/>
            <w:shd w:val="clear" w:color="auto" w:fill="auto"/>
          </w:tcPr>
          <w:p w14:paraId="648B12D5" w14:textId="77777777" w:rsidR="000A4614" w:rsidRPr="00C67650" w:rsidRDefault="000A4614" w:rsidP="00054D7B">
            <w:pPr>
              <w:spacing w:before="0" w:after="0"/>
              <w:rPr>
                <w:rFonts w:cstheme="minorHAnsi"/>
              </w:rPr>
            </w:pPr>
            <w:r w:rsidRPr="00C67650">
              <w:rPr>
                <w:rFonts w:cstheme="minorHAnsi"/>
              </w:rPr>
              <w:t>Modelo de TdR</w:t>
            </w:r>
          </w:p>
        </w:tc>
        <w:tc>
          <w:tcPr>
            <w:tcW w:w="8079" w:type="dxa"/>
            <w:shd w:val="clear" w:color="auto" w:fill="auto"/>
          </w:tcPr>
          <w:p w14:paraId="465E64DF" w14:textId="77777777" w:rsidR="000A4614" w:rsidRPr="00C67650" w:rsidRDefault="000A4614" w:rsidP="000A4614">
            <w:pPr>
              <w:spacing w:before="0" w:after="0"/>
              <w:rPr>
                <w:rFonts w:cstheme="minorHAnsi"/>
              </w:rPr>
            </w:pPr>
            <w:r w:rsidRPr="00C67650">
              <w:rPr>
                <w:rFonts w:cstheme="minorHAnsi"/>
              </w:rPr>
              <w:t>Modelo de Términos de Referencia emitido por el CONEVAL</w:t>
            </w:r>
          </w:p>
        </w:tc>
      </w:tr>
      <w:tr w:rsidR="000A4614" w:rsidRPr="00D652EE" w14:paraId="43C5A50E" w14:textId="77777777" w:rsidTr="000F3860">
        <w:tc>
          <w:tcPr>
            <w:tcW w:w="1843" w:type="dxa"/>
            <w:shd w:val="clear" w:color="auto" w:fill="auto"/>
          </w:tcPr>
          <w:p w14:paraId="66A2A23E" w14:textId="77777777" w:rsidR="000A4614" w:rsidRPr="00C67650" w:rsidRDefault="000A4614" w:rsidP="00054D7B">
            <w:pPr>
              <w:spacing w:before="0" w:after="0"/>
              <w:rPr>
                <w:rFonts w:cstheme="minorHAnsi"/>
              </w:rPr>
            </w:pPr>
            <w:r w:rsidRPr="00C67650">
              <w:rPr>
                <w:rFonts w:cstheme="minorHAnsi"/>
              </w:rPr>
              <w:t>ODS</w:t>
            </w:r>
          </w:p>
        </w:tc>
        <w:tc>
          <w:tcPr>
            <w:tcW w:w="8079" w:type="dxa"/>
            <w:shd w:val="clear" w:color="auto" w:fill="auto"/>
          </w:tcPr>
          <w:p w14:paraId="0837124C" w14:textId="77777777" w:rsidR="000A4614" w:rsidRPr="00C67650" w:rsidRDefault="000A4614" w:rsidP="00054D7B">
            <w:pPr>
              <w:spacing w:before="0" w:after="0"/>
              <w:rPr>
                <w:rFonts w:cstheme="minorHAnsi"/>
              </w:rPr>
            </w:pPr>
            <w:r w:rsidRPr="00C67650">
              <w:rPr>
                <w:rFonts w:cstheme="minorHAnsi"/>
              </w:rPr>
              <w:t>Objetivos de Desarrollo Sostenible</w:t>
            </w:r>
          </w:p>
        </w:tc>
      </w:tr>
      <w:tr w:rsidR="000A4614" w:rsidRPr="00D652EE" w14:paraId="0AD12BC8" w14:textId="77777777" w:rsidTr="000F3860">
        <w:tc>
          <w:tcPr>
            <w:tcW w:w="1843" w:type="dxa"/>
            <w:shd w:val="clear" w:color="auto" w:fill="auto"/>
          </w:tcPr>
          <w:p w14:paraId="1059F3D0" w14:textId="77777777" w:rsidR="000A4614" w:rsidRPr="00C67650" w:rsidRDefault="000A4614" w:rsidP="00054D7B">
            <w:pPr>
              <w:spacing w:before="0" w:after="0"/>
              <w:rPr>
                <w:rFonts w:cstheme="minorHAnsi"/>
              </w:rPr>
            </w:pPr>
            <w:r w:rsidRPr="00C67650">
              <w:rPr>
                <w:rFonts w:cstheme="minorHAnsi"/>
              </w:rPr>
              <w:t>PAE18</w:t>
            </w:r>
          </w:p>
        </w:tc>
        <w:tc>
          <w:tcPr>
            <w:tcW w:w="8079" w:type="dxa"/>
            <w:shd w:val="clear" w:color="auto" w:fill="auto"/>
          </w:tcPr>
          <w:p w14:paraId="65EB315A" w14:textId="77777777" w:rsidR="000A4614" w:rsidRPr="00C67650" w:rsidRDefault="000A4614" w:rsidP="00054D7B">
            <w:pPr>
              <w:spacing w:before="0" w:after="0"/>
              <w:rPr>
                <w:rFonts w:cstheme="minorHAnsi"/>
              </w:rPr>
            </w:pPr>
            <w:r w:rsidRPr="00C67650">
              <w:rPr>
                <w:rFonts w:cstheme="minorHAnsi"/>
              </w:rPr>
              <w:t>Programas Anuales de Evaluación de los Programas Federales y de los Fondos de Aportaciones Federales para el Ejercicio Fiscal 2018.</w:t>
            </w:r>
          </w:p>
        </w:tc>
      </w:tr>
      <w:tr w:rsidR="000A4614" w:rsidRPr="00D652EE" w14:paraId="10BB6B95" w14:textId="77777777" w:rsidTr="000F3860">
        <w:tc>
          <w:tcPr>
            <w:tcW w:w="1843" w:type="dxa"/>
            <w:shd w:val="clear" w:color="auto" w:fill="auto"/>
          </w:tcPr>
          <w:p w14:paraId="15894238" w14:textId="77777777" w:rsidR="000A4614" w:rsidRPr="00C67650" w:rsidRDefault="000A4614" w:rsidP="00054D7B">
            <w:pPr>
              <w:spacing w:before="0" w:after="0"/>
              <w:rPr>
                <w:rFonts w:cstheme="minorHAnsi"/>
              </w:rPr>
            </w:pPr>
            <w:r w:rsidRPr="00C67650">
              <w:rPr>
                <w:rFonts w:cstheme="minorHAnsi"/>
              </w:rPr>
              <w:t>PASH</w:t>
            </w:r>
          </w:p>
        </w:tc>
        <w:tc>
          <w:tcPr>
            <w:tcW w:w="8079" w:type="dxa"/>
            <w:shd w:val="clear" w:color="auto" w:fill="auto"/>
          </w:tcPr>
          <w:p w14:paraId="4DBE186A" w14:textId="77777777" w:rsidR="000A4614" w:rsidRPr="00C67650" w:rsidRDefault="000A4614" w:rsidP="00054D7B">
            <w:pPr>
              <w:spacing w:before="0" w:after="0"/>
              <w:rPr>
                <w:rFonts w:cstheme="minorHAnsi"/>
              </w:rPr>
            </w:pPr>
            <w:r w:rsidRPr="00C67650">
              <w:rPr>
                <w:rFonts w:cstheme="minorHAnsi"/>
              </w:rPr>
              <w:t>Portal Aplicativo de la Secretaría de Hacienda</w:t>
            </w:r>
          </w:p>
        </w:tc>
      </w:tr>
      <w:tr w:rsidR="000A4614" w:rsidRPr="00D652EE" w14:paraId="2C36619E" w14:textId="77777777" w:rsidTr="000F3860">
        <w:tc>
          <w:tcPr>
            <w:tcW w:w="1843" w:type="dxa"/>
            <w:shd w:val="clear" w:color="auto" w:fill="auto"/>
          </w:tcPr>
          <w:p w14:paraId="011AFB24" w14:textId="77777777" w:rsidR="000A4614" w:rsidRPr="00C67650" w:rsidRDefault="000A4614" w:rsidP="00054D7B">
            <w:pPr>
              <w:spacing w:before="0" w:after="0"/>
              <w:rPr>
                <w:rFonts w:cstheme="minorHAnsi"/>
              </w:rPr>
            </w:pPr>
            <w:r w:rsidRPr="00C67650">
              <w:rPr>
                <w:rFonts w:cstheme="minorHAnsi"/>
              </w:rPr>
              <w:t>PAT</w:t>
            </w:r>
          </w:p>
        </w:tc>
        <w:tc>
          <w:tcPr>
            <w:tcW w:w="8079" w:type="dxa"/>
            <w:shd w:val="clear" w:color="auto" w:fill="auto"/>
          </w:tcPr>
          <w:p w14:paraId="0321368D" w14:textId="77777777" w:rsidR="000A4614" w:rsidRPr="00C67650" w:rsidRDefault="000A4614" w:rsidP="00054D7B">
            <w:pPr>
              <w:spacing w:before="0" w:after="0"/>
              <w:rPr>
                <w:rFonts w:cstheme="minorHAnsi"/>
              </w:rPr>
            </w:pPr>
            <w:r w:rsidRPr="00C67650">
              <w:rPr>
                <w:rFonts w:cstheme="minorHAnsi"/>
              </w:rPr>
              <w:t>Plan Anual de Trabajo</w:t>
            </w:r>
          </w:p>
        </w:tc>
      </w:tr>
      <w:tr w:rsidR="000A4614" w:rsidRPr="00D652EE" w14:paraId="5630E8BF" w14:textId="77777777" w:rsidTr="000F3860">
        <w:tc>
          <w:tcPr>
            <w:tcW w:w="1843" w:type="dxa"/>
            <w:shd w:val="clear" w:color="auto" w:fill="auto"/>
          </w:tcPr>
          <w:p w14:paraId="3D4BB7AF" w14:textId="77777777" w:rsidR="000A4614" w:rsidRPr="00C67650" w:rsidRDefault="000A4614" w:rsidP="00054D7B">
            <w:pPr>
              <w:spacing w:before="0" w:after="0"/>
              <w:rPr>
                <w:rFonts w:cstheme="minorHAnsi"/>
              </w:rPr>
            </w:pPr>
            <w:r w:rsidRPr="00C67650">
              <w:rPr>
                <w:rFonts w:cstheme="minorHAnsi"/>
              </w:rPr>
              <w:lastRenderedPageBreak/>
              <w:t>PbR</w:t>
            </w:r>
          </w:p>
        </w:tc>
        <w:tc>
          <w:tcPr>
            <w:tcW w:w="8079" w:type="dxa"/>
            <w:shd w:val="clear" w:color="auto" w:fill="auto"/>
          </w:tcPr>
          <w:p w14:paraId="1CD2987E" w14:textId="77777777" w:rsidR="000A4614" w:rsidRPr="00C67650" w:rsidRDefault="000A4614" w:rsidP="00054D7B">
            <w:pPr>
              <w:spacing w:before="0" w:after="0"/>
              <w:rPr>
                <w:rFonts w:cstheme="minorHAnsi"/>
              </w:rPr>
            </w:pPr>
            <w:r w:rsidRPr="00C67650">
              <w:rPr>
                <w:rFonts w:cstheme="minorHAnsi"/>
              </w:rPr>
              <w:t>Presupuesto basado en Resultados</w:t>
            </w:r>
          </w:p>
        </w:tc>
      </w:tr>
      <w:tr w:rsidR="000A4614" w:rsidRPr="00D652EE" w14:paraId="0BA23845" w14:textId="77777777" w:rsidTr="000F3860">
        <w:tc>
          <w:tcPr>
            <w:tcW w:w="1843" w:type="dxa"/>
            <w:shd w:val="clear" w:color="auto" w:fill="auto"/>
          </w:tcPr>
          <w:p w14:paraId="2D5DD276" w14:textId="77777777" w:rsidR="000A4614" w:rsidRPr="00C67650" w:rsidRDefault="000A4614" w:rsidP="00054D7B">
            <w:pPr>
              <w:spacing w:before="0" w:after="0"/>
              <w:rPr>
                <w:rFonts w:cstheme="minorHAnsi"/>
              </w:rPr>
            </w:pPr>
            <w:r w:rsidRPr="00C67650">
              <w:rPr>
                <w:rFonts w:cstheme="minorHAnsi"/>
              </w:rPr>
              <w:t>PEDH 2016-2022</w:t>
            </w:r>
          </w:p>
        </w:tc>
        <w:tc>
          <w:tcPr>
            <w:tcW w:w="8079" w:type="dxa"/>
            <w:shd w:val="clear" w:color="auto" w:fill="auto"/>
          </w:tcPr>
          <w:p w14:paraId="035FC200" w14:textId="77777777" w:rsidR="000A4614" w:rsidRPr="00C67650" w:rsidRDefault="000A4614" w:rsidP="00054D7B">
            <w:pPr>
              <w:spacing w:before="0" w:after="0"/>
              <w:rPr>
                <w:rFonts w:cstheme="minorHAnsi"/>
              </w:rPr>
            </w:pPr>
            <w:r w:rsidRPr="00C67650">
              <w:rPr>
                <w:rFonts w:cstheme="minorHAnsi"/>
              </w:rPr>
              <w:t>Plan Estatal de Desarrollo de Hidalgo 2016-2022</w:t>
            </w:r>
          </w:p>
        </w:tc>
      </w:tr>
      <w:tr w:rsidR="000A4614" w:rsidRPr="00D652EE" w:rsidDel="008A1E67" w14:paraId="525A8C2E" w14:textId="77777777" w:rsidTr="000F3860">
        <w:tc>
          <w:tcPr>
            <w:tcW w:w="1843" w:type="dxa"/>
            <w:shd w:val="clear" w:color="auto" w:fill="auto"/>
          </w:tcPr>
          <w:p w14:paraId="6955605E" w14:textId="77777777" w:rsidR="000A4614" w:rsidRPr="00C67650" w:rsidDel="008A1E67" w:rsidRDefault="000A4614" w:rsidP="00054D7B">
            <w:pPr>
              <w:spacing w:before="0" w:after="0"/>
              <w:rPr>
                <w:rFonts w:cstheme="minorHAnsi"/>
              </w:rPr>
            </w:pPr>
            <w:r w:rsidRPr="00C67650" w:rsidDel="008A1E67">
              <w:rPr>
                <w:rFonts w:cstheme="minorHAnsi"/>
              </w:rPr>
              <w:t>PEF</w:t>
            </w:r>
          </w:p>
        </w:tc>
        <w:tc>
          <w:tcPr>
            <w:tcW w:w="8079" w:type="dxa"/>
            <w:shd w:val="clear" w:color="auto" w:fill="auto"/>
          </w:tcPr>
          <w:p w14:paraId="0B5EE3EC" w14:textId="77777777" w:rsidR="000A4614" w:rsidRPr="00C67650" w:rsidDel="008A1E67" w:rsidRDefault="000A4614" w:rsidP="00054D7B">
            <w:pPr>
              <w:spacing w:before="0" w:after="0"/>
              <w:rPr>
                <w:rFonts w:cstheme="minorHAnsi"/>
              </w:rPr>
            </w:pPr>
            <w:r w:rsidRPr="00C67650" w:rsidDel="008A1E67">
              <w:rPr>
                <w:rFonts w:cstheme="minorHAnsi"/>
              </w:rPr>
              <w:t>Presupuesto de Egresos de la Federación</w:t>
            </w:r>
          </w:p>
        </w:tc>
      </w:tr>
      <w:tr w:rsidR="000A4614" w:rsidRPr="00D652EE" w:rsidDel="008A1E67" w14:paraId="27AAAF8E" w14:textId="77777777" w:rsidTr="000F3860">
        <w:tc>
          <w:tcPr>
            <w:tcW w:w="1843" w:type="dxa"/>
            <w:shd w:val="clear" w:color="auto" w:fill="auto"/>
          </w:tcPr>
          <w:p w14:paraId="76C0AA6F" w14:textId="77777777" w:rsidR="000A4614" w:rsidRPr="00C67650" w:rsidDel="008A1E67" w:rsidRDefault="000A4614" w:rsidP="00054D7B">
            <w:pPr>
              <w:spacing w:before="0" w:after="0"/>
              <w:rPr>
                <w:rFonts w:cstheme="minorHAnsi"/>
              </w:rPr>
            </w:pPr>
            <w:r w:rsidRPr="00C67650" w:rsidDel="008A1E67">
              <w:rPr>
                <w:rFonts w:cstheme="minorHAnsi"/>
              </w:rPr>
              <w:t>PND</w:t>
            </w:r>
          </w:p>
        </w:tc>
        <w:tc>
          <w:tcPr>
            <w:tcW w:w="8079" w:type="dxa"/>
            <w:shd w:val="clear" w:color="auto" w:fill="auto"/>
          </w:tcPr>
          <w:p w14:paraId="5857497A" w14:textId="77777777" w:rsidR="000A4614" w:rsidRPr="00C67650" w:rsidDel="008A1E67" w:rsidRDefault="000A4614" w:rsidP="00054D7B">
            <w:pPr>
              <w:spacing w:before="0" w:after="0"/>
              <w:rPr>
                <w:rFonts w:cstheme="minorHAnsi"/>
              </w:rPr>
            </w:pPr>
            <w:r w:rsidRPr="00C67650" w:rsidDel="008A1E67">
              <w:rPr>
                <w:rFonts w:cstheme="minorHAnsi"/>
              </w:rPr>
              <w:t>Plan Nacional de Desarrollo 2013-2018</w:t>
            </w:r>
          </w:p>
        </w:tc>
      </w:tr>
      <w:tr w:rsidR="000A4614" w:rsidRPr="00D652EE" w14:paraId="13489E1D" w14:textId="77777777" w:rsidTr="000F3860">
        <w:tc>
          <w:tcPr>
            <w:tcW w:w="1843" w:type="dxa"/>
            <w:shd w:val="clear" w:color="auto" w:fill="auto"/>
          </w:tcPr>
          <w:p w14:paraId="5A1D9315" w14:textId="77777777" w:rsidR="000A4614" w:rsidRPr="00C67650" w:rsidRDefault="000A4614" w:rsidP="00054D7B">
            <w:pPr>
              <w:spacing w:before="0" w:after="0"/>
              <w:rPr>
                <w:rFonts w:cstheme="minorHAnsi"/>
              </w:rPr>
            </w:pPr>
            <w:r w:rsidRPr="00C67650">
              <w:rPr>
                <w:rFonts w:cstheme="minorHAnsi"/>
              </w:rPr>
              <w:t>PND</w:t>
            </w:r>
          </w:p>
        </w:tc>
        <w:tc>
          <w:tcPr>
            <w:tcW w:w="8079" w:type="dxa"/>
            <w:shd w:val="clear" w:color="auto" w:fill="auto"/>
          </w:tcPr>
          <w:p w14:paraId="3BA064D2" w14:textId="77777777" w:rsidR="000A4614" w:rsidRPr="00C67650" w:rsidRDefault="000A4614" w:rsidP="00054D7B">
            <w:pPr>
              <w:spacing w:before="0" w:after="0"/>
              <w:rPr>
                <w:rFonts w:cstheme="minorHAnsi"/>
              </w:rPr>
            </w:pPr>
            <w:r w:rsidRPr="00C67650">
              <w:rPr>
                <w:rFonts w:cstheme="minorHAnsi"/>
              </w:rPr>
              <w:t>Plan Nacional de Desarrollo 2013-2018</w:t>
            </w:r>
          </w:p>
        </w:tc>
      </w:tr>
      <w:tr w:rsidR="000A4614" w:rsidRPr="00D652EE" w14:paraId="10AFBC8D" w14:textId="77777777" w:rsidTr="000F3860">
        <w:tc>
          <w:tcPr>
            <w:tcW w:w="1843" w:type="dxa"/>
            <w:shd w:val="clear" w:color="auto" w:fill="auto"/>
          </w:tcPr>
          <w:p w14:paraId="63E67F7F" w14:textId="77777777" w:rsidR="000A4614" w:rsidRPr="00C67650" w:rsidRDefault="000A4614" w:rsidP="00054D7B">
            <w:pPr>
              <w:spacing w:before="0" w:after="0"/>
              <w:rPr>
                <w:rFonts w:cstheme="minorHAnsi"/>
              </w:rPr>
            </w:pPr>
            <w:r w:rsidRPr="00C67650">
              <w:rPr>
                <w:rFonts w:cstheme="minorHAnsi"/>
              </w:rPr>
              <w:t>Pp</w:t>
            </w:r>
          </w:p>
        </w:tc>
        <w:tc>
          <w:tcPr>
            <w:tcW w:w="8079" w:type="dxa"/>
            <w:shd w:val="clear" w:color="auto" w:fill="auto"/>
          </w:tcPr>
          <w:p w14:paraId="1CB6177C" w14:textId="77777777" w:rsidR="000A4614" w:rsidRPr="00C67650" w:rsidRDefault="000A4614" w:rsidP="000A4614">
            <w:pPr>
              <w:spacing w:before="0" w:after="0"/>
              <w:rPr>
                <w:rFonts w:cstheme="minorHAnsi"/>
              </w:rPr>
            </w:pPr>
            <w:r w:rsidRPr="00C67650">
              <w:rPr>
                <w:rFonts w:cstheme="minorHAnsi"/>
              </w:rPr>
              <w:t>Programa(s) presupuestario(s)</w:t>
            </w:r>
          </w:p>
        </w:tc>
      </w:tr>
      <w:tr w:rsidR="000A4614" w:rsidRPr="00D652EE" w14:paraId="3E5EC0F1" w14:textId="77777777" w:rsidTr="000F3860">
        <w:tc>
          <w:tcPr>
            <w:tcW w:w="1843" w:type="dxa"/>
            <w:shd w:val="clear" w:color="auto" w:fill="auto"/>
          </w:tcPr>
          <w:p w14:paraId="40E13228" w14:textId="77777777" w:rsidR="000A4614" w:rsidRPr="00C67650" w:rsidRDefault="000A4614" w:rsidP="00054D7B">
            <w:pPr>
              <w:spacing w:before="0" w:after="0"/>
              <w:rPr>
                <w:rFonts w:cstheme="minorHAnsi"/>
              </w:rPr>
            </w:pPr>
            <w:r w:rsidRPr="00C67650">
              <w:rPr>
                <w:rFonts w:cstheme="minorHAnsi"/>
              </w:rPr>
              <w:t>PPEE</w:t>
            </w:r>
          </w:p>
        </w:tc>
        <w:tc>
          <w:tcPr>
            <w:tcW w:w="8079" w:type="dxa"/>
            <w:shd w:val="clear" w:color="auto" w:fill="auto"/>
          </w:tcPr>
          <w:p w14:paraId="1A4E0692" w14:textId="77777777" w:rsidR="000A4614" w:rsidRPr="00C67650" w:rsidRDefault="000A4614" w:rsidP="00054D7B">
            <w:pPr>
              <w:spacing w:before="0" w:after="0"/>
              <w:rPr>
                <w:rFonts w:cstheme="minorHAnsi"/>
              </w:rPr>
            </w:pPr>
            <w:r w:rsidRPr="00C67650">
              <w:rPr>
                <w:rFonts w:cstheme="minorHAnsi"/>
              </w:rPr>
              <w:t>Proyecto de Presupuesto de Egresos del Estado</w:t>
            </w:r>
          </w:p>
        </w:tc>
      </w:tr>
      <w:tr w:rsidR="000A4614" w:rsidRPr="00D652EE" w14:paraId="538793EB" w14:textId="77777777" w:rsidTr="000F3860">
        <w:tc>
          <w:tcPr>
            <w:tcW w:w="1843" w:type="dxa"/>
            <w:shd w:val="clear" w:color="auto" w:fill="auto"/>
          </w:tcPr>
          <w:p w14:paraId="541CB657" w14:textId="77777777" w:rsidR="000A4614" w:rsidRPr="00C67650" w:rsidRDefault="000A4614" w:rsidP="00054D7B">
            <w:pPr>
              <w:spacing w:before="0" w:after="0"/>
              <w:rPr>
                <w:rFonts w:cstheme="minorHAnsi"/>
              </w:rPr>
            </w:pPr>
            <w:r w:rsidRPr="00C67650">
              <w:rPr>
                <w:rFonts w:cstheme="minorHAnsi"/>
              </w:rPr>
              <w:t>PTFSFP</w:t>
            </w:r>
          </w:p>
        </w:tc>
        <w:tc>
          <w:tcPr>
            <w:tcW w:w="8079" w:type="dxa"/>
            <w:shd w:val="clear" w:color="auto" w:fill="auto"/>
          </w:tcPr>
          <w:p w14:paraId="6C8C0ACF" w14:textId="77777777" w:rsidR="000A4614" w:rsidRPr="00C67650" w:rsidRDefault="000A4614" w:rsidP="00054D7B">
            <w:pPr>
              <w:spacing w:before="0" w:after="0"/>
              <w:rPr>
                <w:rFonts w:cstheme="minorHAnsi"/>
              </w:rPr>
            </w:pPr>
            <w:r w:rsidRPr="00C67650">
              <w:rPr>
                <w:rFonts w:cstheme="minorHAnsi"/>
              </w:rPr>
              <w:t>Portal de Transparencia Financiera de la Secretaria de Finanzas Públicas</w:t>
            </w:r>
          </w:p>
        </w:tc>
      </w:tr>
      <w:tr w:rsidR="000A4614" w:rsidRPr="00D652EE" w14:paraId="5545EDC8" w14:textId="77777777" w:rsidTr="000F3860">
        <w:tc>
          <w:tcPr>
            <w:tcW w:w="1843" w:type="dxa"/>
            <w:shd w:val="clear" w:color="auto" w:fill="auto"/>
          </w:tcPr>
          <w:p w14:paraId="13428DCB" w14:textId="77777777" w:rsidR="000A4614" w:rsidRPr="00C67650" w:rsidRDefault="000A4614" w:rsidP="00054D7B">
            <w:pPr>
              <w:spacing w:before="0" w:after="0"/>
              <w:rPr>
                <w:rFonts w:cstheme="minorHAnsi"/>
              </w:rPr>
            </w:pPr>
            <w:r w:rsidRPr="00C67650">
              <w:rPr>
                <w:rFonts w:cstheme="minorHAnsi"/>
              </w:rPr>
              <w:t>RFT</w:t>
            </w:r>
          </w:p>
        </w:tc>
        <w:tc>
          <w:tcPr>
            <w:tcW w:w="8079" w:type="dxa"/>
            <w:shd w:val="clear" w:color="auto" w:fill="auto"/>
          </w:tcPr>
          <w:p w14:paraId="7B465C0A" w14:textId="77777777" w:rsidR="000A4614" w:rsidRPr="00C67650" w:rsidRDefault="000A4614" w:rsidP="000A4614">
            <w:pPr>
              <w:spacing w:before="0" w:after="0"/>
              <w:rPr>
                <w:rFonts w:cstheme="minorHAnsi"/>
              </w:rPr>
            </w:pPr>
            <w:r w:rsidRPr="00C67650">
              <w:rPr>
                <w:rFonts w:cstheme="minorHAnsi"/>
              </w:rPr>
              <w:t>Recursos Federales Transferidos</w:t>
            </w:r>
          </w:p>
        </w:tc>
      </w:tr>
      <w:tr w:rsidR="000A4614" w:rsidRPr="00D652EE" w14:paraId="4E3295F1" w14:textId="77777777" w:rsidTr="000F3860">
        <w:tc>
          <w:tcPr>
            <w:tcW w:w="1843" w:type="dxa"/>
            <w:shd w:val="clear" w:color="auto" w:fill="auto"/>
          </w:tcPr>
          <w:p w14:paraId="76BFFF20" w14:textId="77777777" w:rsidR="000A4614" w:rsidRPr="00C67650" w:rsidRDefault="000A4614" w:rsidP="00054D7B">
            <w:pPr>
              <w:spacing w:before="0" w:after="0"/>
              <w:rPr>
                <w:rFonts w:cstheme="minorHAnsi"/>
              </w:rPr>
            </w:pPr>
            <w:r w:rsidRPr="00C67650">
              <w:rPr>
                <w:rFonts w:cstheme="minorHAnsi"/>
              </w:rPr>
              <w:t>SECTURH</w:t>
            </w:r>
          </w:p>
        </w:tc>
        <w:tc>
          <w:tcPr>
            <w:tcW w:w="8079" w:type="dxa"/>
            <w:shd w:val="clear" w:color="auto" w:fill="auto"/>
          </w:tcPr>
          <w:p w14:paraId="3EAB56ED" w14:textId="77777777" w:rsidR="000A4614" w:rsidRPr="00C67650" w:rsidRDefault="000A4614" w:rsidP="000A4614">
            <w:pPr>
              <w:spacing w:before="0" w:after="0"/>
              <w:rPr>
                <w:rFonts w:cstheme="minorHAnsi"/>
              </w:rPr>
            </w:pPr>
            <w:r w:rsidRPr="00C67650">
              <w:rPr>
                <w:rFonts w:cstheme="minorHAnsi"/>
              </w:rPr>
              <w:t>Secretaría de Turismo de Hidalgo</w:t>
            </w:r>
          </w:p>
        </w:tc>
      </w:tr>
      <w:tr w:rsidR="000A4614" w:rsidRPr="00D652EE" w14:paraId="25F4B711" w14:textId="77777777" w:rsidTr="000F3860">
        <w:tc>
          <w:tcPr>
            <w:tcW w:w="1843" w:type="dxa"/>
            <w:shd w:val="clear" w:color="auto" w:fill="auto"/>
          </w:tcPr>
          <w:p w14:paraId="05AF2236" w14:textId="77777777" w:rsidR="000A4614" w:rsidRPr="00C67650" w:rsidRDefault="000A4614" w:rsidP="00054D7B">
            <w:pPr>
              <w:spacing w:before="0" w:after="0"/>
              <w:rPr>
                <w:rFonts w:cstheme="minorHAnsi"/>
              </w:rPr>
            </w:pPr>
            <w:r w:rsidRPr="00C67650">
              <w:rPr>
                <w:rFonts w:cstheme="minorHAnsi"/>
              </w:rPr>
              <w:t>SED</w:t>
            </w:r>
          </w:p>
        </w:tc>
        <w:tc>
          <w:tcPr>
            <w:tcW w:w="8079" w:type="dxa"/>
            <w:shd w:val="clear" w:color="auto" w:fill="auto"/>
          </w:tcPr>
          <w:p w14:paraId="2AC0150F" w14:textId="77777777" w:rsidR="000A4614" w:rsidRPr="00C67650" w:rsidRDefault="000A4614" w:rsidP="000A4614">
            <w:pPr>
              <w:spacing w:before="0" w:after="0"/>
              <w:rPr>
                <w:rFonts w:cstheme="minorHAnsi"/>
              </w:rPr>
            </w:pPr>
            <w:r w:rsidRPr="00C67650">
              <w:rPr>
                <w:rFonts w:cstheme="minorHAnsi"/>
              </w:rPr>
              <w:t>Sistema de Evaluación del Desempeño</w:t>
            </w:r>
          </w:p>
        </w:tc>
      </w:tr>
      <w:tr w:rsidR="000A4614" w:rsidRPr="00D652EE" w14:paraId="3AAB3654" w14:textId="77777777" w:rsidTr="000F3860">
        <w:tc>
          <w:tcPr>
            <w:tcW w:w="1843" w:type="dxa"/>
            <w:shd w:val="clear" w:color="auto" w:fill="auto"/>
          </w:tcPr>
          <w:p w14:paraId="381FE01E" w14:textId="77777777" w:rsidR="000A4614" w:rsidRPr="00C67650" w:rsidRDefault="000A4614" w:rsidP="00054D7B">
            <w:pPr>
              <w:spacing w:before="0" w:after="0"/>
              <w:rPr>
                <w:rFonts w:cstheme="minorHAnsi"/>
              </w:rPr>
            </w:pPr>
            <w:r w:rsidRPr="00C67650">
              <w:rPr>
                <w:rFonts w:cstheme="minorHAnsi"/>
              </w:rPr>
              <w:t>SEDECOH</w:t>
            </w:r>
          </w:p>
        </w:tc>
        <w:tc>
          <w:tcPr>
            <w:tcW w:w="8079" w:type="dxa"/>
            <w:shd w:val="clear" w:color="auto" w:fill="auto"/>
          </w:tcPr>
          <w:p w14:paraId="39E5A9AD" w14:textId="77777777" w:rsidR="000A4614" w:rsidRPr="00C67650" w:rsidRDefault="000A4614" w:rsidP="000A4614">
            <w:pPr>
              <w:spacing w:before="0" w:after="0"/>
              <w:rPr>
                <w:rFonts w:cstheme="minorHAnsi"/>
              </w:rPr>
            </w:pPr>
            <w:r w:rsidRPr="00C67650">
              <w:rPr>
                <w:rFonts w:cstheme="minorHAnsi"/>
              </w:rPr>
              <w:t>Secretaría de Desarrollo Económico</w:t>
            </w:r>
          </w:p>
        </w:tc>
      </w:tr>
      <w:tr w:rsidR="000A4614" w:rsidRPr="00D652EE" w14:paraId="4C0B12D4" w14:textId="77777777" w:rsidTr="000F3860">
        <w:tc>
          <w:tcPr>
            <w:tcW w:w="1843" w:type="dxa"/>
            <w:shd w:val="clear" w:color="auto" w:fill="auto"/>
          </w:tcPr>
          <w:p w14:paraId="554FFE3E" w14:textId="77777777" w:rsidR="000A4614" w:rsidRPr="00C67650" w:rsidRDefault="000A4614" w:rsidP="00054D7B">
            <w:pPr>
              <w:spacing w:before="0" w:after="0"/>
              <w:rPr>
                <w:rFonts w:cstheme="minorHAnsi"/>
              </w:rPr>
            </w:pPr>
            <w:r w:rsidRPr="00C67650">
              <w:rPr>
                <w:rFonts w:cstheme="minorHAnsi"/>
              </w:rPr>
              <w:t>SEDESO</w:t>
            </w:r>
          </w:p>
        </w:tc>
        <w:tc>
          <w:tcPr>
            <w:tcW w:w="8079" w:type="dxa"/>
            <w:shd w:val="clear" w:color="auto" w:fill="auto"/>
          </w:tcPr>
          <w:p w14:paraId="78D98688" w14:textId="77777777" w:rsidR="000A4614" w:rsidRPr="00C67650" w:rsidRDefault="000A4614" w:rsidP="000A4614">
            <w:pPr>
              <w:spacing w:before="0" w:after="0"/>
              <w:rPr>
                <w:rFonts w:cstheme="minorHAnsi"/>
              </w:rPr>
            </w:pPr>
            <w:r w:rsidRPr="00C67650">
              <w:rPr>
                <w:rFonts w:cstheme="minorHAnsi"/>
              </w:rPr>
              <w:t>Secretaría de Desarrollo Social</w:t>
            </w:r>
          </w:p>
        </w:tc>
      </w:tr>
      <w:tr w:rsidR="000A4614" w:rsidRPr="00D652EE" w14:paraId="0E88B627" w14:textId="77777777" w:rsidTr="000F3860">
        <w:tc>
          <w:tcPr>
            <w:tcW w:w="1843" w:type="dxa"/>
            <w:shd w:val="clear" w:color="auto" w:fill="auto"/>
          </w:tcPr>
          <w:p w14:paraId="5FDE3FEE" w14:textId="77777777" w:rsidR="000A4614" w:rsidRPr="00C67650" w:rsidRDefault="000A4614" w:rsidP="00054D7B">
            <w:pPr>
              <w:spacing w:before="0" w:after="0"/>
              <w:rPr>
                <w:rFonts w:cstheme="minorHAnsi"/>
              </w:rPr>
            </w:pPr>
            <w:r w:rsidRPr="00C67650">
              <w:rPr>
                <w:rFonts w:cstheme="minorHAnsi"/>
              </w:rPr>
              <w:t>SEMARNATH</w:t>
            </w:r>
          </w:p>
        </w:tc>
        <w:tc>
          <w:tcPr>
            <w:tcW w:w="8079" w:type="dxa"/>
            <w:shd w:val="clear" w:color="auto" w:fill="auto"/>
          </w:tcPr>
          <w:p w14:paraId="6C478365" w14:textId="77777777" w:rsidR="000A4614" w:rsidRPr="00C67650" w:rsidRDefault="000A4614" w:rsidP="000A4614">
            <w:pPr>
              <w:spacing w:before="0" w:after="0"/>
              <w:rPr>
                <w:rFonts w:cstheme="minorHAnsi"/>
              </w:rPr>
            </w:pPr>
            <w:r w:rsidRPr="00C67650">
              <w:rPr>
                <w:rFonts w:cstheme="minorHAnsi"/>
              </w:rPr>
              <w:t>Secretaría del Medio Ambiente y Recursos Naturales</w:t>
            </w:r>
          </w:p>
        </w:tc>
      </w:tr>
      <w:tr w:rsidR="000A4614" w:rsidRPr="00D652EE" w14:paraId="2D3184D4" w14:textId="77777777" w:rsidTr="000F3860">
        <w:tc>
          <w:tcPr>
            <w:tcW w:w="1843" w:type="dxa"/>
            <w:shd w:val="clear" w:color="auto" w:fill="auto"/>
          </w:tcPr>
          <w:p w14:paraId="2DC09E68" w14:textId="77777777" w:rsidR="000A4614" w:rsidRPr="00C67650" w:rsidRDefault="000A4614" w:rsidP="00054D7B">
            <w:pPr>
              <w:spacing w:before="0" w:after="0"/>
              <w:rPr>
                <w:rFonts w:cstheme="minorHAnsi"/>
              </w:rPr>
            </w:pPr>
            <w:r w:rsidRPr="00C67650">
              <w:rPr>
                <w:rFonts w:cstheme="minorHAnsi"/>
              </w:rPr>
              <w:t>SEPH</w:t>
            </w:r>
          </w:p>
        </w:tc>
        <w:tc>
          <w:tcPr>
            <w:tcW w:w="8079" w:type="dxa"/>
            <w:shd w:val="clear" w:color="auto" w:fill="auto"/>
          </w:tcPr>
          <w:p w14:paraId="5189C403" w14:textId="77777777" w:rsidR="000A4614" w:rsidRPr="00C67650" w:rsidRDefault="000A4614" w:rsidP="000A4614">
            <w:pPr>
              <w:spacing w:before="0" w:after="0"/>
              <w:rPr>
                <w:rFonts w:cstheme="minorHAnsi"/>
              </w:rPr>
            </w:pPr>
            <w:r w:rsidRPr="00C67650">
              <w:rPr>
                <w:rFonts w:cstheme="minorHAnsi"/>
              </w:rPr>
              <w:t>Secretaría de Educación Pública</w:t>
            </w:r>
          </w:p>
        </w:tc>
      </w:tr>
      <w:tr w:rsidR="000A4614" w:rsidRPr="00D652EE" w14:paraId="7C88FACA" w14:textId="77777777" w:rsidTr="000F3860">
        <w:tc>
          <w:tcPr>
            <w:tcW w:w="1843" w:type="dxa"/>
            <w:shd w:val="clear" w:color="auto" w:fill="auto"/>
          </w:tcPr>
          <w:p w14:paraId="5FC17568" w14:textId="77777777" w:rsidR="000A4614" w:rsidRPr="00C67650" w:rsidRDefault="000A4614" w:rsidP="00054D7B">
            <w:pPr>
              <w:spacing w:before="0" w:after="0"/>
              <w:rPr>
                <w:rFonts w:cstheme="minorHAnsi"/>
              </w:rPr>
            </w:pPr>
            <w:r w:rsidRPr="00C67650">
              <w:rPr>
                <w:rFonts w:cstheme="minorHAnsi"/>
              </w:rPr>
              <w:t>SEPLADERYM</w:t>
            </w:r>
          </w:p>
        </w:tc>
        <w:tc>
          <w:tcPr>
            <w:tcW w:w="8079" w:type="dxa"/>
            <w:shd w:val="clear" w:color="auto" w:fill="auto"/>
          </w:tcPr>
          <w:p w14:paraId="1BC2000F" w14:textId="77777777" w:rsidR="000A4614" w:rsidRPr="00C67650" w:rsidRDefault="000A4614" w:rsidP="000A4614">
            <w:pPr>
              <w:spacing w:before="0" w:after="0"/>
              <w:rPr>
                <w:rFonts w:cstheme="minorHAnsi"/>
              </w:rPr>
            </w:pPr>
            <w:r w:rsidRPr="00C67650">
              <w:rPr>
                <w:rFonts w:cstheme="minorHAnsi"/>
              </w:rPr>
              <w:t>Secretaría de Planeación y Desarrollo Metropolitano</w:t>
            </w:r>
          </w:p>
        </w:tc>
      </w:tr>
      <w:tr w:rsidR="000A4614" w:rsidRPr="00D652EE" w14:paraId="7249E763" w14:textId="77777777" w:rsidTr="000F3860">
        <w:tc>
          <w:tcPr>
            <w:tcW w:w="1843" w:type="dxa"/>
            <w:shd w:val="clear" w:color="auto" w:fill="auto"/>
          </w:tcPr>
          <w:p w14:paraId="2E0A1231" w14:textId="77777777" w:rsidR="000A4614" w:rsidRPr="00C67650" w:rsidRDefault="000A4614" w:rsidP="00054D7B">
            <w:pPr>
              <w:spacing w:before="0" w:after="0"/>
              <w:rPr>
                <w:rFonts w:cstheme="minorHAnsi"/>
              </w:rPr>
            </w:pPr>
            <w:r w:rsidRPr="00C67650">
              <w:rPr>
                <w:rFonts w:cstheme="minorHAnsi"/>
              </w:rPr>
              <w:t>SFP</w:t>
            </w:r>
          </w:p>
        </w:tc>
        <w:tc>
          <w:tcPr>
            <w:tcW w:w="8079" w:type="dxa"/>
            <w:shd w:val="clear" w:color="auto" w:fill="auto"/>
          </w:tcPr>
          <w:p w14:paraId="5368B08D" w14:textId="77777777" w:rsidR="000A4614" w:rsidRPr="00C67650" w:rsidRDefault="000A4614" w:rsidP="000A4614">
            <w:pPr>
              <w:spacing w:before="0" w:after="0"/>
              <w:rPr>
                <w:rFonts w:cstheme="minorHAnsi"/>
              </w:rPr>
            </w:pPr>
            <w:r w:rsidRPr="00C67650">
              <w:rPr>
                <w:rFonts w:cstheme="minorHAnsi"/>
              </w:rPr>
              <w:t>Secretaría de Finanzas Públicas</w:t>
            </w:r>
          </w:p>
        </w:tc>
      </w:tr>
      <w:tr w:rsidR="000A4614" w:rsidRPr="00D652EE" w14:paraId="2DDAD8D9" w14:textId="77777777" w:rsidTr="000F3860">
        <w:tc>
          <w:tcPr>
            <w:tcW w:w="1843" w:type="dxa"/>
            <w:shd w:val="clear" w:color="auto" w:fill="auto"/>
          </w:tcPr>
          <w:p w14:paraId="183EBCD3" w14:textId="77777777" w:rsidR="000A4614" w:rsidRPr="00C67650" w:rsidRDefault="000A4614" w:rsidP="00054D7B">
            <w:pPr>
              <w:spacing w:before="0" w:after="0"/>
              <w:rPr>
                <w:rFonts w:cstheme="minorHAnsi"/>
              </w:rPr>
            </w:pPr>
            <w:r w:rsidRPr="00C67650">
              <w:rPr>
                <w:rFonts w:cstheme="minorHAnsi"/>
              </w:rPr>
              <w:t>SFU</w:t>
            </w:r>
          </w:p>
        </w:tc>
        <w:tc>
          <w:tcPr>
            <w:tcW w:w="8079" w:type="dxa"/>
            <w:shd w:val="clear" w:color="auto" w:fill="auto"/>
          </w:tcPr>
          <w:p w14:paraId="39DEA7DF" w14:textId="77777777" w:rsidR="000A4614" w:rsidRPr="00C67650" w:rsidRDefault="000A4614" w:rsidP="000A4614">
            <w:pPr>
              <w:spacing w:before="0" w:after="0"/>
              <w:rPr>
                <w:rFonts w:cstheme="minorHAnsi"/>
              </w:rPr>
            </w:pPr>
            <w:r w:rsidRPr="00C67650">
              <w:rPr>
                <w:rFonts w:cstheme="minorHAnsi"/>
              </w:rPr>
              <w:t>Sistema del Formato Único</w:t>
            </w:r>
          </w:p>
        </w:tc>
      </w:tr>
      <w:tr w:rsidR="000A4614" w:rsidRPr="00D652EE" w14:paraId="3B000C9C" w14:textId="77777777" w:rsidTr="000F3860">
        <w:tc>
          <w:tcPr>
            <w:tcW w:w="1843" w:type="dxa"/>
            <w:shd w:val="clear" w:color="auto" w:fill="auto"/>
          </w:tcPr>
          <w:p w14:paraId="3FBDD792" w14:textId="77777777" w:rsidR="000A4614" w:rsidRPr="00C67650" w:rsidRDefault="000A4614" w:rsidP="00054D7B">
            <w:pPr>
              <w:spacing w:before="0" w:after="0"/>
              <w:rPr>
                <w:rFonts w:cstheme="minorHAnsi"/>
              </w:rPr>
            </w:pPr>
            <w:r w:rsidRPr="00C67650">
              <w:rPr>
                <w:rFonts w:cstheme="minorHAnsi"/>
              </w:rPr>
              <w:t xml:space="preserve">SHCP </w:t>
            </w:r>
          </w:p>
        </w:tc>
        <w:tc>
          <w:tcPr>
            <w:tcW w:w="8079" w:type="dxa"/>
            <w:shd w:val="clear" w:color="auto" w:fill="auto"/>
          </w:tcPr>
          <w:p w14:paraId="7103D49A" w14:textId="77777777" w:rsidR="000A4614" w:rsidRPr="00C67650" w:rsidRDefault="000A4614" w:rsidP="000A4614">
            <w:pPr>
              <w:spacing w:before="0" w:after="0"/>
              <w:rPr>
                <w:rFonts w:cstheme="minorHAnsi"/>
              </w:rPr>
            </w:pPr>
            <w:r w:rsidRPr="00C67650">
              <w:rPr>
                <w:rFonts w:cstheme="minorHAnsi"/>
              </w:rPr>
              <w:t xml:space="preserve">Secretaria de Hacienda y Crédito Público </w:t>
            </w:r>
          </w:p>
        </w:tc>
      </w:tr>
      <w:tr w:rsidR="000A4614" w:rsidRPr="00D652EE" w14:paraId="31BB8F02" w14:textId="77777777" w:rsidTr="000F3860">
        <w:tc>
          <w:tcPr>
            <w:tcW w:w="1843" w:type="dxa"/>
            <w:shd w:val="clear" w:color="auto" w:fill="auto"/>
          </w:tcPr>
          <w:p w14:paraId="0BF08F79" w14:textId="77777777" w:rsidR="000A4614" w:rsidRPr="00C67650" w:rsidRDefault="000A4614" w:rsidP="00054D7B">
            <w:pPr>
              <w:spacing w:before="0" w:after="0"/>
              <w:rPr>
                <w:rFonts w:cstheme="minorHAnsi"/>
              </w:rPr>
            </w:pPr>
            <w:r w:rsidRPr="00C67650">
              <w:rPr>
                <w:rFonts w:cstheme="minorHAnsi"/>
              </w:rPr>
              <w:t>SIDET</w:t>
            </w:r>
          </w:p>
        </w:tc>
        <w:tc>
          <w:tcPr>
            <w:tcW w:w="8079" w:type="dxa"/>
            <w:shd w:val="clear" w:color="auto" w:fill="auto"/>
          </w:tcPr>
          <w:p w14:paraId="26BCBD6C" w14:textId="77777777" w:rsidR="000A4614" w:rsidRPr="00C67650" w:rsidRDefault="000A4614" w:rsidP="000A4614">
            <w:pPr>
              <w:spacing w:before="0" w:after="0"/>
              <w:rPr>
                <w:rFonts w:cstheme="minorHAnsi"/>
              </w:rPr>
            </w:pPr>
            <w:r w:rsidRPr="00C67650">
              <w:rPr>
                <w:rFonts w:cstheme="minorHAnsi"/>
              </w:rPr>
              <w:t>Sistema de Dictaminación de Expedientes Técnicos</w:t>
            </w:r>
          </w:p>
        </w:tc>
      </w:tr>
      <w:tr w:rsidR="000A4614" w:rsidRPr="00D652EE" w14:paraId="141CEF14" w14:textId="77777777" w:rsidTr="000F3860">
        <w:tc>
          <w:tcPr>
            <w:tcW w:w="1843" w:type="dxa"/>
            <w:shd w:val="clear" w:color="auto" w:fill="auto"/>
          </w:tcPr>
          <w:p w14:paraId="036A111A" w14:textId="77777777" w:rsidR="000A4614" w:rsidRPr="00C67650" w:rsidRDefault="000A4614" w:rsidP="00054D7B">
            <w:pPr>
              <w:spacing w:before="0" w:after="0"/>
              <w:rPr>
                <w:rFonts w:cstheme="minorHAnsi"/>
              </w:rPr>
            </w:pPr>
            <w:r w:rsidRPr="00C67650">
              <w:rPr>
                <w:rFonts w:cstheme="minorHAnsi"/>
              </w:rPr>
              <w:t>SIFAP</w:t>
            </w:r>
          </w:p>
        </w:tc>
        <w:tc>
          <w:tcPr>
            <w:tcW w:w="8079" w:type="dxa"/>
            <w:shd w:val="clear" w:color="auto" w:fill="auto"/>
          </w:tcPr>
          <w:p w14:paraId="171ECFF7" w14:textId="77777777" w:rsidR="000A4614" w:rsidRPr="00C67650" w:rsidRDefault="000A4614" w:rsidP="000A4614">
            <w:pPr>
              <w:spacing w:before="0" w:after="0"/>
              <w:rPr>
                <w:rFonts w:cstheme="minorHAnsi"/>
              </w:rPr>
            </w:pPr>
            <w:r w:rsidRPr="00C67650">
              <w:rPr>
                <w:rFonts w:cstheme="minorHAnsi"/>
              </w:rPr>
              <w:t>Sistema de Finanzas y Administración Pública</w:t>
            </w:r>
          </w:p>
        </w:tc>
      </w:tr>
      <w:tr w:rsidR="000A4614" w:rsidRPr="00D652EE" w14:paraId="2DC693D1" w14:textId="77777777" w:rsidTr="000F3860">
        <w:tc>
          <w:tcPr>
            <w:tcW w:w="1843" w:type="dxa"/>
            <w:shd w:val="clear" w:color="auto" w:fill="auto"/>
          </w:tcPr>
          <w:p w14:paraId="350C9C85" w14:textId="77777777" w:rsidR="000A4614" w:rsidRPr="00C67650" w:rsidRDefault="000A4614" w:rsidP="00054D7B">
            <w:pPr>
              <w:spacing w:before="0" w:after="0"/>
              <w:rPr>
                <w:rFonts w:cstheme="minorHAnsi"/>
              </w:rPr>
            </w:pPr>
            <w:r w:rsidRPr="00C67650">
              <w:rPr>
                <w:rFonts w:cstheme="minorHAnsi"/>
              </w:rPr>
              <w:t>SIIPPED</w:t>
            </w:r>
          </w:p>
        </w:tc>
        <w:tc>
          <w:tcPr>
            <w:tcW w:w="8079" w:type="dxa"/>
            <w:shd w:val="clear" w:color="auto" w:fill="auto"/>
          </w:tcPr>
          <w:p w14:paraId="3FDD7461" w14:textId="77777777" w:rsidR="000A4614" w:rsidRPr="00C67650" w:rsidRDefault="000A4614" w:rsidP="000A4614">
            <w:pPr>
              <w:spacing w:before="0" w:after="0"/>
              <w:rPr>
                <w:rFonts w:cstheme="minorHAnsi"/>
              </w:rPr>
            </w:pPr>
            <w:r w:rsidRPr="00C67650">
              <w:rPr>
                <w:rFonts w:cstheme="minorHAnsi"/>
              </w:rPr>
              <w:t>Sistema Integrador de Ingresos, Programación, Presupuesto y Evaluación del Desempeño</w:t>
            </w:r>
          </w:p>
        </w:tc>
      </w:tr>
      <w:tr w:rsidR="000A4614" w:rsidRPr="00D652EE" w14:paraId="4ABEC176" w14:textId="77777777" w:rsidTr="000F3860">
        <w:tc>
          <w:tcPr>
            <w:tcW w:w="1843" w:type="dxa"/>
            <w:shd w:val="clear" w:color="auto" w:fill="auto"/>
          </w:tcPr>
          <w:p w14:paraId="362185F4" w14:textId="77777777" w:rsidR="000A4614" w:rsidRPr="00C67650" w:rsidRDefault="000A4614" w:rsidP="00054D7B">
            <w:pPr>
              <w:spacing w:before="0" w:after="0"/>
              <w:rPr>
                <w:rFonts w:cstheme="minorHAnsi"/>
              </w:rPr>
            </w:pPr>
            <w:r w:rsidRPr="00C67650">
              <w:rPr>
                <w:rFonts w:cstheme="minorHAnsi"/>
              </w:rPr>
              <w:t>SIMIR</w:t>
            </w:r>
          </w:p>
        </w:tc>
        <w:tc>
          <w:tcPr>
            <w:tcW w:w="8079" w:type="dxa"/>
            <w:shd w:val="clear" w:color="auto" w:fill="auto"/>
          </w:tcPr>
          <w:p w14:paraId="3F1CB0FD" w14:textId="77777777" w:rsidR="000A4614" w:rsidRPr="00C67650" w:rsidRDefault="000A4614" w:rsidP="000A4614">
            <w:pPr>
              <w:spacing w:before="0" w:after="0"/>
              <w:rPr>
                <w:rFonts w:cstheme="minorHAnsi"/>
              </w:rPr>
            </w:pPr>
            <w:r w:rsidRPr="00C67650">
              <w:rPr>
                <w:rFonts w:cstheme="minorHAnsi"/>
              </w:rPr>
              <w:t>Sistema de Monitoreo de Indicadores para Resultados</w:t>
            </w:r>
          </w:p>
        </w:tc>
      </w:tr>
      <w:tr w:rsidR="000A4614" w:rsidRPr="00D652EE" w14:paraId="4B221375" w14:textId="77777777" w:rsidTr="000F3860">
        <w:tc>
          <w:tcPr>
            <w:tcW w:w="1843" w:type="dxa"/>
            <w:shd w:val="clear" w:color="auto" w:fill="auto"/>
          </w:tcPr>
          <w:p w14:paraId="1310A6C2" w14:textId="77777777" w:rsidR="000A4614" w:rsidRPr="00C67650" w:rsidRDefault="000A4614" w:rsidP="00054D7B">
            <w:pPr>
              <w:spacing w:before="0" w:after="0"/>
              <w:rPr>
                <w:rFonts w:cstheme="minorHAnsi"/>
              </w:rPr>
            </w:pPr>
            <w:r w:rsidRPr="00C67650">
              <w:rPr>
                <w:rFonts w:cstheme="minorHAnsi"/>
              </w:rPr>
              <w:t>SOPOT</w:t>
            </w:r>
          </w:p>
        </w:tc>
        <w:tc>
          <w:tcPr>
            <w:tcW w:w="8079" w:type="dxa"/>
            <w:shd w:val="clear" w:color="auto" w:fill="auto"/>
          </w:tcPr>
          <w:p w14:paraId="00DA209F" w14:textId="77777777" w:rsidR="000A4614" w:rsidRPr="00C67650" w:rsidRDefault="000A4614" w:rsidP="000A4614">
            <w:pPr>
              <w:spacing w:before="0" w:after="0"/>
              <w:rPr>
                <w:rFonts w:cstheme="minorHAnsi"/>
              </w:rPr>
            </w:pPr>
            <w:r w:rsidRPr="00C67650">
              <w:rPr>
                <w:rFonts w:cstheme="minorHAnsi"/>
              </w:rPr>
              <w:t>Secretaría de Obras Públicas y Ordenamiento Territorial</w:t>
            </w:r>
          </w:p>
        </w:tc>
      </w:tr>
      <w:tr w:rsidR="000A4614" w:rsidRPr="00D652EE" w14:paraId="4ACBBEA0" w14:textId="77777777" w:rsidTr="000F3860">
        <w:tc>
          <w:tcPr>
            <w:tcW w:w="1843" w:type="dxa"/>
            <w:shd w:val="clear" w:color="auto" w:fill="auto"/>
          </w:tcPr>
          <w:p w14:paraId="755142F9" w14:textId="77777777" w:rsidR="000A4614" w:rsidRPr="00C67650" w:rsidRDefault="000A4614" w:rsidP="00054D7B">
            <w:pPr>
              <w:spacing w:before="0" w:after="0"/>
              <w:rPr>
                <w:rFonts w:cstheme="minorHAnsi"/>
              </w:rPr>
            </w:pPr>
            <w:r w:rsidRPr="00C67650">
              <w:rPr>
                <w:rFonts w:cstheme="minorHAnsi"/>
              </w:rPr>
              <w:t>SRFT</w:t>
            </w:r>
          </w:p>
        </w:tc>
        <w:tc>
          <w:tcPr>
            <w:tcW w:w="8079" w:type="dxa"/>
            <w:shd w:val="clear" w:color="auto" w:fill="auto"/>
          </w:tcPr>
          <w:p w14:paraId="49833D19" w14:textId="77777777" w:rsidR="000A4614" w:rsidRPr="00C67650" w:rsidRDefault="000A4614" w:rsidP="000A4614">
            <w:pPr>
              <w:spacing w:before="0" w:after="0"/>
              <w:rPr>
                <w:rFonts w:cstheme="minorHAnsi"/>
              </w:rPr>
            </w:pPr>
            <w:r w:rsidRPr="00C67650">
              <w:rPr>
                <w:rFonts w:cstheme="minorHAnsi"/>
              </w:rPr>
              <w:t>Sistema de Reporte de Recursos Federales Transferidos</w:t>
            </w:r>
          </w:p>
        </w:tc>
      </w:tr>
      <w:tr w:rsidR="000A4614" w:rsidRPr="00D652EE" w14:paraId="500E9C4A" w14:textId="77777777" w:rsidTr="000F3860">
        <w:tc>
          <w:tcPr>
            <w:tcW w:w="1843" w:type="dxa"/>
            <w:shd w:val="clear" w:color="auto" w:fill="auto"/>
          </w:tcPr>
          <w:p w14:paraId="055CD21A" w14:textId="77777777" w:rsidR="000A4614" w:rsidRPr="00C67650" w:rsidRDefault="000A4614" w:rsidP="00054D7B">
            <w:pPr>
              <w:spacing w:before="0" w:after="0"/>
              <w:rPr>
                <w:rFonts w:cstheme="minorHAnsi"/>
              </w:rPr>
            </w:pPr>
            <w:r w:rsidRPr="00C67650">
              <w:rPr>
                <w:rFonts w:cstheme="minorHAnsi"/>
              </w:rPr>
              <w:t>SSH</w:t>
            </w:r>
          </w:p>
        </w:tc>
        <w:tc>
          <w:tcPr>
            <w:tcW w:w="8079" w:type="dxa"/>
            <w:shd w:val="clear" w:color="auto" w:fill="auto"/>
          </w:tcPr>
          <w:p w14:paraId="54F4D7FB" w14:textId="77777777" w:rsidR="000A4614" w:rsidRPr="00C67650" w:rsidRDefault="000A4614" w:rsidP="000A4614">
            <w:pPr>
              <w:spacing w:before="0" w:after="0"/>
              <w:rPr>
                <w:rFonts w:cstheme="minorHAnsi"/>
              </w:rPr>
            </w:pPr>
            <w:r w:rsidRPr="00C67650">
              <w:rPr>
                <w:rFonts w:cstheme="minorHAnsi"/>
              </w:rPr>
              <w:t>Secretaría de Salud de Hidalgo</w:t>
            </w:r>
          </w:p>
        </w:tc>
      </w:tr>
      <w:tr w:rsidR="000A4614" w:rsidRPr="00D652EE" w14:paraId="2F53B17F" w14:textId="77777777" w:rsidTr="000F3860">
        <w:tc>
          <w:tcPr>
            <w:tcW w:w="1843" w:type="dxa"/>
            <w:shd w:val="clear" w:color="auto" w:fill="auto"/>
          </w:tcPr>
          <w:p w14:paraId="5B8E9022" w14:textId="77777777" w:rsidR="000A4614" w:rsidRPr="00C67650" w:rsidRDefault="000A4614" w:rsidP="00054D7B">
            <w:pPr>
              <w:spacing w:before="0" w:after="0"/>
              <w:rPr>
                <w:rFonts w:cstheme="minorHAnsi"/>
              </w:rPr>
            </w:pPr>
            <w:r w:rsidRPr="00C67650">
              <w:rPr>
                <w:rFonts w:cstheme="minorHAnsi"/>
              </w:rPr>
              <w:t>TdR</w:t>
            </w:r>
          </w:p>
        </w:tc>
        <w:tc>
          <w:tcPr>
            <w:tcW w:w="8079" w:type="dxa"/>
            <w:shd w:val="clear" w:color="auto" w:fill="auto"/>
          </w:tcPr>
          <w:p w14:paraId="073C4C9C" w14:textId="77777777" w:rsidR="000A4614" w:rsidRPr="00C67650" w:rsidRDefault="000A4614" w:rsidP="000A4614">
            <w:pPr>
              <w:spacing w:before="0" w:after="0"/>
              <w:rPr>
                <w:rFonts w:cstheme="minorHAnsi"/>
              </w:rPr>
            </w:pPr>
            <w:r w:rsidRPr="00C67650">
              <w:rPr>
                <w:rFonts w:cstheme="minorHAnsi"/>
              </w:rPr>
              <w:t>Términos de Referencia diseñados para la evaluación</w:t>
            </w:r>
          </w:p>
        </w:tc>
      </w:tr>
      <w:tr w:rsidR="000A4614" w:rsidRPr="00D652EE" w14:paraId="571CFFFE" w14:textId="77777777" w:rsidTr="000F3860">
        <w:tc>
          <w:tcPr>
            <w:tcW w:w="1843" w:type="dxa"/>
            <w:shd w:val="clear" w:color="auto" w:fill="auto"/>
          </w:tcPr>
          <w:p w14:paraId="38CD3126" w14:textId="77777777" w:rsidR="000A4614" w:rsidRPr="00C67650" w:rsidRDefault="000A4614" w:rsidP="00054D7B">
            <w:pPr>
              <w:spacing w:before="0" w:after="0"/>
              <w:rPr>
                <w:rFonts w:cstheme="minorHAnsi"/>
              </w:rPr>
            </w:pPr>
            <w:r w:rsidRPr="00C67650">
              <w:rPr>
                <w:rFonts w:cstheme="minorHAnsi"/>
              </w:rPr>
              <w:t>UED</w:t>
            </w:r>
          </w:p>
        </w:tc>
        <w:tc>
          <w:tcPr>
            <w:tcW w:w="8079" w:type="dxa"/>
            <w:shd w:val="clear" w:color="auto" w:fill="auto"/>
          </w:tcPr>
          <w:p w14:paraId="32E35ABE" w14:textId="77777777" w:rsidR="000A4614" w:rsidRPr="00C67650" w:rsidRDefault="000A4614" w:rsidP="000A4614">
            <w:pPr>
              <w:spacing w:before="0" w:after="0"/>
              <w:rPr>
                <w:rFonts w:cstheme="minorHAnsi"/>
              </w:rPr>
            </w:pPr>
            <w:r w:rsidRPr="00C67650">
              <w:rPr>
                <w:rFonts w:cstheme="minorHAnsi"/>
              </w:rPr>
              <w:t>Unidad de Evaluación de Desempeño de la SHCP</w:t>
            </w:r>
          </w:p>
        </w:tc>
      </w:tr>
      <w:tr w:rsidR="000A4614" w:rsidRPr="00D652EE" w14:paraId="3D519EBD" w14:textId="77777777" w:rsidTr="000F3860">
        <w:tc>
          <w:tcPr>
            <w:tcW w:w="1843" w:type="dxa"/>
            <w:shd w:val="clear" w:color="auto" w:fill="auto"/>
          </w:tcPr>
          <w:p w14:paraId="0E958C5E" w14:textId="77777777" w:rsidR="000A4614" w:rsidRPr="00C67650" w:rsidRDefault="000A4614" w:rsidP="00054D7B">
            <w:pPr>
              <w:spacing w:before="0" w:after="0"/>
              <w:rPr>
                <w:rFonts w:cstheme="minorHAnsi"/>
              </w:rPr>
            </w:pPr>
            <w:r w:rsidRPr="00C67650">
              <w:rPr>
                <w:rFonts w:cstheme="minorHAnsi"/>
              </w:rPr>
              <w:t>UPLAPH</w:t>
            </w:r>
          </w:p>
        </w:tc>
        <w:tc>
          <w:tcPr>
            <w:tcW w:w="8079" w:type="dxa"/>
            <w:shd w:val="clear" w:color="auto" w:fill="auto"/>
          </w:tcPr>
          <w:p w14:paraId="1A36A481" w14:textId="77777777" w:rsidR="000A4614" w:rsidRPr="00C67650" w:rsidRDefault="000A4614" w:rsidP="000A4614">
            <w:pPr>
              <w:spacing w:before="0" w:after="0"/>
              <w:rPr>
                <w:rFonts w:cstheme="minorHAnsi"/>
              </w:rPr>
            </w:pPr>
            <w:r w:rsidRPr="00C67650">
              <w:rPr>
                <w:rFonts w:cstheme="minorHAnsi"/>
              </w:rPr>
              <w:t>Unidad de Planeación y Prospectiva de Hidalgo</w:t>
            </w:r>
          </w:p>
        </w:tc>
      </w:tr>
      <w:tr w:rsidR="000A4614" w:rsidRPr="00D652EE" w14:paraId="242847DD" w14:textId="77777777" w:rsidTr="000F3860">
        <w:tc>
          <w:tcPr>
            <w:tcW w:w="1843" w:type="dxa"/>
            <w:shd w:val="clear" w:color="auto" w:fill="auto"/>
          </w:tcPr>
          <w:p w14:paraId="7F438323" w14:textId="77777777" w:rsidR="000A4614" w:rsidRPr="00C67650" w:rsidRDefault="000A4614" w:rsidP="00054D7B">
            <w:pPr>
              <w:spacing w:before="0" w:after="0"/>
              <w:rPr>
                <w:rFonts w:cstheme="minorHAnsi"/>
              </w:rPr>
            </w:pPr>
            <w:r w:rsidRPr="00C67650">
              <w:rPr>
                <w:rFonts w:cstheme="minorHAnsi"/>
              </w:rPr>
              <w:t>UTED</w:t>
            </w:r>
          </w:p>
        </w:tc>
        <w:tc>
          <w:tcPr>
            <w:tcW w:w="8079" w:type="dxa"/>
            <w:shd w:val="clear" w:color="auto" w:fill="auto"/>
          </w:tcPr>
          <w:p w14:paraId="5C0AC4AF" w14:textId="77777777" w:rsidR="000A4614" w:rsidRPr="00C67650" w:rsidRDefault="000A4614" w:rsidP="000A4614">
            <w:pPr>
              <w:spacing w:before="0" w:after="0"/>
              <w:rPr>
                <w:rFonts w:cstheme="minorHAnsi"/>
              </w:rPr>
            </w:pPr>
            <w:r w:rsidRPr="00C67650">
              <w:rPr>
                <w:rFonts w:cstheme="minorHAnsi"/>
              </w:rPr>
              <w:t>Unidad Técnica de Evaluación del Desempeño de Hidalgo</w:t>
            </w:r>
          </w:p>
        </w:tc>
      </w:tr>
    </w:tbl>
    <w:p w14:paraId="51DC3100" w14:textId="123701B7" w:rsidR="0054355A" w:rsidRDefault="0054355A" w:rsidP="0054355A"/>
    <w:p w14:paraId="2B40C454" w14:textId="77777777" w:rsidR="000A4614" w:rsidRPr="0054355A" w:rsidRDefault="000A4614" w:rsidP="0054355A">
      <w:pPr>
        <w:sectPr w:rsidR="000A4614" w:rsidRPr="0054355A" w:rsidSect="0064070D">
          <w:pgSz w:w="12240" w:h="15840" w:code="1"/>
          <w:pgMar w:top="1134" w:right="1134" w:bottom="1134" w:left="1134" w:header="709" w:footer="709" w:gutter="0"/>
          <w:pgNumType w:fmt="lowerRoman"/>
          <w:cols w:space="708"/>
          <w:docGrid w:linePitch="360"/>
        </w:sectPr>
      </w:pPr>
    </w:p>
    <w:p w14:paraId="729E3AF3" w14:textId="2FE90450" w:rsidR="00550792" w:rsidRDefault="00B75769" w:rsidP="00B75769">
      <w:pPr>
        <w:pStyle w:val="Ttulo1"/>
        <w:ind w:left="1080"/>
      </w:pPr>
      <w:bookmarkStart w:id="4" w:name="_Toc56423697"/>
      <w:r>
        <w:lastRenderedPageBreak/>
        <w:t xml:space="preserve">I. </w:t>
      </w:r>
      <w:r w:rsidR="00550792">
        <w:t xml:space="preserve">Resumen </w:t>
      </w:r>
      <w:r w:rsidR="00A009EE">
        <w:t>E</w:t>
      </w:r>
      <w:r w:rsidR="00550792">
        <w:t>jecutivo</w:t>
      </w:r>
      <w:bookmarkEnd w:id="4"/>
    </w:p>
    <w:p w14:paraId="50BF258D" w14:textId="190C98BE" w:rsidR="00C30BCF" w:rsidRPr="00C30BCF" w:rsidRDefault="00C30BCF" w:rsidP="00C30BCF">
      <w:pPr>
        <w:rPr>
          <w:rFonts w:ascii="Calibri" w:eastAsia="Calibri" w:hAnsi="Calibri" w:cs="Times New Roman"/>
        </w:rPr>
      </w:pPr>
      <w:r w:rsidRPr="00C30BCF">
        <w:rPr>
          <w:rFonts w:ascii="Calibri" w:eastAsia="Calibri" w:hAnsi="Calibri" w:cs="Times New Roman"/>
        </w:rPr>
        <w:t xml:space="preserve">La presente evaluación forma parte del Sistema de Evaluación del Desempeño (SED), mecanismo que permite conocer los resultados de la aplicación de los recursos públicos federales y el impacto de los programas y políticas de la Administración Pública Federal (APF). La </w:t>
      </w:r>
      <w:r w:rsidRPr="00C30BCF">
        <w:rPr>
          <w:rFonts w:ascii="Calibri" w:eastAsia="Calibri" w:hAnsi="Calibri" w:cs="Times New Roman"/>
          <w:b/>
          <w:bCs/>
        </w:rPr>
        <w:t>Evaluación Estratégica del Fondo de Aportaciones para el Fortalecimiento de las Entidades Federativas (FAFEF) en el Estado de Hidalgo</w:t>
      </w:r>
      <w:r w:rsidRPr="00C30BCF">
        <w:rPr>
          <w:rFonts w:ascii="Calibri" w:eastAsia="Calibri" w:hAnsi="Calibri" w:cs="Times New Roman"/>
        </w:rPr>
        <w:t>, en el marco del Programa Anual de Evaluación (PAE 2018), tiene el objetivo de “</w:t>
      </w:r>
      <w:r w:rsidRPr="00C30BCF">
        <w:rPr>
          <w:rFonts w:ascii="Calibri" w:eastAsia="Calibri" w:hAnsi="Calibri" w:cs="Times New Roman"/>
          <w:i/>
          <w:iCs/>
        </w:rPr>
        <w:t xml:space="preserve">Analizar y valorar la operación del FAFEF y su orientación a resultados en el </w:t>
      </w:r>
      <w:r w:rsidR="002F1260">
        <w:rPr>
          <w:rFonts w:ascii="Calibri" w:eastAsia="Calibri" w:hAnsi="Calibri" w:cs="Times New Roman"/>
          <w:i/>
          <w:iCs/>
        </w:rPr>
        <w:t>E</w:t>
      </w:r>
      <w:r w:rsidR="002F1260" w:rsidRPr="00C30BCF">
        <w:rPr>
          <w:rFonts w:ascii="Calibri" w:eastAsia="Calibri" w:hAnsi="Calibri" w:cs="Times New Roman"/>
          <w:i/>
          <w:iCs/>
        </w:rPr>
        <w:t xml:space="preserve">stado </w:t>
      </w:r>
      <w:r w:rsidRPr="00C30BCF">
        <w:rPr>
          <w:rFonts w:ascii="Calibri" w:eastAsia="Calibri" w:hAnsi="Calibri" w:cs="Times New Roman"/>
          <w:i/>
          <w:iCs/>
        </w:rPr>
        <w:t>de Hidalgo, para la identificación de áreas de mejora que mediante su atención permitan mejorar su operación y desempeño</w:t>
      </w:r>
      <w:r w:rsidRPr="00C30BCF">
        <w:rPr>
          <w:rFonts w:ascii="Calibri" w:eastAsia="Calibri" w:hAnsi="Calibri" w:cs="Times New Roman"/>
        </w:rPr>
        <w:t>”.</w:t>
      </w:r>
    </w:p>
    <w:p w14:paraId="5010817E" w14:textId="77777777" w:rsidR="00C30BCF" w:rsidRPr="00C30BCF" w:rsidRDefault="00C30BCF" w:rsidP="00C30BCF">
      <w:pPr>
        <w:rPr>
          <w:rFonts w:ascii="Calibri" w:eastAsia="Calibri" w:hAnsi="Calibri" w:cs="Times New Roman"/>
        </w:rPr>
      </w:pPr>
      <w:r w:rsidRPr="00C30BCF">
        <w:rPr>
          <w:rFonts w:ascii="Calibri" w:eastAsia="Calibri" w:hAnsi="Calibri" w:cs="Times New Roman"/>
        </w:rPr>
        <w:t xml:space="preserve">La evaluación se realizó de acuerdo con lo establecido en el Modelo de Términos de Referencia (TdR) para la Evaluación Estratégica al Fondo de Aportaciones para el Fortalecimiento de las Entidades Federativas (FAFEF) en el ámbito estatal, 2018, emitidos por la Unidad de Evaluación del Desempeño (UED) de la Secretaría de Hacienda y Crédito Público (SHCP). Para ello, se realizó trabajo de gabinete y trabajo de campo; el primero consistió en el análisis documental de la normativa federal y estatal relacionada, de los documentos conceptuales del Fondo, así como de la información proporcionada por la Dirección General de Programación y Presupuesto “A” (DGPyP “A”) la cual fue integrada por la Unidad de Coordinación con Entidades Federativas (UCEF) y de la información proporcionada por la Secretaría de Finanzas Públicas (SFP) del Gobierno del Estado de Hidalgo, entre otros documentos. Por su parte, el trabajo de campo consistió en la aplicación de una entrevista semiestructurada a funcionarios encargados de la operación del Fondo en la entidad federativa, la cual se aplicó vía electrónica y enlaces vía telefónica con la Subsecretaria de Programación de la SFP y con el director de la Unidad Técnica de Evaluación del Desempeño en el Estado de Hidalgo, el cuestionario a su vez fue turnado a los diferentes involucrados en la ejecución de los recursos del Fondo en el Estado. </w:t>
      </w:r>
    </w:p>
    <w:p w14:paraId="24448E80" w14:textId="27ABC8F4" w:rsidR="00C30BCF" w:rsidRPr="00C30BCF" w:rsidRDefault="00C30BCF" w:rsidP="00C30BCF">
      <w:pPr>
        <w:rPr>
          <w:rFonts w:ascii="Calibri" w:eastAsia="Calibri" w:hAnsi="Calibri" w:cs="Times New Roman"/>
        </w:rPr>
      </w:pPr>
      <w:r w:rsidRPr="00C30BCF">
        <w:rPr>
          <w:rFonts w:ascii="Calibri" w:eastAsia="Calibri" w:hAnsi="Calibri" w:cs="Times New Roman"/>
        </w:rPr>
        <w:t>El informe está conformado por siete módulos, los cuales responden a los objetivos y especificaciones del modelo de TdR. A continuación, se presenta un análisis breve con los aspectos más relevantes de la evaluación,</w:t>
      </w:r>
      <w:r w:rsidR="007C6C5E">
        <w:rPr>
          <w:rFonts w:ascii="Calibri" w:eastAsia="Calibri" w:hAnsi="Calibri" w:cs="Times New Roman"/>
        </w:rPr>
        <w:t xml:space="preserve"> así como de</w:t>
      </w:r>
      <w:r w:rsidRPr="00C30BCF">
        <w:rPr>
          <w:rFonts w:ascii="Calibri" w:eastAsia="Calibri" w:hAnsi="Calibri" w:cs="Times New Roman"/>
        </w:rPr>
        <w:t xml:space="preserve"> resultados de los principales hallazgos y recomendaciones.</w:t>
      </w:r>
    </w:p>
    <w:p w14:paraId="751B822A" w14:textId="60534BB7" w:rsidR="00C30BCF" w:rsidRPr="00C30BCF" w:rsidRDefault="00C30BCF" w:rsidP="00C30BCF">
      <w:pPr>
        <w:rPr>
          <w:rFonts w:ascii="Calibri" w:eastAsia="Calibri" w:hAnsi="Calibri" w:cs="Times New Roman"/>
          <w:b/>
          <w:bCs/>
        </w:rPr>
      </w:pPr>
      <w:r w:rsidRPr="00C30BCF">
        <w:rPr>
          <w:rFonts w:ascii="Calibri" w:eastAsia="Calibri" w:hAnsi="Calibri" w:cs="Times New Roman"/>
          <w:b/>
          <w:bCs/>
        </w:rPr>
        <w:t xml:space="preserve">Características del </w:t>
      </w:r>
      <w:r w:rsidR="00A009EE">
        <w:rPr>
          <w:rFonts w:ascii="Calibri" w:eastAsia="Calibri" w:hAnsi="Calibri" w:cs="Times New Roman"/>
          <w:b/>
          <w:bCs/>
        </w:rPr>
        <w:t>Fondo</w:t>
      </w:r>
      <w:r w:rsidRPr="00C30BCF">
        <w:rPr>
          <w:rFonts w:ascii="Calibri" w:eastAsia="Calibri" w:hAnsi="Calibri" w:cs="Times New Roman"/>
          <w:b/>
          <w:bCs/>
        </w:rPr>
        <w:t xml:space="preserve"> en Hidalgo</w:t>
      </w:r>
    </w:p>
    <w:p w14:paraId="2F56D433" w14:textId="77777777" w:rsidR="00D2203C" w:rsidRDefault="00D2203C" w:rsidP="005E1463">
      <w:pPr>
        <w:spacing w:after="0"/>
        <w:rPr>
          <w:rFonts w:ascii="Calibri" w:eastAsia="Calibri" w:hAnsi="Calibri" w:cs="Times New Roman"/>
        </w:rPr>
      </w:pPr>
      <w:r w:rsidRPr="00D2203C">
        <w:rPr>
          <w:rFonts w:ascii="Calibri" w:eastAsia="Calibri" w:hAnsi="Calibri" w:cs="Times New Roman"/>
        </w:rPr>
        <w:t>Los recursos del FAFEF tienen como marco normativo los Artículos 46 y 47 de la Ley de Coordinación Fiscal (LCF), su objetivo es fortalecer los presupuestos de las entidades federativas y podrán destinarse a: I. Inversión en infraestructura física; II. Saneamiento financiero; III. Saneamiento de pensiones; IV. Modernización de registros públicos e la propiedad y comercio locales, modernización de los catastros para hacer más eficiente la recaudación de contribuciones; V. Modernizar los sistemas de recaudación; VI. Fortalecimiento de proyectos de investigación científica y tecnológica; VII. Sistemas de protección civil, VIII. Apoyar la educación pública y IX. Apoyar proyectos de infraestructura concesionada o donde se combinen recursos públicos y privados.</w:t>
      </w:r>
    </w:p>
    <w:p w14:paraId="5D43C1A1" w14:textId="31177328" w:rsidR="00C251BD" w:rsidRDefault="00C30BCF" w:rsidP="005E1463">
      <w:pPr>
        <w:spacing w:after="0"/>
        <w:rPr>
          <w:rFonts w:ascii="Calibri" w:eastAsia="Calibri" w:hAnsi="Calibri" w:cs="Times New Roman"/>
        </w:rPr>
      </w:pPr>
      <w:r w:rsidRPr="00C30BCF">
        <w:rPr>
          <w:rFonts w:ascii="Calibri" w:eastAsia="Calibri" w:hAnsi="Calibri" w:cs="Times New Roman"/>
        </w:rPr>
        <w:t xml:space="preserve">En el ejercicio fiscal 2018, el </w:t>
      </w:r>
      <w:r w:rsidR="00CF142A">
        <w:rPr>
          <w:rFonts w:ascii="Calibri" w:eastAsia="Calibri" w:hAnsi="Calibri" w:cs="Times New Roman"/>
        </w:rPr>
        <w:t>E</w:t>
      </w:r>
      <w:r w:rsidRPr="00C30BCF">
        <w:rPr>
          <w:rFonts w:ascii="Calibri" w:eastAsia="Calibri" w:hAnsi="Calibri" w:cs="Times New Roman"/>
        </w:rPr>
        <w:t>stado de Hidalgo recibió recursos del FAFEF por un monto de 1,029.73 mdp, de los cuales de conformidad con los rubros de gasto establecidos en el Artículo 47 de LCF, se destinaron a:</w:t>
      </w:r>
    </w:p>
    <w:p w14:paraId="350E6F46" w14:textId="7168A74D" w:rsidR="00C251BD" w:rsidRPr="005E1463" w:rsidRDefault="00D50578" w:rsidP="00771353">
      <w:pPr>
        <w:pStyle w:val="Prrafodelista"/>
        <w:ind w:left="567"/>
        <w:contextualSpacing w:val="0"/>
        <w:rPr>
          <w:rFonts w:ascii="Calibri" w:eastAsia="Calibri" w:hAnsi="Calibri" w:cs="Times New Roman"/>
        </w:rPr>
      </w:pPr>
      <w:r w:rsidRPr="00771353">
        <w:rPr>
          <w:rFonts w:ascii="Calibri" w:eastAsia="Calibri" w:hAnsi="Calibri" w:cs="Times New Roman"/>
          <w:b/>
        </w:rPr>
        <w:t xml:space="preserve">I. </w:t>
      </w:r>
      <w:r w:rsidR="00C251BD" w:rsidRPr="00771353">
        <w:rPr>
          <w:rFonts w:ascii="Calibri" w:eastAsia="Calibri" w:hAnsi="Calibri" w:cs="Times New Roman"/>
          <w:b/>
        </w:rPr>
        <w:t>I</w:t>
      </w:r>
      <w:r w:rsidR="00C30BCF" w:rsidRPr="00771353">
        <w:rPr>
          <w:rFonts w:ascii="Calibri" w:eastAsia="Calibri" w:hAnsi="Calibri" w:cs="Times New Roman"/>
          <w:b/>
        </w:rPr>
        <w:t>nversión en infraestructura física</w:t>
      </w:r>
      <w:r w:rsidR="00C30BCF" w:rsidRPr="005E1463">
        <w:rPr>
          <w:rFonts w:ascii="Calibri" w:eastAsia="Calibri" w:hAnsi="Calibri" w:cs="Times New Roman"/>
        </w:rPr>
        <w:t xml:space="preserve"> por un monto de 671.97 mdp (65.26 %);</w:t>
      </w:r>
    </w:p>
    <w:p w14:paraId="55FFE2E1" w14:textId="7CE78893" w:rsidR="00C251BD" w:rsidRDefault="00D50578" w:rsidP="00771353">
      <w:pPr>
        <w:pStyle w:val="Prrafodelista"/>
        <w:ind w:left="567"/>
        <w:contextualSpacing w:val="0"/>
        <w:rPr>
          <w:rFonts w:ascii="Calibri" w:eastAsia="Calibri" w:hAnsi="Calibri" w:cs="Times New Roman"/>
        </w:rPr>
      </w:pPr>
      <w:r w:rsidRPr="00771353">
        <w:rPr>
          <w:rFonts w:ascii="Calibri" w:eastAsia="Calibri" w:hAnsi="Calibri" w:cs="Times New Roman"/>
          <w:b/>
        </w:rPr>
        <w:t xml:space="preserve">II. </w:t>
      </w:r>
      <w:r w:rsidR="00C251BD" w:rsidRPr="00771353">
        <w:rPr>
          <w:rFonts w:ascii="Calibri" w:eastAsia="Calibri" w:hAnsi="Calibri" w:cs="Times New Roman"/>
          <w:b/>
        </w:rPr>
        <w:t>S</w:t>
      </w:r>
      <w:r w:rsidR="00C30BCF" w:rsidRPr="00771353">
        <w:rPr>
          <w:rFonts w:ascii="Calibri" w:eastAsia="Calibri" w:hAnsi="Calibri" w:cs="Times New Roman"/>
          <w:b/>
        </w:rPr>
        <w:t>aneamiento financiero</w:t>
      </w:r>
      <w:r w:rsidR="00C30BCF" w:rsidRPr="005E1463">
        <w:rPr>
          <w:rFonts w:ascii="Calibri" w:eastAsia="Calibri" w:hAnsi="Calibri" w:cs="Times New Roman"/>
        </w:rPr>
        <w:t xml:space="preserve"> a través de la amortización de la deuda pública por 250.77 mdp (24.35%); </w:t>
      </w:r>
    </w:p>
    <w:p w14:paraId="3871821A" w14:textId="311076AC" w:rsidR="00C251BD" w:rsidRDefault="00D50578" w:rsidP="00771353">
      <w:pPr>
        <w:pStyle w:val="Prrafodelista"/>
        <w:ind w:left="567"/>
        <w:contextualSpacing w:val="0"/>
        <w:rPr>
          <w:rFonts w:ascii="Calibri" w:eastAsia="Calibri" w:hAnsi="Calibri" w:cs="Times New Roman"/>
        </w:rPr>
      </w:pPr>
      <w:r w:rsidRPr="00771353">
        <w:rPr>
          <w:rFonts w:ascii="Calibri" w:eastAsia="Calibri" w:hAnsi="Calibri" w:cs="Times New Roman"/>
          <w:b/>
        </w:rPr>
        <w:t xml:space="preserve">IV. </w:t>
      </w:r>
      <w:r w:rsidR="00C251BD" w:rsidRPr="00771353">
        <w:rPr>
          <w:rFonts w:ascii="Calibri" w:eastAsia="Calibri" w:hAnsi="Calibri" w:cs="Times New Roman"/>
          <w:b/>
        </w:rPr>
        <w:t>Modernización de los registros públicos de la propiedad y del comercio locales</w:t>
      </w:r>
      <w:r w:rsidR="00C251BD" w:rsidRPr="00BD2801">
        <w:rPr>
          <w:rFonts w:ascii="Calibri" w:eastAsia="Calibri" w:hAnsi="Calibri" w:cs="Times New Roman"/>
        </w:rPr>
        <w:t xml:space="preserve"> 9.97 mdp (0.97%) y;</w:t>
      </w:r>
    </w:p>
    <w:p w14:paraId="71103ECC" w14:textId="5D32D5FA" w:rsidR="00C30BCF" w:rsidRPr="005E1463" w:rsidRDefault="00D50578" w:rsidP="00771353">
      <w:pPr>
        <w:pStyle w:val="Prrafodelista"/>
        <w:ind w:left="567"/>
        <w:contextualSpacing w:val="0"/>
      </w:pPr>
      <w:r w:rsidRPr="00771353">
        <w:rPr>
          <w:rFonts w:ascii="Calibri" w:eastAsia="Calibri" w:hAnsi="Calibri" w:cs="Times New Roman"/>
          <w:b/>
        </w:rPr>
        <w:t xml:space="preserve">VIII. </w:t>
      </w:r>
      <w:r w:rsidR="00C251BD" w:rsidRPr="00771353">
        <w:rPr>
          <w:rFonts w:ascii="Calibri" w:eastAsia="Calibri" w:hAnsi="Calibri" w:cs="Times New Roman"/>
          <w:b/>
        </w:rPr>
        <w:t>P</w:t>
      </w:r>
      <w:r w:rsidR="00C30BCF" w:rsidRPr="00771353">
        <w:rPr>
          <w:rFonts w:ascii="Calibri" w:eastAsia="Calibri" w:hAnsi="Calibri" w:cs="Times New Roman"/>
          <w:b/>
        </w:rPr>
        <w:t>ara apoyar la educación pública</w:t>
      </w:r>
      <w:r w:rsidR="00C30BCF" w:rsidRPr="005E1463">
        <w:rPr>
          <w:rFonts w:ascii="Calibri" w:eastAsia="Calibri" w:hAnsi="Calibri" w:cs="Times New Roman"/>
        </w:rPr>
        <w:t xml:space="preserve"> 97 mdp (9.42 %)</w:t>
      </w:r>
      <w:r w:rsidR="00C251BD" w:rsidRPr="00BD2801">
        <w:rPr>
          <w:rFonts w:ascii="Calibri" w:eastAsia="Calibri" w:hAnsi="Calibri" w:cs="Times New Roman"/>
        </w:rPr>
        <w:t>.</w:t>
      </w:r>
      <w:r w:rsidR="00C30BCF" w:rsidRPr="005E1463">
        <w:t xml:space="preserve"> </w:t>
      </w:r>
    </w:p>
    <w:p w14:paraId="32E58805" w14:textId="0247C90B" w:rsidR="00C06792" w:rsidRDefault="00C30BCF" w:rsidP="00C30BCF">
      <w:pPr>
        <w:rPr>
          <w:rFonts w:ascii="Calibri" w:eastAsia="Calibri" w:hAnsi="Calibri" w:cs="Times New Roman"/>
        </w:rPr>
      </w:pPr>
      <w:r w:rsidRPr="00C30BCF">
        <w:rPr>
          <w:rFonts w:ascii="Calibri" w:eastAsia="Calibri" w:hAnsi="Calibri" w:cs="Times New Roman"/>
        </w:rPr>
        <w:t xml:space="preserve">Para ejercer los recursos del FAFEF en el 2018 el </w:t>
      </w:r>
      <w:r w:rsidR="00AC117F">
        <w:rPr>
          <w:rFonts w:ascii="Calibri" w:eastAsia="Calibri" w:hAnsi="Calibri" w:cs="Times New Roman"/>
        </w:rPr>
        <w:t>E</w:t>
      </w:r>
      <w:r w:rsidRPr="00C30BCF">
        <w:rPr>
          <w:rFonts w:ascii="Calibri" w:eastAsia="Calibri" w:hAnsi="Calibri" w:cs="Times New Roman"/>
        </w:rPr>
        <w:t xml:space="preserve">stado de Hidalgo se apoyó en diversos programas presupuestarios (Pp) de su estructura programática. </w:t>
      </w:r>
    </w:p>
    <w:p w14:paraId="28C1D7F4" w14:textId="382ECFED" w:rsidR="00F5561C" w:rsidRDefault="00C30BCF" w:rsidP="00C30BCF">
      <w:pPr>
        <w:rPr>
          <w:rFonts w:ascii="Calibri" w:eastAsia="Calibri" w:hAnsi="Calibri" w:cs="Times New Roman"/>
        </w:rPr>
      </w:pPr>
      <w:r w:rsidRPr="00C30BCF">
        <w:rPr>
          <w:rFonts w:ascii="Calibri" w:eastAsia="Calibri" w:hAnsi="Calibri" w:cs="Times New Roman"/>
        </w:rPr>
        <w:t xml:space="preserve">En el rubro de saneamiento financiero se destinaron recursos al </w:t>
      </w:r>
      <w:r w:rsidR="002D64F5">
        <w:rPr>
          <w:rFonts w:ascii="Calibri" w:eastAsia="Calibri" w:hAnsi="Calibri" w:cs="Times New Roman"/>
        </w:rPr>
        <w:t>Pp</w:t>
      </w:r>
      <w:r w:rsidRPr="00C30BCF">
        <w:rPr>
          <w:rFonts w:ascii="Calibri" w:eastAsia="Calibri" w:hAnsi="Calibri" w:cs="Times New Roman"/>
        </w:rPr>
        <w:t xml:space="preserve"> “D02 Deuda”. </w:t>
      </w:r>
      <w:r w:rsidR="00F5561C" w:rsidRPr="00C30BCF">
        <w:rPr>
          <w:rFonts w:ascii="Calibri" w:eastAsia="Calibri" w:hAnsi="Calibri" w:cs="Times New Roman"/>
        </w:rPr>
        <w:t xml:space="preserve">De los 250.7 mdp aplicados en </w:t>
      </w:r>
      <w:r w:rsidR="00F5561C">
        <w:rPr>
          <w:rFonts w:ascii="Calibri" w:eastAsia="Calibri" w:hAnsi="Calibri" w:cs="Times New Roman"/>
        </w:rPr>
        <w:t>este rubro</w:t>
      </w:r>
      <w:r w:rsidR="00F5561C" w:rsidRPr="00C30BCF">
        <w:rPr>
          <w:rFonts w:ascii="Calibri" w:eastAsia="Calibri" w:hAnsi="Calibri" w:cs="Times New Roman"/>
        </w:rPr>
        <w:t xml:space="preserve"> el 40.5% se destinó para la amortización de capital, que contribuyó en un 20.5% a la disminución de </w:t>
      </w:r>
      <w:r w:rsidR="00F5561C" w:rsidRPr="00C30BCF">
        <w:rPr>
          <w:rFonts w:ascii="Calibri" w:eastAsia="Calibri" w:hAnsi="Calibri" w:cs="Times New Roman"/>
        </w:rPr>
        <w:lastRenderedPageBreak/>
        <w:t>los contratos de deuda pública que se pagaron con FAFEF 2018 y el 59.5% se destinó al pago de intereses generados por los mismos contratos de deuda.</w:t>
      </w:r>
    </w:p>
    <w:p w14:paraId="51662EC9" w14:textId="31638BB5" w:rsidR="00F5561C" w:rsidRPr="004440B2" w:rsidRDefault="00F5561C" w:rsidP="00F5561C">
      <w:pPr>
        <w:rPr>
          <w:rFonts w:ascii="Calibri" w:eastAsia="Calibri" w:hAnsi="Calibri" w:cs="Times New Roman"/>
        </w:rPr>
      </w:pPr>
      <w:r w:rsidRPr="000F3860">
        <w:rPr>
          <w:rFonts w:ascii="Calibri" w:eastAsia="Calibri" w:hAnsi="Calibri" w:cs="Times New Roman"/>
        </w:rPr>
        <w:t xml:space="preserve">En lo concerniente al rubro de inversión en infraestructura física los recursos fueron destinados al financiamiento de 14 </w:t>
      </w:r>
      <w:r w:rsidR="002D64F5">
        <w:rPr>
          <w:rFonts w:ascii="Calibri" w:eastAsia="Calibri" w:hAnsi="Calibri" w:cs="Times New Roman"/>
        </w:rPr>
        <w:t>Pp</w:t>
      </w:r>
      <w:r w:rsidRPr="000F3860">
        <w:rPr>
          <w:rFonts w:ascii="Calibri" w:eastAsia="Calibri" w:hAnsi="Calibri" w:cs="Times New Roman"/>
        </w:rPr>
        <w:t xml:space="preserve"> de infraestructura entre los que se pueden destacar: K24</w:t>
      </w:r>
      <w:r w:rsidR="00D50578" w:rsidRPr="000F3860">
        <w:rPr>
          <w:rFonts w:ascii="Calibri" w:eastAsia="Calibri" w:hAnsi="Calibri" w:cs="Times New Roman"/>
        </w:rPr>
        <w:t>-</w:t>
      </w:r>
      <w:r w:rsidRPr="000F3860">
        <w:rPr>
          <w:rFonts w:ascii="Calibri" w:eastAsia="Calibri" w:hAnsi="Calibri" w:cs="Times New Roman"/>
        </w:rPr>
        <w:t>inversión en obras públicas, K36</w:t>
      </w:r>
      <w:r w:rsidR="00D50578" w:rsidRPr="000F3860">
        <w:rPr>
          <w:rFonts w:ascii="Calibri" w:eastAsia="Calibri" w:hAnsi="Calibri" w:cs="Times New Roman"/>
        </w:rPr>
        <w:t>-</w:t>
      </w:r>
      <w:r w:rsidRPr="000F3860">
        <w:rPr>
          <w:rFonts w:ascii="Calibri" w:eastAsia="Calibri" w:hAnsi="Calibri" w:cs="Times New Roman"/>
        </w:rPr>
        <w:t>infraestructura en educación, K25</w:t>
      </w:r>
      <w:r w:rsidR="00D50578" w:rsidRPr="000F3860">
        <w:rPr>
          <w:rFonts w:ascii="Calibri" w:eastAsia="Calibri" w:hAnsi="Calibri" w:cs="Times New Roman"/>
        </w:rPr>
        <w:t>-</w:t>
      </w:r>
      <w:r w:rsidRPr="000F3860">
        <w:rPr>
          <w:rFonts w:ascii="Calibri" w:eastAsia="Calibri" w:hAnsi="Calibri" w:cs="Times New Roman"/>
        </w:rPr>
        <w:t>agua drenaje y saneamiento, K49</w:t>
      </w:r>
      <w:r w:rsidR="00D50578" w:rsidRPr="000F3860">
        <w:rPr>
          <w:rFonts w:ascii="Calibri" w:eastAsia="Calibri" w:hAnsi="Calibri" w:cs="Times New Roman"/>
        </w:rPr>
        <w:t>-</w:t>
      </w:r>
      <w:r w:rsidRPr="000F3860">
        <w:rPr>
          <w:rFonts w:ascii="Calibri" w:eastAsia="Calibri" w:hAnsi="Calibri" w:cs="Times New Roman"/>
        </w:rPr>
        <w:t>inversión en salud, K18</w:t>
      </w:r>
      <w:r w:rsidR="00D50578" w:rsidRPr="000F3860">
        <w:rPr>
          <w:rFonts w:ascii="Calibri" w:eastAsia="Calibri" w:hAnsi="Calibri" w:cs="Times New Roman"/>
        </w:rPr>
        <w:t>-</w:t>
      </w:r>
      <w:r w:rsidRPr="000F3860">
        <w:rPr>
          <w:rFonts w:ascii="Calibri" w:eastAsia="Calibri" w:hAnsi="Calibri" w:cs="Times New Roman"/>
        </w:rPr>
        <w:t>inversión en desarrollo social, K22</w:t>
      </w:r>
      <w:r w:rsidR="00D50578" w:rsidRPr="000F3860">
        <w:rPr>
          <w:rFonts w:ascii="Calibri" w:eastAsia="Calibri" w:hAnsi="Calibri" w:cs="Times New Roman"/>
        </w:rPr>
        <w:t>-</w:t>
      </w:r>
      <w:r w:rsidRPr="000F3860">
        <w:rPr>
          <w:rFonts w:ascii="Calibri" w:eastAsia="Calibri" w:hAnsi="Calibri" w:cs="Times New Roman"/>
        </w:rPr>
        <w:t>atención a adultos mayores, K34</w:t>
      </w:r>
      <w:r w:rsidR="00D50578" w:rsidRPr="000F3860">
        <w:rPr>
          <w:rFonts w:ascii="Calibri" w:eastAsia="Calibri" w:hAnsi="Calibri" w:cs="Times New Roman"/>
        </w:rPr>
        <w:t>-</w:t>
      </w:r>
      <w:r w:rsidRPr="000F3860">
        <w:rPr>
          <w:rFonts w:ascii="Calibri" w:eastAsia="Calibri" w:hAnsi="Calibri" w:cs="Times New Roman"/>
        </w:rPr>
        <w:t>infraestructura para pueblos indígenas, entre otros. Asimismo, mediante el programa K53 se ejecutaron distintos proyectos mediante la transferencia de recursos a los municipios.</w:t>
      </w:r>
      <w:r w:rsidRPr="004440B2">
        <w:rPr>
          <w:rFonts w:ascii="Calibri" w:eastAsia="Calibri" w:hAnsi="Calibri" w:cs="Times New Roman"/>
        </w:rPr>
        <w:t xml:space="preserve"> En este rubro, los recursos del Fondo fueron utilizados para atender los temas de agua y alcantarillado, infraestructura hidroagrícola, comunicaciones, conservación de carreteras estatales, desarrollo de infraestructura turística, estudios y proyectos, obras públicas, infraestructura física educativa, infraestructura de salud y desarrollo social y humano, entre otros.</w:t>
      </w:r>
    </w:p>
    <w:p w14:paraId="715E58C4" w14:textId="3269F247" w:rsidR="00F5561C" w:rsidRPr="004440B2" w:rsidRDefault="00F5561C" w:rsidP="00F5561C">
      <w:pPr>
        <w:rPr>
          <w:rFonts w:ascii="Calibri" w:eastAsia="Calibri" w:hAnsi="Calibri" w:cs="Times New Roman"/>
        </w:rPr>
      </w:pPr>
      <w:r w:rsidRPr="000F3860">
        <w:rPr>
          <w:rFonts w:ascii="Calibri" w:eastAsia="Calibri" w:hAnsi="Calibri" w:cs="Times New Roman"/>
        </w:rPr>
        <w:t>Respecto al rubro de modernización de los registros públicos de la propiedad y del comercio locales, el recurso fue ejercido por el Instituto de la Función Registral a través del Pp K15 Inversión para el Fortalecimiento de la Gobernabilidad Democrática y Gobernanza y destinado para 1) Adquisición, instalación, reparación y mantenimiento de equipo de cómputo y tecnología de la información; y 2) Servicios de apoyo administrativo, traducción, fotocopiado e impresión</w:t>
      </w:r>
      <w:r w:rsidRPr="004440B2">
        <w:rPr>
          <w:rFonts w:ascii="Calibri" w:eastAsia="Calibri" w:hAnsi="Calibri" w:cs="Times New Roman"/>
        </w:rPr>
        <w:t xml:space="preserve">. </w:t>
      </w:r>
    </w:p>
    <w:p w14:paraId="43B4A4D1" w14:textId="29C62D4A" w:rsidR="00F5561C" w:rsidRPr="00C30BCF" w:rsidRDefault="00F5561C" w:rsidP="00F5561C">
      <w:pPr>
        <w:rPr>
          <w:rFonts w:ascii="Calibri" w:eastAsia="Calibri" w:hAnsi="Calibri" w:cs="Times New Roman"/>
        </w:rPr>
      </w:pPr>
      <w:r w:rsidRPr="000F3860">
        <w:rPr>
          <w:rFonts w:ascii="Calibri" w:eastAsia="Calibri" w:hAnsi="Calibri" w:cs="Times New Roman"/>
        </w:rPr>
        <w:t xml:space="preserve">En relación con el monto destinado a apoyar la educación pública los recursos fueron </w:t>
      </w:r>
      <w:r w:rsidR="00D50578" w:rsidRPr="000F3860">
        <w:rPr>
          <w:rFonts w:ascii="Calibri" w:eastAsia="Calibri" w:hAnsi="Calibri" w:cs="Times New Roman"/>
        </w:rPr>
        <w:t xml:space="preserve">ejercidos por la Secretaría de Educación Pública en la entidad y </w:t>
      </w:r>
      <w:r w:rsidRPr="000F3860">
        <w:rPr>
          <w:rFonts w:ascii="Calibri" w:eastAsia="Calibri" w:hAnsi="Calibri" w:cs="Times New Roman"/>
        </w:rPr>
        <w:t xml:space="preserve">destinados para la entrega de becas a través del Pp K35 becas para la educación. </w:t>
      </w:r>
    </w:p>
    <w:p w14:paraId="559DF829" w14:textId="77777777" w:rsidR="00C30BCF" w:rsidRPr="00C30BCF" w:rsidRDefault="00C30BCF" w:rsidP="00C30BCF">
      <w:pPr>
        <w:rPr>
          <w:rFonts w:ascii="Calibri" w:eastAsia="Calibri" w:hAnsi="Calibri" w:cs="Times New Roman"/>
          <w:b/>
        </w:rPr>
      </w:pPr>
      <w:r w:rsidRPr="00C30BCF">
        <w:rPr>
          <w:rFonts w:ascii="Calibri" w:eastAsia="Calibri" w:hAnsi="Calibri" w:cs="Times New Roman"/>
          <w:b/>
        </w:rPr>
        <w:t>Módulo 1. Justificación del diseño del Fondo y de su mecanismo de intervención</w:t>
      </w:r>
    </w:p>
    <w:p w14:paraId="28460DAB" w14:textId="3C0C0575" w:rsidR="00C30BCF" w:rsidRPr="00C30BCF" w:rsidRDefault="00C30BCF" w:rsidP="00C30BCF">
      <w:pPr>
        <w:rPr>
          <w:rFonts w:ascii="Calibri" w:eastAsia="Calibri" w:hAnsi="Calibri" w:cs="Times New Roman"/>
          <w:color w:val="000000"/>
        </w:rPr>
      </w:pPr>
      <w:r w:rsidRPr="00C30BCF">
        <w:rPr>
          <w:rFonts w:ascii="Calibri" w:eastAsia="Calibri" w:hAnsi="Calibri" w:cs="Calibri"/>
        </w:rPr>
        <w:t xml:space="preserve">La entidad federativa cuenta con un documento diagnóstico, </w:t>
      </w:r>
      <w:r w:rsidRPr="00C30BCF">
        <w:rPr>
          <w:rFonts w:ascii="Calibri" w:eastAsia="Calibri" w:hAnsi="Calibri" w:cs="Times New Roman"/>
          <w:color w:val="000000"/>
        </w:rPr>
        <w:t xml:space="preserve">donde se plasma que los recursos del FAFEF se destinan a atender las demandas en materia de infraestructura física, equipamiento, infraestructura física educativa, modernización de registros públicos y catastro, saneamiento financiero y como aportación estatal para convenios celebrados con la federación, respecto del otorgamiento de becas de educación básica. Sin embargo, no se profundiza en el análisis de las problemáticas que se atienden que considere un análisis detallado de la problemática para cada rubro </w:t>
      </w:r>
      <w:r w:rsidR="007A3C53">
        <w:rPr>
          <w:rFonts w:ascii="Calibri" w:eastAsia="Calibri" w:hAnsi="Calibri" w:cs="Times New Roman"/>
          <w:color w:val="000000"/>
        </w:rPr>
        <w:t>de</w:t>
      </w:r>
      <w:r w:rsidRPr="00C30BCF">
        <w:rPr>
          <w:rFonts w:ascii="Calibri" w:eastAsia="Calibri" w:hAnsi="Calibri" w:cs="Times New Roman"/>
          <w:color w:val="000000"/>
        </w:rPr>
        <w:t xml:space="preserve"> la LCF. Aunque en Hidalgo se cuenta con una MIR específica para el FAFEF, no se visualiza que se haya seguido la metodología SHCP-CONEVAL en su construcción, en el sentido que en su documento diagnóstico no se estructura un árbol de problemas, por lo que no se identifica un problema central dentro del entorno de política pública al que respondería el FAFEF y tampoco se presenta un árbol de objetivos.</w:t>
      </w:r>
    </w:p>
    <w:p w14:paraId="22872B9F" w14:textId="3A362ADD" w:rsidR="00C30BCF" w:rsidRDefault="00C30BCF" w:rsidP="00C30BCF">
      <w:pPr>
        <w:rPr>
          <w:rFonts w:ascii="Calibri" w:eastAsia="Calibri" w:hAnsi="Calibri" w:cs="Times New Roman"/>
        </w:rPr>
      </w:pPr>
      <w:r w:rsidRPr="00C30BCF">
        <w:rPr>
          <w:rFonts w:ascii="Calibri" w:eastAsia="Calibri" w:hAnsi="Calibri" w:cs="Times New Roman"/>
          <w:color w:val="000000"/>
        </w:rPr>
        <w:t>El Estado de Hidalgo no cuenta con un documento de planeación estratégica específico para el FAFEF. El documento rector para la planeación de la política pública es el Plan Estatal de Desarrollo 2016-2022 (PEDH 2016-2022), e</w:t>
      </w:r>
      <w:r w:rsidRPr="00C30BCF">
        <w:rPr>
          <w:rFonts w:ascii="Calibri" w:eastAsia="Calibri" w:hAnsi="Calibri" w:cs="Times New Roman"/>
        </w:rPr>
        <w:t xml:space="preserve">n este se establecen principios y análisis estratégicos con objetivos y líneas generales y los vincula a indicadores estratégicos con metas para el actual gobierno. El documento se compone de cinco grandes ejes, formulados con sus respectivos diagnósticos, donde describen con estadísticas, la problemática para realizar análisis estratégicos, cada uno de los ejes contiene una plataforma estratégica que incluye objetivos e indicadores estratégicos, objetivos generales, estrategias y líneas de acción. Cada meta en cada eje posee un valor base de referencia con respecto al año 2015 y estimaciones al año 2022 y al año 2030, es decir metas a 7 y 15 años respectivamente. Sin embargo, no se observó alguna descripción en el documento donde se señale específicamente el porcentaje que se destinará del FAFEF en la entidad federativa a cada área identificada. </w:t>
      </w:r>
    </w:p>
    <w:p w14:paraId="36A125B7" w14:textId="77777777" w:rsidR="00C30BCF" w:rsidRPr="00C30BCF" w:rsidRDefault="00C30BCF" w:rsidP="00C30BCF">
      <w:pPr>
        <w:rPr>
          <w:rFonts w:ascii="Calibri" w:eastAsia="Calibri" w:hAnsi="Calibri" w:cs="Times New Roman"/>
          <w:b/>
        </w:rPr>
      </w:pPr>
      <w:r w:rsidRPr="00C30BCF">
        <w:rPr>
          <w:rFonts w:ascii="Calibri" w:eastAsia="Calibri" w:hAnsi="Calibri" w:cs="Times New Roman"/>
          <w:b/>
        </w:rPr>
        <w:t>Módulo 2. Matriz de Indicadores para Resultados (MIR)</w:t>
      </w:r>
    </w:p>
    <w:p w14:paraId="5F30A4BC" w14:textId="55C467CC" w:rsidR="00C30BCF" w:rsidRPr="00C30BCF" w:rsidRDefault="00C30BCF" w:rsidP="00C30BCF">
      <w:pPr>
        <w:rPr>
          <w:rFonts w:ascii="Calibri" w:eastAsia="Calibri" w:hAnsi="Calibri" w:cs="Times New Roman"/>
        </w:rPr>
      </w:pPr>
      <w:r w:rsidRPr="00C30BCF">
        <w:rPr>
          <w:rFonts w:ascii="Calibri" w:eastAsia="Calibri" w:hAnsi="Calibri" w:cs="Times New Roman"/>
        </w:rPr>
        <w:t>Los resultados de las Aportaciones del FAFEF en Hidalgo se documentan a través de tres fuentes de información; la primera, se refiere a los indicadores de la MIR Federal del FAFEF reportados mediante el SRFT; la segunda a los indicadores de la MIR estatal específica para el FAFEF e indicadores de los Pp que reciben financiamiento del Fondo; y la tercera a los resultados de las evaluaciones externas.</w:t>
      </w:r>
    </w:p>
    <w:p w14:paraId="682CB688" w14:textId="79149264" w:rsidR="00C30BCF" w:rsidRPr="00C30BCF" w:rsidRDefault="00C30BCF" w:rsidP="00C30BCF">
      <w:pPr>
        <w:rPr>
          <w:rFonts w:ascii="Calibri" w:eastAsia="Calibri" w:hAnsi="Calibri" w:cs="Times New Roman"/>
        </w:rPr>
      </w:pPr>
      <w:r w:rsidRPr="00C30BCF">
        <w:rPr>
          <w:rFonts w:ascii="Calibri" w:eastAsia="Calibri" w:hAnsi="Calibri" w:cs="Times New Roman"/>
        </w:rPr>
        <w:lastRenderedPageBreak/>
        <w:t>Los indicadores de la MIR federal contribuyen a mostrar de manera agregada el efecto del Fondo a nivel nacional, esta información da cuenta de los resultados en términos de avance de recursos ejercidos, avance de metas, gasto de inversión, fortalecimiento financiero e impacto de la deuda de la entidad federativa. El Gobierno del Estado de Hidalgo informa a la SHCP de manera trimestral y de forma pormenorizada el ejercicio y destino de los recursos del FAFEF, a través de los formatos disponibles del SRFT se presentan los informes sobre la Situación Económica, las Finanzas Públicas y la Deuda Pública, divididos en Nivel Financiero, Gestión de Proyectos y Ficha Técnica de Indicadores. Se considera que la información cumple con los pilares de la calidad de información referentes a confiabilidad y actualización, señalados en la Guía de Criterios para el Reporte del Ejercicio, Destino y Resultados de los Recursos Federales Transferidos. Dado que, cumple con los criterios de los momentos contables y la información es validada tanto por la SFP de Hidalgo como por la propia SHCP y los reportes se presentan de manera trimestral.</w:t>
      </w:r>
      <w:r w:rsidR="000000E9" w:rsidRPr="000000E9">
        <w:rPr>
          <w:rFonts w:ascii="Calibri" w:eastAsia="Calibri" w:hAnsi="Calibri" w:cs="Times New Roman"/>
        </w:rPr>
        <w:t xml:space="preserve"> </w:t>
      </w:r>
      <w:r w:rsidR="000000E9" w:rsidRPr="00C30BCF">
        <w:rPr>
          <w:rFonts w:ascii="Calibri" w:eastAsia="Calibri" w:hAnsi="Calibri" w:cs="Times New Roman"/>
        </w:rPr>
        <w:t>Sin embargo, los resultados obtenidos a través de esos indicadores no son de mucha utilidad para su uso específico en el Estado, ya que no permiten identificar, de manera particular, los efectos del Fondo en la población beneficiaria.</w:t>
      </w:r>
    </w:p>
    <w:p w14:paraId="16637160" w14:textId="473A8878" w:rsidR="00C30BCF" w:rsidRPr="00C30BCF" w:rsidRDefault="00C30BCF" w:rsidP="00C30BCF">
      <w:pPr>
        <w:rPr>
          <w:rFonts w:ascii="Calibri" w:eastAsia="Calibri" w:hAnsi="Calibri" w:cs="Times New Roman"/>
        </w:rPr>
      </w:pPr>
      <w:r w:rsidRPr="00C30BCF">
        <w:rPr>
          <w:rFonts w:ascii="Calibri" w:eastAsia="Calibri" w:hAnsi="Calibri" w:cs="Times New Roman"/>
        </w:rPr>
        <w:t>En el ámbito estatal se cuenta con una MIR específica para el Fondo para los resultados del ejercicio fiscal 2018</w:t>
      </w:r>
      <w:r w:rsidR="000000E9">
        <w:rPr>
          <w:rFonts w:ascii="Calibri" w:eastAsia="Calibri" w:hAnsi="Calibri" w:cs="Times New Roman"/>
        </w:rPr>
        <w:t>,</w:t>
      </w:r>
      <w:r w:rsidRPr="00C30BCF">
        <w:rPr>
          <w:rFonts w:ascii="Calibri" w:eastAsia="Calibri" w:hAnsi="Calibri" w:cs="Times New Roman"/>
        </w:rPr>
        <w:t xml:space="preserve"> cuyos indicadores se reportan a través del Sistema Integrador de Ingresos, Programación, Presupuesto y Evaluación del Desempeño, estatal (SIIPPED) que es la herramienta tecnológica mediante la cual se lleva a cabo el monitoreo de indicadores del desempeño de las Dependencias y Entidades del Poder Ejecutivo Estatal. En relación con los Pp que reciben recursos del Fondo, el monitoreo de indicadores estatales, es el medio para dar seguimiento al cumplimiento de las metas establecidas para cada Pp, una vez autorizado el recurso, éste se liga con los objetivos, indicadores y metas establecidos en cada programa y en sus MIR, a los cuales se da seguimiento mensual a su avance y los resultados son publicados trimestralmente en la página de la SFP, en la sección de monitoreo. </w:t>
      </w:r>
    </w:p>
    <w:p w14:paraId="00012DEB" w14:textId="77777777" w:rsidR="00C30BCF" w:rsidRPr="00C30BCF" w:rsidRDefault="00C30BCF" w:rsidP="00C30BCF">
      <w:pPr>
        <w:rPr>
          <w:rFonts w:ascii="Calibri" w:eastAsia="Calibri" w:hAnsi="Calibri" w:cs="Times New Roman"/>
        </w:rPr>
      </w:pPr>
      <w:r w:rsidRPr="00C30BCF">
        <w:rPr>
          <w:rFonts w:ascii="Calibri" w:eastAsia="Calibri" w:hAnsi="Calibri" w:cs="Times New Roman"/>
        </w:rPr>
        <w:t>Respecto a los indicadores de la MIR federal las entidades los definieron de común acuerdo con la dependencia coordinadora del FAFEF, en el marco de los esquemas de coordinación intergubernamental establecidos en los Lineamientos para informar sobre los recursos federales transferidos a las entidades federativas, municipios y demarcaciones. El establecimiento de las metas, específicamente recaen en la entidad federativa, en este caso se establecen de manera coordinada entre la SFP y el apoyo de las distintas instancias ejecutoras de los recursos. Para la definición de indicadores de la MIR estatal del FAFEF y de los Pp que ejercen recursos del Fondo, el gobierno del Estado desarrolló un Manual para la Construcción de Indicadores de Desempeño</w:t>
      </w:r>
      <w:r w:rsidRPr="00C30BCF">
        <w:rPr>
          <w:rFonts w:ascii="Calibri" w:eastAsia="Calibri" w:hAnsi="Calibri" w:cs="Times New Roman"/>
          <w:vertAlign w:val="superscript"/>
        </w:rPr>
        <w:footnoteReference w:id="1"/>
      </w:r>
      <w:r w:rsidRPr="00C30BCF">
        <w:rPr>
          <w:rFonts w:ascii="Calibri" w:eastAsia="Calibri" w:hAnsi="Calibri" w:cs="Times New Roman"/>
        </w:rPr>
        <w:t xml:space="preserve"> el cual especifica que las metas deben ser cuantificables, orientadas a mejorar en forma significativa los resultados e impactos del desempeño institucional y estar directamente relacionadas con el objetivo, a su vez deben ser factibles de alcanzar tomando en cuenta los recursos y limitantes de plazos y de recursos tanto sociales como económicos.</w:t>
      </w:r>
    </w:p>
    <w:p w14:paraId="484B5322" w14:textId="77777777" w:rsidR="00C30BCF" w:rsidRPr="00C30BCF" w:rsidRDefault="00C30BCF" w:rsidP="00C30BCF">
      <w:pPr>
        <w:rPr>
          <w:rFonts w:ascii="Calibri" w:eastAsia="Calibri" w:hAnsi="Calibri" w:cs="Times New Roman"/>
        </w:rPr>
      </w:pPr>
      <w:r w:rsidRPr="00C30BCF">
        <w:rPr>
          <w:rFonts w:ascii="Calibri" w:eastAsia="Calibri" w:hAnsi="Calibri" w:cs="Times New Roman"/>
        </w:rPr>
        <w:t>Cabe señalar que, de acuerdo con lo valorado en la Evaluación Especifica de Desempeño 2018, los indicadores a nivel de Fin y Propósito de la MIR estatal para el FAFEF, son adecuados y se vinculan con los indicadores de la MIR federal, sin embargo, a nivel de Componentes y Actividades lo que se ha planteado en la MIR son actividades que están directamente relacionadas a los proyectos en cuanto a su definición sobre la mejora de la infraestructura; así como, el apoyo a los municipios con obras y servicios que conlleven a la construcción, rehabilitación y ampliación de las mismas, por lo que no es posible su seguimiento ya que varían año con año.</w:t>
      </w:r>
    </w:p>
    <w:p w14:paraId="0CC11320" w14:textId="77777777" w:rsidR="00C30BCF" w:rsidRPr="00C30BCF" w:rsidRDefault="00C30BCF" w:rsidP="00C30BCF">
      <w:pPr>
        <w:rPr>
          <w:rFonts w:ascii="Calibri" w:eastAsia="Calibri" w:hAnsi="Calibri" w:cs="Times New Roman"/>
          <w:b/>
        </w:rPr>
      </w:pPr>
      <w:r w:rsidRPr="00C30BCF">
        <w:rPr>
          <w:rFonts w:ascii="Calibri" w:eastAsia="Calibri" w:hAnsi="Calibri" w:cs="Times New Roman"/>
          <w:b/>
        </w:rPr>
        <w:t>Módulo 3. Consistencia entre los elementos del diseño</w:t>
      </w:r>
    </w:p>
    <w:p w14:paraId="660776CF" w14:textId="6531EAD3" w:rsidR="00C30BCF" w:rsidRPr="00C30BCF" w:rsidRDefault="00C30BCF" w:rsidP="00C30BCF">
      <w:pPr>
        <w:rPr>
          <w:rFonts w:ascii="Calibri" w:eastAsia="Calibri" w:hAnsi="Calibri" w:cs="Times New Roman"/>
        </w:rPr>
      </w:pPr>
      <w:r w:rsidRPr="00115DE5">
        <w:rPr>
          <w:rFonts w:ascii="Calibri" w:eastAsia="Calibri" w:hAnsi="Calibri" w:cs="Times New Roman"/>
          <w:bCs/>
        </w:rPr>
        <w:t xml:space="preserve">En el marco del </w:t>
      </w:r>
      <w:r w:rsidR="00A6074D" w:rsidRPr="00115DE5">
        <w:rPr>
          <w:rFonts w:ascii="Calibri" w:eastAsia="Calibri" w:hAnsi="Calibri" w:cs="Times New Roman"/>
          <w:bCs/>
        </w:rPr>
        <w:t>P</w:t>
      </w:r>
      <w:r w:rsidRPr="00115DE5">
        <w:rPr>
          <w:rFonts w:ascii="Calibri" w:eastAsia="Calibri" w:hAnsi="Calibri" w:cs="Times New Roman"/>
          <w:bCs/>
        </w:rPr>
        <w:t xml:space="preserve">bR-SED en el </w:t>
      </w:r>
      <w:r w:rsidR="00AC117F" w:rsidRPr="00115DE5">
        <w:rPr>
          <w:rFonts w:ascii="Calibri" w:eastAsia="Calibri" w:hAnsi="Calibri" w:cs="Times New Roman"/>
          <w:bCs/>
        </w:rPr>
        <w:t>E</w:t>
      </w:r>
      <w:r w:rsidRPr="00115DE5">
        <w:rPr>
          <w:rFonts w:ascii="Calibri" w:eastAsia="Calibri" w:hAnsi="Calibri" w:cs="Times New Roman"/>
          <w:bCs/>
        </w:rPr>
        <w:t>stado de Hidalgo se han realizado al FA</w:t>
      </w:r>
      <w:r w:rsidR="00151DA6" w:rsidRPr="00115DE5">
        <w:rPr>
          <w:rFonts w:ascii="Calibri" w:eastAsia="Calibri" w:hAnsi="Calibri" w:cs="Times New Roman"/>
          <w:bCs/>
        </w:rPr>
        <w:t>F</w:t>
      </w:r>
      <w:r w:rsidRPr="00115DE5">
        <w:rPr>
          <w:rFonts w:ascii="Calibri" w:eastAsia="Calibri" w:hAnsi="Calibri" w:cs="Times New Roman"/>
          <w:bCs/>
        </w:rPr>
        <w:t>EF tres evaluaciones específicas de</w:t>
      </w:r>
      <w:r w:rsidRPr="00C30BCF">
        <w:rPr>
          <w:rFonts w:ascii="Calibri" w:eastAsia="Calibri" w:hAnsi="Calibri" w:cs="Times New Roman"/>
          <w:bCs/>
        </w:rPr>
        <w:t xml:space="preserve"> desempeño en los ejercicios 2014, 2015 y 2018, las cuales han derivado en ASM. </w:t>
      </w:r>
      <w:r w:rsidRPr="00C30BCF">
        <w:rPr>
          <w:rFonts w:ascii="Calibri" w:eastAsia="Calibri" w:hAnsi="Calibri" w:cs="Times New Roman"/>
        </w:rPr>
        <w:t xml:space="preserve">Lo anterior se institucionaliza a través del Plan de Trabajo para Atender los ASM, mismo que surge de una minuta de reunión de trabajo en la que participan la Secretaría de Finanzas Públicas, Unidad Técnica de Evaluación del Desempeño (UTED), la </w:t>
      </w:r>
      <w:r w:rsidRPr="00C30BCF">
        <w:rPr>
          <w:rFonts w:ascii="Calibri" w:eastAsia="Calibri" w:hAnsi="Calibri" w:cs="Times New Roman"/>
        </w:rPr>
        <w:lastRenderedPageBreak/>
        <w:t xml:space="preserve">Secretaría de Contraloría y Transparencia Gubernamental, Dirección General de Vinculación y Desarrollo Institucional, Departamento de Información Financiera y Municipal, Coordinación de Planeación Financiera, COPLADEHI, COPLADER, COPLADEM y titulares o representantes de las distintas dependencias ejecutoras. </w:t>
      </w:r>
    </w:p>
    <w:p w14:paraId="4765C847" w14:textId="77777777" w:rsidR="00C30BCF" w:rsidRPr="00C30BCF" w:rsidRDefault="00C30BCF" w:rsidP="00C30BCF">
      <w:pPr>
        <w:rPr>
          <w:rFonts w:ascii="Calibri" w:eastAsia="Calibri" w:hAnsi="Calibri" w:cs="Times New Roman"/>
        </w:rPr>
      </w:pPr>
      <w:r w:rsidRPr="00C30BCF">
        <w:rPr>
          <w:rFonts w:ascii="Calibri" w:eastAsia="Calibri" w:hAnsi="Calibri" w:cs="Times New Roman"/>
        </w:rPr>
        <w:t>Considerando que los ASM derivan de evaluaciones externas que han analizado la consistencia y resultados y el desempeño del FAFEF en la entidad federativa, se puede afirmar que su atención ha contribuido a la mejora de su gestión o resultados.</w:t>
      </w:r>
    </w:p>
    <w:p w14:paraId="26C126E8" w14:textId="5BD01CDE" w:rsidR="00C30BCF" w:rsidRPr="00C30BCF" w:rsidRDefault="00C30BCF" w:rsidP="00C30BCF">
      <w:pPr>
        <w:rPr>
          <w:rFonts w:ascii="Calibri" w:eastAsia="Calibri" w:hAnsi="Calibri" w:cs="Times New Roman"/>
        </w:rPr>
      </w:pPr>
      <w:r w:rsidRPr="00C30BCF">
        <w:rPr>
          <w:rFonts w:ascii="Calibri" w:eastAsia="Calibri" w:hAnsi="Calibri" w:cs="Times New Roman"/>
        </w:rPr>
        <w:t>Adicionalmente, en Hidalgo, los recursos del FAFEF se destinan en una buena proporción a proyectos de inversión los cuales, para su autorización y asignación de recursos,</w:t>
      </w:r>
      <w:r w:rsidR="00D80620">
        <w:rPr>
          <w:rFonts w:ascii="Calibri" w:eastAsia="Calibri" w:hAnsi="Calibri" w:cs="Times New Roman"/>
        </w:rPr>
        <w:t xml:space="preserve"> </w:t>
      </w:r>
      <w:r w:rsidRPr="00C30BCF">
        <w:rPr>
          <w:rFonts w:ascii="Calibri" w:eastAsia="Calibri" w:hAnsi="Calibri" w:cs="Times New Roman"/>
        </w:rPr>
        <w:t xml:space="preserve">consideran dos tipos de evaluaciones: Evaluación </w:t>
      </w:r>
      <w:r w:rsidR="007A442D">
        <w:rPr>
          <w:rFonts w:ascii="Calibri" w:eastAsia="Calibri" w:hAnsi="Calibri" w:cs="Times New Roman"/>
        </w:rPr>
        <w:t>s</w:t>
      </w:r>
      <w:r w:rsidRPr="00C30BCF">
        <w:rPr>
          <w:rFonts w:ascii="Calibri" w:eastAsia="Calibri" w:hAnsi="Calibri" w:cs="Times New Roman"/>
        </w:rPr>
        <w:t xml:space="preserve">ocioeconómica, generada con base en los Lineamientos para la elaboración y presentación de los análisis costo y beneficio de los programas y proyectos de inversión y una </w:t>
      </w:r>
      <w:r w:rsidR="007A442D">
        <w:rPr>
          <w:rFonts w:ascii="Calibri" w:eastAsia="Calibri" w:hAnsi="Calibri" w:cs="Times New Roman"/>
        </w:rPr>
        <w:t>e</w:t>
      </w:r>
      <w:r w:rsidRPr="00C30BCF">
        <w:rPr>
          <w:rFonts w:ascii="Calibri" w:eastAsia="Calibri" w:hAnsi="Calibri" w:cs="Times New Roman"/>
        </w:rPr>
        <w:t xml:space="preserve">valuación </w:t>
      </w:r>
      <w:r w:rsidR="007A442D">
        <w:rPr>
          <w:rFonts w:ascii="Calibri" w:eastAsia="Calibri" w:hAnsi="Calibri" w:cs="Times New Roman"/>
        </w:rPr>
        <w:t>t</w:t>
      </w:r>
      <w:r w:rsidRPr="00C30BCF">
        <w:rPr>
          <w:rFonts w:ascii="Calibri" w:eastAsia="Calibri" w:hAnsi="Calibri" w:cs="Times New Roman"/>
        </w:rPr>
        <w:t xml:space="preserve">écnica, con base en la Ley de Obras Públicas y Servicios Relacionados con las mismas para el Estado de Hidalgo, normatividad en materia de títulos de propiedad, impacto ambiental y demás ordenamientos federales y estatales. </w:t>
      </w:r>
    </w:p>
    <w:p w14:paraId="47C888D5" w14:textId="59F04637" w:rsidR="00D80620" w:rsidRDefault="00C30BCF" w:rsidP="00C30BCF">
      <w:pPr>
        <w:rPr>
          <w:rFonts w:ascii="Calibri" w:eastAsia="Calibri" w:hAnsi="Calibri" w:cs="Times New Roman"/>
        </w:rPr>
      </w:pPr>
      <w:r w:rsidRPr="00C30BCF">
        <w:rPr>
          <w:rFonts w:ascii="Calibri" w:eastAsia="Calibri" w:hAnsi="Calibri" w:cs="Times New Roman"/>
        </w:rPr>
        <w:t xml:space="preserve">El Estado cuenta con un documento diagnóstico para el ejercicio del FAFEF, sin embargo, éste solo muestra información muy general respecto a la identificación del problema, la población potencial y objetivo, indicadores de desempeño y </w:t>
      </w:r>
      <w:r w:rsidR="00A70A52">
        <w:rPr>
          <w:rFonts w:ascii="Calibri" w:eastAsia="Calibri" w:hAnsi="Calibri" w:cs="Times New Roman"/>
        </w:rPr>
        <w:t>C</w:t>
      </w:r>
      <w:r w:rsidRPr="00C30BCF">
        <w:rPr>
          <w:rFonts w:ascii="Calibri" w:eastAsia="Calibri" w:hAnsi="Calibri" w:cs="Times New Roman"/>
        </w:rPr>
        <w:t>omponentes (bienes y servicios), limitando su utilidad como instrumento de planeación anual para la operación del Fondo en la entidad federativa. En este sentido, el diagnóstico no presenta información útil para el establecimiento de metas, asignación de recursos, distribución de actividades y selección geográfica de la población a atenderse.</w:t>
      </w:r>
    </w:p>
    <w:p w14:paraId="5AFE6753" w14:textId="2C90CDAF" w:rsidR="00C30BCF" w:rsidRPr="00C30BCF" w:rsidRDefault="00D80620" w:rsidP="00C30BCF">
      <w:pPr>
        <w:rPr>
          <w:rFonts w:ascii="Calibri" w:eastAsia="Calibri" w:hAnsi="Calibri" w:cs="Times New Roman"/>
        </w:rPr>
      </w:pPr>
      <w:r>
        <w:rPr>
          <w:rFonts w:ascii="Calibri" w:eastAsia="Calibri" w:hAnsi="Calibri" w:cs="Times New Roman"/>
        </w:rPr>
        <w:t>En la entidad federativa u</w:t>
      </w:r>
      <w:r w:rsidR="00C30BCF" w:rsidRPr="00C30BCF">
        <w:rPr>
          <w:rFonts w:ascii="Calibri" w:eastAsia="Calibri" w:hAnsi="Calibri" w:cs="Times New Roman"/>
        </w:rPr>
        <w:t xml:space="preserve">na de las principales fuentes de información para la toma de decisiones sobre la asignación de recursos, establecimiento de metas y distribución de actividades son </w:t>
      </w:r>
      <w:r w:rsidR="00C30BCF" w:rsidRPr="00C30BCF">
        <w:rPr>
          <w:rFonts w:ascii="Calibri" w:eastAsia="Calibri" w:hAnsi="Calibri" w:cs="Times New Roman"/>
          <w:color w:val="000000"/>
        </w:rPr>
        <w:t xml:space="preserve">las Fichas Ejecutivas de Desempeño que constituyen un instrumento que consolida y sintetiza la información de desempeño de los Pp; de igual manera, cada uno de éstos debe contar con una MIR, en la cual se identifican los objetivos, indicadores, metas y factores externos que se deberán considerar para su cumplimiento, con el fin de promover sus resultados a los ejecutores de gasto, las áreas de planeación y las áreas </w:t>
      </w:r>
      <w:r w:rsidR="00A2739A">
        <w:rPr>
          <w:rFonts w:ascii="Calibri" w:eastAsia="Calibri" w:hAnsi="Calibri" w:cs="Times New Roman"/>
          <w:color w:val="000000"/>
        </w:rPr>
        <w:t>que presupuestan</w:t>
      </w:r>
      <w:r w:rsidR="00C30BCF" w:rsidRPr="00C30BCF">
        <w:rPr>
          <w:rFonts w:ascii="Calibri" w:eastAsia="Calibri" w:hAnsi="Calibri" w:cs="Times New Roman"/>
          <w:color w:val="000000"/>
        </w:rPr>
        <w:t>, para la toma de decisiones respecto a las metas y asignación de recursos a los proyectos de inversión susceptibles de ser financiados con el FAFEF, de tal manera que son priorizados aquellos proyectos que generan un mayor impacto social y que son susceptibles de ser orientados al Proyecto de Presupuesto de Egresos del Estado.</w:t>
      </w:r>
    </w:p>
    <w:p w14:paraId="6CCEBB35" w14:textId="1644C5A6" w:rsidR="00C30BCF" w:rsidRPr="00C30BCF" w:rsidRDefault="00C30BCF" w:rsidP="00C30BCF">
      <w:pPr>
        <w:rPr>
          <w:rFonts w:ascii="Calibri" w:eastAsia="Calibri" w:hAnsi="Calibri" w:cs="Times New Roman"/>
        </w:rPr>
      </w:pPr>
      <w:r w:rsidRPr="00C30BCF">
        <w:rPr>
          <w:rFonts w:ascii="Calibri" w:eastAsia="Calibri" w:hAnsi="Calibri" w:cs="Times New Roman"/>
        </w:rPr>
        <w:t>No se encontró evidencia documental de la definición de un plan estratégico para el FAFEF en Hidalgo</w:t>
      </w:r>
      <w:r w:rsidR="00D80620">
        <w:rPr>
          <w:rFonts w:ascii="Calibri" w:eastAsia="Calibri" w:hAnsi="Calibri" w:cs="Times New Roman"/>
        </w:rPr>
        <w:t>,</w:t>
      </w:r>
      <w:r w:rsidRPr="00C30BCF">
        <w:rPr>
          <w:rFonts w:ascii="Calibri" w:eastAsia="Calibri" w:hAnsi="Calibri" w:cs="Times New Roman"/>
        </w:rPr>
        <w:t xml:space="preserve"> en este sentido los documentos considerado</w:t>
      </w:r>
      <w:r w:rsidR="00A2739A">
        <w:rPr>
          <w:rFonts w:ascii="Calibri" w:eastAsia="Calibri" w:hAnsi="Calibri" w:cs="Times New Roman"/>
        </w:rPr>
        <w:t>s</w:t>
      </w:r>
      <w:r w:rsidRPr="00C30BCF">
        <w:rPr>
          <w:rFonts w:ascii="Calibri" w:eastAsia="Calibri" w:hAnsi="Calibri" w:cs="Times New Roman"/>
        </w:rPr>
        <w:t xml:space="preserve"> estratégicos en la planeación de los recursos son el PEDH 2016-2022, Ley de Ingresos y Presupuesto de Egresos del Estado de Hidalgo, MIR del FAFEF que construye y valida la SHCP, y la MIR del FAFEF, que construye y valida el Estado de Hidalgo.</w:t>
      </w:r>
    </w:p>
    <w:p w14:paraId="51F0DB36" w14:textId="71C29673" w:rsidR="00C30BCF" w:rsidRPr="00C30BCF" w:rsidRDefault="00C30BCF" w:rsidP="00C30BCF">
      <w:pPr>
        <w:rPr>
          <w:rFonts w:ascii="Calibri" w:eastAsia="Calibri" w:hAnsi="Calibri" w:cs="Calibri"/>
          <w:color w:val="000000"/>
        </w:rPr>
      </w:pPr>
      <w:r w:rsidRPr="00C30BCF">
        <w:rPr>
          <w:rFonts w:ascii="Calibri" w:eastAsia="Calibri" w:hAnsi="Calibri" w:cs="Times New Roman"/>
        </w:rPr>
        <w:t>El FAFEF en la entidad federativa no cuenta con un Plan Anual de Trabajo (PAT) que contenga las necesidades prioritarias definidas en el diagnóstico específico del F</w:t>
      </w:r>
      <w:r w:rsidR="00D80620">
        <w:rPr>
          <w:rFonts w:ascii="Calibri" w:eastAsia="Calibri" w:hAnsi="Calibri" w:cs="Times New Roman"/>
        </w:rPr>
        <w:t>ondo</w:t>
      </w:r>
      <w:r w:rsidRPr="00C30BCF">
        <w:rPr>
          <w:rFonts w:ascii="Calibri" w:eastAsia="Calibri" w:hAnsi="Calibri" w:cs="Times New Roman"/>
        </w:rPr>
        <w:t xml:space="preserve">, los entregables o </w:t>
      </w:r>
      <w:r w:rsidR="00A70A52">
        <w:rPr>
          <w:rFonts w:ascii="Calibri" w:eastAsia="Calibri" w:hAnsi="Calibri" w:cs="Times New Roman"/>
        </w:rPr>
        <w:t>C</w:t>
      </w:r>
      <w:r w:rsidRPr="00C30BCF">
        <w:rPr>
          <w:rFonts w:ascii="Calibri" w:eastAsia="Calibri" w:hAnsi="Calibri" w:cs="Times New Roman"/>
        </w:rPr>
        <w:t xml:space="preserve">omponentes producidos con el presupuesto del </w:t>
      </w:r>
      <w:r w:rsidR="00D80620">
        <w:rPr>
          <w:rFonts w:ascii="Calibri" w:eastAsia="Calibri" w:hAnsi="Calibri" w:cs="Times New Roman"/>
        </w:rPr>
        <w:t>FAFEF</w:t>
      </w:r>
      <w:r w:rsidRPr="00C30BCF">
        <w:rPr>
          <w:rFonts w:ascii="Calibri" w:eastAsia="Calibri" w:hAnsi="Calibri" w:cs="Times New Roman"/>
        </w:rPr>
        <w:t xml:space="preserve"> los objetivos y propósitos del trabajo anual, actualizados y coherentes con los recursos viables a realizarse en un año, la dimensión de los objetivos que se pretenden alcanzar al cabo de un año, las estrategias para lograr los objetivos y metas, las actividades y acciones que se desarrollarán, las instancias que participarán y, por último, la metodología para evaluar lo programado. </w:t>
      </w:r>
      <w:r w:rsidRPr="00C30BCF">
        <w:rPr>
          <w:rFonts w:ascii="Calibri" w:eastAsia="Calibri" w:hAnsi="Calibri" w:cs="Calibri"/>
          <w:color w:val="000000"/>
        </w:rPr>
        <w:t>Sobre este punto, se menciona que los Programas Operativos Anuales (POA) son establecidos por las dependencias ejecutoras del Estado: El FAFEF representa una de las fuentes de financiamiento con las que se operan dichos planes.</w:t>
      </w:r>
      <w:r w:rsidR="00D80620">
        <w:rPr>
          <w:rFonts w:ascii="Calibri" w:eastAsia="Calibri" w:hAnsi="Calibri" w:cs="Calibri"/>
          <w:color w:val="000000"/>
        </w:rPr>
        <w:t xml:space="preserve"> Los POA de las dependencias ejecutoras contienen, entre otros elementos, el presupuesto anual, objetivos, metas institucionales, avances programáticos y resultados esperados. </w:t>
      </w:r>
    </w:p>
    <w:p w14:paraId="2016834E" w14:textId="1475F310" w:rsidR="00C30BCF" w:rsidRPr="00C30BCF" w:rsidRDefault="00C30BCF" w:rsidP="00C30BCF">
      <w:pPr>
        <w:autoSpaceDE w:val="0"/>
        <w:autoSpaceDN w:val="0"/>
        <w:adjustRightInd w:val="0"/>
        <w:rPr>
          <w:rFonts w:ascii="Calibri" w:eastAsia="Calibri" w:hAnsi="Calibri" w:cs="Calibri"/>
          <w:color w:val="000000"/>
        </w:rPr>
      </w:pPr>
      <w:r w:rsidRPr="00C30BCF">
        <w:rPr>
          <w:rFonts w:ascii="Calibri" w:eastAsia="Calibri" w:hAnsi="Calibri" w:cs="Times New Roman"/>
        </w:rPr>
        <w:t xml:space="preserve">La operación de FAFEF en Hidalgo no cuenta con lineamientos en los cuales se establezca la obligatoriedad de recabar información socioeconómica de los posibles beneficiarios, como parte del proceso de selección de los </w:t>
      </w:r>
      <w:r w:rsidR="00D80620">
        <w:rPr>
          <w:rFonts w:ascii="Calibri" w:eastAsia="Calibri" w:hAnsi="Calibri" w:cs="Times New Roman"/>
        </w:rPr>
        <w:t>Pp</w:t>
      </w:r>
      <w:r w:rsidRPr="00C30BCF">
        <w:rPr>
          <w:rFonts w:ascii="Calibri" w:eastAsia="Calibri" w:hAnsi="Calibri" w:cs="Times New Roman"/>
        </w:rPr>
        <w:t xml:space="preserve"> a los que se les destinarán recursos del Fondo. </w:t>
      </w:r>
      <w:r w:rsidRPr="00C30BCF">
        <w:rPr>
          <w:rFonts w:ascii="Calibri" w:eastAsia="Calibri" w:hAnsi="Calibri" w:cs="Calibri"/>
          <w:color w:val="000000"/>
        </w:rPr>
        <w:t xml:space="preserve">El </w:t>
      </w:r>
      <w:r w:rsidR="00D80620">
        <w:rPr>
          <w:rFonts w:ascii="Calibri" w:eastAsia="Calibri" w:hAnsi="Calibri" w:cs="Calibri"/>
          <w:color w:val="000000"/>
        </w:rPr>
        <w:t>rubro</w:t>
      </w:r>
      <w:r w:rsidRPr="00C30BCF">
        <w:rPr>
          <w:rFonts w:ascii="Calibri" w:eastAsia="Calibri" w:hAnsi="Calibri" w:cs="Calibri"/>
          <w:color w:val="000000"/>
        </w:rPr>
        <w:t xml:space="preserve"> de gasto de saneamiento financiero no registra como beneficiarios a personas físicas, sino que su función es fortalecer las finanzas públicas de la entidad federativa </w:t>
      </w:r>
      <w:r w:rsidRPr="00C30BCF">
        <w:rPr>
          <w:rFonts w:ascii="Calibri" w:eastAsia="Calibri" w:hAnsi="Calibri" w:cs="Calibri"/>
          <w:color w:val="000000"/>
        </w:rPr>
        <w:lastRenderedPageBreak/>
        <w:t xml:space="preserve">por medio de la amortización de la deuda pública, en este sentido no es posible la identificación de una población beneficiaria específica. </w:t>
      </w:r>
    </w:p>
    <w:p w14:paraId="1AB81544" w14:textId="7468469D" w:rsidR="00C30BCF" w:rsidRPr="00C30BCF" w:rsidRDefault="00C30BCF" w:rsidP="00C30BCF">
      <w:pPr>
        <w:autoSpaceDE w:val="0"/>
        <w:autoSpaceDN w:val="0"/>
        <w:adjustRightInd w:val="0"/>
        <w:rPr>
          <w:rFonts w:ascii="Calibri" w:eastAsia="Calibri" w:hAnsi="Calibri" w:cs="Times New Roman"/>
          <w:color w:val="000000"/>
        </w:rPr>
      </w:pPr>
      <w:r w:rsidRPr="00C30BCF">
        <w:rPr>
          <w:rFonts w:ascii="Calibri" w:eastAsia="Calibri" w:hAnsi="Calibri" w:cs="Times New Roman"/>
        </w:rPr>
        <w:t xml:space="preserve">En lo concerniente a proyectos de inversión, de manera general para los siguientes tipos de proyecto ejecutados con financiamiento del FAFEF en 2018: </w:t>
      </w:r>
      <w:r w:rsidR="002D64F5" w:rsidRPr="00C30BCF">
        <w:rPr>
          <w:rFonts w:ascii="Calibri" w:eastAsia="Calibri" w:hAnsi="Calibri" w:cs="Times New Roman"/>
        </w:rPr>
        <w:t xml:space="preserve">1) </w:t>
      </w:r>
      <w:r w:rsidR="002D64F5" w:rsidRPr="00C30BCF">
        <w:rPr>
          <w:rFonts w:ascii="Calibri" w:eastAsia="Calibri" w:hAnsi="Calibri" w:cs="Times New Roman"/>
          <w:color w:val="000000"/>
        </w:rPr>
        <w:t>proyectos de inversión destinados a infraestructura educativa, 2) infraestructura de atención gerontológica, 3) desarrollo y mejoramiento de vialidades urbanas, 4) mejoramiento de la imagen urbana, 5) destinados al desarrollo de infraestructura y servicios de salud, 6) infraestructura educativa, 7) desarrollo de infraestructura en servicios básicos, 8) desarrollo de infraestructura de transporte terrestre, dado que en general pudieran tener un impacto territorial localizado, puede ser posible, sino la recolección de información socioeconómica individual, sí de las localidades donde estos proyectos se ejecutan, así como un estimado general del número de personas que se benefician con las obras.</w:t>
      </w:r>
    </w:p>
    <w:p w14:paraId="23148196" w14:textId="77777777" w:rsidR="00C30BCF" w:rsidRPr="00C30BCF" w:rsidRDefault="00C30BCF" w:rsidP="00C30BCF">
      <w:pPr>
        <w:rPr>
          <w:rFonts w:ascii="Calibri" w:eastAsia="Calibri" w:hAnsi="Calibri" w:cs="Calibri"/>
          <w:color w:val="000000"/>
        </w:rPr>
      </w:pPr>
      <w:r w:rsidRPr="00C30BCF">
        <w:rPr>
          <w:rFonts w:ascii="Calibri" w:eastAsia="Calibri" w:hAnsi="Calibri" w:cs="Times New Roman"/>
          <w:color w:val="000000"/>
        </w:rPr>
        <w:t xml:space="preserve">El rubro de apoyo a la educación pública, si bien está clasificado como un programa “K” en la estructura programática estatal, corresponde a la entrega de becas a estudiantes del Sistema Educativo Estatal, por lo que en su ejercicio se beneficia de manera directa a los estudiantes, en este sentido y considerando que en los últimos 5 ejercicios fiscales se han destinado recursos del FAFEF a este Pp, es importante contar con </w:t>
      </w:r>
      <w:r w:rsidRPr="00C30BCF">
        <w:rPr>
          <w:rFonts w:ascii="Calibri" w:eastAsia="Calibri" w:hAnsi="Calibri" w:cs="Calibri"/>
          <w:color w:val="000000"/>
        </w:rPr>
        <w:t>información socioeconómica de los estudiantes que reciben las becas.</w:t>
      </w:r>
    </w:p>
    <w:p w14:paraId="64BC0D97" w14:textId="77777777" w:rsidR="00C30BCF" w:rsidRPr="00C30BCF" w:rsidRDefault="00C30BCF" w:rsidP="00C30BCF">
      <w:pPr>
        <w:rPr>
          <w:rFonts w:ascii="Calibri" w:eastAsia="Calibri" w:hAnsi="Calibri" w:cs="Times New Roman"/>
          <w:b/>
        </w:rPr>
      </w:pPr>
      <w:r w:rsidRPr="00C30BCF">
        <w:rPr>
          <w:rFonts w:ascii="Calibri" w:eastAsia="Calibri" w:hAnsi="Calibri" w:cs="Times New Roman"/>
          <w:b/>
        </w:rPr>
        <w:t>Módulo 4. Alineación del Fondo a la Planeación Nacional y a los Objetivos de Desarrollo Sostenible</w:t>
      </w:r>
    </w:p>
    <w:p w14:paraId="1D62393E" w14:textId="77777777" w:rsidR="00C30BCF" w:rsidRPr="00C30BCF" w:rsidRDefault="00C30BCF" w:rsidP="00C30BCF">
      <w:pPr>
        <w:rPr>
          <w:rFonts w:ascii="Calibri" w:eastAsia="Calibri" w:hAnsi="Calibri" w:cs="Times New Roman"/>
          <w:bCs/>
        </w:rPr>
      </w:pPr>
      <w:r w:rsidRPr="00C30BCF">
        <w:rPr>
          <w:rFonts w:ascii="Calibri" w:eastAsia="Calibri" w:hAnsi="Calibri" w:cs="Times New Roman"/>
          <w:bCs/>
        </w:rPr>
        <w:t>Los Pp que ejercieron recursos del Fondo en 2018 se alinean con los ejes de Hidalgo próspero y dinámico, Gobierno honesto, cercano y moderno, e Hidalgo humano e igualitario del PED 2016-2022, a su vez estos se encuentran alineado con el PND 2013-2018 en la meta Nacional México Próspero, El programa de costo financiero y deuda se alinea con el objetivo nacional 4.1.</w:t>
      </w:r>
      <w:r w:rsidRPr="00C30BCF">
        <w:rPr>
          <w:rFonts w:ascii="Calibri" w:eastAsia="Calibri" w:hAnsi="Calibri" w:cs="Times New Roman"/>
          <w:bCs/>
          <w:i/>
          <w:iCs/>
        </w:rPr>
        <w:t xml:space="preserve"> Mantener la estabilidad macroeconómica del País</w:t>
      </w:r>
      <w:r w:rsidRPr="00C30BCF">
        <w:rPr>
          <w:rFonts w:ascii="Calibri" w:eastAsia="Calibri" w:hAnsi="Calibri" w:cs="Times New Roman"/>
          <w:bCs/>
        </w:rPr>
        <w:t xml:space="preserve"> a través de la estrategia 3.2.1. </w:t>
      </w:r>
      <w:r w:rsidRPr="00C30BCF">
        <w:rPr>
          <w:rFonts w:ascii="Calibri" w:eastAsia="Calibri" w:hAnsi="Calibri" w:cs="Times New Roman"/>
          <w:bCs/>
          <w:i/>
          <w:iCs/>
        </w:rPr>
        <w:t>Proteger las finanzas públicas ante riesgos del entorno macroeconómico</w:t>
      </w:r>
      <w:r w:rsidRPr="00C30BCF">
        <w:rPr>
          <w:rFonts w:ascii="Calibri" w:eastAsia="Calibri" w:hAnsi="Calibri" w:cs="Times New Roman"/>
          <w:bCs/>
        </w:rPr>
        <w:t xml:space="preserve">. </w:t>
      </w:r>
    </w:p>
    <w:p w14:paraId="5C3ABBC4" w14:textId="77777777" w:rsidR="00C30BCF" w:rsidRPr="00C30BCF" w:rsidRDefault="00C30BCF" w:rsidP="00C30BCF">
      <w:pPr>
        <w:rPr>
          <w:rFonts w:ascii="Calibri" w:eastAsia="Calibri" w:hAnsi="Calibri" w:cs="Times New Roman"/>
          <w:bCs/>
        </w:rPr>
      </w:pPr>
      <w:r w:rsidRPr="00C30BCF">
        <w:rPr>
          <w:rFonts w:ascii="Calibri" w:eastAsia="Calibri" w:hAnsi="Calibri" w:cs="Times New Roman"/>
          <w:bCs/>
        </w:rPr>
        <w:t>Considerando la diversidad de proyectos de inversión en infraestructura que se llevaron a cabo con financiamiento de los recursos del Fondo en 2018, es posible determinar su alineación con distintos ODS tales como: 4) Educación de calidad, 6) Agua limpia y saneamiento, 9) Industria, innovación e infraestructura, 10) Reducción de las desigualdades 11) ciudades y comunidades sostenibles, y 17) Alianzas para lograr los objetivos.</w:t>
      </w:r>
    </w:p>
    <w:p w14:paraId="5442298A" w14:textId="77777777" w:rsidR="00C30BCF" w:rsidRPr="00C30BCF" w:rsidRDefault="00C30BCF" w:rsidP="00C30BCF">
      <w:pPr>
        <w:rPr>
          <w:rFonts w:ascii="Calibri" w:eastAsia="Calibri" w:hAnsi="Calibri" w:cs="Times New Roman"/>
          <w:b/>
        </w:rPr>
      </w:pPr>
      <w:r w:rsidRPr="00C30BCF">
        <w:rPr>
          <w:rFonts w:ascii="Calibri" w:eastAsia="Calibri" w:hAnsi="Calibri" w:cs="Times New Roman"/>
          <w:b/>
        </w:rPr>
        <w:t>Módulo 5. Mecanismo de coordinación</w:t>
      </w:r>
    </w:p>
    <w:p w14:paraId="09407D16" w14:textId="57197C7C" w:rsidR="00C30BCF" w:rsidRPr="00C30BCF" w:rsidRDefault="00C30BCF" w:rsidP="005674F8">
      <w:pPr>
        <w:rPr>
          <w:rFonts w:ascii="Calibri" w:eastAsia="Calibri" w:hAnsi="Calibri" w:cs="Calibri"/>
        </w:rPr>
      </w:pPr>
      <w:r w:rsidRPr="00C30BCF">
        <w:rPr>
          <w:rFonts w:ascii="Calibri" w:eastAsia="Calibri" w:hAnsi="Calibri" w:cs="Times New Roman"/>
          <w:bCs/>
        </w:rPr>
        <w:t xml:space="preserve">El análisis de los procesos clave en la gestión y operación de las aportaciones del FAFEF en Hidalgo (asignación, ejercicio y seguimiento) demuestra que existen procesos establecidos para el ejercicio y seguimiento de los recursos, dependiendo de cada tipo de Pp ejecutor. Es así que para el caso de los proyectos de inversión se tiene el </w:t>
      </w:r>
      <w:r w:rsidRPr="00C30BCF">
        <w:rPr>
          <w:rFonts w:ascii="Calibri" w:eastAsia="Calibri" w:hAnsi="Calibri" w:cs="Times New Roman"/>
        </w:rPr>
        <w:t xml:space="preserve">Manual de Normas y Lineamientos para el ejercicio de los recursos del </w:t>
      </w:r>
      <w:r w:rsidR="007A442D">
        <w:rPr>
          <w:rFonts w:ascii="Calibri" w:eastAsia="Calibri" w:hAnsi="Calibri" w:cs="Times New Roman"/>
        </w:rPr>
        <w:t>P</w:t>
      </w:r>
      <w:r w:rsidRPr="00C30BCF">
        <w:rPr>
          <w:rFonts w:ascii="Calibri" w:eastAsia="Calibri" w:hAnsi="Calibri" w:cs="Times New Roman"/>
        </w:rPr>
        <w:t xml:space="preserve">rograma de </w:t>
      </w:r>
      <w:r w:rsidR="007A442D">
        <w:rPr>
          <w:rFonts w:ascii="Calibri" w:eastAsia="Calibri" w:hAnsi="Calibri" w:cs="Times New Roman"/>
        </w:rPr>
        <w:t>I</w:t>
      </w:r>
      <w:r w:rsidRPr="00C30BCF">
        <w:rPr>
          <w:rFonts w:ascii="Calibri" w:eastAsia="Calibri" w:hAnsi="Calibri" w:cs="Times New Roman"/>
        </w:rPr>
        <w:t xml:space="preserve">nversión 2018; y para el ejercicio de los recursos destinados a saneamiento financiero, se rigen por la Ley de Deuda Pública para el Estado de Hidalgo. </w:t>
      </w:r>
      <w:r w:rsidRPr="00C30BCF">
        <w:rPr>
          <w:rFonts w:ascii="Calibri" w:eastAsia="Calibri" w:hAnsi="Calibri" w:cs="Calibri"/>
        </w:rPr>
        <w:t>Sin embargo, no se define con claridad los procesos que se deben seguir para la ejecución de otros rubros como por ejemplo los apoyos para la educación, por lo tanto, los procedimientos para el ejercicio de todos los rubros del FAFEF, no se encuentran homologados. Con esta consideración, se recomienda a la entidad federativa elaborar un manual de procedimientos o lineamientos que regulen el funcionamiento del Fondo, en donde se determine un mecanismo para contar con información que permita identificar periódicamente las necesidades que pueden atenderse con recursos del Fondo, las dificultades (oportunidades y amenazas) que enfrenta en la operación cada política pública asociada a los rubros de gasto y el cumplimiento de los objetivos y metas a alcanzar; así como las estrategias para implementarlas y alcance de las mismas, asignar responsables; seguimiento de los procesos y diagramas de flujo. Con ello, el Estado de Hidalgo contará con una guía para la operación de los recursos del FAFEF que actué bajo los mismos criterios.</w:t>
      </w:r>
    </w:p>
    <w:p w14:paraId="0A0B6254" w14:textId="6C646209" w:rsidR="00C30BCF" w:rsidRPr="00C30BCF" w:rsidRDefault="00C30BCF" w:rsidP="00C30BCF">
      <w:pPr>
        <w:rPr>
          <w:rFonts w:ascii="Calibri" w:eastAsia="Calibri" w:hAnsi="Calibri" w:cs="Calibri"/>
        </w:rPr>
      </w:pPr>
      <w:r w:rsidRPr="00C30BCF">
        <w:rPr>
          <w:rFonts w:ascii="Calibri" w:eastAsia="Calibri" w:hAnsi="Calibri" w:cs="Times New Roman"/>
          <w:bCs/>
        </w:rPr>
        <w:t xml:space="preserve">A nivel estatal, el primer paso para la planeación y programación de los recursos del Fondo se da tras conocerse el Proyecto de Presupuesto de Egresos de la Federación. Con la información sobre los ingresos provenientes de los recursos federales transferidos, en la entidad federativa se realizan </w:t>
      </w:r>
      <w:r w:rsidRPr="00C30BCF">
        <w:rPr>
          <w:rFonts w:ascii="Calibri" w:eastAsia="Calibri" w:hAnsi="Calibri" w:cs="Calibri"/>
        </w:rPr>
        <w:t>mesas de trabajo celebradas con las instancias ejecutoras de los proyectos de inversión,</w:t>
      </w:r>
      <w:r w:rsidR="009B68ED">
        <w:rPr>
          <w:rFonts w:ascii="Calibri" w:eastAsia="Calibri" w:hAnsi="Calibri" w:cs="Calibri"/>
        </w:rPr>
        <w:t xml:space="preserve"> </w:t>
      </w:r>
      <w:r w:rsidRPr="00C30BCF">
        <w:rPr>
          <w:rFonts w:ascii="Calibri" w:eastAsia="Calibri" w:hAnsi="Calibri" w:cs="Calibri"/>
        </w:rPr>
        <w:t xml:space="preserve">mediante estas mesas también se identifican las </w:t>
      </w:r>
      <w:r w:rsidRPr="00C30BCF">
        <w:rPr>
          <w:rFonts w:ascii="Calibri" w:eastAsia="Calibri" w:hAnsi="Calibri" w:cs="Calibri"/>
        </w:rPr>
        <w:lastRenderedPageBreak/>
        <w:t xml:space="preserve">problemáticas a atender con recursos del FAFEF, para determinar los conceptos susceptibles de ser financiados con recursos del Fondo, en el que participan el Comité de Planeación para el Desarrollo del Estado de Hidalgo (COPLADEHI), el Subcomité de Obras Públicas, los Comités de Planeación para el Desarrollo Regional (COPLADER), los Comités de Planeación para el Desarrollo Municipal (COPLADEM). </w:t>
      </w:r>
    </w:p>
    <w:p w14:paraId="71C7DFDE" w14:textId="07C975B8" w:rsidR="00C30BCF" w:rsidRDefault="00C30BCF" w:rsidP="00C30BCF">
      <w:pPr>
        <w:rPr>
          <w:rFonts w:ascii="Calibri" w:eastAsia="Calibri" w:hAnsi="Calibri" w:cs="Calibri"/>
        </w:rPr>
      </w:pPr>
      <w:r w:rsidRPr="00C30BCF">
        <w:rPr>
          <w:rFonts w:ascii="Calibri" w:eastAsia="Calibri" w:hAnsi="Calibri" w:cs="Calibri"/>
        </w:rPr>
        <w:t xml:space="preserve">Esta asignación de los recursos se da de manera global y para cada sector estratégico del PEDH 2016-2022, por lo que, en el Presupuesto de Egresos de la entidad federativa, no es posible identificar el destino de los recursos del Fondo, por rubro, Pp o proyecto, ya que sólo se menciona el destino como </w:t>
      </w:r>
      <w:r w:rsidR="007A442D">
        <w:rPr>
          <w:rFonts w:ascii="Calibri" w:eastAsia="Calibri" w:hAnsi="Calibri" w:cs="Calibri"/>
        </w:rPr>
        <w:t>i</w:t>
      </w:r>
      <w:r w:rsidRPr="00C30BCF">
        <w:rPr>
          <w:rFonts w:ascii="Calibri" w:eastAsia="Calibri" w:hAnsi="Calibri" w:cs="Calibri"/>
        </w:rPr>
        <w:t>nversión pública. Por lo tanto, se recomienda que una vez que la SFP ha realizado una estimación de los ingresos del Estado en el marco del proceso de integración de</w:t>
      </w:r>
      <w:r w:rsidR="009B68ED">
        <w:rPr>
          <w:rFonts w:ascii="Calibri" w:eastAsia="Calibri" w:hAnsi="Calibri" w:cs="Calibri"/>
        </w:rPr>
        <w:t xml:space="preserve"> su Proyecto de Presupuesto de Egresos Estatal (PPEE) </w:t>
      </w:r>
      <w:r w:rsidRPr="00C30BCF">
        <w:rPr>
          <w:rFonts w:ascii="Calibri" w:eastAsia="Calibri" w:hAnsi="Calibri" w:cs="Calibri"/>
        </w:rPr>
        <w:t>y cuenta con las necesidades de gasto para el siguiente año, se recomienda señalar en algún anexo o en el propio proyecto de Decreto, los rubros de gasto a los que se orientará el FAFEF conforme a las necesidades más apremiantes de la entidad. Lo anterior involucra de manera directa al Congreso del Estado, en la decisión de destino de los recursos del Fondo asegurando que estos se destinen efectivamente a las necesidades más apremiantes del Estado. Así como, establecer en un documento de planeación estratégica específico para el Fondo, el orden de priorización del destino del gasto</w:t>
      </w:r>
      <w:r w:rsidR="009B68ED">
        <w:rPr>
          <w:rFonts w:ascii="Calibri" w:eastAsia="Calibri" w:hAnsi="Calibri" w:cs="Calibri"/>
        </w:rPr>
        <w:t xml:space="preserve"> respetando los rubros establecidos en el </w:t>
      </w:r>
      <w:r w:rsidRPr="00C30BCF">
        <w:rPr>
          <w:rFonts w:ascii="Calibri" w:eastAsia="Calibri" w:hAnsi="Calibri" w:cs="Calibri"/>
        </w:rPr>
        <w:t>Artículo 47 de la LCF.</w:t>
      </w:r>
    </w:p>
    <w:p w14:paraId="50249085" w14:textId="182215A7" w:rsidR="009B68ED" w:rsidRDefault="009B68ED" w:rsidP="00C30BCF">
      <w:pPr>
        <w:rPr>
          <w:rFonts w:ascii="Calibri" w:eastAsia="Calibri" w:hAnsi="Calibri" w:cs="Times New Roman"/>
        </w:rPr>
      </w:pPr>
      <w:r>
        <w:rPr>
          <w:rFonts w:ascii="Calibri" w:eastAsia="Calibri" w:hAnsi="Calibri" w:cs="Times New Roman"/>
        </w:rPr>
        <w:t xml:space="preserve">Relativo al ejercicio de los recursos </w:t>
      </w:r>
      <w:r>
        <w:t xml:space="preserve">los rubros de </w:t>
      </w:r>
      <w:r w:rsidR="007A442D">
        <w:t>i</w:t>
      </w:r>
      <w:r>
        <w:t xml:space="preserve">nversión en infraestructura física y modernización de los registros públicos de la propiedad y del comercio locales; y apoyos a la educación se ejercen a través del programa sectorial inversión, como </w:t>
      </w:r>
      <w:r>
        <w:rPr>
          <w:color w:val="000000" w:themeColor="text1"/>
        </w:rPr>
        <w:t>Pp</w:t>
      </w:r>
      <w:r>
        <w:t xml:space="preserve"> de modalidad K, estos </w:t>
      </w:r>
      <w:r>
        <w:rPr>
          <w:color w:val="000000" w:themeColor="text1"/>
        </w:rPr>
        <w:t>Pp</w:t>
      </w:r>
      <w:r>
        <w:t xml:space="preserve"> están normados por el Manual de Normas y Lineamientos para el Ejercicio de los Recursos del Programa de Inversión 2018 en el cual se establece los procedimientos a seguir para su adecuado ejercicio.</w:t>
      </w:r>
    </w:p>
    <w:p w14:paraId="1BE44010" w14:textId="539682CB" w:rsidR="00C30BCF" w:rsidRPr="00C30BCF" w:rsidRDefault="00C30BCF" w:rsidP="00C30BCF">
      <w:pPr>
        <w:rPr>
          <w:rFonts w:ascii="Calibri" w:eastAsia="Calibri" w:hAnsi="Calibri" w:cs="Times New Roman"/>
        </w:rPr>
      </w:pPr>
      <w:r w:rsidRPr="00C30BCF">
        <w:rPr>
          <w:rFonts w:ascii="Calibri" w:eastAsia="Calibri" w:hAnsi="Calibri" w:cs="Times New Roman"/>
        </w:rPr>
        <w:t xml:space="preserve">En relación con el seguimiento </w:t>
      </w:r>
      <w:r w:rsidR="009B68ED">
        <w:rPr>
          <w:rFonts w:ascii="Calibri" w:eastAsia="Calibri" w:hAnsi="Calibri" w:cs="Times New Roman"/>
        </w:rPr>
        <w:t xml:space="preserve">al ejercicio de los recursos, </w:t>
      </w:r>
      <w:r w:rsidRPr="00C30BCF">
        <w:rPr>
          <w:rFonts w:ascii="Calibri" w:eastAsia="Calibri" w:hAnsi="Calibri" w:cs="Times New Roman"/>
        </w:rPr>
        <w:t>desde el ámbito federal</w:t>
      </w:r>
      <w:r w:rsidR="009B68ED">
        <w:rPr>
          <w:rFonts w:ascii="Calibri" w:eastAsia="Calibri" w:hAnsi="Calibri" w:cs="Times New Roman"/>
        </w:rPr>
        <w:t xml:space="preserve">, </w:t>
      </w:r>
      <w:r w:rsidRPr="00C30BCF">
        <w:rPr>
          <w:rFonts w:ascii="Calibri" w:eastAsia="Calibri" w:hAnsi="Calibri" w:cs="Calibri"/>
          <w:bCs/>
        </w:rPr>
        <w:t>este se realiza conforme a lo establecido en el Artículo 85 de la Ley Federal de Presupuesto y Responsabilidad Hacendaria a través del Sistema de Seguimiento de los Recursos Federales Transferidos</w:t>
      </w:r>
      <w:r w:rsidRPr="00C30BCF">
        <w:rPr>
          <w:rFonts w:ascii="Calibri" w:eastAsia="Calibri" w:hAnsi="Calibri" w:cs="Times New Roman"/>
        </w:rPr>
        <w:t xml:space="preserve"> (SRFT) y comprende la captura trimestral del origen y destino de los mismos en sus cuatro módulos (Destino del Gasto, Ejercicio del Gasto, Indicadores y Evaluaciones).</w:t>
      </w:r>
    </w:p>
    <w:p w14:paraId="1E7A5565" w14:textId="6EA55C0A" w:rsidR="00C30BCF" w:rsidRPr="00C30BCF" w:rsidRDefault="00C30BCF" w:rsidP="00C30BCF">
      <w:pPr>
        <w:rPr>
          <w:rFonts w:ascii="Calibri" w:eastAsia="Calibri" w:hAnsi="Calibri" w:cs="Times New Roman"/>
        </w:rPr>
      </w:pPr>
      <w:r w:rsidRPr="00C30BCF">
        <w:rPr>
          <w:rFonts w:ascii="Calibri" w:eastAsia="Calibri" w:hAnsi="Calibri" w:cs="Times New Roman"/>
        </w:rPr>
        <w:t xml:space="preserve">En el </w:t>
      </w:r>
      <w:r w:rsidR="00AC117F">
        <w:rPr>
          <w:rFonts w:ascii="Calibri" w:eastAsia="Calibri" w:hAnsi="Calibri" w:cs="Times New Roman"/>
        </w:rPr>
        <w:t>E</w:t>
      </w:r>
      <w:r w:rsidRPr="00C30BCF">
        <w:rPr>
          <w:rFonts w:ascii="Calibri" w:eastAsia="Calibri" w:hAnsi="Calibri" w:cs="Times New Roman"/>
        </w:rPr>
        <w:t xml:space="preserve">stado de Hidalgo no se cuenta con un mecanismo o proceso exclusivo del FAFEF para la generación o administración de información sobre su operación con la intención de mejorar su desempeño, para este fin </w:t>
      </w:r>
      <w:r w:rsidR="00397D97">
        <w:rPr>
          <w:rFonts w:ascii="Calibri" w:eastAsia="Calibri" w:hAnsi="Calibri" w:cs="Times New Roman"/>
        </w:rPr>
        <w:t>utiliza el</w:t>
      </w:r>
      <w:r w:rsidRPr="00C30BCF">
        <w:rPr>
          <w:rFonts w:ascii="Calibri" w:eastAsia="Calibri" w:hAnsi="Calibri" w:cs="Times New Roman"/>
        </w:rPr>
        <w:t xml:space="preserve"> SRFT creado y operados por la SHCP, mediante el cual las entidades federativas reportan el origen, destino y resultados de los Fondos de Aportaciones Federales (Ramo 33) a la Federación. A nivel estatal</w:t>
      </w:r>
      <w:r w:rsidR="00397D97">
        <w:rPr>
          <w:rFonts w:ascii="Calibri" w:eastAsia="Calibri" w:hAnsi="Calibri" w:cs="Times New Roman"/>
        </w:rPr>
        <w:t xml:space="preserve">, </w:t>
      </w:r>
      <w:r w:rsidRPr="00C30BCF">
        <w:rPr>
          <w:rFonts w:ascii="Calibri" w:eastAsia="Calibri" w:hAnsi="Calibri" w:cs="Times New Roman"/>
        </w:rPr>
        <w:t>se cuenta con distintas plataformas desarrolladas para vincular los procesos inherentes a la asignación, presupuestación, ejercicio, control y seguimiento de los de recursos que ejercen los distintos Pp: 1) El SIDET que sirve para el registro y dictaminación de expedientes técnicos; 2) SIFAP que permite la homologación de las operaciones que realizan cada una de las áreas que componen la SFP, permitiendo la integración automática del presupuesto con la operación contable en tiempo real, reflejando un registro congruente y ordenado de cada operación y facilitando el reconocimiento de las operaciones de ingresos, gastos, activos y pasivos patrimoniales del Gobierno del Estado; 3) SIIPPED, herramienta tecnológica mediante la cual se lleva a cabo el monitoreo de indicadores del desempeño de las Dependencias y Entidades del Poder Ejecutivo Estatal.</w:t>
      </w:r>
    </w:p>
    <w:p w14:paraId="562AC447" w14:textId="77777777" w:rsidR="00C30BCF" w:rsidRDefault="00C30BCF" w:rsidP="00C30BCF">
      <w:pPr>
        <w:rPr>
          <w:rFonts w:ascii="Calibri" w:eastAsia="Calibri" w:hAnsi="Calibri" w:cs="Calibri"/>
        </w:rPr>
      </w:pPr>
      <w:r w:rsidRPr="00C30BCF">
        <w:rPr>
          <w:rFonts w:ascii="Calibri" w:eastAsia="Calibri" w:hAnsi="Calibri" w:cs="Calibri"/>
        </w:rPr>
        <w:t>La entidad federativa no cuenta con procesos institucionalizados y estandarizados para supervisar el ejercicio de los recursos del FAFEF de una manera integral, es decir procesos homogéneos que consideren la posibilidad de utilizar los recursos en cualquiera de los nueve rubros establecidos en la LCF, independientemente del uso que se le dé en el Estado. Aunque, en contraparte, para el seguimiento al ejercicio, en el ámbito federal, se cuenta con el SRFT y a nivel estatal el seguimiento al ejercicio se realiza a través las MIR de los distintos programas y subprogramas financiados con recurso del Fondo y de la propia MIR estatal del Fondo.</w:t>
      </w:r>
    </w:p>
    <w:p w14:paraId="41B8C7A9" w14:textId="77777777" w:rsidR="00C30BCF" w:rsidRPr="00C30BCF" w:rsidRDefault="00C30BCF" w:rsidP="00C30BCF">
      <w:pPr>
        <w:rPr>
          <w:rFonts w:ascii="Calibri" w:eastAsia="Calibri" w:hAnsi="Calibri" w:cs="Times New Roman"/>
          <w:b/>
        </w:rPr>
      </w:pPr>
      <w:r w:rsidRPr="00C30BCF">
        <w:rPr>
          <w:rFonts w:ascii="Calibri" w:eastAsia="Calibri" w:hAnsi="Calibri" w:cs="Times New Roman"/>
          <w:b/>
        </w:rPr>
        <w:t>Módulo 6. Complementariedades y coincidencias</w:t>
      </w:r>
    </w:p>
    <w:p w14:paraId="68D07F80" w14:textId="1836871E" w:rsidR="00C30BCF" w:rsidRPr="00C30BCF" w:rsidRDefault="00C30BCF" w:rsidP="00C30BCF">
      <w:pPr>
        <w:rPr>
          <w:rFonts w:ascii="Calibri" w:eastAsia="Calibri" w:hAnsi="Calibri" w:cs="Times New Roman"/>
        </w:rPr>
      </w:pPr>
      <w:r w:rsidRPr="00C30BCF">
        <w:rPr>
          <w:rFonts w:ascii="Calibri" w:eastAsia="Calibri" w:hAnsi="Calibri" w:cs="Times New Roman"/>
        </w:rPr>
        <w:t xml:space="preserve">Según las definiciones del CONEVAL se entiende como coincidencia entre dos o más programas cuando sus objetivos son similares; o bien cuando sus </w:t>
      </w:r>
      <w:r w:rsidR="00A70A52">
        <w:rPr>
          <w:rFonts w:ascii="Calibri" w:eastAsia="Calibri" w:hAnsi="Calibri" w:cs="Times New Roman"/>
        </w:rPr>
        <w:t>C</w:t>
      </w:r>
      <w:r w:rsidRPr="00C30BCF">
        <w:rPr>
          <w:rFonts w:ascii="Calibri" w:eastAsia="Calibri" w:hAnsi="Calibri" w:cs="Times New Roman"/>
        </w:rPr>
        <w:t xml:space="preserve">omponentes son similares o iguales, pero atienden a la misma </w:t>
      </w:r>
      <w:r w:rsidRPr="00C30BCF">
        <w:rPr>
          <w:rFonts w:ascii="Calibri" w:eastAsia="Calibri" w:hAnsi="Calibri" w:cs="Times New Roman"/>
        </w:rPr>
        <w:lastRenderedPageBreak/>
        <w:t xml:space="preserve">población y, complementariedad cuando dos o más programa atienden a la misma población, pero los apoyos son diferentes; o bien cuando sus </w:t>
      </w:r>
      <w:r w:rsidR="00A70A52">
        <w:rPr>
          <w:rFonts w:ascii="Calibri" w:eastAsia="Calibri" w:hAnsi="Calibri" w:cs="Times New Roman"/>
        </w:rPr>
        <w:t>C</w:t>
      </w:r>
      <w:r w:rsidRPr="00C30BCF">
        <w:rPr>
          <w:rFonts w:ascii="Calibri" w:eastAsia="Calibri" w:hAnsi="Calibri" w:cs="Times New Roman"/>
        </w:rPr>
        <w:t xml:space="preserve">omponentes son similares o iguales, pero atienden a diferente población. En este contexto se detectó complementariedad de los recursos del Fondo con los siguientes Pp de la entidad federativa: </w:t>
      </w:r>
      <w:r w:rsidR="007A442D">
        <w:rPr>
          <w:rFonts w:ascii="Calibri" w:eastAsia="Calibri" w:hAnsi="Calibri" w:cs="Times New Roman"/>
        </w:rPr>
        <w:t>I</w:t>
      </w:r>
      <w:r w:rsidRPr="00C30BCF">
        <w:rPr>
          <w:rFonts w:ascii="Calibri" w:eastAsia="Calibri" w:hAnsi="Calibri" w:cs="Times New Roman"/>
        </w:rPr>
        <w:t xml:space="preserve">nversión para el Fortalecimiento de la Gobernabilidad Democrática y Gobernanza, Inversión para el Fortalecimiento de Hacienda Pública, Inversión en Obras Públicas, Agua, Drenaje y Saneamiento, Infraestructura en Educación, Programas </w:t>
      </w:r>
      <w:r w:rsidR="00BB7851">
        <w:rPr>
          <w:rFonts w:ascii="Calibri" w:eastAsia="Calibri" w:hAnsi="Calibri" w:cs="Times New Roman"/>
        </w:rPr>
        <w:t>H</w:t>
      </w:r>
      <w:r w:rsidRPr="00C30BCF">
        <w:rPr>
          <w:rFonts w:ascii="Calibri" w:eastAsia="Calibri" w:hAnsi="Calibri" w:cs="Times New Roman"/>
        </w:rPr>
        <w:t xml:space="preserve">idroagrícolas. </w:t>
      </w:r>
      <w:r w:rsidRPr="00C30BCF">
        <w:rPr>
          <w:rFonts w:ascii="Calibri" w:eastAsia="Calibri" w:hAnsi="Calibri" w:cs="Calibri"/>
          <w:color w:val="000000"/>
        </w:rPr>
        <w:t>La complementariedad que existe con estos Pp en el ejercicio 2018, es para llevar a cabo la implementación de obra pública a nivel estatal y municipal con los recursos del Fondo. Asimismo, se detectaron sinergias del Fondo con distintos programas, considerando que fortalece el presupuesto de algunos o contribuyen con los objetivos de otros, mediante el financiamiento de infraestructura o equipamiento para la realización de sus funciones.</w:t>
      </w:r>
    </w:p>
    <w:p w14:paraId="21B83AED" w14:textId="77777777" w:rsidR="00C30BCF" w:rsidRPr="00C30BCF" w:rsidRDefault="00C30BCF" w:rsidP="00C30BCF">
      <w:pPr>
        <w:rPr>
          <w:rFonts w:ascii="Calibri" w:eastAsia="Calibri" w:hAnsi="Calibri" w:cs="Times New Roman"/>
          <w:b/>
        </w:rPr>
      </w:pPr>
      <w:r w:rsidRPr="00C30BCF">
        <w:rPr>
          <w:rFonts w:ascii="Calibri" w:eastAsia="Calibri" w:hAnsi="Calibri" w:cs="Times New Roman"/>
          <w:b/>
        </w:rPr>
        <w:t>Módulo 7. Calidad de la información</w:t>
      </w:r>
    </w:p>
    <w:p w14:paraId="1906007D" w14:textId="05A41943" w:rsidR="00397D97" w:rsidRDefault="00C30BCF" w:rsidP="00C30BCF">
      <w:pPr>
        <w:rPr>
          <w:rFonts w:ascii="Calibri" w:eastAsia="Calibri" w:hAnsi="Calibri" w:cs="Calibri"/>
          <w:bCs/>
        </w:rPr>
      </w:pPr>
      <w:r w:rsidRPr="00C30BCF">
        <w:rPr>
          <w:rFonts w:ascii="Calibri" w:eastAsia="Calibri" w:hAnsi="Calibri" w:cs="Times New Roman"/>
        </w:rPr>
        <w:t xml:space="preserve">Respecto a la generación de información, rendición de cuentas y medición de resultados de la aplicación de los recursos del FAFEF, se identificó </w:t>
      </w:r>
      <w:r w:rsidR="001D24AE" w:rsidRPr="00C30BCF">
        <w:rPr>
          <w:rFonts w:ascii="Calibri" w:eastAsia="Calibri" w:hAnsi="Calibri" w:cs="Times New Roman"/>
        </w:rPr>
        <w:t>que,</w:t>
      </w:r>
      <w:r w:rsidRPr="00C30BCF">
        <w:rPr>
          <w:rFonts w:ascii="Calibri" w:eastAsia="Calibri" w:hAnsi="Calibri" w:cs="Times New Roman"/>
        </w:rPr>
        <w:t xml:space="preserve"> en Hidalgo, aunque se cuenta con un MIR específica para el FAFEF, su diseño no deriva de una identificación precisa de las problemáticas posibles a atender, acordes a los rubros de atención del Fondo establecidos en la LCF. Asimismo, la información concentrada en la MIR del FAFEF estatal no se encuentra disponible en las páginas web de transparencia del gobierno del Estado, por lo que la entidad federativa mide sus resultados a través de la MIR federal del Fondo </w:t>
      </w:r>
      <w:r w:rsidRPr="00C30BCF">
        <w:rPr>
          <w:rFonts w:ascii="Calibri" w:eastAsia="Calibri" w:hAnsi="Calibri" w:cs="Calibri"/>
          <w:bCs/>
        </w:rPr>
        <w:t>y</w:t>
      </w:r>
      <w:r w:rsidR="00397D97">
        <w:rPr>
          <w:rFonts w:ascii="Calibri" w:eastAsia="Calibri" w:hAnsi="Calibri" w:cs="Calibri"/>
          <w:bCs/>
        </w:rPr>
        <w:t xml:space="preserve"> </w:t>
      </w:r>
      <w:r w:rsidRPr="00C30BCF">
        <w:rPr>
          <w:rFonts w:ascii="Calibri" w:eastAsia="Calibri" w:hAnsi="Calibri" w:cs="Calibri"/>
          <w:bCs/>
        </w:rPr>
        <w:t>publica en páginas oficiales estatales (</w:t>
      </w:r>
      <w:hyperlink r:id="rId12" w:history="1">
        <w:r w:rsidRPr="00C30BCF">
          <w:rPr>
            <w:rFonts w:ascii="Calibri" w:eastAsia="Calibri" w:hAnsi="Calibri" w:cs="Calibri"/>
            <w:color w:val="0563C1"/>
            <w:u w:val="single"/>
          </w:rPr>
          <w:t>https://s-finanzas.hidalgo.gob.mx/servicios/informacinFinancieraSRFT.html</w:t>
        </w:r>
      </w:hyperlink>
      <w:r w:rsidRPr="00C30BCF">
        <w:rPr>
          <w:rFonts w:ascii="Calibri" w:eastAsia="Calibri" w:hAnsi="Calibri" w:cs="Calibri"/>
          <w:color w:val="000000"/>
        </w:rPr>
        <w:t>)</w:t>
      </w:r>
      <w:r w:rsidRPr="00C30BCF">
        <w:rPr>
          <w:rFonts w:ascii="Calibri" w:eastAsia="Calibri" w:hAnsi="Calibri" w:cs="Calibri"/>
          <w:bCs/>
        </w:rPr>
        <w:t>, información relativa a cinco indicadores de la MIR federal, 1 a nivel de Fin, 2 de Propósito, 1 de Componente y 1 de Actividad es decir esta información es verificable públicamente.</w:t>
      </w:r>
    </w:p>
    <w:p w14:paraId="13AF72F4" w14:textId="77777777" w:rsidR="00397D97" w:rsidRDefault="00C30BCF" w:rsidP="00C30BCF">
      <w:pPr>
        <w:rPr>
          <w:rFonts w:ascii="Calibri" w:eastAsia="Calibri" w:hAnsi="Calibri" w:cs="Calibri"/>
          <w:bCs/>
        </w:rPr>
      </w:pPr>
      <w:r w:rsidRPr="00C30BCF">
        <w:rPr>
          <w:rFonts w:ascii="Calibri" w:eastAsia="Calibri" w:hAnsi="Calibri" w:cs="Calibri"/>
          <w:bCs/>
        </w:rPr>
        <w:t xml:space="preserve">En relación con los Pp que reciben recursos provenientes del FAFEF, para los programas K, integrados en la sectorial inversión, los resultados de los indicadores son publicados en la página: </w:t>
      </w:r>
      <w:hyperlink r:id="rId13" w:history="1">
        <w:r w:rsidRPr="00C30BCF">
          <w:rPr>
            <w:rFonts w:ascii="Calibri" w:eastAsia="Calibri" w:hAnsi="Calibri" w:cs="Calibri"/>
            <w:bCs/>
            <w:color w:val="0563C1"/>
            <w:u w:val="single"/>
          </w:rPr>
          <w:t>https://s-finanzas.hidalgo.gob.mx/pag/presupuestoBasadoResultados.html</w:t>
        </w:r>
      </w:hyperlink>
      <w:r w:rsidRPr="00C30BCF">
        <w:rPr>
          <w:rFonts w:ascii="Calibri" w:eastAsia="Calibri" w:hAnsi="Calibri" w:cs="Calibri"/>
          <w:bCs/>
        </w:rPr>
        <w:t>, específicamente en el apartado de monitoreo.</w:t>
      </w:r>
      <w:r w:rsidR="00397D97">
        <w:rPr>
          <w:rFonts w:ascii="Calibri" w:eastAsia="Calibri" w:hAnsi="Calibri" w:cs="Calibri"/>
          <w:bCs/>
        </w:rPr>
        <w:t xml:space="preserve"> </w:t>
      </w:r>
    </w:p>
    <w:p w14:paraId="33B95F61" w14:textId="4E725839" w:rsidR="00C30BCF" w:rsidRPr="00C30BCF" w:rsidRDefault="00C30BCF" w:rsidP="00C30BCF">
      <w:pPr>
        <w:rPr>
          <w:rFonts w:ascii="Calibri" w:eastAsia="Calibri" w:hAnsi="Calibri" w:cs="Calibri"/>
          <w:bCs/>
        </w:rPr>
      </w:pPr>
      <w:r w:rsidRPr="00C30BCF">
        <w:rPr>
          <w:rFonts w:ascii="Calibri" w:eastAsia="Calibri" w:hAnsi="Calibri" w:cs="Calibri"/>
          <w:bCs/>
        </w:rPr>
        <w:t>La información que se reporta relacionada con los Componentes de la MIR federal y las MIR estatales de los Pp, cumplen con lo establecido en los artículos 85, fracción II de la LFPRH, 48 de la LCF, 72 de la Ley General de Contabilidad Gubernamental y de la disposición vigésimo cuarto de los Lineamientos para informar sobre los recursos federales transferidos a las entidades federativas, municipios y demarcaciones territoriales del Distrito Federal, y de operación de los recursos del Ramo General 33. Asimismo, la información de monitoreo que se reporta para los Pp corresponde con lo establecido en las Leyes, lineamientos, manuales, guías y formatos establecidos para la estandarización de la información en el marco normativo estatal.</w:t>
      </w:r>
    </w:p>
    <w:p w14:paraId="5689401A" w14:textId="7EEA458A" w:rsidR="00397D97" w:rsidRDefault="00C30BCF" w:rsidP="00C30BCF">
      <w:pPr>
        <w:autoSpaceDE w:val="0"/>
        <w:autoSpaceDN w:val="0"/>
        <w:adjustRightInd w:val="0"/>
        <w:rPr>
          <w:rFonts w:ascii="Calibri" w:eastAsia="Calibri" w:hAnsi="Calibri" w:cs="Calibri"/>
          <w:color w:val="000000"/>
        </w:rPr>
      </w:pPr>
      <w:r w:rsidRPr="00C30BCF">
        <w:rPr>
          <w:rFonts w:ascii="Calibri" w:eastAsia="Calibri" w:hAnsi="Calibri" w:cs="Calibri"/>
          <w:color w:val="000000"/>
        </w:rPr>
        <w:t xml:space="preserve">En el </w:t>
      </w:r>
      <w:r w:rsidR="00AC117F">
        <w:rPr>
          <w:rFonts w:ascii="Calibri" w:eastAsia="Calibri" w:hAnsi="Calibri" w:cs="Calibri"/>
          <w:color w:val="000000"/>
        </w:rPr>
        <w:t>E</w:t>
      </w:r>
      <w:r w:rsidRPr="00C30BCF">
        <w:rPr>
          <w:rFonts w:ascii="Calibri" w:eastAsia="Calibri" w:hAnsi="Calibri" w:cs="Calibri"/>
          <w:color w:val="000000"/>
        </w:rPr>
        <w:t xml:space="preserve">stado de Hidalgo los recursos del FAFEF no han sido planeados sobre una base poblacional, puesto que no se ha dispuesto de una identificación ni cuantificación de la población potencial, objetivo y atendida. El documento diagnóstico del FAFEF en la entidad y la MIR estatal del Fondo consideran como población potencial, objetivo y atendida a los habitantes de los 84 municipios que conforman la entidad federativa, por lo que no se dispone de una definición precisa de las mismas. </w:t>
      </w:r>
    </w:p>
    <w:p w14:paraId="7616BC52" w14:textId="0BB7600C" w:rsidR="00397D97" w:rsidRDefault="00C30BCF" w:rsidP="00C30BCF">
      <w:pPr>
        <w:autoSpaceDE w:val="0"/>
        <w:autoSpaceDN w:val="0"/>
        <w:adjustRightInd w:val="0"/>
        <w:rPr>
          <w:rFonts w:ascii="Calibri" w:eastAsia="Calibri" w:hAnsi="Calibri" w:cs="Times New Roman"/>
        </w:rPr>
      </w:pPr>
      <w:r w:rsidRPr="00C30BCF">
        <w:rPr>
          <w:rFonts w:ascii="Calibri" w:eastAsia="Calibri" w:hAnsi="Calibri" w:cs="Calibri"/>
          <w:color w:val="000000"/>
        </w:rPr>
        <w:t>Si bien no existen mecanismos específicos del FAFEF que fortalezcan la rendición de cuentas y la transparencia sobre su ejecución, el Estado de Hidalgo para la operación de los Pp que reciben financiamiento del FAFEF cuenta con los mecanismos en esta materia que cumplen con las características de difundir públicamente, vía web, sus documentos normativos, y sus principales resultados</w:t>
      </w:r>
      <w:r w:rsidR="00771353">
        <w:rPr>
          <w:rFonts w:ascii="Calibri" w:eastAsia="Calibri" w:hAnsi="Calibri" w:cs="Calibri"/>
          <w:color w:val="000000"/>
        </w:rPr>
        <w:t xml:space="preserve">  </w:t>
      </w:r>
      <w:r w:rsidRPr="00C30BCF">
        <w:rPr>
          <w:rFonts w:ascii="Calibri" w:eastAsia="Calibri" w:hAnsi="Calibri" w:cs="Calibri"/>
          <w:color w:val="000000"/>
        </w:rPr>
        <w:t>a través de los informes trimestrales y definitivos, por ejercicio fiscal, en los temas de ejercicio del gasto, destino del gasto e indicadores del Ramo 33.</w:t>
      </w:r>
      <w:r w:rsidRPr="00C30BCF">
        <w:rPr>
          <w:rFonts w:ascii="Calibri" w:eastAsia="Calibri" w:hAnsi="Calibri" w:cs="Times New Roman"/>
        </w:rPr>
        <w:t xml:space="preserve"> Asimismo, en el portal de transparencia financiera de la entidad federativa, se pude consultar información referente a la cuenta pública del ejercicio que se desee, mediante la cual se informa sobre los resultados logrados por cada Pp de la entidad, entre los que se encuentran los financiados con recursos del Fondo. </w:t>
      </w:r>
    </w:p>
    <w:p w14:paraId="698CD870" w14:textId="5CF7D89F" w:rsidR="00C30BCF" w:rsidRPr="00C30BCF" w:rsidRDefault="00C30BCF" w:rsidP="00C30BCF">
      <w:pPr>
        <w:autoSpaceDE w:val="0"/>
        <w:autoSpaceDN w:val="0"/>
        <w:adjustRightInd w:val="0"/>
        <w:rPr>
          <w:rFonts w:ascii="Calibri" w:eastAsia="Calibri" w:hAnsi="Calibri" w:cs="Times New Roman"/>
        </w:rPr>
      </w:pPr>
      <w:r w:rsidRPr="00C30BCF">
        <w:rPr>
          <w:rFonts w:ascii="Calibri" w:eastAsia="Calibri" w:hAnsi="Calibri" w:cs="Times New Roman"/>
        </w:rPr>
        <w:lastRenderedPageBreak/>
        <w:t xml:space="preserve">En el Estado la información que se genera a través de las plataformas SIDET, SIFAP y SIIPPED, permite medir los indicadores de los Pp a nivel de </w:t>
      </w:r>
      <w:r w:rsidR="00A70A52">
        <w:rPr>
          <w:rFonts w:ascii="Calibri" w:eastAsia="Calibri" w:hAnsi="Calibri" w:cs="Times New Roman"/>
        </w:rPr>
        <w:t>C</w:t>
      </w:r>
      <w:r w:rsidRPr="00C30BCF">
        <w:rPr>
          <w:rFonts w:ascii="Calibri" w:eastAsia="Calibri" w:hAnsi="Calibri" w:cs="Times New Roman"/>
        </w:rPr>
        <w:t xml:space="preserve">omponente y </w:t>
      </w:r>
      <w:r w:rsidR="00A70A52">
        <w:rPr>
          <w:rFonts w:ascii="Calibri" w:eastAsia="Calibri" w:hAnsi="Calibri" w:cs="Times New Roman"/>
        </w:rPr>
        <w:t>A</w:t>
      </w:r>
      <w:r w:rsidRPr="00C30BCF">
        <w:rPr>
          <w:rFonts w:ascii="Calibri" w:eastAsia="Calibri" w:hAnsi="Calibri" w:cs="Times New Roman"/>
        </w:rPr>
        <w:t xml:space="preserve">ctividad. </w:t>
      </w:r>
      <w:r w:rsidR="00397D97">
        <w:rPr>
          <w:rFonts w:ascii="Calibri" w:eastAsia="Calibri" w:hAnsi="Calibri" w:cs="Times New Roman"/>
        </w:rPr>
        <w:t>E</w:t>
      </w:r>
      <w:r w:rsidRPr="00C30BCF">
        <w:rPr>
          <w:rFonts w:ascii="Calibri" w:eastAsia="Calibri" w:hAnsi="Calibri" w:cs="Times New Roman"/>
        </w:rPr>
        <w:t xml:space="preserve">l monitoreo de Indicadores estatales, es el medio para dar seguimiento al cumplimiento de las metas establecidas en los Pp, debido a que, una vez autorizado el recurso, éste se liga con los objetivos, indicadores y metas </w:t>
      </w:r>
      <w:r w:rsidR="00397D97">
        <w:rPr>
          <w:rFonts w:ascii="Calibri" w:eastAsia="Calibri" w:hAnsi="Calibri" w:cs="Times New Roman"/>
        </w:rPr>
        <w:t>de cada Pp</w:t>
      </w:r>
      <w:r w:rsidR="00771353">
        <w:rPr>
          <w:rFonts w:ascii="Calibri" w:eastAsia="Calibri" w:hAnsi="Calibri" w:cs="Times New Roman"/>
        </w:rPr>
        <w:t xml:space="preserve">  </w:t>
      </w:r>
      <w:r w:rsidRPr="00C30BCF">
        <w:rPr>
          <w:rFonts w:ascii="Calibri" w:eastAsia="Calibri" w:hAnsi="Calibri" w:cs="Times New Roman"/>
        </w:rPr>
        <w:t>y</w:t>
      </w:r>
      <w:r w:rsidR="00771353">
        <w:rPr>
          <w:rFonts w:ascii="Calibri" w:eastAsia="Calibri" w:hAnsi="Calibri" w:cs="Times New Roman"/>
        </w:rPr>
        <w:t xml:space="preserve">  </w:t>
      </w:r>
      <w:r w:rsidRPr="00C30BCF">
        <w:rPr>
          <w:rFonts w:ascii="Calibri" w:eastAsia="Calibri" w:hAnsi="Calibri" w:cs="Times New Roman"/>
        </w:rPr>
        <w:t>su MIR, se da seguimiento mensual a su avance y los resultados son publicados trimestralmente en la página de la SFP (</w:t>
      </w:r>
      <w:hyperlink r:id="rId14" w:history="1">
        <w:r w:rsidRPr="00C30BCF">
          <w:rPr>
            <w:rFonts w:ascii="Calibri" w:eastAsia="Calibri" w:hAnsi="Calibri" w:cs="Times New Roman"/>
            <w:color w:val="0563C1"/>
            <w:u w:val="single"/>
          </w:rPr>
          <w:t>http://s-finanzas.hidalgo.gob.mx/pag/presupuestoBasadoResultados.html</w:t>
        </w:r>
      </w:hyperlink>
      <w:r w:rsidRPr="00C30BCF">
        <w:rPr>
          <w:rFonts w:ascii="Calibri" w:eastAsia="Calibri" w:hAnsi="Calibri" w:cs="Times New Roman"/>
          <w:color w:val="000000"/>
          <w:sz w:val="18"/>
        </w:rPr>
        <w:t>)</w:t>
      </w:r>
      <w:r w:rsidRPr="00C30BCF">
        <w:rPr>
          <w:rFonts w:ascii="Calibri" w:eastAsia="Calibri" w:hAnsi="Calibri" w:cs="Times New Roman"/>
        </w:rPr>
        <w:t>.</w:t>
      </w:r>
    </w:p>
    <w:p w14:paraId="5B583679" w14:textId="0DDB8C97" w:rsidR="00C30BCF" w:rsidRPr="00C30BCF" w:rsidRDefault="00C30BCF" w:rsidP="00C30BCF">
      <w:pPr>
        <w:autoSpaceDE w:val="0"/>
        <w:autoSpaceDN w:val="0"/>
        <w:adjustRightInd w:val="0"/>
        <w:rPr>
          <w:rFonts w:ascii="Calibri" w:eastAsia="Calibri" w:hAnsi="Calibri" w:cs="Times New Roman"/>
        </w:rPr>
      </w:pPr>
      <w:r w:rsidRPr="00C30BCF">
        <w:rPr>
          <w:rFonts w:ascii="Calibri" w:eastAsia="Calibri" w:hAnsi="Calibri" w:cs="Times New Roman"/>
        </w:rPr>
        <w:t>El Estado de Hidalgo presenta un avance significativo en los indicadores de Fin y Propósito de la MIR federal. A nivel de Fin reporta un avance respecto a las metas de 129.8 y 110% para los ejercicios 2017 y 2018 respectivamente, lo cual refleja un menor impacto de la deuda en las finanzas públicas de la entidad federativa.</w:t>
      </w:r>
      <w:r w:rsidR="00771353">
        <w:rPr>
          <w:rFonts w:ascii="Calibri" w:eastAsia="Calibri" w:hAnsi="Calibri" w:cs="Times New Roman"/>
        </w:rPr>
        <w:t xml:space="preserve">  </w:t>
      </w:r>
      <w:r w:rsidRPr="00C30BCF">
        <w:rPr>
          <w:rFonts w:ascii="Calibri" w:eastAsia="Calibri" w:hAnsi="Calibri" w:cs="Times New Roman"/>
        </w:rPr>
        <w:t xml:space="preserve">A nivel de Propósito se miden dos indicadores: </w:t>
      </w:r>
      <w:r w:rsidRPr="00C30BCF">
        <w:rPr>
          <w:rFonts w:ascii="Calibri" w:eastAsia="Calibri" w:hAnsi="Calibri" w:cs="Times New Roman"/>
          <w:i/>
          <w:iCs/>
        </w:rPr>
        <w:t>índice de fortalecimiento financiero</w:t>
      </w:r>
      <w:r w:rsidRPr="00C30BCF">
        <w:rPr>
          <w:rFonts w:ascii="Calibri" w:eastAsia="Calibri" w:hAnsi="Calibri" w:cs="Times New Roman"/>
        </w:rPr>
        <w:t xml:space="preserve"> e </w:t>
      </w:r>
      <w:r w:rsidRPr="00C30BCF">
        <w:rPr>
          <w:rFonts w:ascii="Calibri" w:eastAsia="Calibri" w:hAnsi="Calibri" w:cs="Times New Roman"/>
          <w:i/>
          <w:iCs/>
        </w:rPr>
        <w:t>índice de impulso al gasto de inversión</w:t>
      </w:r>
      <w:r w:rsidRPr="00C30BCF">
        <w:rPr>
          <w:rFonts w:ascii="Calibri" w:eastAsia="Calibri" w:hAnsi="Calibri" w:cs="Times New Roman"/>
        </w:rPr>
        <w:t>. El primero identifica la fortaleza de la recaudación local, comparada con los ingresos disponibles y, el segundo</w:t>
      </w:r>
      <w:r w:rsidR="00397D97">
        <w:rPr>
          <w:rFonts w:ascii="Calibri" w:eastAsia="Calibri" w:hAnsi="Calibri" w:cs="Times New Roman"/>
        </w:rPr>
        <w:t xml:space="preserve">, </w:t>
      </w:r>
      <w:r w:rsidRPr="00C30BCF">
        <w:rPr>
          <w:rFonts w:ascii="Calibri" w:eastAsia="Calibri" w:hAnsi="Calibri" w:cs="Times New Roman"/>
        </w:rPr>
        <w:t>se refiere a la cantidad de recursos que la entidad federativa canaliza de su ingreso estatal disponible</w:t>
      </w:r>
      <w:r w:rsidR="00397D97">
        <w:rPr>
          <w:rFonts w:ascii="Calibri" w:eastAsia="Calibri" w:hAnsi="Calibri" w:cs="Times New Roman"/>
        </w:rPr>
        <w:t>,</w:t>
      </w:r>
      <w:r w:rsidRPr="00C30BCF">
        <w:rPr>
          <w:rFonts w:ascii="Calibri" w:eastAsia="Calibri" w:hAnsi="Calibri" w:cs="Times New Roman"/>
        </w:rPr>
        <w:t xml:space="preserve"> a la inversión para fortalecer su infraestructura pública, ambos indicadores presentan avances importantes entre los ejercicios 2017 y 2018.</w:t>
      </w:r>
    </w:p>
    <w:p w14:paraId="622EAE79" w14:textId="77777777" w:rsidR="00C30BCF" w:rsidRPr="00C30BCF" w:rsidRDefault="00C30BCF" w:rsidP="00C30BCF">
      <w:pPr>
        <w:rPr>
          <w:rFonts w:ascii="Calibri" w:eastAsia="Calibri" w:hAnsi="Calibri" w:cs="Times New Roman"/>
          <w:b/>
        </w:rPr>
      </w:pPr>
      <w:r w:rsidRPr="00C30BCF">
        <w:rPr>
          <w:rFonts w:ascii="Calibri" w:eastAsia="Calibri" w:hAnsi="Calibri" w:cs="Times New Roman"/>
          <w:b/>
        </w:rPr>
        <w:t>Principales recomendaciones</w:t>
      </w:r>
    </w:p>
    <w:p w14:paraId="33E85517" w14:textId="21941982" w:rsidR="00C30BCF" w:rsidRPr="00C30BCF" w:rsidRDefault="00C30BCF" w:rsidP="001D2D41">
      <w:pPr>
        <w:numPr>
          <w:ilvl w:val="0"/>
          <w:numId w:val="33"/>
        </w:numPr>
        <w:ind w:left="714" w:hanging="357"/>
        <w:rPr>
          <w:rFonts w:ascii="Calibri" w:eastAsia="Times New Roman" w:hAnsi="Calibri" w:cs="Calibri"/>
          <w:color w:val="000000"/>
          <w:lang w:eastAsia="es-MX"/>
        </w:rPr>
      </w:pPr>
      <w:r w:rsidRPr="00C30BCF">
        <w:rPr>
          <w:rFonts w:ascii="Calibri" w:eastAsia="Times New Roman" w:hAnsi="Calibri" w:cs="Calibri"/>
          <w:color w:val="000000"/>
          <w:lang w:eastAsia="es-MX"/>
        </w:rPr>
        <w:t>Mejorar el documento de Diagnóstico, integrando en este las problemáticas detectadas para cada uno de los 9 rubros de gasto especificados en el Artículo 47 de la LCF.</w:t>
      </w:r>
      <w:r w:rsidR="00771353">
        <w:rPr>
          <w:rFonts w:ascii="Calibri" w:eastAsia="Times New Roman" w:hAnsi="Calibri" w:cs="Calibri"/>
          <w:color w:val="000000"/>
          <w:lang w:eastAsia="es-MX"/>
        </w:rPr>
        <w:t xml:space="preserve">  </w:t>
      </w:r>
      <w:r w:rsidRPr="00C30BCF">
        <w:rPr>
          <w:rFonts w:ascii="Calibri" w:eastAsia="Times New Roman" w:hAnsi="Calibri" w:cs="Calibri"/>
          <w:color w:val="000000"/>
          <w:lang w:eastAsia="es-MX"/>
        </w:rPr>
        <w:t>Este deberá atender los criterios metodológicos definidos por la SHCP y el CONEVAL. Para su elaboración se sugiere los siguientes elementos mínimos: Identificación del problema, estado actual del problema, evolución del problema, árbol de problemas, árbol de objetivos, justificación teórica y empírica de la intervención, Matriz de Indicadores, presupuesto requerido, población potencial y objetivo, estrategias de cobertura, entre otros</w:t>
      </w:r>
    </w:p>
    <w:p w14:paraId="731513DE" w14:textId="36DF6109" w:rsidR="00C30BCF" w:rsidRDefault="00C30BCF" w:rsidP="001D2D41">
      <w:pPr>
        <w:numPr>
          <w:ilvl w:val="0"/>
          <w:numId w:val="33"/>
        </w:numPr>
        <w:ind w:left="714" w:hanging="357"/>
        <w:rPr>
          <w:rFonts w:ascii="Calibri" w:eastAsia="Times New Roman" w:hAnsi="Calibri" w:cs="Calibri"/>
          <w:color w:val="000000"/>
          <w:lang w:eastAsia="es-MX"/>
        </w:rPr>
      </w:pPr>
      <w:r w:rsidRPr="000F3860">
        <w:rPr>
          <w:rFonts w:ascii="Calibri" w:eastAsia="Times New Roman" w:hAnsi="Calibri" w:cs="Calibri"/>
          <w:color w:val="000000"/>
          <w:lang w:eastAsia="es-MX"/>
        </w:rPr>
        <w:t>Elaborar un documento de planeación estratégica</w:t>
      </w:r>
      <w:r w:rsidR="00186F27" w:rsidRPr="000F3860">
        <w:rPr>
          <w:rFonts w:ascii="Calibri" w:eastAsia="Times New Roman" w:hAnsi="Calibri" w:cs="Calibri"/>
          <w:color w:val="000000"/>
          <w:lang w:eastAsia="es-MX"/>
        </w:rPr>
        <w:t xml:space="preserve"> de mediano plazo (de 5 años)</w:t>
      </w:r>
      <w:r w:rsidRPr="000F3860">
        <w:rPr>
          <w:rFonts w:ascii="Calibri" w:eastAsia="Times New Roman" w:hAnsi="Calibri" w:cs="Calibri"/>
          <w:color w:val="000000"/>
          <w:lang w:eastAsia="es-MX"/>
        </w:rPr>
        <w:t xml:space="preserve"> adicional a los instrumentos de planeación estatal,</w:t>
      </w:r>
      <w:r w:rsidR="00A649F5" w:rsidRPr="000F3860">
        <w:t xml:space="preserve"> </w:t>
      </w:r>
      <w:r w:rsidR="00A649F5" w:rsidRPr="000F3860">
        <w:rPr>
          <w:rFonts w:ascii="Calibri" w:eastAsia="Times New Roman" w:hAnsi="Calibri" w:cs="Calibri"/>
          <w:color w:val="000000"/>
          <w:lang w:eastAsia="es-MX"/>
        </w:rPr>
        <w:t xml:space="preserve">que sea producto de ejercicios institucionalizados, se definan los resultados que se pretenden alcanzar con la ejecución del Fondo, </w:t>
      </w:r>
      <w:r w:rsidRPr="000F3860">
        <w:rPr>
          <w:rFonts w:ascii="Calibri" w:eastAsia="Times New Roman" w:hAnsi="Calibri" w:cs="Calibri"/>
          <w:color w:val="000000"/>
          <w:lang w:eastAsia="es-MX"/>
        </w:rPr>
        <w:t>contemple la magnitud de las problemáticas representadas en los rubros de atención del FAFEF y la contribución del Fondo a su solución o atenuación; plantee objetivos y metas a corto, mediano y largo plazos; defina y cuantifique a la población potencial y objetivo para cada rubro de atención; establezca metas de cobertura e incluya indicadores de gestión y resultados para medir el desempeño en el ejercicio de los recursos.</w:t>
      </w:r>
      <w:r w:rsidR="00A649F5" w:rsidRPr="000F3860">
        <w:rPr>
          <w:rFonts w:ascii="Calibri" w:eastAsia="Times New Roman" w:hAnsi="Calibri" w:cs="Calibri"/>
          <w:color w:val="000000"/>
          <w:lang w:eastAsia="es-MX"/>
        </w:rPr>
        <w:t xml:space="preserve"> Asimismo, este documento debe contener como mínimo los antecedentes, el marco jurídico, la estructura organizacional, la alineación con el PED y al PND vigentes, la metodología para la planeación estratégica y los objetivos y metas de mediano y/o largo plazo de la planeación, que le permita orientar sus acciones hacia resultados, sobre todo a nivel de Fin y Propósito del Fondo</w:t>
      </w:r>
      <w:r w:rsidR="00434532">
        <w:rPr>
          <w:rFonts w:ascii="Calibri" w:eastAsia="Times New Roman" w:hAnsi="Calibri" w:cs="Calibri"/>
          <w:color w:val="000000"/>
          <w:lang w:eastAsia="es-MX"/>
        </w:rPr>
        <w:t>.</w:t>
      </w:r>
    </w:p>
    <w:p w14:paraId="3C383291" w14:textId="61BA4118" w:rsidR="00BC7FA4" w:rsidRDefault="00BC7FA4" w:rsidP="001D2D41">
      <w:pPr>
        <w:numPr>
          <w:ilvl w:val="0"/>
          <w:numId w:val="33"/>
        </w:numPr>
        <w:ind w:left="714" w:hanging="357"/>
        <w:rPr>
          <w:rFonts w:ascii="Calibri" w:eastAsia="Times New Roman" w:hAnsi="Calibri" w:cs="Calibri"/>
          <w:color w:val="000000"/>
          <w:lang w:eastAsia="es-MX"/>
        </w:rPr>
      </w:pPr>
      <w:r w:rsidRPr="00BC7FA4">
        <w:rPr>
          <w:rFonts w:ascii="Calibri" w:eastAsia="Times New Roman" w:hAnsi="Calibri" w:cs="Calibri"/>
          <w:color w:val="000000"/>
          <w:lang w:eastAsia="es-MX"/>
        </w:rPr>
        <w:t>Fortalecer el diseño de la MIR estatal de Fondo, basado en la MML, así como establecer a nivel componentes su vinculación con las MIR de los Pp que reciben recursos del FAFEF en el Estado. La MIR estatal del FAFEF puede incluir componentes o indicadores a relacionados con los nueve rubros de gasto de LCF. Mediante este mecanismo se podrá tener información clara de los resultados del ejercicio de los recursos del Fondo derivada de los Pp que ejercen recursos, que a su vez permitan alimentar indicadores de la MIR estatal del Fondo y a la MIR federal a través del SRFT”.</w:t>
      </w:r>
    </w:p>
    <w:p w14:paraId="6D292416" w14:textId="77777777" w:rsidR="00C30BCF" w:rsidRPr="00C30BCF" w:rsidRDefault="00C30BCF" w:rsidP="001D2D41">
      <w:pPr>
        <w:numPr>
          <w:ilvl w:val="0"/>
          <w:numId w:val="33"/>
        </w:numPr>
        <w:ind w:left="714" w:hanging="357"/>
        <w:rPr>
          <w:rFonts w:ascii="Calibri" w:eastAsia="Times New Roman" w:hAnsi="Calibri" w:cs="Calibri"/>
          <w:color w:val="000000"/>
          <w:lang w:eastAsia="es-MX"/>
        </w:rPr>
      </w:pPr>
      <w:r w:rsidRPr="00C30BCF">
        <w:rPr>
          <w:rFonts w:ascii="Calibri" w:eastAsia="Times New Roman" w:hAnsi="Calibri" w:cs="Calibri"/>
          <w:color w:val="000000"/>
          <w:lang w:eastAsia="es-MX"/>
        </w:rPr>
        <w:t>Se recomienda que sea la SFP en coordinación con las instancias ejecutoras quienes planteen las metas para cada indicador de la MIR Federal del Fondo. Para establecer metas se debe asegurar que sean cuantificables y que estén directamente relacionadas con el objetivo, orientadas a mejorar los resultados del desempeño, deben ser retadoras y ser factibles de alcanzar. Cuando los recursos se destinen a un rubro de gasto con ejercicio en años anteriores se deberá considerar el nivel alcanzado en las metas de dichos rubros.</w:t>
      </w:r>
    </w:p>
    <w:p w14:paraId="336B780C" w14:textId="4D503ECB" w:rsidR="00BC7FA4" w:rsidRDefault="001A67BB" w:rsidP="001D2D41">
      <w:pPr>
        <w:numPr>
          <w:ilvl w:val="0"/>
          <w:numId w:val="33"/>
        </w:numPr>
        <w:ind w:left="714" w:hanging="357"/>
        <w:rPr>
          <w:rFonts w:ascii="Calibri" w:eastAsia="Times New Roman" w:hAnsi="Calibri" w:cs="Calibri"/>
          <w:color w:val="000000"/>
          <w:lang w:eastAsia="es-MX"/>
        </w:rPr>
      </w:pPr>
      <w:r w:rsidRPr="001A67BB">
        <w:rPr>
          <w:rFonts w:ascii="Calibri" w:eastAsia="Times New Roman" w:hAnsi="Calibri" w:cs="Calibri"/>
          <w:color w:val="000000"/>
          <w:lang w:eastAsia="es-MX"/>
        </w:rPr>
        <w:lastRenderedPageBreak/>
        <w:t>Incorporar en la MIR estatal del FAFEF componentes y/o indicadores relacionados con las MIR de los Pp o intervenciones públicas que reciban recursos del Fondo, los cuales deben ser congruentes con los rubros de gasto de la LCF, lo anterior a fin de medir los efectos que se generan con dichos recursos</w:t>
      </w:r>
    </w:p>
    <w:p w14:paraId="77947464" w14:textId="151ACD17" w:rsidR="0096102C" w:rsidRPr="000F3860" w:rsidRDefault="00647061" w:rsidP="001D2D41">
      <w:pPr>
        <w:numPr>
          <w:ilvl w:val="0"/>
          <w:numId w:val="33"/>
        </w:numPr>
        <w:ind w:left="714" w:hanging="357"/>
        <w:rPr>
          <w:rFonts w:ascii="Calibri" w:eastAsia="Times New Roman" w:hAnsi="Calibri" w:cs="Calibri"/>
          <w:color w:val="000000"/>
          <w:lang w:eastAsia="es-MX"/>
        </w:rPr>
      </w:pPr>
      <w:r>
        <w:t>E</w:t>
      </w:r>
      <w:r w:rsidRPr="006E01F2">
        <w:t>labora</w:t>
      </w:r>
      <w:r>
        <w:t>r</w:t>
      </w:r>
      <w:r w:rsidRPr="006E01F2">
        <w:t xml:space="preserve"> un PAT</w:t>
      </w:r>
      <w:r>
        <w:t xml:space="preserve"> específico para el FAFEF en la entidad federativa, </w:t>
      </w:r>
      <w:r w:rsidRPr="006E01F2">
        <w:t xml:space="preserve">que sea </w:t>
      </w:r>
      <w:r w:rsidRPr="00A13805">
        <w:rPr>
          <w:rFonts w:cstheme="minorHAnsi"/>
        </w:rPr>
        <w:t>producto de ejercicios de planeación institucionalizados</w:t>
      </w:r>
      <w:r w:rsidRPr="00A13805">
        <w:t xml:space="preserve">, que contenga las necesidades prioritarias definidas en el diagnóstico específico del FAFEF, los entregables o </w:t>
      </w:r>
      <w:r>
        <w:t>C</w:t>
      </w:r>
      <w:r w:rsidRPr="00A13805">
        <w:t>omponentes producidos con el presupuesto del Fondo, los objetivos y propósitos del trabajo anual, actualizados y coherentes con los recursos viables a realizarse en un año, dimensionar los objetivos que se pretenden alcanzar al cabo de un año, las estrategias para lograr los objetivos y metas, las actividades y acciones que se desarrollarán, las instancias que participarán y, por último, la metodología para evaluar lo programado, de tal manera que se garantice el adecuado ejercicio del Fondo en la entidad federativa.</w:t>
      </w:r>
    </w:p>
    <w:p w14:paraId="403AB60F" w14:textId="0FDD2BAE" w:rsidR="00EE26D5" w:rsidRDefault="00EE26D5" w:rsidP="001D2D41">
      <w:pPr>
        <w:numPr>
          <w:ilvl w:val="0"/>
          <w:numId w:val="33"/>
        </w:numPr>
        <w:ind w:left="714" w:hanging="357"/>
      </w:pPr>
      <w:r>
        <w:t>Recabar</w:t>
      </w:r>
      <w:r w:rsidRPr="000F3860">
        <w:t xml:space="preserve"> información socioeconómica de los beneficiarios de los proyectos de inversión y del programa para el otorgamiento de becas, que permitan cuantificar a la población potencial, objetivo y atendida con recursos del Fondo, y de esta manera poder medir la cobertura del FAFEF en la entidad de una forma más precisa.</w:t>
      </w:r>
    </w:p>
    <w:p w14:paraId="32E1792B" w14:textId="0EF240FD" w:rsidR="0048441F" w:rsidRPr="000F3860" w:rsidRDefault="0048441F" w:rsidP="001D2D41">
      <w:pPr>
        <w:numPr>
          <w:ilvl w:val="0"/>
          <w:numId w:val="33"/>
        </w:numPr>
        <w:ind w:left="714" w:hanging="357"/>
      </w:pPr>
      <w:r w:rsidRPr="0048441F">
        <w:rPr>
          <w:rFonts w:eastAsia="Times New Roman" w:cstheme="minorHAnsi"/>
          <w:color w:val="000000"/>
          <w:sz w:val="20"/>
          <w:szCs w:val="20"/>
          <w:lang w:eastAsia="es-MX"/>
        </w:rPr>
        <w:t xml:space="preserve">Fortalecer la coordinación entre las unidades responsables de planeación, programación, presupuestación, ejercicio y seguimiento del FAFEF en la entidad, </w:t>
      </w:r>
      <w:r>
        <w:rPr>
          <w:rFonts w:eastAsia="Times New Roman" w:cstheme="minorHAnsi"/>
          <w:color w:val="000000"/>
          <w:sz w:val="20"/>
          <w:szCs w:val="20"/>
          <w:lang w:eastAsia="es-MX"/>
        </w:rPr>
        <w:t>mediante el establecimiento de funciones en el</w:t>
      </w:r>
      <w:r w:rsidRPr="0048441F">
        <w:rPr>
          <w:rFonts w:eastAsia="Times New Roman" w:cstheme="minorHAnsi"/>
          <w:color w:val="000000"/>
          <w:sz w:val="20"/>
          <w:szCs w:val="20"/>
          <w:lang w:eastAsia="es-MX"/>
        </w:rPr>
        <w:t xml:space="preserve"> manual de procedimientos </w:t>
      </w:r>
      <w:r>
        <w:rPr>
          <w:rFonts w:eastAsia="Times New Roman" w:cstheme="minorHAnsi"/>
          <w:color w:val="000000"/>
          <w:sz w:val="20"/>
          <w:szCs w:val="20"/>
          <w:lang w:eastAsia="es-MX"/>
        </w:rPr>
        <w:t>sugerido anteriormente.</w:t>
      </w:r>
    </w:p>
    <w:p w14:paraId="537AA7F1" w14:textId="4D600AE2" w:rsidR="00C30BCF" w:rsidRPr="00C30BCF" w:rsidRDefault="00C30BCF" w:rsidP="001D2D41">
      <w:pPr>
        <w:numPr>
          <w:ilvl w:val="0"/>
          <w:numId w:val="33"/>
        </w:numPr>
        <w:ind w:left="714" w:hanging="357"/>
        <w:rPr>
          <w:rFonts w:ascii="Calibri" w:eastAsia="Times New Roman" w:hAnsi="Calibri" w:cs="Calibri"/>
          <w:color w:val="000000"/>
          <w:lang w:eastAsia="es-MX"/>
        </w:rPr>
      </w:pPr>
      <w:r w:rsidRPr="00C30BCF">
        <w:rPr>
          <w:rFonts w:ascii="Calibri" w:eastAsia="Times New Roman" w:hAnsi="Calibri" w:cs="Calibri"/>
          <w:color w:val="000000"/>
          <w:lang w:eastAsia="es-MX"/>
        </w:rPr>
        <w:t>Se recomienda que una vez que la SFP ha realizado una estimación de los ingresos del Estado en el marco del proceso de integración del PPE y cuenta con las necesidades de gasto para el siguiente año, señalar en algún anexo o en el propio proyecto de Decreto, los rubros de gasto a los que se orientará el FAFEF conforme a las necesidades más apremiantes de la entidad federativa.</w:t>
      </w:r>
    </w:p>
    <w:p w14:paraId="2389A337" w14:textId="77777777" w:rsidR="00C30BCF" w:rsidRPr="00C30BCF" w:rsidRDefault="00C30BCF" w:rsidP="001D2D41">
      <w:pPr>
        <w:numPr>
          <w:ilvl w:val="0"/>
          <w:numId w:val="33"/>
        </w:numPr>
        <w:ind w:left="714" w:hanging="357"/>
        <w:rPr>
          <w:rFonts w:ascii="Calibri" w:eastAsia="Times New Roman" w:hAnsi="Calibri" w:cs="Calibri"/>
          <w:color w:val="000000"/>
          <w:lang w:eastAsia="es-MX"/>
        </w:rPr>
      </w:pPr>
      <w:r w:rsidRPr="00C30BCF">
        <w:rPr>
          <w:rFonts w:ascii="Calibri" w:eastAsia="Times New Roman" w:hAnsi="Calibri" w:cs="Calibri"/>
          <w:color w:val="000000"/>
          <w:lang w:eastAsia="es-MX"/>
        </w:rPr>
        <w:t>Elaborar un manual de procedimientos o lineamientos que regulen el funcionamiento del Fondo, en donde se determine un mecanismo para contar con información que permita identificar periódicamente las necesidades que pueden atenderse con recursos del Fondo, las dificultades (oportunidades y amenazas) que enfrenta en la operación cada política pública asociada a los rubros de gasto y el cumplimiento de los objetivos y metas a alcanzar; así como las estrategias para implementarlas y alcance de las mismas, asignar responsables para el seguimiento de los procesos y elaborar diagramas de flujo. Con ello, la entidad federativa contará con una guía para la operación de los recursos del FAFEF que actué bajo los mismos criterios.</w:t>
      </w:r>
    </w:p>
    <w:p w14:paraId="72474693" w14:textId="5B3583EB" w:rsidR="00C30BCF" w:rsidRPr="00C30BCF" w:rsidRDefault="00C30BCF" w:rsidP="001D2D41">
      <w:pPr>
        <w:numPr>
          <w:ilvl w:val="0"/>
          <w:numId w:val="33"/>
        </w:numPr>
        <w:ind w:left="714" w:hanging="357"/>
        <w:rPr>
          <w:rFonts w:ascii="Calibri" w:eastAsia="Times New Roman" w:hAnsi="Calibri" w:cs="Calibri"/>
          <w:color w:val="000000"/>
          <w:lang w:eastAsia="es-MX"/>
        </w:rPr>
      </w:pPr>
      <w:r w:rsidRPr="00C30BCF">
        <w:rPr>
          <w:rFonts w:ascii="Calibri" w:eastAsia="Times New Roman" w:hAnsi="Calibri" w:cs="Calibri"/>
          <w:color w:val="000000"/>
          <w:lang w:eastAsia="es-MX"/>
        </w:rPr>
        <w:t>Publicar los resultados de la MIR estatal del FAFEF a través de la página de transparencia del gobierno del Estado, puesto que la misma, presenta información de manera más resumida sobre el ejercicio y los resultados alcanzados con la aplicación de los recursos del Fondo. En futuros ejercicios será necesaria la publicación de los resultados que se obtengan a través de la medición de los indicadores de las MIR que se establezcan para el monitoreo del Fondo.</w:t>
      </w:r>
    </w:p>
    <w:p w14:paraId="0B5BC89F" w14:textId="0128A03D" w:rsidR="006C3384" w:rsidRDefault="00C30BCF" w:rsidP="000F3860">
      <w:pPr>
        <w:numPr>
          <w:ilvl w:val="0"/>
          <w:numId w:val="33"/>
        </w:numPr>
        <w:ind w:left="714" w:hanging="357"/>
        <w:rPr>
          <w:rFonts w:eastAsia="Times New Roman" w:cstheme="minorHAnsi"/>
          <w:color w:val="000000"/>
          <w:sz w:val="20"/>
          <w:szCs w:val="20"/>
          <w:lang w:eastAsia="es-MX"/>
        </w:rPr>
      </w:pPr>
      <w:r w:rsidRPr="00C30BCF">
        <w:rPr>
          <w:rFonts w:ascii="Calibri" w:eastAsia="Times New Roman" w:hAnsi="Calibri" w:cs="Calibri"/>
          <w:color w:val="000000"/>
          <w:lang w:eastAsia="es-MX"/>
        </w:rPr>
        <w:t>Realizar ejercicios de evaluación que identifiquen plenamente las fuentes de financiamiento y se valore la pertinencia de los indicadores de la MIR estatal , así como la vinculación de estos indicadores con los objetivos establecidos para el FAFEF en la LCF y en la MIR federal del Fondo; identifique áreas de oportunidad para mejorar los procesos de asignación o reasignación de recursos y se analicen a profundidad los Pp que reciben recursos del FAFEF analizando su cobertura, avance y evolución de sus indicadores y los principales resultados de su operación.</w:t>
      </w:r>
      <w:r w:rsidR="006C3384">
        <w:rPr>
          <w:rFonts w:eastAsia="Times New Roman" w:cstheme="minorHAnsi"/>
          <w:color w:val="000000"/>
          <w:sz w:val="20"/>
          <w:szCs w:val="20"/>
          <w:lang w:eastAsia="es-MX"/>
        </w:rPr>
        <w:br w:type="page"/>
      </w:r>
    </w:p>
    <w:p w14:paraId="0C01EC83" w14:textId="30D7F98E" w:rsidR="00C66AA8" w:rsidRDefault="00B46F3E" w:rsidP="00414D73">
      <w:pPr>
        <w:pStyle w:val="Ttulo1"/>
      </w:pPr>
      <w:bookmarkStart w:id="5" w:name="_Toc56423698"/>
      <w:r>
        <w:lastRenderedPageBreak/>
        <w:t xml:space="preserve">II. </w:t>
      </w:r>
      <w:r w:rsidR="00C66AA8">
        <w:t>Introducción</w:t>
      </w:r>
      <w:bookmarkEnd w:id="5"/>
    </w:p>
    <w:p w14:paraId="1DE6291C" w14:textId="77777777" w:rsidR="009F7329" w:rsidRPr="00760922" w:rsidRDefault="009F7329" w:rsidP="009F7329">
      <w:pPr>
        <w:rPr>
          <w:rFonts w:cstheme="minorHAnsi"/>
          <w:lang w:val="es-ES"/>
        </w:rPr>
      </w:pPr>
      <w:r>
        <w:rPr>
          <w:rFonts w:cstheme="minorHAnsi"/>
        </w:rPr>
        <w:t xml:space="preserve">El </w:t>
      </w:r>
      <w:r w:rsidRPr="00A311EB">
        <w:rPr>
          <w:rFonts w:cstheme="minorHAnsi"/>
        </w:rPr>
        <w:t>Fondo de Aportaciones para el Fortalecimiento de las Entidades Federativas (</w:t>
      </w:r>
      <w:r>
        <w:rPr>
          <w:rFonts w:cstheme="minorHAnsi"/>
        </w:rPr>
        <w:t xml:space="preserve">FAFEF), forma parte del Ramo 33 </w:t>
      </w:r>
      <w:r w:rsidRPr="00C53DBC">
        <w:rPr>
          <w:rFonts w:cstheme="minorHAnsi"/>
        </w:rPr>
        <w:t>Aportaciones Federales para Entidades Federativas y Municipios</w:t>
      </w:r>
      <w:r>
        <w:rPr>
          <w:rFonts w:cstheme="minorHAnsi"/>
        </w:rPr>
        <w:t>, sus montos se determina</w:t>
      </w:r>
      <w:r w:rsidRPr="00E35A58">
        <w:rPr>
          <w:rFonts w:cstheme="minorHAnsi"/>
        </w:rPr>
        <w:t xml:space="preserve"> anualmente en el Presupuesto de Egresos de la Federación </w:t>
      </w:r>
      <w:r>
        <w:rPr>
          <w:rFonts w:cstheme="minorHAnsi"/>
        </w:rPr>
        <w:t>“</w:t>
      </w:r>
      <w:r w:rsidRPr="00E35A58">
        <w:rPr>
          <w:rFonts w:cstheme="minorHAnsi"/>
        </w:rPr>
        <w:t>con recursos federales por un monto equivalente al 1.40 por ciento de la recaudación federal participable”</w:t>
      </w:r>
      <w:r>
        <w:rPr>
          <w:rFonts w:cstheme="minorHAnsi"/>
        </w:rPr>
        <w:t>.</w:t>
      </w:r>
      <w:r w:rsidRPr="00E35A58">
        <w:rPr>
          <w:rStyle w:val="Refdenotaalpie"/>
          <w:rFonts w:cstheme="minorHAnsi"/>
        </w:rPr>
        <w:footnoteReference w:id="2"/>
      </w:r>
      <w:r w:rsidRPr="00E35A58">
        <w:rPr>
          <w:rFonts w:cstheme="minorHAnsi"/>
        </w:rPr>
        <w:t xml:space="preserve"> </w:t>
      </w:r>
      <w:r>
        <w:rPr>
          <w:rFonts w:cstheme="minorHAnsi"/>
        </w:rPr>
        <w:t>El FAFEF recibe estos recursos a través del Programa presupuestario I012 y su Dependencia Coordinadora es la Secretaría de Hacienda y Crédito Público (SHCP)</w:t>
      </w:r>
      <w:r>
        <w:rPr>
          <w:rStyle w:val="Refdenotaalpie"/>
          <w:rFonts w:cstheme="minorHAnsi"/>
        </w:rPr>
        <w:footnoteReference w:id="3"/>
      </w:r>
      <w:r>
        <w:rPr>
          <w:rFonts w:cstheme="minorHAnsi"/>
        </w:rPr>
        <w:t xml:space="preserve">. La </w:t>
      </w:r>
      <w:r w:rsidRPr="00FA24A3">
        <w:rPr>
          <w:rFonts w:cstheme="minorHAnsi"/>
        </w:rPr>
        <w:t>Dirección General de Pro</w:t>
      </w:r>
      <w:r>
        <w:rPr>
          <w:rFonts w:cstheme="minorHAnsi"/>
        </w:rPr>
        <w:t>gramación y Presupuesto “A” es la unidad administrativa responsable de i</w:t>
      </w:r>
      <w:r w:rsidRPr="00103CEF">
        <w:rPr>
          <w:rFonts w:cstheme="minorHAnsi"/>
        </w:rPr>
        <w:t xml:space="preserve">ntegrar, administrar y llevar el registro contable del ramo </w:t>
      </w:r>
      <w:r>
        <w:rPr>
          <w:rFonts w:cstheme="minorHAnsi"/>
        </w:rPr>
        <w:t xml:space="preserve">33, así como coordinar las </w:t>
      </w:r>
      <w:r w:rsidRPr="00FA24A3">
        <w:rPr>
          <w:rFonts w:cstheme="minorHAnsi"/>
        </w:rPr>
        <w:t xml:space="preserve">actividades de seguimiento y evaluación del gasto público </w:t>
      </w:r>
      <w:r>
        <w:rPr>
          <w:rFonts w:cstheme="minorHAnsi"/>
        </w:rPr>
        <w:t>del FAFEF</w:t>
      </w:r>
      <w:r>
        <w:rPr>
          <w:rFonts w:cstheme="minorHAnsi"/>
          <w:lang w:val="es-ES"/>
        </w:rPr>
        <w:t xml:space="preserve">. </w:t>
      </w:r>
    </w:p>
    <w:p w14:paraId="00230226" w14:textId="77777777" w:rsidR="009F7329" w:rsidRDefault="009F7329" w:rsidP="009F7329">
      <w:pPr>
        <w:rPr>
          <w:bCs/>
        </w:rPr>
      </w:pPr>
      <w:r>
        <w:rPr>
          <w:rFonts w:cstheme="minorHAnsi"/>
        </w:rPr>
        <w:t>De acuerdo con el artículo 47 de la LCF</w:t>
      </w:r>
      <w:r>
        <w:rPr>
          <w:rStyle w:val="Refdenotaalpie"/>
          <w:rFonts w:eastAsia="Times"/>
        </w:rPr>
        <w:footnoteReference w:id="4"/>
      </w:r>
      <w:r>
        <w:rPr>
          <w:rFonts w:cstheme="minorHAnsi"/>
        </w:rPr>
        <w:t>, el FAFEF tienen por objeto</w:t>
      </w:r>
      <w:r w:rsidRPr="00CC019C">
        <w:rPr>
          <w:rFonts w:eastAsia="MS Mincho" w:cs="Arial"/>
          <w:kern w:val="2"/>
          <w:lang w:eastAsia="ja-JP"/>
        </w:rPr>
        <w:t xml:space="preserve"> </w:t>
      </w:r>
      <w:r>
        <w:rPr>
          <w:rFonts w:cstheme="minorHAnsi"/>
        </w:rPr>
        <w:t xml:space="preserve">fortalecer los presupuestos de las entidades federativas y </w:t>
      </w:r>
      <w:r>
        <w:rPr>
          <w:rFonts w:eastAsia="MS Mincho" w:cs="Arial"/>
          <w:kern w:val="2"/>
          <w:lang w:eastAsia="ja-JP"/>
        </w:rPr>
        <w:t xml:space="preserve">podrán destinarse a: </w:t>
      </w:r>
      <w:r>
        <w:rPr>
          <w:bCs/>
        </w:rPr>
        <w:t>1)i</w:t>
      </w:r>
      <w:r w:rsidRPr="003012F8">
        <w:rPr>
          <w:bCs/>
        </w:rPr>
        <w:t>nversión en infraestructura física</w:t>
      </w:r>
      <w:r>
        <w:rPr>
          <w:bCs/>
        </w:rPr>
        <w:t>; 2)s</w:t>
      </w:r>
      <w:r w:rsidRPr="003012F8">
        <w:rPr>
          <w:bCs/>
        </w:rPr>
        <w:t>aneamiento financiero</w:t>
      </w:r>
      <w:r>
        <w:rPr>
          <w:bCs/>
        </w:rPr>
        <w:t>; 3)</w:t>
      </w:r>
      <w:r w:rsidRPr="003012F8">
        <w:rPr>
          <w:bCs/>
        </w:rPr>
        <w:t>saneamiento de pensiones</w:t>
      </w:r>
      <w:r>
        <w:rPr>
          <w:bCs/>
        </w:rPr>
        <w:t>; 4)</w:t>
      </w:r>
      <w:r w:rsidRPr="003012F8">
        <w:rPr>
          <w:bCs/>
        </w:rPr>
        <w:t>modernización de registros públicos de la propiedad y comercio</w:t>
      </w:r>
      <w:r>
        <w:rPr>
          <w:bCs/>
        </w:rPr>
        <w:t xml:space="preserve"> locales</w:t>
      </w:r>
      <w:r w:rsidRPr="003012F8">
        <w:rPr>
          <w:bCs/>
        </w:rPr>
        <w:t>, modernización de los catastros para hacer más eficiente la recaudación de contribuciones</w:t>
      </w:r>
      <w:r>
        <w:rPr>
          <w:bCs/>
        </w:rPr>
        <w:t>; 5)</w:t>
      </w:r>
      <w:r w:rsidRPr="003012F8">
        <w:rPr>
          <w:bCs/>
        </w:rPr>
        <w:t>modernizar los sistemas de recaudación</w:t>
      </w:r>
      <w:r>
        <w:rPr>
          <w:bCs/>
        </w:rPr>
        <w:t>; 6)</w:t>
      </w:r>
      <w:r w:rsidRPr="003012F8">
        <w:rPr>
          <w:bCs/>
        </w:rPr>
        <w:t xml:space="preserve">fortalecimiento de proyectos de investigación científica y </w:t>
      </w:r>
      <w:r w:rsidRPr="00CC1E50">
        <w:rPr>
          <w:bCs/>
        </w:rPr>
        <w:t>tecnológica</w:t>
      </w:r>
      <w:r>
        <w:rPr>
          <w:bCs/>
        </w:rPr>
        <w:t>; 7)</w:t>
      </w:r>
      <w:r w:rsidRPr="003012F8">
        <w:rPr>
          <w:bCs/>
        </w:rPr>
        <w:t>sistemas de protección civil</w:t>
      </w:r>
      <w:r>
        <w:rPr>
          <w:bCs/>
        </w:rPr>
        <w:t>, 8)</w:t>
      </w:r>
      <w:r w:rsidRPr="003012F8">
        <w:rPr>
          <w:bCs/>
        </w:rPr>
        <w:t>apoyar la educación pública</w:t>
      </w:r>
      <w:r>
        <w:rPr>
          <w:bCs/>
        </w:rPr>
        <w:t>; 9)</w:t>
      </w:r>
      <w:r w:rsidRPr="003012F8">
        <w:rPr>
          <w:bCs/>
        </w:rPr>
        <w:t>apoyar proyectos de infraestructura concesionada o donde se combinen recursos públicos y privados.</w:t>
      </w:r>
    </w:p>
    <w:p w14:paraId="2958F518" w14:textId="37940C15" w:rsidR="001873AC" w:rsidRPr="008353EF" w:rsidRDefault="009C47F2" w:rsidP="001E49AD">
      <w:pPr>
        <w:rPr>
          <w:rFonts w:cstheme="minorHAnsi"/>
        </w:rPr>
      </w:pPr>
      <w:r w:rsidRPr="008353EF">
        <w:rPr>
          <w:rFonts w:cstheme="minorHAnsi"/>
        </w:rPr>
        <w:t>Dada la relevancia y debido a que los recursos federales transferidos a las entidades federativas y municipios integran el gasto federalizado, y son fundamentales para apoyar las estrategias, programas y planes de los gobiernos estatales en diversos temas. Es necesario, que sean objeto de evaluación en los términos establecidos en los Artículos 110 y 111 de la</w:t>
      </w:r>
      <w:r w:rsidR="00EE71E3">
        <w:rPr>
          <w:rFonts w:cstheme="minorHAnsi"/>
        </w:rPr>
        <w:t xml:space="preserve"> Ley Federal de Presupuesto y Responsabilidad Hacendaria</w:t>
      </w:r>
      <w:r w:rsidRPr="008353EF">
        <w:rPr>
          <w:rFonts w:cstheme="minorHAnsi"/>
        </w:rPr>
        <w:t xml:space="preserve"> </w:t>
      </w:r>
      <w:r w:rsidR="00EE71E3">
        <w:rPr>
          <w:rFonts w:cstheme="minorHAnsi"/>
        </w:rPr>
        <w:t>(</w:t>
      </w:r>
      <w:r w:rsidRPr="008353EF">
        <w:rPr>
          <w:rFonts w:cstheme="minorHAnsi"/>
        </w:rPr>
        <w:t>LFPRH</w:t>
      </w:r>
      <w:r w:rsidR="00EE71E3">
        <w:rPr>
          <w:rFonts w:cstheme="minorHAnsi"/>
        </w:rPr>
        <w:t>)</w:t>
      </w:r>
      <w:r w:rsidRPr="008353EF">
        <w:rPr>
          <w:rFonts w:cstheme="minorHAnsi"/>
        </w:rPr>
        <w:t>. Estos establecen que la evaluación de desempeño se realizará a través de la verificación del grado de cumplimiento de objetivos y metas, con base en indicadores estratégicos y de gestión que permitan identificar la eficiencia, economía, eficacia, calidad y el impacto social sobre el ejercicio del gasto público.</w:t>
      </w:r>
    </w:p>
    <w:p w14:paraId="3349CAA7" w14:textId="5267F79D" w:rsidR="003A780C" w:rsidRDefault="003A780C" w:rsidP="001E49AD">
      <w:r>
        <w:t xml:space="preserve">De este modo, el presente </w:t>
      </w:r>
      <w:r w:rsidRPr="003C0C11">
        <w:t>informe presenta</w:t>
      </w:r>
      <w:r>
        <w:t xml:space="preserve"> a solicitud de la Administración Pública Federal (APF)</w:t>
      </w:r>
      <w:r w:rsidRPr="003C0C11">
        <w:t xml:space="preserve"> la </w:t>
      </w:r>
      <w:r>
        <w:t>Evaluación Estratégica del FAFEF en el Estado de Hidalgo, en el marco del Programa Anual de Evaluación de los Programas Federales y de los Fondos de Aportaciones Federales para el Ejercicio Fiscal (PAE 2018). El objetivo de la evaluación es “</w:t>
      </w:r>
      <w:r w:rsidRPr="00B63C7B">
        <w:rPr>
          <w:i/>
          <w:iCs/>
        </w:rPr>
        <w:t xml:space="preserve">Analizar y valorar la operación del FAFEF y su orientación a resultados en </w:t>
      </w:r>
      <w:r>
        <w:rPr>
          <w:i/>
          <w:iCs/>
        </w:rPr>
        <w:t xml:space="preserve">el Estado de Hidalgo </w:t>
      </w:r>
      <w:r w:rsidRPr="00B63C7B">
        <w:rPr>
          <w:i/>
          <w:iCs/>
        </w:rPr>
        <w:t>para la identificación de áreas de mejora que mediante su atención permitan mejorar su operación y desempeño”</w:t>
      </w:r>
      <w:r w:rsidRPr="00394207">
        <w:t xml:space="preserve">. </w:t>
      </w:r>
    </w:p>
    <w:p w14:paraId="30F03F70" w14:textId="77777777" w:rsidR="003A780C" w:rsidRDefault="003A780C">
      <w:r>
        <w:t>Los objetivos específicos son:</w:t>
      </w:r>
    </w:p>
    <w:p w14:paraId="0BBE6C34" w14:textId="77777777" w:rsidR="003A780C" w:rsidRPr="00394207" w:rsidRDefault="003A780C" w:rsidP="009F7329">
      <w:pPr>
        <w:numPr>
          <w:ilvl w:val="0"/>
          <w:numId w:val="1"/>
        </w:numPr>
        <w:rPr>
          <w:rFonts w:eastAsia="Times"/>
        </w:rPr>
      </w:pPr>
      <w:r w:rsidRPr="00394207">
        <w:rPr>
          <w:rFonts w:eastAsia="Times"/>
        </w:rPr>
        <w:t>Valoración de la contribución del FAFEF a la o las problemáticas de la entidad federativa;</w:t>
      </w:r>
    </w:p>
    <w:p w14:paraId="2349C96E" w14:textId="77777777" w:rsidR="003A780C" w:rsidRPr="00394207" w:rsidRDefault="003A780C" w:rsidP="009F7329">
      <w:pPr>
        <w:numPr>
          <w:ilvl w:val="0"/>
          <w:numId w:val="1"/>
        </w:numPr>
        <w:rPr>
          <w:rFonts w:eastAsia="Times"/>
        </w:rPr>
      </w:pPr>
      <w:r w:rsidRPr="00394207">
        <w:rPr>
          <w:rFonts w:eastAsia="Times"/>
        </w:rPr>
        <w:t>Analizar y valorar los principales procesos de la gestión del FAFEF en la entidad federativa, considerando la coordinación entre las unidades administrativas federales y las unidades administrativas del gobierno de la entidad federativa, en relación con el logro de los objetivos del Fondo;</w:t>
      </w:r>
    </w:p>
    <w:p w14:paraId="60C13FD3" w14:textId="77777777" w:rsidR="003A780C" w:rsidRPr="00394207" w:rsidRDefault="003A780C" w:rsidP="009F7329">
      <w:pPr>
        <w:numPr>
          <w:ilvl w:val="0"/>
          <w:numId w:val="1"/>
        </w:numPr>
        <w:rPr>
          <w:rFonts w:eastAsia="Times"/>
        </w:rPr>
      </w:pPr>
      <w:r w:rsidRPr="00394207">
        <w:rPr>
          <w:rFonts w:eastAsia="Times"/>
        </w:rPr>
        <w:t>Identificar posibles obstáculos para la instrumentación del FAFEF en la entidad federativa derivados de su diseño normativo;</w:t>
      </w:r>
    </w:p>
    <w:p w14:paraId="70BA6AB3" w14:textId="77777777" w:rsidR="003A780C" w:rsidRPr="00394207" w:rsidRDefault="003A780C" w:rsidP="009F7329">
      <w:pPr>
        <w:numPr>
          <w:ilvl w:val="0"/>
          <w:numId w:val="1"/>
        </w:numPr>
        <w:rPr>
          <w:rFonts w:eastAsia="Times"/>
        </w:rPr>
      </w:pPr>
      <w:r w:rsidRPr="00394207">
        <w:rPr>
          <w:rFonts w:eastAsia="Times"/>
        </w:rPr>
        <w:t>Analizar y valorar la orientación a resultados del desempeño del FAFEF en la entidad federativa;</w:t>
      </w:r>
    </w:p>
    <w:p w14:paraId="3A9C4831" w14:textId="77777777" w:rsidR="003A780C" w:rsidRPr="00394207" w:rsidRDefault="003A780C" w:rsidP="009F7329">
      <w:pPr>
        <w:numPr>
          <w:ilvl w:val="0"/>
          <w:numId w:val="1"/>
        </w:numPr>
        <w:rPr>
          <w:rFonts w:eastAsia="Times"/>
        </w:rPr>
      </w:pPr>
      <w:r w:rsidRPr="00394207">
        <w:rPr>
          <w:rFonts w:eastAsia="Times"/>
        </w:rPr>
        <w:lastRenderedPageBreak/>
        <w:t>Analizar y valorar la calidad de la información de seguimiento o monitoreo, así como de consecución de objetivos, de las acciones y proyectos financiados con el FAFEF en la entidad federativa;</w:t>
      </w:r>
    </w:p>
    <w:p w14:paraId="188A60B0" w14:textId="77777777" w:rsidR="003A780C" w:rsidRDefault="003A780C" w:rsidP="009F7329">
      <w:pPr>
        <w:numPr>
          <w:ilvl w:val="0"/>
          <w:numId w:val="1"/>
        </w:numPr>
        <w:rPr>
          <w:rFonts w:eastAsia="Times"/>
        </w:rPr>
      </w:pPr>
      <w:r w:rsidRPr="00394207">
        <w:rPr>
          <w:rFonts w:eastAsia="Times"/>
        </w:rPr>
        <w:t>Identificar posibles complementariedades o coincidencias con otros programas implementados por el gobierno de la entidad federativa.</w:t>
      </w:r>
    </w:p>
    <w:p w14:paraId="0FABEE19" w14:textId="673374F5" w:rsidR="003A780C" w:rsidRPr="00835F85" w:rsidRDefault="003A780C">
      <w:bookmarkStart w:id="6" w:name="_Hlk43028060"/>
      <w:r w:rsidRPr="00AD5643">
        <w:t>La evaluación se realizó mediante dos etapas: trabajo de gabinete y trabajo de campo</w:t>
      </w:r>
      <w:bookmarkEnd w:id="6"/>
      <w:r w:rsidRPr="00AD5643">
        <w:t xml:space="preserve">. La primera consiste en el análisis documental de la normativa federal y estatal relacionada y documentos conceptuales del Fondo, tales como la LCF, MIR, Fichas técnica de indicadores, resultados de la cuenta pública del ejercicio de los recursos del FAFEF en la </w:t>
      </w:r>
      <w:r w:rsidR="00470847">
        <w:t>Hidalgo</w:t>
      </w:r>
      <w:r w:rsidRPr="00AD5643">
        <w:t xml:space="preserve">, modalidad presupuestaria, resultados de evaluaciones y auditorías a nivel federal y local, Informe de origen-destino de los recursos, manuales de operación y/o procedimientos, entre otros documentos de acuerdo con las necesidades de información en la entidad </w:t>
      </w:r>
      <w:r w:rsidR="00470847">
        <w:t xml:space="preserve">federativa </w:t>
      </w:r>
      <w:r w:rsidRPr="00AD5643">
        <w:t>que se consideran pertinentes analizar; la cual se obtuvo a través de la</w:t>
      </w:r>
      <w:r>
        <w:t xml:space="preserve"> coordinación entre el enlace en la entidad y la</w:t>
      </w:r>
      <w:r w:rsidRPr="00AD5643">
        <w:t xml:space="preserve"> DGP</w:t>
      </w:r>
      <w:r>
        <w:t>Y</w:t>
      </w:r>
      <w:r w:rsidRPr="00AD5643">
        <w:t>P “A”</w:t>
      </w:r>
      <w:r>
        <w:t xml:space="preserve"> de la SHCP; asimismo, se consultó información relativa a Planes Estatales y Sectoriales de Desarrollo, páginas web de</w:t>
      </w:r>
      <w:r w:rsidR="00470847">
        <w:t>l gobierno del Estado</w:t>
      </w:r>
      <w:r>
        <w:t>, portal de transparencia, entre otros</w:t>
      </w:r>
      <w:r w:rsidRPr="00AD5643">
        <w:t xml:space="preserve">. Por su parte, el trabajo de campo </w:t>
      </w:r>
      <w:r>
        <w:t>consistió</w:t>
      </w:r>
      <w:r w:rsidRPr="00AD5643">
        <w:t xml:space="preserve"> en la aplicación de un cuestionario</w:t>
      </w:r>
      <w:r w:rsidR="000C6F56">
        <w:t>,</w:t>
      </w:r>
      <w:r w:rsidRPr="00AD5643">
        <w:t xml:space="preserve"> vía electrónica</w:t>
      </w:r>
      <w:r w:rsidR="000C6F56">
        <w:t>,</w:t>
      </w:r>
      <w:r w:rsidRPr="00AD5643">
        <w:t xml:space="preserve"> al personal operativo y</w:t>
      </w:r>
      <w:r>
        <w:t xml:space="preserve"> enlaces vía telefónica con la </w:t>
      </w:r>
      <w:r w:rsidRPr="00835F85">
        <w:t>Subsecretaria de Programación de la Secretaría de Finanzas Públicas</w:t>
      </w:r>
      <w:r>
        <w:t xml:space="preserve"> del </w:t>
      </w:r>
      <w:r w:rsidR="00AC117F">
        <w:t>E</w:t>
      </w:r>
      <w:r>
        <w:t>stado de</w:t>
      </w:r>
      <w:r w:rsidR="00E2198B">
        <w:t xml:space="preserve"> Hidalgo</w:t>
      </w:r>
      <w:r>
        <w:t>, el cuestionario a su vez fue turnado a los diferentes involucrados</w:t>
      </w:r>
      <w:r w:rsidRPr="00AD5643">
        <w:t xml:space="preserve"> en la ejecución de los recursos del Fondo en</w:t>
      </w:r>
      <w:r w:rsidR="00E2198B">
        <w:t xml:space="preserve"> la</w:t>
      </w:r>
      <w:r>
        <w:t xml:space="preserve"> entidad</w:t>
      </w:r>
      <w:r w:rsidR="000C6F56">
        <w:t xml:space="preserve"> federativa</w:t>
      </w:r>
      <w:r>
        <w:t>.</w:t>
      </w:r>
      <w:r w:rsidRPr="00835F85">
        <w:t xml:space="preserve"> </w:t>
      </w:r>
    </w:p>
    <w:p w14:paraId="51D9E45C" w14:textId="77777777" w:rsidR="003A780C" w:rsidRDefault="003A780C">
      <w:r w:rsidRPr="00835F85">
        <w:t xml:space="preserve">De acuerdo con los TdR diseñados y adecuados para efectuar la presente evaluación, </w:t>
      </w:r>
      <w:r w:rsidRPr="00713921">
        <w:t>el informe final se integra de</w:t>
      </w:r>
      <w:r>
        <w:t xml:space="preserve"> los siguientes apartados:</w:t>
      </w:r>
    </w:p>
    <w:p w14:paraId="2F1A8EDD" w14:textId="77777777" w:rsidR="003A780C" w:rsidRPr="001A1538" w:rsidRDefault="003A780C" w:rsidP="00241B29">
      <w:pPr>
        <w:pStyle w:val="Cuadro"/>
        <w:rPr>
          <w:szCs w:val="24"/>
        </w:rPr>
      </w:pPr>
      <w:bookmarkStart w:id="7" w:name="_Toc43715264"/>
      <w:bookmarkStart w:id="8" w:name="_Toc56741054"/>
      <w:r w:rsidRPr="001A1538">
        <w:rPr>
          <w:szCs w:val="24"/>
        </w:rPr>
        <w:t xml:space="preserve">Cuadro </w:t>
      </w:r>
      <w:r w:rsidR="00245CDD" w:rsidRPr="001A1538">
        <w:rPr>
          <w:szCs w:val="24"/>
        </w:rPr>
        <w:fldChar w:fldCharType="begin"/>
      </w:r>
      <w:r w:rsidR="00245CDD" w:rsidRPr="001A1538">
        <w:rPr>
          <w:szCs w:val="24"/>
        </w:rPr>
        <w:instrText xml:space="preserve"> SEQ Cuadro \* ARABIC </w:instrText>
      </w:r>
      <w:r w:rsidR="00245CDD" w:rsidRPr="001A1538">
        <w:rPr>
          <w:szCs w:val="24"/>
        </w:rPr>
        <w:fldChar w:fldCharType="separate"/>
      </w:r>
      <w:r w:rsidRPr="001A1538">
        <w:rPr>
          <w:noProof/>
          <w:szCs w:val="24"/>
        </w:rPr>
        <w:t>1</w:t>
      </w:r>
      <w:r w:rsidR="00245CDD" w:rsidRPr="001A1538">
        <w:rPr>
          <w:noProof/>
          <w:szCs w:val="24"/>
        </w:rPr>
        <w:fldChar w:fldCharType="end"/>
      </w:r>
      <w:r w:rsidRPr="001A1538">
        <w:rPr>
          <w:szCs w:val="24"/>
        </w:rPr>
        <w:t>. Apartados que integran el informe final de la evaluación</w:t>
      </w:r>
      <w:bookmarkEnd w:id="7"/>
      <w:bookmarkEnd w:id="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2268"/>
        <w:gridCol w:w="2170"/>
      </w:tblGrid>
      <w:tr w:rsidR="003A780C" w:rsidRPr="003915A2" w14:paraId="34B4A2A2" w14:textId="77777777" w:rsidTr="00A334E4">
        <w:trPr>
          <w:trHeight w:val="20"/>
        </w:trPr>
        <w:tc>
          <w:tcPr>
            <w:tcW w:w="5524" w:type="dxa"/>
            <w:shd w:val="clear" w:color="auto" w:fill="9CC2E5"/>
          </w:tcPr>
          <w:p w14:paraId="28E78E47" w14:textId="77777777" w:rsidR="003A780C" w:rsidRPr="003915A2" w:rsidRDefault="003A780C" w:rsidP="000255C6">
            <w:pPr>
              <w:spacing w:before="0" w:after="0" w:line="259" w:lineRule="auto"/>
              <w:jc w:val="center"/>
              <w:rPr>
                <w:rFonts w:cstheme="minorHAnsi"/>
                <w:b/>
                <w:bCs/>
                <w:sz w:val="20"/>
                <w:szCs w:val="20"/>
              </w:rPr>
            </w:pPr>
            <w:bookmarkStart w:id="9" w:name="_Hlk42322787"/>
            <w:r w:rsidRPr="003915A2">
              <w:rPr>
                <w:rFonts w:cstheme="minorHAnsi"/>
                <w:b/>
                <w:bCs/>
                <w:sz w:val="20"/>
                <w:szCs w:val="20"/>
              </w:rPr>
              <w:t>Módulo</w:t>
            </w:r>
          </w:p>
        </w:tc>
        <w:tc>
          <w:tcPr>
            <w:tcW w:w="2268" w:type="dxa"/>
            <w:shd w:val="clear" w:color="auto" w:fill="9CC2E5"/>
          </w:tcPr>
          <w:p w14:paraId="5649F30A" w14:textId="77777777" w:rsidR="003A780C" w:rsidRPr="003915A2" w:rsidRDefault="003A780C" w:rsidP="000255C6">
            <w:pPr>
              <w:spacing w:before="0" w:after="0" w:line="259" w:lineRule="auto"/>
              <w:jc w:val="center"/>
              <w:rPr>
                <w:rFonts w:cstheme="minorHAnsi"/>
                <w:b/>
                <w:bCs/>
                <w:sz w:val="20"/>
                <w:szCs w:val="20"/>
              </w:rPr>
            </w:pPr>
            <w:r w:rsidRPr="003915A2">
              <w:rPr>
                <w:rFonts w:cstheme="minorHAnsi"/>
                <w:b/>
                <w:bCs/>
                <w:sz w:val="20"/>
                <w:szCs w:val="20"/>
              </w:rPr>
              <w:t>Preguntas TdR</w:t>
            </w:r>
          </w:p>
        </w:tc>
        <w:tc>
          <w:tcPr>
            <w:tcW w:w="2170" w:type="dxa"/>
            <w:shd w:val="clear" w:color="auto" w:fill="9CC2E5"/>
          </w:tcPr>
          <w:p w14:paraId="6DFD97C7" w14:textId="77777777" w:rsidR="003A780C" w:rsidRPr="003915A2" w:rsidRDefault="003A780C" w:rsidP="000255C6">
            <w:pPr>
              <w:spacing w:before="0" w:after="0" w:line="259" w:lineRule="auto"/>
              <w:jc w:val="center"/>
              <w:rPr>
                <w:rFonts w:cstheme="minorHAnsi"/>
                <w:b/>
                <w:bCs/>
                <w:sz w:val="20"/>
                <w:szCs w:val="20"/>
              </w:rPr>
            </w:pPr>
            <w:r w:rsidRPr="003915A2">
              <w:rPr>
                <w:rFonts w:cstheme="minorHAnsi"/>
                <w:b/>
                <w:bCs/>
                <w:sz w:val="20"/>
                <w:szCs w:val="20"/>
              </w:rPr>
              <w:t>Total</w:t>
            </w:r>
          </w:p>
        </w:tc>
      </w:tr>
      <w:tr w:rsidR="003A780C" w:rsidRPr="003915A2" w14:paraId="4F75D924" w14:textId="77777777" w:rsidTr="00A334E4">
        <w:trPr>
          <w:trHeight w:val="20"/>
        </w:trPr>
        <w:tc>
          <w:tcPr>
            <w:tcW w:w="5524" w:type="dxa"/>
          </w:tcPr>
          <w:p w14:paraId="10CFE5B7" w14:textId="6FBC6429" w:rsidR="003A780C" w:rsidRPr="003915A2" w:rsidRDefault="00DF0B2E" w:rsidP="005F3586">
            <w:pPr>
              <w:spacing w:before="0" w:after="0"/>
              <w:rPr>
                <w:rFonts w:cstheme="minorHAnsi"/>
                <w:sz w:val="20"/>
                <w:szCs w:val="20"/>
              </w:rPr>
            </w:pPr>
            <w:r w:rsidRPr="003915A2">
              <w:rPr>
                <w:rFonts w:cstheme="minorHAnsi"/>
                <w:sz w:val="20"/>
                <w:szCs w:val="20"/>
              </w:rPr>
              <w:t>Módulo</w:t>
            </w:r>
            <w:r w:rsidR="003A780C" w:rsidRPr="003915A2">
              <w:rPr>
                <w:rFonts w:cstheme="minorHAnsi"/>
                <w:sz w:val="20"/>
                <w:szCs w:val="20"/>
              </w:rPr>
              <w:t xml:space="preserve"> 1. Justificación del diseño del Fondo y de su mecanismo de intervención</w:t>
            </w:r>
          </w:p>
          <w:p w14:paraId="12AC4E30" w14:textId="4D14ECF3" w:rsidR="003A780C" w:rsidRPr="003915A2" w:rsidRDefault="003A780C" w:rsidP="005F3586">
            <w:pPr>
              <w:spacing w:before="0" w:after="0"/>
              <w:ind w:firstLine="318"/>
              <w:rPr>
                <w:rFonts w:cstheme="minorHAnsi"/>
                <w:sz w:val="20"/>
                <w:szCs w:val="20"/>
              </w:rPr>
            </w:pPr>
            <w:r w:rsidRPr="003915A2">
              <w:rPr>
                <w:rFonts w:cstheme="minorHAnsi"/>
                <w:i/>
                <w:iCs/>
                <w:sz w:val="20"/>
                <w:szCs w:val="20"/>
              </w:rPr>
              <w:t xml:space="preserve">1.1. Características del Fondo en </w:t>
            </w:r>
            <w:r w:rsidR="007773CF">
              <w:rPr>
                <w:rFonts w:cstheme="minorHAnsi"/>
                <w:i/>
                <w:iCs/>
                <w:sz w:val="20"/>
                <w:szCs w:val="20"/>
              </w:rPr>
              <w:t>la entidad federativa</w:t>
            </w:r>
          </w:p>
        </w:tc>
        <w:tc>
          <w:tcPr>
            <w:tcW w:w="2268" w:type="dxa"/>
            <w:vAlign w:val="center"/>
          </w:tcPr>
          <w:p w14:paraId="7682B048" w14:textId="2811FB6A" w:rsidR="003A780C" w:rsidRPr="003915A2" w:rsidRDefault="003A780C" w:rsidP="00A334E4">
            <w:pPr>
              <w:spacing w:before="100" w:beforeAutospacing="1" w:after="100" w:afterAutospacing="1"/>
              <w:jc w:val="center"/>
              <w:rPr>
                <w:rFonts w:cstheme="minorHAnsi"/>
                <w:sz w:val="20"/>
                <w:szCs w:val="20"/>
              </w:rPr>
            </w:pPr>
            <w:r w:rsidRPr="003915A2">
              <w:rPr>
                <w:rFonts w:cstheme="minorHAnsi"/>
                <w:sz w:val="20"/>
                <w:szCs w:val="20"/>
              </w:rPr>
              <w:t>Conforme a los incisos del Apartado IV.1</w:t>
            </w:r>
          </w:p>
        </w:tc>
        <w:tc>
          <w:tcPr>
            <w:tcW w:w="2170" w:type="dxa"/>
            <w:vAlign w:val="center"/>
          </w:tcPr>
          <w:p w14:paraId="0EB1A0E3" w14:textId="77777777" w:rsidR="003A780C" w:rsidRPr="003915A2" w:rsidRDefault="003A780C" w:rsidP="000255C6">
            <w:pPr>
              <w:spacing w:before="100" w:beforeAutospacing="1" w:after="100" w:afterAutospacing="1"/>
              <w:jc w:val="center"/>
              <w:rPr>
                <w:rFonts w:cstheme="minorHAnsi"/>
                <w:sz w:val="20"/>
                <w:szCs w:val="20"/>
              </w:rPr>
            </w:pPr>
            <w:r w:rsidRPr="003915A2">
              <w:rPr>
                <w:rFonts w:cstheme="minorHAnsi"/>
                <w:sz w:val="20"/>
                <w:szCs w:val="20"/>
              </w:rPr>
              <w:t>NA</w:t>
            </w:r>
          </w:p>
        </w:tc>
      </w:tr>
      <w:tr w:rsidR="003A780C" w:rsidRPr="003915A2" w14:paraId="621BE74D" w14:textId="77777777" w:rsidTr="00A334E4">
        <w:trPr>
          <w:trHeight w:val="20"/>
        </w:trPr>
        <w:tc>
          <w:tcPr>
            <w:tcW w:w="5524" w:type="dxa"/>
          </w:tcPr>
          <w:p w14:paraId="77180826" w14:textId="77777777" w:rsidR="003A780C" w:rsidRPr="003915A2" w:rsidRDefault="003A780C" w:rsidP="005F3586">
            <w:pPr>
              <w:spacing w:before="100" w:beforeAutospacing="1" w:after="100" w:afterAutospacing="1"/>
              <w:ind w:left="318"/>
              <w:rPr>
                <w:rFonts w:cstheme="minorHAnsi"/>
                <w:i/>
                <w:iCs/>
                <w:sz w:val="20"/>
                <w:szCs w:val="20"/>
              </w:rPr>
            </w:pPr>
            <w:r w:rsidRPr="003915A2">
              <w:rPr>
                <w:rFonts w:cstheme="minorHAnsi"/>
                <w:i/>
                <w:iCs/>
                <w:sz w:val="20"/>
                <w:szCs w:val="20"/>
              </w:rPr>
              <w:t>1.2. Valoración de la contribución del FAFEF a la o las problemáticas de la entidad federativa.</w:t>
            </w:r>
          </w:p>
        </w:tc>
        <w:tc>
          <w:tcPr>
            <w:tcW w:w="2268" w:type="dxa"/>
            <w:vAlign w:val="center"/>
          </w:tcPr>
          <w:p w14:paraId="6FFDA458" w14:textId="77777777" w:rsidR="003A780C" w:rsidRPr="003915A2" w:rsidRDefault="003A780C" w:rsidP="000255C6">
            <w:pPr>
              <w:spacing w:before="100" w:beforeAutospacing="1" w:after="100" w:afterAutospacing="1"/>
              <w:jc w:val="center"/>
              <w:rPr>
                <w:rFonts w:cstheme="minorHAnsi"/>
                <w:sz w:val="20"/>
                <w:szCs w:val="20"/>
              </w:rPr>
            </w:pPr>
            <w:r w:rsidRPr="003915A2">
              <w:rPr>
                <w:rFonts w:cstheme="minorHAnsi"/>
                <w:sz w:val="20"/>
                <w:szCs w:val="20"/>
              </w:rPr>
              <w:t>1, 2</w:t>
            </w:r>
          </w:p>
        </w:tc>
        <w:tc>
          <w:tcPr>
            <w:tcW w:w="2170" w:type="dxa"/>
            <w:vAlign w:val="center"/>
          </w:tcPr>
          <w:p w14:paraId="7096BEA0" w14:textId="77777777" w:rsidR="003A780C" w:rsidRPr="003915A2" w:rsidRDefault="003A780C" w:rsidP="000255C6">
            <w:pPr>
              <w:spacing w:before="100" w:beforeAutospacing="1" w:after="100" w:afterAutospacing="1"/>
              <w:jc w:val="center"/>
              <w:rPr>
                <w:rFonts w:cstheme="minorHAnsi"/>
                <w:sz w:val="20"/>
                <w:szCs w:val="20"/>
              </w:rPr>
            </w:pPr>
            <w:r w:rsidRPr="003915A2">
              <w:rPr>
                <w:rFonts w:cstheme="minorHAnsi"/>
                <w:sz w:val="20"/>
                <w:szCs w:val="20"/>
              </w:rPr>
              <w:t>2</w:t>
            </w:r>
          </w:p>
        </w:tc>
      </w:tr>
      <w:tr w:rsidR="003A780C" w:rsidRPr="003915A2" w14:paraId="6F45B23B" w14:textId="77777777" w:rsidTr="00A334E4">
        <w:trPr>
          <w:trHeight w:val="20"/>
        </w:trPr>
        <w:tc>
          <w:tcPr>
            <w:tcW w:w="5524" w:type="dxa"/>
          </w:tcPr>
          <w:p w14:paraId="63855375" w14:textId="333BF795" w:rsidR="003A780C" w:rsidRPr="003915A2" w:rsidRDefault="003A780C" w:rsidP="005F3586">
            <w:pPr>
              <w:spacing w:before="100" w:beforeAutospacing="1" w:after="100" w:afterAutospacing="1"/>
              <w:rPr>
                <w:rFonts w:cstheme="minorHAnsi"/>
                <w:sz w:val="20"/>
                <w:szCs w:val="20"/>
              </w:rPr>
            </w:pPr>
            <w:r w:rsidRPr="003915A2">
              <w:rPr>
                <w:rFonts w:cstheme="minorHAnsi"/>
                <w:sz w:val="20"/>
                <w:szCs w:val="20"/>
              </w:rPr>
              <w:t>Módulo 2. Matriz de Indicadores para Resultados (MIR)</w:t>
            </w:r>
          </w:p>
        </w:tc>
        <w:tc>
          <w:tcPr>
            <w:tcW w:w="2268" w:type="dxa"/>
            <w:vAlign w:val="center"/>
          </w:tcPr>
          <w:p w14:paraId="0CDF8B38" w14:textId="77777777" w:rsidR="003A780C" w:rsidRPr="003915A2" w:rsidRDefault="003A780C" w:rsidP="000255C6">
            <w:pPr>
              <w:spacing w:before="100" w:beforeAutospacing="1" w:after="100" w:afterAutospacing="1"/>
              <w:jc w:val="center"/>
              <w:rPr>
                <w:rFonts w:cstheme="minorHAnsi"/>
                <w:sz w:val="20"/>
                <w:szCs w:val="20"/>
              </w:rPr>
            </w:pPr>
            <w:r w:rsidRPr="003915A2">
              <w:rPr>
                <w:rFonts w:cstheme="minorHAnsi"/>
                <w:sz w:val="20"/>
                <w:szCs w:val="20"/>
              </w:rPr>
              <w:t>3, 4</w:t>
            </w:r>
          </w:p>
        </w:tc>
        <w:tc>
          <w:tcPr>
            <w:tcW w:w="2170" w:type="dxa"/>
            <w:vAlign w:val="center"/>
          </w:tcPr>
          <w:p w14:paraId="76ECA368" w14:textId="77777777" w:rsidR="003A780C" w:rsidRPr="003915A2" w:rsidRDefault="003A780C" w:rsidP="000255C6">
            <w:pPr>
              <w:spacing w:before="100" w:beforeAutospacing="1" w:after="100" w:afterAutospacing="1"/>
              <w:jc w:val="center"/>
              <w:rPr>
                <w:rFonts w:cstheme="minorHAnsi"/>
                <w:sz w:val="20"/>
                <w:szCs w:val="20"/>
              </w:rPr>
            </w:pPr>
            <w:r w:rsidRPr="003915A2">
              <w:rPr>
                <w:rFonts w:cstheme="minorHAnsi"/>
                <w:sz w:val="20"/>
                <w:szCs w:val="20"/>
              </w:rPr>
              <w:t>2</w:t>
            </w:r>
          </w:p>
        </w:tc>
      </w:tr>
      <w:tr w:rsidR="003A780C" w:rsidRPr="003915A2" w14:paraId="01DCC000" w14:textId="77777777" w:rsidTr="00A334E4">
        <w:trPr>
          <w:trHeight w:val="20"/>
        </w:trPr>
        <w:tc>
          <w:tcPr>
            <w:tcW w:w="5524" w:type="dxa"/>
          </w:tcPr>
          <w:p w14:paraId="5FD37F89" w14:textId="45936242" w:rsidR="003A780C" w:rsidRPr="003915A2" w:rsidRDefault="003A780C" w:rsidP="005F3586">
            <w:pPr>
              <w:spacing w:before="100" w:beforeAutospacing="1" w:after="100" w:afterAutospacing="1"/>
              <w:rPr>
                <w:rFonts w:cstheme="minorHAnsi"/>
                <w:sz w:val="20"/>
                <w:szCs w:val="20"/>
              </w:rPr>
            </w:pPr>
            <w:r w:rsidRPr="003915A2">
              <w:rPr>
                <w:rFonts w:cstheme="minorHAnsi"/>
                <w:sz w:val="20"/>
                <w:szCs w:val="20"/>
              </w:rPr>
              <w:t>Módulo 3. Consistencia entre los elementos de diseño</w:t>
            </w:r>
          </w:p>
        </w:tc>
        <w:tc>
          <w:tcPr>
            <w:tcW w:w="2268" w:type="dxa"/>
            <w:vAlign w:val="center"/>
          </w:tcPr>
          <w:p w14:paraId="4FD09F95" w14:textId="77777777" w:rsidR="003A780C" w:rsidRPr="003915A2" w:rsidRDefault="003A780C" w:rsidP="000255C6">
            <w:pPr>
              <w:spacing w:before="100" w:beforeAutospacing="1" w:after="100" w:afterAutospacing="1"/>
              <w:jc w:val="center"/>
              <w:rPr>
                <w:rFonts w:cstheme="minorHAnsi"/>
                <w:sz w:val="20"/>
                <w:szCs w:val="20"/>
              </w:rPr>
            </w:pPr>
            <w:r w:rsidRPr="003915A2">
              <w:rPr>
                <w:rFonts w:cstheme="minorHAnsi"/>
                <w:sz w:val="20"/>
                <w:szCs w:val="20"/>
              </w:rPr>
              <w:t>5, 6, 7, 8, 9, 10, 11, 12</w:t>
            </w:r>
          </w:p>
        </w:tc>
        <w:tc>
          <w:tcPr>
            <w:tcW w:w="2170" w:type="dxa"/>
            <w:vAlign w:val="center"/>
          </w:tcPr>
          <w:p w14:paraId="1186F7CA" w14:textId="77777777" w:rsidR="003A780C" w:rsidRPr="003915A2" w:rsidRDefault="003A780C" w:rsidP="000255C6">
            <w:pPr>
              <w:spacing w:before="100" w:beforeAutospacing="1" w:after="100" w:afterAutospacing="1"/>
              <w:jc w:val="center"/>
              <w:rPr>
                <w:rFonts w:cstheme="minorHAnsi"/>
                <w:sz w:val="20"/>
                <w:szCs w:val="20"/>
              </w:rPr>
            </w:pPr>
            <w:r w:rsidRPr="003915A2">
              <w:rPr>
                <w:rFonts w:cstheme="minorHAnsi"/>
                <w:sz w:val="20"/>
                <w:szCs w:val="20"/>
              </w:rPr>
              <w:t>8</w:t>
            </w:r>
          </w:p>
        </w:tc>
      </w:tr>
      <w:tr w:rsidR="003A780C" w:rsidRPr="003915A2" w14:paraId="309B0F67" w14:textId="77777777" w:rsidTr="00A334E4">
        <w:trPr>
          <w:trHeight w:val="20"/>
        </w:trPr>
        <w:tc>
          <w:tcPr>
            <w:tcW w:w="5524" w:type="dxa"/>
          </w:tcPr>
          <w:p w14:paraId="0CBE7BA5" w14:textId="40466B46" w:rsidR="003A780C" w:rsidRPr="003915A2" w:rsidRDefault="003A780C" w:rsidP="005F3586">
            <w:pPr>
              <w:spacing w:before="100" w:beforeAutospacing="1" w:after="100" w:afterAutospacing="1"/>
              <w:rPr>
                <w:rFonts w:cstheme="minorHAnsi"/>
                <w:sz w:val="20"/>
                <w:szCs w:val="20"/>
              </w:rPr>
            </w:pPr>
            <w:r w:rsidRPr="003915A2">
              <w:rPr>
                <w:rFonts w:cstheme="minorHAnsi"/>
                <w:sz w:val="20"/>
                <w:szCs w:val="20"/>
              </w:rPr>
              <w:t>Módulo 4. Alineación del Fondo a la Planeación Nacional y a los Objetivos de Desarrollo Sostenible</w:t>
            </w:r>
          </w:p>
        </w:tc>
        <w:tc>
          <w:tcPr>
            <w:tcW w:w="2268" w:type="dxa"/>
            <w:vAlign w:val="center"/>
          </w:tcPr>
          <w:p w14:paraId="029A32E7" w14:textId="77777777" w:rsidR="003A780C" w:rsidRPr="003915A2" w:rsidRDefault="003A780C" w:rsidP="000255C6">
            <w:pPr>
              <w:spacing w:before="100" w:beforeAutospacing="1" w:after="100" w:afterAutospacing="1"/>
              <w:jc w:val="center"/>
              <w:rPr>
                <w:rFonts w:cstheme="minorHAnsi"/>
                <w:sz w:val="20"/>
                <w:szCs w:val="20"/>
              </w:rPr>
            </w:pPr>
            <w:r w:rsidRPr="003915A2">
              <w:rPr>
                <w:rFonts w:cstheme="minorHAnsi"/>
                <w:sz w:val="20"/>
                <w:szCs w:val="20"/>
              </w:rPr>
              <w:t>13, 14</w:t>
            </w:r>
          </w:p>
        </w:tc>
        <w:tc>
          <w:tcPr>
            <w:tcW w:w="2170" w:type="dxa"/>
            <w:vAlign w:val="center"/>
          </w:tcPr>
          <w:p w14:paraId="709F76BC" w14:textId="77777777" w:rsidR="003A780C" w:rsidRPr="003915A2" w:rsidRDefault="003A780C" w:rsidP="000255C6">
            <w:pPr>
              <w:spacing w:before="100" w:beforeAutospacing="1" w:after="100" w:afterAutospacing="1"/>
              <w:jc w:val="center"/>
              <w:rPr>
                <w:rFonts w:cstheme="minorHAnsi"/>
                <w:sz w:val="20"/>
                <w:szCs w:val="20"/>
              </w:rPr>
            </w:pPr>
            <w:r w:rsidRPr="003915A2">
              <w:rPr>
                <w:rFonts w:cstheme="minorHAnsi"/>
                <w:sz w:val="20"/>
                <w:szCs w:val="20"/>
              </w:rPr>
              <w:t>2</w:t>
            </w:r>
          </w:p>
        </w:tc>
      </w:tr>
      <w:tr w:rsidR="003A780C" w:rsidRPr="003915A2" w14:paraId="0C714497" w14:textId="77777777" w:rsidTr="00A334E4">
        <w:trPr>
          <w:trHeight w:val="20"/>
        </w:trPr>
        <w:tc>
          <w:tcPr>
            <w:tcW w:w="5524" w:type="dxa"/>
          </w:tcPr>
          <w:p w14:paraId="47AAA4BB" w14:textId="69BC1E3A" w:rsidR="003A780C" w:rsidRPr="003915A2" w:rsidRDefault="003A780C" w:rsidP="005F3586">
            <w:pPr>
              <w:spacing w:before="100" w:beforeAutospacing="1" w:after="0"/>
              <w:rPr>
                <w:rFonts w:cstheme="minorHAnsi"/>
                <w:sz w:val="20"/>
                <w:szCs w:val="20"/>
              </w:rPr>
            </w:pPr>
            <w:r w:rsidRPr="003915A2">
              <w:rPr>
                <w:rFonts w:cstheme="minorHAnsi"/>
                <w:sz w:val="20"/>
                <w:szCs w:val="20"/>
              </w:rPr>
              <w:t>Módulo 5. Mecanismos de coordinación</w:t>
            </w:r>
          </w:p>
          <w:p w14:paraId="787E6A41" w14:textId="77777777" w:rsidR="003A780C" w:rsidRPr="003915A2" w:rsidRDefault="003A780C" w:rsidP="005F3586">
            <w:pPr>
              <w:spacing w:before="0" w:after="100" w:afterAutospacing="1"/>
              <w:ind w:left="743" w:hanging="425"/>
              <w:rPr>
                <w:rFonts w:cstheme="minorHAnsi"/>
                <w:sz w:val="20"/>
                <w:szCs w:val="20"/>
              </w:rPr>
            </w:pPr>
            <w:r w:rsidRPr="003915A2">
              <w:rPr>
                <w:rFonts w:eastAsia="MS Mincho" w:cstheme="minorHAnsi"/>
                <w:i/>
                <w:iCs/>
                <w:kern w:val="2"/>
                <w:sz w:val="20"/>
                <w:szCs w:val="20"/>
                <w:lang w:val="es-ES" w:eastAsia="ja-JP"/>
              </w:rPr>
              <w:t>5. 1. Gestión, operación y planeación</w:t>
            </w:r>
          </w:p>
        </w:tc>
        <w:tc>
          <w:tcPr>
            <w:tcW w:w="2268" w:type="dxa"/>
            <w:vAlign w:val="center"/>
          </w:tcPr>
          <w:p w14:paraId="24BF3507" w14:textId="77777777" w:rsidR="003A780C" w:rsidRPr="003915A2" w:rsidRDefault="003A780C" w:rsidP="000255C6">
            <w:pPr>
              <w:spacing w:before="100" w:beforeAutospacing="1" w:after="100" w:afterAutospacing="1"/>
              <w:jc w:val="center"/>
              <w:rPr>
                <w:rFonts w:cstheme="minorHAnsi"/>
                <w:sz w:val="20"/>
                <w:szCs w:val="20"/>
              </w:rPr>
            </w:pPr>
            <w:r w:rsidRPr="003915A2">
              <w:rPr>
                <w:rFonts w:cstheme="minorHAnsi"/>
                <w:sz w:val="20"/>
                <w:szCs w:val="20"/>
              </w:rPr>
              <w:t>15, 16, 17, 18, 19</w:t>
            </w:r>
          </w:p>
        </w:tc>
        <w:tc>
          <w:tcPr>
            <w:tcW w:w="2170" w:type="dxa"/>
            <w:vAlign w:val="center"/>
          </w:tcPr>
          <w:p w14:paraId="5662194B" w14:textId="77777777" w:rsidR="003A780C" w:rsidRPr="003915A2" w:rsidRDefault="003A780C" w:rsidP="000255C6">
            <w:pPr>
              <w:spacing w:before="100" w:beforeAutospacing="1" w:after="100" w:afterAutospacing="1"/>
              <w:jc w:val="center"/>
              <w:rPr>
                <w:rFonts w:cstheme="minorHAnsi"/>
                <w:sz w:val="20"/>
                <w:szCs w:val="20"/>
              </w:rPr>
            </w:pPr>
            <w:r w:rsidRPr="003915A2">
              <w:rPr>
                <w:rFonts w:cstheme="minorHAnsi"/>
                <w:sz w:val="20"/>
                <w:szCs w:val="20"/>
              </w:rPr>
              <w:t>5</w:t>
            </w:r>
          </w:p>
        </w:tc>
      </w:tr>
      <w:tr w:rsidR="003A780C" w:rsidRPr="003915A2" w14:paraId="66A94051" w14:textId="77777777" w:rsidTr="00A334E4">
        <w:trPr>
          <w:trHeight w:val="20"/>
        </w:trPr>
        <w:tc>
          <w:tcPr>
            <w:tcW w:w="5524" w:type="dxa"/>
          </w:tcPr>
          <w:p w14:paraId="70610F5F" w14:textId="77777777" w:rsidR="003A780C" w:rsidRPr="003915A2" w:rsidRDefault="003A780C" w:rsidP="005F3586">
            <w:pPr>
              <w:widowControl w:val="0"/>
              <w:autoSpaceDE w:val="0"/>
              <w:autoSpaceDN w:val="0"/>
              <w:adjustRightInd w:val="0"/>
              <w:snapToGrid w:val="0"/>
              <w:spacing w:before="100" w:beforeAutospacing="1" w:after="100" w:afterAutospacing="1"/>
              <w:ind w:leftChars="146" w:left="883" w:hanging="562"/>
              <w:rPr>
                <w:rFonts w:cstheme="minorHAnsi"/>
                <w:i/>
                <w:iCs/>
                <w:sz w:val="20"/>
                <w:szCs w:val="20"/>
              </w:rPr>
            </w:pPr>
            <w:r w:rsidRPr="003915A2">
              <w:rPr>
                <w:rFonts w:cstheme="minorHAnsi"/>
                <w:i/>
                <w:iCs/>
                <w:sz w:val="20"/>
                <w:szCs w:val="20"/>
              </w:rPr>
              <w:t>5. 2. Obstáculos para la implementación</w:t>
            </w:r>
          </w:p>
        </w:tc>
        <w:tc>
          <w:tcPr>
            <w:tcW w:w="2268" w:type="dxa"/>
            <w:vAlign w:val="center"/>
          </w:tcPr>
          <w:p w14:paraId="5697AA65" w14:textId="77777777" w:rsidR="003A780C" w:rsidRPr="003915A2" w:rsidRDefault="003A780C" w:rsidP="000255C6">
            <w:pPr>
              <w:spacing w:before="100" w:beforeAutospacing="1" w:after="100" w:afterAutospacing="1"/>
              <w:jc w:val="center"/>
              <w:rPr>
                <w:rFonts w:cstheme="minorHAnsi"/>
                <w:sz w:val="20"/>
                <w:szCs w:val="20"/>
              </w:rPr>
            </w:pPr>
            <w:r w:rsidRPr="003915A2">
              <w:rPr>
                <w:rFonts w:cstheme="minorHAnsi"/>
                <w:sz w:val="20"/>
                <w:szCs w:val="20"/>
              </w:rPr>
              <w:t>20</w:t>
            </w:r>
          </w:p>
        </w:tc>
        <w:tc>
          <w:tcPr>
            <w:tcW w:w="2170" w:type="dxa"/>
            <w:vAlign w:val="center"/>
          </w:tcPr>
          <w:p w14:paraId="1370BA56" w14:textId="77777777" w:rsidR="003A780C" w:rsidRPr="003915A2" w:rsidRDefault="003A780C" w:rsidP="000255C6">
            <w:pPr>
              <w:spacing w:before="100" w:beforeAutospacing="1" w:after="100" w:afterAutospacing="1"/>
              <w:jc w:val="center"/>
              <w:rPr>
                <w:rFonts w:cstheme="minorHAnsi"/>
                <w:sz w:val="20"/>
                <w:szCs w:val="20"/>
              </w:rPr>
            </w:pPr>
            <w:r w:rsidRPr="003915A2">
              <w:rPr>
                <w:rFonts w:cstheme="minorHAnsi"/>
                <w:sz w:val="20"/>
                <w:szCs w:val="20"/>
              </w:rPr>
              <w:t>1</w:t>
            </w:r>
          </w:p>
        </w:tc>
      </w:tr>
      <w:tr w:rsidR="003A780C" w:rsidRPr="003915A2" w14:paraId="5AB99639" w14:textId="77777777" w:rsidTr="00A334E4">
        <w:trPr>
          <w:trHeight w:val="20"/>
        </w:trPr>
        <w:tc>
          <w:tcPr>
            <w:tcW w:w="5524" w:type="dxa"/>
          </w:tcPr>
          <w:p w14:paraId="061563C8" w14:textId="19E83D01" w:rsidR="003A780C" w:rsidRPr="003915A2" w:rsidRDefault="003A780C" w:rsidP="005F3586">
            <w:pPr>
              <w:widowControl w:val="0"/>
              <w:autoSpaceDE w:val="0"/>
              <w:autoSpaceDN w:val="0"/>
              <w:adjustRightInd w:val="0"/>
              <w:snapToGrid w:val="0"/>
              <w:spacing w:before="100" w:beforeAutospacing="1" w:after="100" w:afterAutospacing="1"/>
              <w:rPr>
                <w:rFonts w:eastAsia="MS Mincho" w:cstheme="minorHAnsi"/>
                <w:kern w:val="2"/>
                <w:sz w:val="20"/>
                <w:szCs w:val="20"/>
                <w:lang w:val="es-ES" w:eastAsia="ja-JP"/>
              </w:rPr>
            </w:pPr>
            <w:r w:rsidRPr="003915A2">
              <w:rPr>
                <w:rFonts w:eastAsia="MS Mincho" w:cstheme="minorHAnsi"/>
                <w:kern w:val="2"/>
                <w:sz w:val="20"/>
                <w:szCs w:val="20"/>
                <w:lang w:val="es-ES" w:eastAsia="ja-JP"/>
              </w:rPr>
              <w:t>Módulo 6. Complementariedades y coincidencias</w:t>
            </w:r>
          </w:p>
        </w:tc>
        <w:tc>
          <w:tcPr>
            <w:tcW w:w="2268" w:type="dxa"/>
            <w:vAlign w:val="center"/>
          </w:tcPr>
          <w:p w14:paraId="7DA1A8E6" w14:textId="77777777" w:rsidR="003A780C" w:rsidRPr="003915A2" w:rsidRDefault="003A780C" w:rsidP="000255C6">
            <w:pPr>
              <w:spacing w:before="100" w:beforeAutospacing="1" w:after="100" w:afterAutospacing="1"/>
              <w:jc w:val="center"/>
              <w:rPr>
                <w:rFonts w:cstheme="minorHAnsi"/>
                <w:sz w:val="20"/>
                <w:szCs w:val="20"/>
              </w:rPr>
            </w:pPr>
            <w:r w:rsidRPr="003915A2">
              <w:rPr>
                <w:rFonts w:cstheme="minorHAnsi"/>
                <w:sz w:val="20"/>
                <w:szCs w:val="20"/>
              </w:rPr>
              <w:t>21, 22</w:t>
            </w:r>
          </w:p>
        </w:tc>
        <w:tc>
          <w:tcPr>
            <w:tcW w:w="2170" w:type="dxa"/>
            <w:vAlign w:val="center"/>
          </w:tcPr>
          <w:p w14:paraId="3DD97711" w14:textId="77777777" w:rsidR="003A780C" w:rsidRPr="003915A2" w:rsidRDefault="003A780C" w:rsidP="000255C6">
            <w:pPr>
              <w:spacing w:before="100" w:beforeAutospacing="1" w:after="100" w:afterAutospacing="1"/>
              <w:jc w:val="center"/>
              <w:rPr>
                <w:rFonts w:cstheme="minorHAnsi"/>
                <w:sz w:val="20"/>
                <w:szCs w:val="20"/>
              </w:rPr>
            </w:pPr>
            <w:r w:rsidRPr="003915A2">
              <w:rPr>
                <w:rFonts w:cstheme="minorHAnsi"/>
                <w:sz w:val="20"/>
                <w:szCs w:val="20"/>
              </w:rPr>
              <w:t>2</w:t>
            </w:r>
          </w:p>
        </w:tc>
      </w:tr>
      <w:tr w:rsidR="003A780C" w:rsidRPr="003915A2" w14:paraId="68A7532E" w14:textId="77777777" w:rsidTr="00A334E4">
        <w:trPr>
          <w:trHeight w:val="77"/>
        </w:trPr>
        <w:tc>
          <w:tcPr>
            <w:tcW w:w="5524" w:type="dxa"/>
          </w:tcPr>
          <w:p w14:paraId="1CC4FAC0" w14:textId="5130019D" w:rsidR="003A780C" w:rsidRPr="003915A2" w:rsidRDefault="003A780C" w:rsidP="005F3586">
            <w:pPr>
              <w:widowControl w:val="0"/>
              <w:autoSpaceDE w:val="0"/>
              <w:autoSpaceDN w:val="0"/>
              <w:adjustRightInd w:val="0"/>
              <w:snapToGrid w:val="0"/>
              <w:spacing w:before="0" w:after="0"/>
              <w:rPr>
                <w:rFonts w:eastAsia="MS Mincho" w:cstheme="minorHAnsi"/>
                <w:kern w:val="2"/>
                <w:sz w:val="20"/>
                <w:szCs w:val="20"/>
                <w:lang w:val="es-ES" w:eastAsia="ja-JP"/>
              </w:rPr>
            </w:pPr>
            <w:r w:rsidRPr="003915A2">
              <w:rPr>
                <w:rFonts w:eastAsia="MS Mincho" w:cstheme="minorHAnsi"/>
                <w:kern w:val="2"/>
                <w:sz w:val="20"/>
                <w:szCs w:val="20"/>
                <w:lang w:val="es-ES" w:eastAsia="ja-JP"/>
              </w:rPr>
              <w:t>Módulo 7. Calidad de la información</w:t>
            </w:r>
          </w:p>
          <w:p w14:paraId="4BD45CC2" w14:textId="77777777" w:rsidR="003A780C" w:rsidRPr="003915A2" w:rsidRDefault="003A780C" w:rsidP="005F3586">
            <w:pPr>
              <w:spacing w:before="0" w:after="100" w:afterAutospacing="1"/>
              <w:ind w:left="743" w:hanging="425"/>
              <w:rPr>
                <w:rFonts w:eastAsia="MS Mincho" w:cstheme="minorHAnsi"/>
                <w:i/>
                <w:iCs/>
                <w:kern w:val="2"/>
                <w:sz w:val="20"/>
                <w:szCs w:val="20"/>
                <w:lang w:val="es-ES" w:eastAsia="ja-JP"/>
              </w:rPr>
            </w:pPr>
            <w:r w:rsidRPr="003915A2">
              <w:rPr>
                <w:rFonts w:eastAsia="MS Mincho" w:cstheme="minorHAnsi"/>
                <w:i/>
                <w:iCs/>
                <w:kern w:val="2"/>
                <w:sz w:val="20"/>
                <w:szCs w:val="20"/>
                <w:lang w:val="es-ES" w:eastAsia="ja-JP"/>
              </w:rPr>
              <w:t>7.1 Generación de información, rendición de cuentas y medición de resultados</w:t>
            </w:r>
          </w:p>
        </w:tc>
        <w:tc>
          <w:tcPr>
            <w:tcW w:w="2268" w:type="dxa"/>
            <w:vAlign w:val="center"/>
          </w:tcPr>
          <w:p w14:paraId="2CF7637B" w14:textId="77777777" w:rsidR="003A780C" w:rsidRPr="003915A2" w:rsidRDefault="003A780C" w:rsidP="000255C6">
            <w:pPr>
              <w:spacing w:before="100" w:beforeAutospacing="1" w:after="100" w:afterAutospacing="1"/>
              <w:jc w:val="center"/>
              <w:rPr>
                <w:rFonts w:cstheme="minorHAnsi"/>
                <w:sz w:val="20"/>
                <w:szCs w:val="20"/>
              </w:rPr>
            </w:pPr>
            <w:r w:rsidRPr="003915A2">
              <w:rPr>
                <w:rFonts w:cstheme="minorHAnsi"/>
                <w:sz w:val="20"/>
                <w:szCs w:val="20"/>
              </w:rPr>
              <w:t>23, 24, 25, 26, 27, 28, 29, 30</w:t>
            </w:r>
          </w:p>
        </w:tc>
        <w:tc>
          <w:tcPr>
            <w:tcW w:w="2170" w:type="dxa"/>
            <w:vAlign w:val="center"/>
          </w:tcPr>
          <w:p w14:paraId="29B039D4" w14:textId="77777777" w:rsidR="003A780C" w:rsidRPr="003915A2" w:rsidRDefault="003A780C" w:rsidP="000255C6">
            <w:pPr>
              <w:spacing w:before="100" w:beforeAutospacing="1" w:after="100" w:afterAutospacing="1"/>
              <w:jc w:val="center"/>
              <w:rPr>
                <w:rFonts w:cstheme="minorHAnsi"/>
                <w:sz w:val="20"/>
                <w:szCs w:val="20"/>
              </w:rPr>
            </w:pPr>
            <w:r w:rsidRPr="003915A2">
              <w:rPr>
                <w:rFonts w:cstheme="minorHAnsi"/>
                <w:sz w:val="20"/>
                <w:szCs w:val="20"/>
              </w:rPr>
              <w:t>8</w:t>
            </w:r>
          </w:p>
        </w:tc>
      </w:tr>
      <w:tr w:rsidR="003A780C" w:rsidRPr="003915A2" w14:paraId="71883EC7" w14:textId="77777777" w:rsidTr="00A334E4">
        <w:trPr>
          <w:trHeight w:val="20"/>
        </w:trPr>
        <w:tc>
          <w:tcPr>
            <w:tcW w:w="5524" w:type="dxa"/>
            <w:shd w:val="clear" w:color="auto" w:fill="D0CECE"/>
            <w:vAlign w:val="center"/>
          </w:tcPr>
          <w:p w14:paraId="16ABD5CA" w14:textId="77777777" w:rsidR="003A780C" w:rsidRPr="003915A2" w:rsidRDefault="003A780C" w:rsidP="000255C6">
            <w:pPr>
              <w:widowControl w:val="0"/>
              <w:autoSpaceDE w:val="0"/>
              <w:autoSpaceDN w:val="0"/>
              <w:adjustRightInd w:val="0"/>
              <w:snapToGrid w:val="0"/>
              <w:spacing w:before="100" w:beforeAutospacing="1" w:after="100" w:afterAutospacing="1"/>
              <w:jc w:val="center"/>
              <w:rPr>
                <w:rFonts w:eastAsia="MS Mincho" w:cstheme="minorHAnsi"/>
                <w:b/>
                <w:bCs/>
                <w:kern w:val="2"/>
                <w:sz w:val="20"/>
                <w:szCs w:val="20"/>
                <w:lang w:val="es-ES" w:eastAsia="ja-JP"/>
              </w:rPr>
            </w:pPr>
            <w:r w:rsidRPr="003915A2">
              <w:rPr>
                <w:rFonts w:eastAsia="MS Mincho" w:cstheme="minorHAnsi"/>
                <w:b/>
                <w:bCs/>
                <w:kern w:val="2"/>
                <w:sz w:val="20"/>
                <w:szCs w:val="20"/>
                <w:lang w:val="es-ES" w:eastAsia="ja-JP"/>
              </w:rPr>
              <w:t>TOTAL</w:t>
            </w:r>
          </w:p>
        </w:tc>
        <w:tc>
          <w:tcPr>
            <w:tcW w:w="4438" w:type="dxa"/>
            <w:gridSpan w:val="2"/>
            <w:shd w:val="clear" w:color="auto" w:fill="D0CECE"/>
            <w:vAlign w:val="center"/>
          </w:tcPr>
          <w:p w14:paraId="59356C4A" w14:textId="77777777" w:rsidR="003A780C" w:rsidRPr="003915A2" w:rsidRDefault="003A780C" w:rsidP="000255C6">
            <w:pPr>
              <w:spacing w:before="100" w:beforeAutospacing="1" w:after="100" w:afterAutospacing="1"/>
              <w:jc w:val="center"/>
              <w:rPr>
                <w:rFonts w:cstheme="minorHAnsi"/>
                <w:b/>
                <w:bCs/>
                <w:sz w:val="20"/>
                <w:szCs w:val="20"/>
              </w:rPr>
            </w:pPr>
            <w:r w:rsidRPr="003915A2">
              <w:rPr>
                <w:rFonts w:cstheme="minorHAnsi"/>
                <w:b/>
                <w:bCs/>
                <w:sz w:val="20"/>
                <w:szCs w:val="20"/>
              </w:rPr>
              <w:t>30</w:t>
            </w:r>
          </w:p>
        </w:tc>
      </w:tr>
      <w:bookmarkEnd w:id="9"/>
    </w:tbl>
    <w:p w14:paraId="5A5B2159" w14:textId="77777777" w:rsidR="003A780C" w:rsidRDefault="003A780C" w:rsidP="00550792">
      <w:pPr>
        <w:pStyle w:val="Ttulo1"/>
        <w:sectPr w:rsidR="003A780C" w:rsidSect="00434FC0">
          <w:pgSz w:w="12240" w:h="15840" w:code="1"/>
          <w:pgMar w:top="1134" w:right="1134" w:bottom="1134" w:left="1134" w:header="709" w:footer="709" w:gutter="0"/>
          <w:pgNumType w:start="1"/>
          <w:cols w:space="708"/>
          <w:docGrid w:linePitch="360"/>
        </w:sectPr>
      </w:pPr>
    </w:p>
    <w:p w14:paraId="022DCE9B" w14:textId="3D07B4A3" w:rsidR="00550792" w:rsidRDefault="00C65BF9" w:rsidP="00550792">
      <w:pPr>
        <w:pStyle w:val="Ttulo1"/>
      </w:pPr>
      <w:bookmarkStart w:id="10" w:name="_Toc56423699"/>
      <w:r>
        <w:lastRenderedPageBreak/>
        <w:t>I</w:t>
      </w:r>
      <w:r w:rsidR="00550792">
        <w:t>II</w:t>
      </w:r>
      <w:r>
        <w:t xml:space="preserve">. </w:t>
      </w:r>
      <w:r w:rsidR="00550792" w:rsidRPr="001A47CC">
        <w:t>M</w:t>
      </w:r>
      <w:r w:rsidR="009D6116">
        <w:t>ó</w:t>
      </w:r>
      <w:r w:rsidR="00550792" w:rsidRPr="001A47CC">
        <w:t xml:space="preserve">dulo </w:t>
      </w:r>
      <w:r w:rsidR="00550792">
        <w:t>1</w:t>
      </w:r>
      <w:r w:rsidR="00550792" w:rsidRPr="001A47CC">
        <w:t xml:space="preserve">. </w:t>
      </w:r>
      <w:bookmarkStart w:id="11" w:name="_Hlk44233763"/>
      <w:r w:rsidR="007D70F6" w:rsidRPr="004E7114">
        <w:t>Justificación del diseño del Fondo y de su mecanismo de intervención</w:t>
      </w:r>
      <w:bookmarkEnd w:id="10"/>
      <w:bookmarkEnd w:id="11"/>
    </w:p>
    <w:p w14:paraId="6FCCBF69" w14:textId="13CA8B7F" w:rsidR="00104F90" w:rsidRPr="00D61DEB" w:rsidRDefault="00320A12" w:rsidP="00320A12">
      <w:pPr>
        <w:pStyle w:val="Ttulo2"/>
        <w:jc w:val="left"/>
        <w:rPr>
          <w:iCs/>
        </w:rPr>
      </w:pPr>
      <w:bookmarkStart w:id="12" w:name="_Toc56423700"/>
      <w:r>
        <w:rPr>
          <w:iCs/>
        </w:rPr>
        <w:t xml:space="preserve">1.1 </w:t>
      </w:r>
      <w:r w:rsidR="00104F90" w:rsidRPr="00D61DEB">
        <w:rPr>
          <w:iCs/>
        </w:rPr>
        <w:t xml:space="preserve">Características del Fondo en </w:t>
      </w:r>
      <w:r w:rsidR="00F85D92">
        <w:rPr>
          <w:iCs/>
        </w:rPr>
        <w:t>la entidad federativa</w:t>
      </w:r>
      <w:bookmarkEnd w:id="12"/>
    </w:p>
    <w:p w14:paraId="56E82BC7" w14:textId="3C1AB7C4" w:rsidR="00CA4AC2" w:rsidRPr="00CA4AC2" w:rsidRDefault="00CA4AC2" w:rsidP="001E49AD">
      <w:pPr>
        <w:widowControl w:val="0"/>
        <w:rPr>
          <w:rFonts w:eastAsia="MS Mincho" w:cs="Arial"/>
          <w:kern w:val="2"/>
          <w:lang w:eastAsia="ja-JP"/>
        </w:rPr>
      </w:pPr>
      <w:r w:rsidRPr="00CA4AC2">
        <w:rPr>
          <w:rFonts w:eastAsia="MS Mincho" w:cs="Arial"/>
          <w:kern w:val="2"/>
          <w:lang w:eastAsia="ja-JP"/>
        </w:rPr>
        <w:t xml:space="preserve">Con base en la información proporcionada por las dependencias o entidades responsables de la gestión y coordinación de las políticas, programas o proyectos locales financiados con recursos del FAFEF en </w:t>
      </w:r>
      <w:r w:rsidR="001B299A">
        <w:rPr>
          <w:rFonts w:eastAsia="MS Mincho" w:cs="Arial"/>
          <w:kern w:val="2"/>
          <w:lang w:eastAsia="ja-JP"/>
        </w:rPr>
        <w:t>el Estado de Hidalgo</w:t>
      </w:r>
      <w:r w:rsidRPr="00CA4AC2">
        <w:rPr>
          <w:rFonts w:eastAsia="MS Mincho" w:cs="Arial"/>
          <w:kern w:val="2"/>
          <w:lang w:eastAsia="ja-JP"/>
        </w:rPr>
        <w:t xml:space="preserve">, así como a partir de los documentos normativos y de gestión del Fondo a nivel estatal, se realizó una descripción por </w:t>
      </w:r>
      <w:r w:rsidR="00A70A52">
        <w:rPr>
          <w:rFonts w:eastAsia="MS Mincho" w:cs="Arial"/>
          <w:kern w:val="2"/>
          <w:lang w:eastAsia="ja-JP"/>
        </w:rPr>
        <w:t>C</w:t>
      </w:r>
      <w:r w:rsidRPr="00CA4AC2">
        <w:rPr>
          <w:rFonts w:eastAsia="MS Mincho" w:cs="Arial"/>
          <w:kern w:val="2"/>
          <w:lang w:eastAsia="ja-JP"/>
        </w:rPr>
        <w:t>omponente del FAFEF</w:t>
      </w:r>
      <w:r w:rsidR="00431CB0">
        <w:rPr>
          <w:rFonts w:eastAsia="MS Mincho" w:cs="Arial"/>
          <w:kern w:val="2"/>
          <w:lang w:eastAsia="ja-JP"/>
        </w:rPr>
        <w:t xml:space="preserve"> la</w:t>
      </w:r>
      <w:r w:rsidRPr="00CA4AC2">
        <w:rPr>
          <w:rFonts w:eastAsia="MS Mincho" w:cs="Arial"/>
          <w:kern w:val="2"/>
          <w:lang w:eastAsia="ja-JP"/>
        </w:rPr>
        <w:t xml:space="preserve"> cual contiene los siguientes aspectos:</w:t>
      </w:r>
    </w:p>
    <w:p w14:paraId="1CD8202C" w14:textId="77777777" w:rsidR="00104F90" w:rsidRPr="008D57A5" w:rsidRDefault="00104F90" w:rsidP="00515CAC">
      <w:pPr>
        <w:pStyle w:val="Prrafodelista"/>
        <w:widowControl w:val="0"/>
        <w:numPr>
          <w:ilvl w:val="0"/>
          <w:numId w:val="2"/>
        </w:numPr>
        <w:rPr>
          <w:rFonts w:eastAsia="MS Mincho" w:cs="Arial"/>
          <w:b/>
          <w:bCs/>
          <w:kern w:val="2"/>
          <w:lang w:eastAsia="ja-JP"/>
        </w:rPr>
      </w:pPr>
      <w:r w:rsidRPr="008D57A5">
        <w:rPr>
          <w:rFonts w:eastAsia="MS Mincho" w:cs="Arial"/>
          <w:b/>
          <w:bCs/>
          <w:kern w:val="2"/>
          <w:lang w:eastAsia="ja-JP"/>
        </w:rPr>
        <w:t>Descripción de los objetivos del Fondo de acuerdo con la LCF, la MIR vigente y la normativa federal relacionada.</w:t>
      </w:r>
    </w:p>
    <w:p w14:paraId="3459586B" w14:textId="584D08D6" w:rsidR="00BF19F9" w:rsidRDefault="00337C60" w:rsidP="001E49AD">
      <w:r w:rsidRPr="00807F4B">
        <w:t xml:space="preserve">Los recursos del FAFEF tienen como marco normativo los Artículos 46 y 47 de la Ley de Coordinación Fiscal (LCF), su objetivo es fortalecer los presupuestos de las entidades federativas y podrán destinarse a: 1) </w:t>
      </w:r>
      <w:r w:rsidR="00BB7851">
        <w:t>I</w:t>
      </w:r>
      <w:r w:rsidRPr="00807F4B">
        <w:t xml:space="preserve">nversión en infraestructura física; 2) </w:t>
      </w:r>
      <w:r w:rsidR="00BB7851">
        <w:t>S</w:t>
      </w:r>
      <w:r w:rsidRPr="00807F4B">
        <w:t xml:space="preserve">aneamiento financiero; 3) </w:t>
      </w:r>
      <w:r w:rsidR="00BB7851">
        <w:t>S</w:t>
      </w:r>
      <w:r w:rsidRPr="00807F4B">
        <w:t xml:space="preserve">aneamiento de pensiones; 4) </w:t>
      </w:r>
      <w:r w:rsidR="00BB7851">
        <w:t>M</w:t>
      </w:r>
      <w:r w:rsidRPr="00807F4B">
        <w:t xml:space="preserve">odernización de </w:t>
      </w:r>
      <w:r w:rsidR="00431CB0">
        <w:t xml:space="preserve">los </w:t>
      </w:r>
      <w:r w:rsidRPr="00807F4B">
        <w:t xml:space="preserve">registros públicos </w:t>
      </w:r>
      <w:r w:rsidR="00431CB0">
        <w:t>d</w:t>
      </w:r>
      <w:r w:rsidRPr="00807F4B">
        <w:t xml:space="preserve">e la propiedad y </w:t>
      </w:r>
      <w:r w:rsidR="00431CB0">
        <w:t xml:space="preserve">el </w:t>
      </w:r>
      <w:r w:rsidRPr="00807F4B">
        <w:t xml:space="preserve">comercio locales, modernización de los catastros para hacer más eficiente la recaudación de contribuciones; 5) </w:t>
      </w:r>
      <w:r w:rsidR="00BB7851">
        <w:t>M</w:t>
      </w:r>
      <w:r w:rsidRPr="00807F4B">
        <w:t xml:space="preserve">odernizar los sistemas de recaudación; 6) </w:t>
      </w:r>
      <w:r w:rsidR="00BB7851">
        <w:t>F</w:t>
      </w:r>
      <w:r w:rsidRPr="00807F4B">
        <w:t xml:space="preserve">ortalecimiento de proyectos de investigación científica y tecnológica; 7) </w:t>
      </w:r>
      <w:r w:rsidR="00BB7851">
        <w:t>S</w:t>
      </w:r>
      <w:r w:rsidRPr="00807F4B">
        <w:t xml:space="preserve">istemas de protección civil, 8) </w:t>
      </w:r>
      <w:r w:rsidR="00BB7851">
        <w:t>A</w:t>
      </w:r>
      <w:r w:rsidRPr="00807F4B">
        <w:t>poyar la educación pública y</w:t>
      </w:r>
      <w:r w:rsidR="00C9106C">
        <w:t xml:space="preserve"> </w:t>
      </w:r>
      <w:r w:rsidRPr="00807F4B">
        <w:t xml:space="preserve">9) </w:t>
      </w:r>
      <w:r w:rsidR="00BB7851">
        <w:t>A</w:t>
      </w:r>
      <w:r w:rsidRPr="00807F4B">
        <w:t>poyar proyectos de infraestructura concesionada o donde se combinen recursos públicos y privados.</w:t>
      </w:r>
      <w:r w:rsidRPr="002B3391">
        <w:rPr>
          <w:vertAlign w:val="superscript"/>
        </w:rPr>
        <w:footnoteReference w:id="5"/>
      </w:r>
      <w:r w:rsidR="00AE3465">
        <w:t xml:space="preserve"> </w:t>
      </w:r>
      <w:r w:rsidR="00BF19F9" w:rsidRPr="00F53EC3">
        <w:t xml:space="preserve">De acuerdo con información vertida en la Evaluación Especifica de Desempeño realizada al FAFEF en la entidad </w:t>
      </w:r>
      <w:r w:rsidR="00303F2F">
        <w:t xml:space="preserve">federativa </w:t>
      </w:r>
      <w:r w:rsidR="00BF19F9" w:rsidRPr="00F53EC3">
        <w:t>para el ejercicio fiscal 2018, al interior del Gobierno del Estado de Hidalgo la Unidad Responsable y Coordinadora del Fondo, es la Secretaría de Finanzas Públicas</w:t>
      </w:r>
      <w:r w:rsidR="00431CB0">
        <w:t xml:space="preserve"> (SFP)</w:t>
      </w:r>
      <w:r w:rsidR="00BF19F9" w:rsidRPr="00F53EC3">
        <w:t>.</w:t>
      </w:r>
      <w:r w:rsidR="001D3B40">
        <w:t xml:space="preserve"> </w:t>
      </w:r>
    </w:p>
    <w:p w14:paraId="00995E0B" w14:textId="1E58CE6A" w:rsidR="00BD2801" w:rsidRDefault="00BD2801" w:rsidP="00BD2801">
      <w:pPr>
        <w:spacing w:after="0"/>
        <w:rPr>
          <w:rFonts w:ascii="Calibri" w:eastAsia="Calibri" w:hAnsi="Calibri" w:cs="Times New Roman"/>
        </w:rPr>
      </w:pPr>
      <w:r w:rsidRPr="00C30BCF">
        <w:rPr>
          <w:rFonts w:ascii="Calibri" w:eastAsia="Calibri" w:hAnsi="Calibri" w:cs="Times New Roman"/>
        </w:rPr>
        <w:t xml:space="preserve">En el ejercicio fiscal 2018, el </w:t>
      </w:r>
      <w:r w:rsidR="00AC117F">
        <w:rPr>
          <w:rFonts w:ascii="Calibri" w:eastAsia="Calibri" w:hAnsi="Calibri" w:cs="Times New Roman"/>
        </w:rPr>
        <w:t>E</w:t>
      </w:r>
      <w:r w:rsidRPr="00C30BCF">
        <w:rPr>
          <w:rFonts w:ascii="Calibri" w:eastAsia="Calibri" w:hAnsi="Calibri" w:cs="Times New Roman"/>
        </w:rPr>
        <w:t>stado de Hidalgo recibió recursos del FAFEF por un monto de 1,029.73 mdp, de los cuales de conformidad con los rubros de gasto establecidos en el Artículo 47 de LCF, se destinaron a:</w:t>
      </w:r>
    </w:p>
    <w:p w14:paraId="16B9713D" w14:textId="0E25C8ED" w:rsidR="00BD2801" w:rsidRPr="00171748" w:rsidRDefault="00BD2801" w:rsidP="000F3860">
      <w:pPr>
        <w:pStyle w:val="Prrafodelista"/>
        <w:numPr>
          <w:ilvl w:val="0"/>
          <w:numId w:val="60"/>
        </w:numPr>
        <w:ind w:left="568" w:hanging="284"/>
        <w:contextualSpacing w:val="0"/>
        <w:rPr>
          <w:rFonts w:ascii="Calibri" w:eastAsia="Calibri" w:hAnsi="Calibri" w:cs="Times New Roman"/>
        </w:rPr>
      </w:pPr>
      <w:r>
        <w:rPr>
          <w:rFonts w:ascii="Calibri" w:eastAsia="Calibri" w:hAnsi="Calibri" w:cs="Times New Roman"/>
        </w:rPr>
        <w:t>I. I</w:t>
      </w:r>
      <w:r w:rsidRPr="00171748">
        <w:rPr>
          <w:rFonts w:ascii="Calibri" w:eastAsia="Calibri" w:hAnsi="Calibri" w:cs="Times New Roman"/>
        </w:rPr>
        <w:t>nversión en infraestructura física</w:t>
      </w:r>
      <w:r w:rsidR="00F87642">
        <w:rPr>
          <w:rFonts w:ascii="Calibri" w:eastAsia="Calibri" w:hAnsi="Calibri" w:cs="Times New Roman"/>
        </w:rPr>
        <w:t>,</w:t>
      </w:r>
      <w:r w:rsidRPr="00171748">
        <w:rPr>
          <w:rFonts w:ascii="Calibri" w:eastAsia="Calibri" w:hAnsi="Calibri" w:cs="Times New Roman"/>
        </w:rPr>
        <w:t xml:space="preserve"> por un monto de 671.97 mdp (65.26 %);</w:t>
      </w:r>
    </w:p>
    <w:p w14:paraId="6339EF33" w14:textId="0CDB579A" w:rsidR="00BD2801" w:rsidRDefault="00BD2801" w:rsidP="000F3860">
      <w:pPr>
        <w:pStyle w:val="Prrafodelista"/>
        <w:numPr>
          <w:ilvl w:val="0"/>
          <w:numId w:val="60"/>
        </w:numPr>
        <w:ind w:left="568" w:hanging="284"/>
        <w:contextualSpacing w:val="0"/>
        <w:rPr>
          <w:rFonts w:ascii="Calibri" w:eastAsia="Calibri" w:hAnsi="Calibri" w:cs="Times New Roman"/>
        </w:rPr>
      </w:pPr>
      <w:r>
        <w:rPr>
          <w:rFonts w:ascii="Calibri" w:eastAsia="Calibri" w:hAnsi="Calibri" w:cs="Times New Roman"/>
        </w:rPr>
        <w:t xml:space="preserve">II. </w:t>
      </w:r>
      <w:r w:rsidRPr="00BD2801">
        <w:rPr>
          <w:rFonts w:ascii="Calibri" w:eastAsia="Calibri" w:hAnsi="Calibri" w:cs="Times New Roman"/>
        </w:rPr>
        <w:t>S</w:t>
      </w:r>
      <w:r w:rsidRPr="00171748">
        <w:rPr>
          <w:rFonts w:ascii="Calibri" w:eastAsia="Calibri" w:hAnsi="Calibri" w:cs="Times New Roman"/>
        </w:rPr>
        <w:t>aneamiento financiero a través de la amortización de la deuda pública</w:t>
      </w:r>
      <w:r w:rsidR="00F87642">
        <w:rPr>
          <w:rFonts w:ascii="Calibri" w:eastAsia="Calibri" w:hAnsi="Calibri" w:cs="Times New Roman"/>
        </w:rPr>
        <w:t>,</w:t>
      </w:r>
      <w:r w:rsidRPr="00171748">
        <w:rPr>
          <w:rFonts w:ascii="Calibri" w:eastAsia="Calibri" w:hAnsi="Calibri" w:cs="Times New Roman"/>
        </w:rPr>
        <w:t xml:space="preserve"> por 250.77 mdp (24.35%); </w:t>
      </w:r>
    </w:p>
    <w:p w14:paraId="409A6C27" w14:textId="4FF38130" w:rsidR="00BD2801" w:rsidRDefault="00BD2801" w:rsidP="000F3860">
      <w:pPr>
        <w:pStyle w:val="Prrafodelista"/>
        <w:numPr>
          <w:ilvl w:val="0"/>
          <w:numId w:val="60"/>
        </w:numPr>
        <w:ind w:left="568" w:hanging="284"/>
        <w:contextualSpacing w:val="0"/>
        <w:rPr>
          <w:rFonts w:ascii="Calibri" w:eastAsia="Calibri" w:hAnsi="Calibri" w:cs="Times New Roman"/>
        </w:rPr>
      </w:pPr>
      <w:r>
        <w:rPr>
          <w:rFonts w:ascii="Calibri" w:eastAsia="Calibri" w:hAnsi="Calibri" w:cs="Times New Roman"/>
        </w:rPr>
        <w:t xml:space="preserve">IV. </w:t>
      </w:r>
      <w:r w:rsidRPr="00BD2801">
        <w:rPr>
          <w:rFonts w:ascii="Calibri" w:eastAsia="Calibri" w:hAnsi="Calibri" w:cs="Times New Roman"/>
        </w:rPr>
        <w:t xml:space="preserve">Modernización de los registros públicos de la propiedad y del comercio </w:t>
      </w:r>
      <w:r w:rsidR="00F87642" w:rsidRPr="00BD2801">
        <w:rPr>
          <w:rFonts w:ascii="Calibri" w:eastAsia="Calibri" w:hAnsi="Calibri" w:cs="Times New Roman"/>
        </w:rPr>
        <w:t>locales</w:t>
      </w:r>
      <w:r w:rsidR="00F87642">
        <w:rPr>
          <w:rFonts w:ascii="Calibri" w:eastAsia="Calibri" w:hAnsi="Calibri" w:cs="Times New Roman"/>
        </w:rPr>
        <w:t xml:space="preserve">, </w:t>
      </w:r>
      <w:r w:rsidR="00F87642" w:rsidRPr="00BD2801">
        <w:rPr>
          <w:rFonts w:ascii="Calibri" w:eastAsia="Calibri" w:hAnsi="Calibri" w:cs="Times New Roman"/>
        </w:rPr>
        <w:t>9.97</w:t>
      </w:r>
      <w:r w:rsidRPr="00BD2801">
        <w:rPr>
          <w:rFonts w:ascii="Calibri" w:eastAsia="Calibri" w:hAnsi="Calibri" w:cs="Times New Roman"/>
        </w:rPr>
        <w:t xml:space="preserve"> mdp (0.97%) y;</w:t>
      </w:r>
    </w:p>
    <w:p w14:paraId="7F33F69F" w14:textId="378870CB" w:rsidR="00BD2801" w:rsidRPr="005E1463" w:rsidRDefault="00BD2801" w:rsidP="000F3860">
      <w:pPr>
        <w:pStyle w:val="Prrafodelista"/>
        <w:numPr>
          <w:ilvl w:val="0"/>
          <w:numId w:val="60"/>
        </w:numPr>
        <w:ind w:left="568" w:hanging="284"/>
        <w:contextualSpacing w:val="0"/>
        <w:rPr>
          <w:rFonts w:ascii="Calibri" w:eastAsia="Calibri" w:hAnsi="Calibri" w:cs="Times New Roman"/>
        </w:rPr>
      </w:pPr>
      <w:r>
        <w:rPr>
          <w:rFonts w:ascii="Calibri" w:eastAsia="Calibri" w:hAnsi="Calibri" w:cs="Times New Roman"/>
        </w:rPr>
        <w:t xml:space="preserve">VIII. </w:t>
      </w:r>
      <w:r w:rsidRPr="00BD2801">
        <w:rPr>
          <w:rFonts w:ascii="Calibri" w:eastAsia="Calibri" w:hAnsi="Calibri" w:cs="Times New Roman"/>
        </w:rPr>
        <w:t>P</w:t>
      </w:r>
      <w:r w:rsidRPr="00171748">
        <w:rPr>
          <w:rFonts w:ascii="Calibri" w:eastAsia="Calibri" w:hAnsi="Calibri" w:cs="Times New Roman"/>
        </w:rPr>
        <w:t xml:space="preserve">ara apoyar la educación </w:t>
      </w:r>
      <w:r w:rsidR="00F87642" w:rsidRPr="00171748">
        <w:rPr>
          <w:rFonts w:ascii="Calibri" w:eastAsia="Calibri" w:hAnsi="Calibri" w:cs="Times New Roman"/>
        </w:rPr>
        <w:t>pública,</w:t>
      </w:r>
      <w:r w:rsidR="00F87642">
        <w:rPr>
          <w:rFonts w:ascii="Calibri" w:eastAsia="Calibri" w:hAnsi="Calibri" w:cs="Times New Roman"/>
        </w:rPr>
        <w:t xml:space="preserve"> </w:t>
      </w:r>
      <w:r w:rsidRPr="00171748">
        <w:rPr>
          <w:rFonts w:ascii="Calibri" w:eastAsia="Calibri" w:hAnsi="Calibri" w:cs="Times New Roman"/>
        </w:rPr>
        <w:t>97 mdp (9.42 %)</w:t>
      </w:r>
      <w:r w:rsidRPr="00BD2801">
        <w:rPr>
          <w:rFonts w:ascii="Calibri" w:eastAsia="Calibri" w:hAnsi="Calibri" w:cs="Times New Roman"/>
        </w:rPr>
        <w:t>.</w:t>
      </w:r>
      <w:r w:rsidRPr="005E1463">
        <w:rPr>
          <w:rFonts w:ascii="Calibri" w:eastAsia="Calibri" w:hAnsi="Calibri" w:cs="Times New Roman"/>
        </w:rPr>
        <w:t xml:space="preserve"> </w:t>
      </w:r>
    </w:p>
    <w:p w14:paraId="07892588" w14:textId="085BE0E9" w:rsidR="00BD2801" w:rsidRDefault="00BD2801" w:rsidP="00BD2801">
      <w:pPr>
        <w:rPr>
          <w:rFonts w:ascii="Calibri" w:eastAsia="Calibri" w:hAnsi="Calibri" w:cs="Times New Roman"/>
        </w:rPr>
      </w:pPr>
      <w:r w:rsidRPr="00C30BCF">
        <w:rPr>
          <w:rFonts w:ascii="Calibri" w:eastAsia="Calibri" w:hAnsi="Calibri" w:cs="Times New Roman"/>
        </w:rPr>
        <w:t>Para ejercer los recursos del FAFEF en el 2018</w:t>
      </w:r>
      <w:r w:rsidR="00AC117F">
        <w:rPr>
          <w:rFonts w:ascii="Calibri" w:eastAsia="Calibri" w:hAnsi="Calibri" w:cs="Times New Roman"/>
        </w:rPr>
        <w:t>,</w:t>
      </w:r>
      <w:r w:rsidRPr="00C30BCF">
        <w:rPr>
          <w:rFonts w:ascii="Calibri" w:eastAsia="Calibri" w:hAnsi="Calibri" w:cs="Times New Roman"/>
        </w:rPr>
        <w:t xml:space="preserve"> el </w:t>
      </w:r>
      <w:r w:rsidR="00AC117F">
        <w:rPr>
          <w:rFonts w:ascii="Calibri" w:eastAsia="Calibri" w:hAnsi="Calibri" w:cs="Times New Roman"/>
        </w:rPr>
        <w:t>E</w:t>
      </w:r>
      <w:r w:rsidRPr="00C30BCF">
        <w:rPr>
          <w:rFonts w:ascii="Calibri" w:eastAsia="Calibri" w:hAnsi="Calibri" w:cs="Times New Roman"/>
        </w:rPr>
        <w:t>stado de Hidalgo se apoyó en diversos programas presupuestarios (Pp) de su estructura programática</w:t>
      </w:r>
      <w:r w:rsidR="00A86C7F">
        <w:rPr>
          <w:rFonts w:ascii="Calibri" w:eastAsia="Calibri" w:hAnsi="Calibri" w:cs="Times New Roman"/>
        </w:rPr>
        <w:t xml:space="preserve"> (Cuadro 2)</w:t>
      </w:r>
      <w:r w:rsidRPr="00C30BCF">
        <w:rPr>
          <w:rFonts w:ascii="Calibri" w:eastAsia="Calibri" w:hAnsi="Calibri" w:cs="Times New Roman"/>
        </w:rPr>
        <w:t xml:space="preserve">. </w:t>
      </w:r>
    </w:p>
    <w:p w14:paraId="337177F2" w14:textId="0F57F3D4" w:rsidR="00BD2801" w:rsidRDefault="00BD2801" w:rsidP="00BD2801">
      <w:pPr>
        <w:rPr>
          <w:rFonts w:ascii="Calibri" w:eastAsia="Calibri" w:hAnsi="Calibri" w:cs="Times New Roman"/>
        </w:rPr>
      </w:pPr>
      <w:r w:rsidRPr="00C30BCF">
        <w:rPr>
          <w:rFonts w:ascii="Calibri" w:eastAsia="Calibri" w:hAnsi="Calibri" w:cs="Times New Roman"/>
        </w:rPr>
        <w:t>En el rubro de saneamiento financiero se destinaron recursos al programa “D02</w:t>
      </w:r>
      <w:r w:rsidR="001045ED">
        <w:rPr>
          <w:rFonts w:ascii="Calibri" w:eastAsia="Calibri" w:hAnsi="Calibri" w:cs="Times New Roman"/>
        </w:rPr>
        <w:t>-d</w:t>
      </w:r>
      <w:r w:rsidRPr="00C30BCF">
        <w:rPr>
          <w:rFonts w:ascii="Calibri" w:eastAsia="Calibri" w:hAnsi="Calibri" w:cs="Times New Roman"/>
        </w:rPr>
        <w:t xml:space="preserve">euda”. De los 250.7 mdp aplicados en </w:t>
      </w:r>
      <w:r>
        <w:rPr>
          <w:rFonts w:ascii="Calibri" w:eastAsia="Calibri" w:hAnsi="Calibri" w:cs="Times New Roman"/>
        </w:rPr>
        <w:t>este rubro</w:t>
      </w:r>
      <w:r w:rsidRPr="00C30BCF">
        <w:rPr>
          <w:rFonts w:ascii="Calibri" w:eastAsia="Calibri" w:hAnsi="Calibri" w:cs="Times New Roman"/>
        </w:rPr>
        <w:t xml:space="preserve"> el 40.5% se destinó para la amortización de capital, que contribuyó en un 20.5% a la disminución de los contratos de deuda pública que se pagaron con FAFEF 2018 y el 59.5% se destinó al pago de intereses generados por los mismos contratos de deuda.</w:t>
      </w:r>
    </w:p>
    <w:p w14:paraId="0BEACFF5" w14:textId="30116877" w:rsidR="00D223C7" w:rsidRPr="00B873E7" w:rsidRDefault="00BD2801" w:rsidP="00BD2801">
      <w:pPr>
        <w:rPr>
          <w:rFonts w:ascii="Calibri" w:eastAsia="Calibri" w:hAnsi="Calibri" w:cs="Times New Roman"/>
        </w:rPr>
      </w:pPr>
      <w:r w:rsidRPr="005E1463">
        <w:rPr>
          <w:rFonts w:ascii="Calibri" w:eastAsia="Calibri" w:hAnsi="Calibri" w:cs="Times New Roman"/>
        </w:rPr>
        <w:t xml:space="preserve">En lo concerniente al rubro de inversión en infraestructura física los recursos fueron destinados al financiamiento de 14 programas de infraestructura entre los que se pueden destacar: </w:t>
      </w:r>
      <w:r w:rsidR="00ED09A5" w:rsidRPr="000F3860">
        <w:rPr>
          <w:rFonts w:ascii="Calibri" w:eastAsia="Calibri" w:hAnsi="Calibri" w:cs="Times New Roman"/>
        </w:rPr>
        <w:t>K02-Infraestructura de Comunicaciones</w:t>
      </w:r>
      <w:r w:rsidR="00ED09A5" w:rsidRPr="00ED09A5">
        <w:rPr>
          <w:rFonts w:ascii="Calibri" w:eastAsia="Calibri" w:hAnsi="Calibri" w:cs="Times New Roman"/>
        </w:rPr>
        <w:t xml:space="preserve"> </w:t>
      </w:r>
      <w:r w:rsidR="00ED09A5">
        <w:rPr>
          <w:rFonts w:ascii="Calibri" w:eastAsia="Calibri" w:hAnsi="Calibri" w:cs="Times New Roman"/>
        </w:rPr>
        <w:t xml:space="preserve">, </w:t>
      </w:r>
      <w:r w:rsidR="00ED09A5" w:rsidRPr="000F3860">
        <w:rPr>
          <w:rFonts w:ascii="Calibri" w:eastAsia="Calibri" w:hAnsi="Calibri" w:cs="Times New Roman"/>
        </w:rPr>
        <w:t>K18-Inversión en Desarrollo Social</w:t>
      </w:r>
      <w:r w:rsidR="00ED09A5">
        <w:rPr>
          <w:rFonts w:ascii="Calibri" w:eastAsia="Calibri" w:hAnsi="Calibri" w:cs="Times New Roman"/>
        </w:rPr>
        <w:t xml:space="preserve">, </w:t>
      </w:r>
      <w:r w:rsidR="00ED09A5" w:rsidRPr="000F3860">
        <w:rPr>
          <w:rFonts w:ascii="Calibri" w:eastAsia="Calibri" w:hAnsi="Calibri" w:cs="Times New Roman"/>
        </w:rPr>
        <w:t>K22-Atención a Adultos Mayores</w:t>
      </w:r>
      <w:r w:rsidR="00ED09A5">
        <w:rPr>
          <w:rFonts w:ascii="Calibri" w:eastAsia="Calibri" w:hAnsi="Calibri" w:cs="Times New Roman"/>
        </w:rPr>
        <w:t xml:space="preserve">, </w:t>
      </w:r>
      <w:r w:rsidRPr="005E1463">
        <w:rPr>
          <w:rFonts w:ascii="Calibri" w:eastAsia="Calibri" w:hAnsi="Calibri" w:cs="Times New Roman"/>
        </w:rPr>
        <w:t xml:space="preserve">K24-inversión en obras públicas, </w:t>
      </w:r>
      <w:r w:rsidR="00ED09A5" w:rsidRPr="00FE3889">
        <w:rPr>
          <w:rFonts w:ascii="Calibri" w:eastAsia="Calibri" w:hAnsi="Calibri" w:cs="Times New Roman"/>
        </w:rPr>
        <w:t>K25-</w:t>
      </w:r>
      <w:r w:rsidR="000F3860">
        <w:rPr>
          <w:rFonts w:ascii="Calibri" w:eastAsia="Calibri" w:hAnsi="Calibri" w:cs="Times New Roman"/>
        </w:rPr>
        <w:t>A</w:t>
      </w:r>
      <w:r w:rsidR="00ED09A5" w:rsidRPr="00FE3889">
        <w:rPr>
          <w:rFonts w:ascii="Calibri" w:eastAsia="Calibri" w:hAnsi="Calibri" w:cs="Times New Roman"/>
        </w:rPr>
        <w:t>gua drenaje y saneamiento,</w:t>
      </w:r>
      <w:r w:rsidR="00ED09A5" w:rsidRPr="000F3860">
        <w:rPr>
          <w:rFonts w:ascii="Calibri" w:eastAsia="Calibri" w:hAnsi="Calibri" w:cs="Times New Roman"/>
        </w:rPr>
        <w:t xml:space="preserve"> K31-Programas Hidroagrícolas</w:t>
      </w:r>
      <w:r w:rsidR="00ED09A5">
        <w:rPr>
          <w:rFonts w:ascii="Calibri" w:eastAsia="Calibri" w:hAnsi="Calibri" w:cs="Times New Roman"/>
        </w:rPr>
        <w:t xml:space="preserve">, </w:t>
      </w:r>
      <w:r w:rsidR="00ED09A5" w:rsidRPr="000F3860">
        <w:rPr>
          <w:rFonts w:ascii="Calibri" w:eastAsia="Calibri" w:hAnsi="Calibri" w:cs="Times New Roman"/>
        </w:rPr>
        <w:t>K32-Inversión en Turismo</w:t>
      </w:r>
      <w:r w:rsidR="0051243A">
        <w:rPr>
          <w:rFonts w:ascii="Calibri" w:eastAsia="Calibri" w:hAnsi="Calibri" w:cs="Times New Roman"/>
        </w:rPr>
        <w:t>,</w:t>
      </w:r>
      <w:r w:rsidR="0051243A" w:rsidRPr="000F3860">
        <w:rPr>
          <w:rFonts w:ascii="Calibri" w:eastAsia="Calibri" w:hAnsi="Calibri" w:cs="Times New Roman"/>
        </w:rPr>
        <w:t xml:space="preserve"> </w:t>
      </w:r>
      <w:r w:rsidR="0051243A" w:rsidRPr="0051243A">
        <w:rPr>
          <w:rFonts w:ascii="Calibri" w:eastAsia="Calibri" w:hAnsi="Calibri" w:cs="Times New Roman"/>
        </w:rPr>
        <w:t>K33-Desarrollo de Pueblos Mágicos</w:t>
      </w:r>
      <w:r w:rsidR="0051243A">
        <w:rPr>
          <w:rFonts w:ascii="Calibri" w:eastAsia="Calibri" w:hAnsi="Calibri" w:cs="Times New Roman"/>
        </w:rPr>
        <w:t xml:space="preserve">, </w:t>
      </w:r>
      <w:r w:rsidRPr="005E1463">
        <w:rPr>
          <w:rFonts w:ascii="Calibri" w:eastAsia="Calibri" w:hAnsi="Calibri" w:cs="Times New Roman"/>
        </w:rPr>
        <w:t>K36-infraestructura en educación,</w:t>
      </w:r>
      <w:r w:rsidR="0051243A" w:rsidRPr="000F3860">
        <w:rPr>
          <w:rFonts w:ascii="Calibri" w:eastAsia="Calibri" w:hAnsi="Calibri" w:cs="Times New Roman"/>
        </w:rPr>
        <w:t xml:space="preserve"> </w:t>
      </w:r>
      <w:r w:rsidR="0051243A" w:rsidRPr="0051243A">
        <w:rPr>
          <w:rFonts w:ascii="Calibri" w:eastAsia="Calibri" w:hAnsi="Calibri" w:cs="Times New Roman"/>
        </w:rPr>
        <w:t>K43-Infraestructura para Pueblos Indígenas</w:t>
      </w:r>
      <w:r w:rsidR="0051243A">
        <w:rPr>
          <w:rFonts w:ascii="Calibri" w:eastAsia="Calibri" w:hAnsi="Calibri" w:cs="Times New Roman"/>
        </w:rPr>
        <w:t xml:space="preserve">, </w:t>
      </w:r>
      <w:r w:rsidR="0051243A" w:rsidRPr="0051243A">
        <w:rPr>
          <w:rFonts w:ascii="Calibri" w:eastAsia="Calibri" w:hAnsi="Calibri" w:cs="Times New Roman"/>
        </w:rPr>
        <w:t>K44-Inversión en Medio Ambiente y Recursos Naturales</w:t>
      </w:r>
      <w:r w:rsidR="0051243A">
        <w:rPr>
          <w:rFonts w:ascii="Calibri" w:eastAsia="Calibri" w:hAnsi="Calibri" w:cs="Times New Roman"/>
        </w:rPr>
        <w:t xml:space="preserve">, </w:t>
      </w:r>
      <w:r w:rsidRPr="005E1463">
        <w:rPr>
          <w:rFonts w:ascii="Calibri" w:eastAsia="Calibri" w:hAnsi="Calibri" w:cs="Times New Roman"/>
        </w:rPr>
        <w:t>K49-inversión en salud,</w:t>
      </w:r>
      <w:r w:rsidR="0051243A">
        <w:rPr>
          <w:rFonts w:ascii="Calibri" w:eastAsia="Calibri" w:hAnsi="Calibri" w:cs="Times New Roman"/>
        </w:rPr>
        <w:t xml:space="preserve"> y</w:t>
      </w:r>
      <w:r w:rsidRPr="005E1463">
        <w:rPr>
          <w:rFonts w:ascii="Calibri" w:eastAsia="Calibri" w:hAnsi="Calibri" w:cs="Times New Roman"/>
        </w:rPr>
        <w:t xml:space="preserve"> </w:t>
      </w:r>
      <w:r w:rsidR="0051243A" w:rsidRPr="000F3860">
        <w:rPr>
          <w:rFonts w:ascii="Calibri" w:eastAsia="Calibri" w:hAnsi="Calibri" w:cs="Times New Roman"/>
        </w:rPr>
        <w:t>K52-Fomento a Nuevas Inversiones Locales, Nacionales y Extranjeras</w:t>
      </w:r>
      <w:r w:rsidRPr="005E1463">
        <w:rPr>
          <w:rFonts w:ascii="Calibri" w:eastAsia="Calibri" w:hAnsi="Calibri" w:cs="Times New Roman"/>
        </w:rPr>
        <w:t>. Asimismo, mediante el programa K53 se ejecutaron distintos proyectos mediante la transferencia de recursos a los municipios.</w:t>
      </w:r>
      <w:r w:rsidRPr="000A7C58">
        <w:rPr>
          <w:rFonts w:ascii="Calibri" w:eastAsia="Calibri" w:hAnsi="Calibri" w:cs="Times New Roman"/>
        </w:rPr>
        <w:t xml:space="preserve"> </w:t>
      </w:r>
      <w:r w:rsidRPr="00B873E7">
        <w:rPr>
          <w:rFonts w:ascii="Calibri" w:eastAsia="Calibri" w:hAnsi="Calibri" w:cs="Times New Roman"/>
        </w:rPr>
        <w:t>En est</w:t>
      </w:r>
      <w:r w:rsidRPr="00BD2801">
        <w:rPr>
          <w:rFonts w:ascii="Calibri" w:eastAsia="Calibri" w:hAnsi="Calibri" w:cs="Times New Roman"/>
        </w:rPr>
        <w:t xml:space="preserve">e rubro, los recursos del Fondo fueron utilizados para atender los temas de </w:t>
      </w:r>
      <w:r w:rsidRPr="00BD2801">
        <w:rPr>
          <w:rFonts w:ascii="Calibri" w:eastAsia="Calibri" w:hAnsi="Calibri" w:cs="Times New Roman"/>
        </w:rPr>
        <w:lastRenderedPageBreak/>
        <w:t>agua y alcantarillado, infraestructura hidroagrícola, comunicaciones, conservación de carreteras estatales, desarrollo de infraestructura turística, estudios y proyectos, obras públicas, infraestructura física educativa, infraestructura de salud y desarrollo social y humano, entre otros.</w:t>
      </w:r>
      <w:r w:rsidR="00D223C7">
        <w:rPr>
          <w:rFonts w:ascii="Calibri" w:eastAsia="Calibri" w:hAnsi="Calibri" w:cs="Times New Roman"/>
        </w:rPr>
        <w:t xml:space="preserve"> La ejecución de los recursos es responsabilidad de diferentes dependencias del gobierno estatal</w:t>
      </w:r>
      <w:r w:rsidR="001045ED">
        <w:rPr>
          <w:rFonts w:ascii="Calibri" w:eastAsia="Calibri" w:hAnsi="Calibri" w:cs="Times New Roman"/>
        </w:rPr>
        <w:t>,</w:t>
      </w:r>
      <w:r w:rsidR="00D223C7">
        <w:rPr>
          <w:rFonts w:ascii="Calibri" w:eastAsia="Calibri" w:hAnsi="Calibri" w:cs="Times New Roman"/>
        </w:rPr>
        <w:t xml:space="preserve"> tales como: </w:t>
      </w:r>
      <w:r w:rsidR="00D223C7" w:rsidRPr="005E1463">
        <w:rPr>
          <w:rFonts w:ascii="Calibri" w:eastAsia="Calibri" w:hAnsi="Calibri" w:cs="Times New Roman"/>
        </w:rPr>
        <w:t>Secretaría de Obras Públicas y Ordenamiento Territorial (SOPOT), Secretaría de Desarrollo Social (SEDESO), Instituto para la Atención de las y los Adultos Mayores del Estado de Hidalgo (IAAMEH), Dirección General de Agricultura e Infraestructura Hidroagrícola, Secretaría de Turismo</w:t>
      </w:r>
      <w:r w:rsidR="006E7778" w:rsidRPr="005E1463">
        <w:rPr>
          <w:rFonts w:ascii="Calibri" w:eastAsia="Calibri" w:hAnsi="Calibri" w:cs="Times New Roman"/>
        </w:rPr>
        <w:t xml:space="preserve"> (SECTURH)</w:t>
      </w:r>
      <w:r w:rsidR="00D223C7" w:rsidRPr="005E1463">
        <w:rPr>
          <w:rFonts w:ascii="Calibri" w:eastAsia="Calibri" w:hAnsi="Calibri" w:cs="Times New Roman"/>
        </w:rPr>
        <w:t>, Secretaría de Educación Pública</w:t>
      </w:r>
      <w:r w:rsidR="006E7778" w:rsidRPr="005E1463">
        <w:rPr>
          <w:rFonts w:ascii="Calibri" w:eastAsia="Calibri" w:hAnsi="Calibri" w:cs="Times New Roman"/>
        </w:rPr>
        <w:t xml:space="preserve"> (SEPH)</w:t>
      </w:r>
      <w:r w:rsidR="00D223C7" w:rsidRPr="005E1463">
        <w:rPr>
          <w:rFonts w:ascii="Calibri" w:eastAsia="Calibri" w:hAnsi="Calibri" w:cs="Times New Roman"/>
        </w:rPr>
        <w:t>, Comisión Estatal para el Desarrollo Sostenible de los Pueblos Indígenas, Secretaría del Medio Ambiente y Recursos Naturales</w:t>
      </w:r>
      <w:r w:rsidR="006E7778" w:rsidRPr="005E1463">
        <w:rPr>
          <w:rFonts w:ascii="Calibri" w:eastAsia="Calibri" w:hAnsi="Calibri" w:cs="Times New Roman"/>
        </w:rPr>
        <w:t xml:space="preserve"> (SEMARNATH)</w:t>
      </w:r>
      <w:r w:rsidR="009A7620">
        <w:rPr>
          <w:rFonts w:ascii="Calibri" w:eastAsia="Calibri" w:hAnsi="Calibri" w:cs="Times New Roman"/>
        </w:rPr>
        <w:t>, Secretaría de Salud de Hidalgo (SSH), Secretaría de Desarrollo Económico (SEDECOH)</w:t>
      </w:r>
      <w:r w:rsidR="006E7778" w:rsidRPr="005E1463">
        <w:rPr>
          <w:rFonts w:ascii="Calibri" w:eastAsia="Calibri" w:hAnsi="Calibri" w:cs="Times New Roman"/>
        </w:rPr>
        <w:t xml:space="preserve"> </w:t>
      </w:r>
      <w:r w:rsidR="00D223C7" w:rsidRPr="005E1463">
        <w:rPr>
          <w:rFonts w:ascii="Calibri" w:eastAsia="Calibri" w:hAnsi="Calibri" w:cs="Times New Roman"/>
        </w:rPr>
        <w:t xml:space="preserve">y </w:t>
      </w:r>
      <w:r w:rsidR="009A7620">
        <w:rPr>
          <w:rFonts w:ascii="Calibri" w:eastAsia="Calibri" w:hAnsi="Calibri" w:cs="Times New Roman"/>
        </w:rPr>
        <w:t xml:space="preserve">a </w:t>
      </w:r>
      <w:r w:rsidR="00D223C7" w:rsidRPr="005E1463">
        <w:rPr>
          <w:rFonts w:ascii="Calibri" w:eastAsia="Calibri" w:hAnsi="Calibri" w:cs="Times New Roman"/>
        </w:rPr>
        <w:t>diferentes municipios.</w:t>
      </w:r>
      <w:r w:rsidR="00D223C7" w:rsidRPr="000F3860">
        <w:rPr>
          <w:rFonts w:ascii="Calibri" w:eastAsia="Calibri" w:hAnsi="Calibri" w:cs="Times New Roman"/>
        </w:rPr>
        <w:t xml:space="preserve"> </w:t>
      </w:r>
    </w:p>
    <w:p w14:paraId="384395A8" w14:textId="26E171AD" w:rsidR="00BD2801" w:rsidRPr="00B873E7" w:rsidRDefault="00BD2801" w:rsidP="00BD2801">
      <w:pPr>
        <w:rPr>
          <w:rFonts w:ascii="Calibri" w:eastAsia="Calibri" w:hAnsi="Calibri" w:cs="Times New Roman"/>
        </w:rPr>
      </w:pPr>
      <w:r w:rsidRPr="005E1463">
        <w:rPr>
          <w:rFonts w:ascii="Calibri" w:eastAsia="Calibri" w:hAnsi="Calibri" w:cs="Times New Roman"/>
        </w:rPr>
        <w:t xml:space="preserve">Respecto al rubro de modernización de los registros públicos de la propiedad y del comercio locales, el recurso fue ejercido por el Instituto de la Función Registral </w:t>
      </w:r>
      <w:r w:rsidR="002057C9">
        <w:rPr>
          <w:rFonts w:ascii="Calibri" w:eastAsia="Calibri" w:hAnsi="Calibri" w:cs="Times New Roman"/>
        </w:rPr>
        <w:t xml:space="preserve">de la Secretaría de Gobierno </w:t>
      </w:r>
      <w:r w:rsidRPr="005E1463">
        <w:rPr>
          <w:rFonts w:ascii="Calibri" w:eastAsia="Calibri" w:hAnsi="Calibri" w:cs="Times New Roman"/>
        </w:rPr>
        <w:t>a través del Pp K1</w:t>
      </w:r>
      <w:r w:rsidR="007A442D">
        <w:rPr>
          <w:rFonts w:ascii="Calibri" w:eastAsia="Calibri" w:hAnsi="Calibri" w:cs="Times New Roman"/>
        </w:rPr>
        <w:t>-</w:t>
      </w:r>
      <w:r w:rsidR="001045ED">
        <w:rPr>
          <w:rFonts w:ascii="Calibri" w:eastAsia="Calibri" w:hAnsi="Calibri" w:cs="Times New Roman"/>
        </w:rPr>
        <w:t>i</w:t>
      </w:r>
      <w:r w:rsidRPr="005E1463">
        <w:rPr>
          <w:rFonts w:ascii="Calibri" w:eastAsia="Calibri" w:hAnsi="Calibri" w:cs="Times New Roman"/>
        </w:rPr>
        <w:t>nversión para el Fortalecimiento de la Gobernabilidad Democrática y Gobernanza y destinado para 1) Adquisición, instalación, reparación y mantenimiento de equipo de cómputo y tecnología de la información; y 2) Servicios de apoyo administrativo, traducción, fotocopiado e impresión</w:t>
      </w:r>
      <w:r w:rsidRPr="000A7C58">
        <w:rPr>
          <w:rFonts w:ascii="Calibri" w:eastAsia="Calibri" w:hAnsi="Calibri" w:cs="Times New Roman"/>
        </w:rPr>
        <w:t xml:space="preserve">. </w:t>
      </w:r>
    </w:p>
    <w:p w14:paraId="13D1234D" w14:textId="7E638BE0" w:rsidR="00BD2801" w:rsidRPr="00C30BCF" w:rsidRDefault="00BD2801" w:rsidP="00BD2801">
      <w:pPr>
        <w:rPr>
          <w:rFonts w:ascii="Calibri" w:eastAsia="Calibri" w:hAnsi="Calibri" w:cs="Times New Roman"/>
        </w:rPr>
      </w:pPr>
      <w:r w:rsidRPr="005E1463">
        <w:rPr>
          <w:rFonts w:ascii="Calibri" w:eastAsia="Calibri" w:hAnsi="Calibri" w:cs="Times New Roman"/>
        </w:rPr>
        <w:t>En relación con el monto destinado a apoyar la educación pública los recursos fueron ejercidos por la Secretaría de Educación Pública en la entidad y destinados para la entrega de becas a través del Pp K35</w:t>
      </w:r>
      <w:r w:rsidR="007A442D">
        <w:rPr>
          <w:rFonts w:ascii="Calibri" w:eastAsia="Calibri" w:hAnsi="Calibri" w:cs="Times New Roman"/>
        </w:rPr>
        <w:t>-b</w:t>
      </w:r>
      <w:r w:rsidRPr="005E1463">
        <w:rPr>
          <w:rFonts w:ascii="Calibri" w:eastAsia="Calibri" w:hAnsi="Calibri" w:cs="Times New Roman"/>
        </w:rPr>
        <w:t xml:space="preserve">ecas para la educación. </w:t>
      </w:r>
    </w:p>
    <w:p w14:paraId="66C46789" w14:textId="38D971A9" w:rsidR="00B95F30" w:rsidRDefault="00B95F30" w:rsidP="000A1656">
      <w:pPr>
        <w:pStyle w:val="Cuadro"/>
        <w:keepNext/>
      </w:pPr>
      <w:bookmarkStart w:id="13" w:name="_Toc56741055"/>
      <w:r w:rsidRPr="00863D78">
        <w:t>Cuadro</w:t>
      </w:r>
      <w:r>
        <w:t xml:space="preserve"> </w:t>
      </w:r>
      <w:r w:rsidR="005932A9">
        <w:t>2</w:t>
      </w:r>
      <w:r>
        <w:t>. Asignación del FAFEF en 2018 por rubro de gasto</w:t>
      </w:r>
      <w:r w:rsidR="003C632C">
        <w:t xml:space="preserve"> y</w:t>
      </w:r>
      <w:r>
        <w:t xml:space="preserve"> programa</w:t>
      </w:r>
      <w:r w:rsidR="003C632C">
        <w:t>s en</w:t>
      </w:r>
      <w:r>
        <w:t xml:space="preserve"> el Estado de Hidalgo</w:t>
      </w:r>
      <w:bookmarkEnd w:id="13"/>
    </w:p>
    <w:tbl>
      <w:tblPr>
        <w:tblW w:w="49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42"/>
        <w:gridCol w:w="3370"/>
        <w:gridCol w:w="2922"/>
        <w:gridCol w:w="1336"/>
      </w:tblGrid>
      <w:tr w:rsidR="00F87642" w:rsidRPr="0051243A" w14:paraId="58426CEE" w14:textId="77777777" w:rsidTr="000F3860">
        <w:trPr>
          <w:trHeight w:val="323"/>
          <w:tblHeader/>
        </w:trPr>
        <w:tc>
          <w:tcPr>
            <w:tcW w:w="1136" w:type="pct"/>
            <w:shd w:val="clear" w:color="auto" w:fill="9CC2E5"/>
            <w:vAlign w:val="center"/>
            <w:hideMark/>
          </w:tcPr>
          <w:p w14:paraId="7EDDC048" w14:textId="77777777" w:rsidR="00D50578" w:rsidRPr="000F3860" w:rsidRDefault="00D50578" w:rsidP="0051243A">
            <w:pPr>
              <w:spacing w:before="0" w:after="0"/>
              <w:jc w:val="center"/>
              <w:rPr>
                <w:rFonts w:eastAsia="Times New Roman" w:cstheme="minorHAnsi"/>
                <w:b/>
                <w:bCs/>
                <w:color w:val="000000"/>
                <w:sz w:val="20"/>
                <w:szCs w:val="20"/>
                <w:lang w:eastAsia="es-MX"/>
              </w:rPr>
            </w:pPr>
            <w:r w:rsidRPr="000F3860">
              <w:rPr>
                <w:rFonts w:eastAsia="Times New Roman" w:cstheme="minorHAnsi"/>
                <w:b/>
                <w:bCs/>
                <w:color w:val="000000"/>
                <w:sz w:val="20"/>
                <w:szCs w:val="20"/>
                <w:lang w:eastAsia="es-MX"/>
              </w:rPr>
              <w:t>Rubro de gasto</w:t>
            </w:r>
          </w:p>
        </w:tc>
        <w:tc>
          <w:tcPr>
            <w:tcW w:w="1707" w:type="pct"/>
            <w:shd w:val="clear" w:color="auto" w:fill="9CC2E5"/>
            <w:vAlign w:val="center"/>
          </w:tcPr>
          <w:p w14:paraId="524E24AB" w14:textId="7DC30833" w:rsidR="00D50578" w:rsidRPr="000F3860" w:rsidRDefault="00D50578" w:rsidP="0051243A">
            <w:pPr>
              <w:spacing w:before="0" w:after="0"/>
              <w:jc w:val="center"/>
              <w:rPr>
                <w:rFonts w:eastAsia="Times New Roman" w:cstheme="minorHAnsi"/>
                <w:b/>
                <w:bCs/>
                <w:color w:val="000000"/>
                <w:sz w:val="20"/>
                <w:szCs w:val="20"/>
                <w:lang w:eastAsia="es-MX"/>
              </w:rPr>
            </w:pPr>
            <w:r w:rsidRPr="000F3860">
              <w:rPr>
                <w:rFonts w:eastAsia="Times New Roman" w:cstheme="minorHAnsi"/>
                <w:b/>
                <w:bCs/>
                <w:color w:val="000000"/>
                <w:sz w:val="20"/>
                <w:szCs w:val="20"/>
                <w:lang w:eastAsia="es-MX"/>
              </w:rPr>
              <w:t>Unidad ejecutora</w:t>
            </w:r>
          </w:p>
        </w:tc>
        <w:tc>
          <w:tcPr>
            <w:tcW w:w="1480" w:type="pct"/>
            <w:shd w:val="clear" w:color="auto" w:fill="9CC2E5"/>
            <w:vAlign w:val="center"/>
            <w:hideMark/>
          </w:tcPr>
          <w:p w14:paraId="0F03CCD3" w14:textId="15FB3E98" w:rsidR="00D50578" w:rsidRPr="000F3860" w:rsidRDefault="00D50578" w:rsidP="0051243A">
            <w:pPr>
              <w:spacing w:before="0" w:after="0"/>
              <w:jc w:val="center"/>
              <w:rPr>
                <w:rFonts w:eastAsia="Times New Roman" w:cstheme="minorHAnsi"/>
                <w:b/>
                <w:bCs/>
                <w:color w:val="000000"/>
                <w:sz w:val="20"/>
                <w:szCs w:val="20"/>
                <w:lang w:eastAsia="es-MX"/>
              </w:rPr>
            </w:pPr>
            <w:r w:rsidRPr="000F3860">
              <w:rPr>
                <w:rFonts w:eastAsia="Times New Roman" w:cstheme="minorHAnsi"/>
                <w:b/>
                <w:bCs/>
                <w:color w:val="000000"/>
                <w:sz w:val="20"/>
                <w:szCs w:val="20"/>
                <w:lang w:eastAsia="es-MX"/>
              </w:rPr>
              <w:t>Programa Presupuestario</w:t>
            </w:r>
          </w:p>
        </w:tc>
        <w:tc>
          <w:tcPr>
            <w:tcW w:w="677" w:type="pct"/>
            <w:shd w:val="clear" w:color="auto" w:fill="9CC2E5"/>
            <w:vAlign w:val="center"/>
            <w:hideMark/>
          </w:tcPr>
          <w:p w14:paraId="1FD562F7" w14:textId="2536189B" w:rsidR="00D50578" w:rsidRPr="000F3860" w:rsidRDefault="00D50578" w:rsidP="0051243A">
            <w:pPr>
              <w:spacing w:before="0" w:after="0"/>
              <w:jc w:val="center"/>
              <w:rPr>
                <w:rFonts w:eastAsia="Times New Roman" w:cstheme="minorHAnsi"/>
                <w:b/>
                <w:bCs/>
                <w:color w:val="000000"/>
                <w:sz w:val="20"/>
                <w:szCs w:val="20"/>
                <w:lang w:eastAsia="es-MX"/>
              </w:rPr>
            </w:pPr>
            <w:r w:rsidRPr="000F3860">
              <w:rPr>
                <w:rFonts w:eastAsia="Times New Roman" w:cstheme="minorHAnsi"/>
                <w:b/>
                <w:bCs/>
                <w:color w:val="000000"/>
                <w:sz w:val="20"/>
                <w:szCs w:val="20"/>
                <w:lang w:eastAsia="es-MX"/>
              </w:rPr>
              <w:t>Monto asignado (mdp)</w:t>
            </w:r>
            <w:r w:rsidR="00A1771F" w:rsidRPr="00A1771F">
              <w:rPr>
                <w:rFonts w:eastAsia="Times New Roman" w:cstheme="minorHAnsi"/>
                <w:b/>
                <w:bCs/>
                <w:color w:val="000000"/>
                <w:sz w:val="20"/>
                <w:szCs w:val="20"/>
                <w:vertAlign w:val="superscript"/>
                <w:lang w:eastAsia="es-MX"/>
              </w:rPr>
              <w:t>1</w:t>
            </w:r>
          </w:p>
        </w:tc>
      </w:tr>
      <w:tr w:rsidR="00F87642" w:rsidRPr="0051243A" w14:paraId="74829ACA" w14:textId="77777777" w:rsidTr="000F3860">
        <w:trPr>
          <w:trHeight w:val="117"/>
        </w:trPr>
        <w:tc>
          <w:tcPr>
            <w:tcW w:w="1136" w:type="pct"/>
            <w:vMerge w:val="restart"/>
            <w:shd w:val="clear" w:color="000000" w:fill="FFFFFF"/>
            <w:vAlign w:val="center"/>
            <w:hideMark/>
          </w:tcPr>
          <w:p w14:paraId="15A60A6F" w14:textId="76F67333" w:rsidR="00D50578" w:rsidRPr="000F3860" w:rsidRDefault="00D50578" w:rsidP="000F3860">
            <w:pPr>
              <w:spacing w:before="0" w:after="0"/>
              <w:jc w:val="left"/>
              <w:rPr>
                <w:rFonts w:eastAsia="Times New Roman" w:cstheme="minorHAnsi"/>
                <w:color w:val="000000"/>
                <w:sz w:val="20"/>
                <w:szCs w:val="20"/>
                <w:lang w:eastAsia="es-MX"/>
              </w:rPr>
            </w:pPr>
            <w:r w:rsidRPr="000F3860">
              <w:rPr>
                <w:rFonts w:eastAsia="Times New Roman" w:cstheme="minorHAnsi"/>
                <w:color w:val="000000"/>
                <w:sz w:val="20"/>
                <w:szCs w:val="20"/>
                <w:lang w:eastAsia="es-MX"/>
              </w:rPr>
              <w:t>I. Infraestructura física</w:t>
            </w:r>
          </w:p>
        </w:tc>
        <w:tc>
          <w:tcPr>
            <w:tcW w:w="1707" w:type="pct"/>
            <w:shd w:val="clear" w:color="000000" w:fill="FFFFFF"/>
            <w:vAlign w:val="center"/>
          </w:tcPr>
          <w:p w14:paraId="5C1CCF07" w14:textId="382DF4EF" w:rsidR="00D50578" w:rsidRPr="000F3860" w:rsidRDefault="00F87642" w:rsidP="000F3860">
            <w:pPr>
              <w:spacing w:before="0" w:after="0"/>
              <w:jc w:val="left"/>
              <w:rPr>
                <w:rFonts w:eastAsia="Times New Roman" w:cstheme="minorHAnsi"/>
                <w:color w:val="000000"/>
                <w:sz w:val="20"/>
                <w:szCs w:val="20"/>
                <w:lang w:eastAsia="es-MX"/>
              </w:rPr>
            </w:pPr>
            <w:r w:rsidRPr="000F3860">
              <w:rPr>
                <w:rFonts w:eastAsia="Calibri" w:cstheme="minorHAnsi"/>
                <w:sz w:val="20"/>
                <w:szCs w:val="20"/>
              </w:rPr>
              <w:t>Secretaría de Obras Públicas y Ordenamiento Territorial (SOPOT)</w:t>
            </w:r>
          </w:p>
        </w:tc>
        <w:tc>
          <w:tcPr>
            <w:tcW w:w="1480" w:type="pct"/>
            <w:shd w:val="clear" w:color="000000" w:fill="FFFFFF"/>
            <w:vAlign w:val="center"/>
            <w:hideMark/>
          </w:tcPr>
          <w:p w14:paraId="0B4CCD48" w14:textId="46912C3D" w:rsidR="00D50578" w:rsidRPr="000F3860" w:rsidRDefault="00D50578" w:rsidP="0051243A">
            <w:pPr>
              <w:spacing w:before="0" w:after="0"/>
              <w:rPr>
                <w:rFonts w:eastAsia="Times New Roman" w:cstheme="minorHAnsi"/>
                <w:color w:val="000000"/>
                <w:sz w:val="20"/>
                <w:szCs w:val="20"/>
                <w:lang w:eastAsia="es-MX"/>
              </w:rPr>
            </w:pPr>
            <w:r w:rsidRPr="000F3860">
              <w:rPr>
                <w:rFonts w:eastAsia="Times New Roman" w:cstheme="minorHAnsi"/>
                <w:color w:val="000000"/>
                <w:sz w:val="20"/>
                <w:szCs w:val="20"/>
                <w:lang w:eastAsia="es-MX"/>
              </w:rPr>
              <w:t>K02-Infraestructura de Comunicaciones</w:t>
            </w:r>
          </w:p>
        </w:tc>
        <w:tc>
          <w:tcPr>
            <w:tcW w:w="677" w:type="pct"/>
            <w:shd w:val="clear" w:color="auto" w:fill="auto"/>
            <w:noWrap/>
            <w:vAlign w:val="bottom"/>
            <w:hideMark/>
          </w:tcPr>
          <w:p w14:paraId="1C6BF429" w14:textId="77777777" w:rsidR="00D50578" w:rsidRPr="000F3860" w:rsidRDefault="00D50578" w:rsidP="000F3860">
            <w:pPr>
              <w:spacing w:before="0" w:after="0"/>
              <w:jc w:val="right"/>
              <w:rPr>
                <w:rFonts w:eastAsia="Times New Roman" w:cstheme="minorHAnsi"/>
                <w:color w:val="000000"/>
                <w:sz w:val="20"/>
                <w:szCs w:val="20"/>
                <w:lang w:eastAsia="es-MX"/>
              </w:rPr>
            </w:pPr>
            <w:r w:rsidRPr="000F3860">
              <w:rPr>
                <w:rFonts w:eastAsia="Times New Roman" w:cstheme="minorHAnsi"/>
                <w:color w:val="000000"/>
                <w:sz w:val="20"/>
                <w:szCs w:val="20"/>
                <w:lang w:eastAsia="es-MX"/>
              </w:rPr>
              <w:t>4.52</w:t>
            </w:r>
          </w:p>
        </w:tc>
      </w:tr>
      <w:tr w:rsidR="00F87642" w:rsidRPr="0051243A" w14:paraId="15E21C3C" w14:textId="77777777" w:rsidTr="000F3860">
        <w:trPr>
          <w:trHeight w:val="101"/>
        </w:trPr>
        <w:tc>
          <w:tcPr>
            <w:tcW w:w="1136" w:type="pct"/>
            <w:vMerge/>
            <w:vAlign w:val="center"/>
            <w:hideMark/>
          </w:tcPr>
          <w:p w14:paraId="517925AD" w14:textId="77777777" w:rsidR="00D50578" w:rsidRPr="000F3860" w:rsidRDefault="00D50578" w:rsidP="000F3860">
            <w:pPr>
              <w:spacing w:before="0" w:after="0"/>
              <w:jc w:val="left"/>
              <w:rPr>
                <w:rFonts w:eastAsia="Times New Roman" w:cstheme="minorHAnsi"/>
                <w:color w:val="000000"/>
                <w:sz w:val="20"/>
                <w:szCs w:val="20"/>
                <w:lang w:eastAsia="es-MX"/>
              </w:rPr>
            </w:pPr>
          </w:p>
        </w:tc>
        <w:tc>
          <w:tcPr>
            <w:tcW w:w="1707" w:type="pct"/>
            <w:shd w:val="clear" w:color="000000" w:fill="FFFFFF"/>
            <w:vAlign w:val="center"/>
          </w:tcPr>
          <w:p w14:paraId="2FA74613" w14:textId="09BE765A" w:rsidR="00D50578" w:rsidRPr="000F3860" w:rsidRDefault="00F87642" w:rsidP="000F3860">
            <w:pPr>
              <w:spacing w:before="0" w:after="0"/>
              <w:jc w:val="left"/>
              <w:rPr>
                <w:rFonts w:eastAsia="Times New Roman" w:cstheme="minorHAnsi"/>
                <w:color w:val="000000"/>
                <w:sz w:val="20"/>
                <w:szCs w:val="20"/>
                <w:lang w:eastAsia="es-MX"/>
              </w:rPr>
            </w:pPr>
            <w:r w:rsidRPr="000F3860">
              <w:rPr>
                <w:rFonts w:eastAsia="Calibri" w:cstheme="minorHAnsi"/>
                <w:sz w:val="20"/>
                <w:szCs w:val="20"/>
              </w:rPr>
              <w:t>Secretaría de Desarrollo Social (SEDESO)</w:t>
            </w:r>
          </w:p>
        </w:tc>
        <w:tc>
          <w:tcPr>
            <w:tcW w:w="1480" w:type="pct"/>
            <w:shd w:val="clear" w:color="000000" w:fill="FFFFFF"/>
            <w:vAlign w:val="center"/>
            <w:hideMark/>
          </w:tcPr>
          <w:p w14:paraId="655BA111" w14:textId="26CC63B9" w:rsidR="00D50578" w:rsidRPr="000F3860" w:rsidRDefault="00D50578" w:rsidP="0051243A">
            <w:pPr>
              <w:spacing w:before="0" w:after="0"/>
              <w:rPr>
                <w:rFonts w:eastAsia="Times New Roman" w:cstheme="minorHAnsi"/>
                <w:color w:val="000000"/>
                <w:sz w:val="20"/>
                <w:szCs w:val="20"/>
                <w:lang w:eastAsia="es-MX"/>
              </w:rPr>
            </w:pPr>
            <w:r w:rsidRPr="000F3860">
              <w:rPr>
                <w:rFonts w:eastAsia="Times New Roman" w:cstheme="minorHAnsi"/>
                <w:color w:val="000000"/>
                <w:sz w:val="20"/>
                <w:szCs w:val="20"/>
                <w:lang w:eastAsia="es-MX"/>
              </w:rPr>
              <w:t>K18-Inversión en Desarrollo Social</w:t>
            </w:r>
          </w:p>
        </w:tc>
        <w:tc>
          <w:tcPr>
            <w:tcW w:w="677" w:type="pct"/>
            <w:shd w:val="clear" w:color="auto" w:fill="auto"/>
            <w:noWrap/>
            <w:vAlign w:val="bottom"/>
            <w:hideMark/>
          </w:tcPr>
          <w:p w14:paraId="073EF8F9" w14:textId="77777777" w:rsidR="00D50578" w:rsidRPr="000F3860" w:rsidRDefault="00D50578" w:rsidP="000F3860">
            <w:pPr>
              <w:spacing w:before="0" w:after="0"/>
              <w:jc w:val="right"/>
              <w:rPr>
                <w:rFonts w:eastAsia="Times New Roman" w:cstheme="minorHAnsi"/>
                <w:color w:val="000000"/>
                <w:sz w:val="20"/>
                <w:szCs w:val="20"/>
                <w:lang w:eastAsia="es-MX"/>
              </w:rPr>
            </w:pPr>
            <w:r w:rsidRPr="000F3860">
              <w:rPr>
                <w:rFonts w:eastAsia="Times New Roman" w:cstheme="minorHAnsi"/>
                <w:color w:val="000000"/>
                <w:sz w:val="20"/>
                <w:szCs w:val="20"/>
                <w:lang w:eastAsia="es-MX"/>
              </w:rPr>
              <w:t>22.47</w:t>
            </w:r>
          </w:p>
        </w:tc>
      </w:tr>
      <w:tr w:rsidR="00F87642" w:rsidRPr="0051243A" w14:paraId="6917F35A" w14:textId="77777777" w:rsidTr="000F3860">
        <w:trPr>
          <w:trHeight w:val="99"/>
        </w:trPr>
        <w:tc>
          <w:tcPr>
            <w:tcW w:w="1136" w:type="pct"/>
            <w:vMerge/>
            <w:vAlign w:val="center"/>
            <w:hideMark/>
          </w:tcPr>
          <w:p w14:paraId="1E61F0FB" w14:textId="77777777" w:rsidR="00D50578" w:rsidRPr="000F3860" w:rsidRDefault="00D50578" w:rsidP="000F3860">
            <w:pPr>
              <w:spacing w:before="0" w:after="0"/>
              <w:jc w:val="left"/>
              <w:rPr>
                <w:rFonts w:eastAsia="Times New Roman" w:cstheme="minorHAnsi"/>
                <w:color w:val="000000"/>
                <w:sz w:val="20"/>
                <w:szCs w:val="20"/>
                <w:lang w:eastAsia="es-MX"/>
              </w:rPr>
            </w:pPr>
          </w:p>
        </w:tc>
        <w:tc>
          <w:tcPr>
            <w:tcW w:w="1707" w:type="pct"/>
            <w:shd w:val="clear" w:color="000000" w:fill="FFFFFF"/>
            <w:vAlign w:val="center"/>
          </w:tcPr>
          <w:p w14:paraId="2E669617" w14:textId="292EFAA5" w:rsidR="00D50578" w:rsidRPr="000F3860" w:rsidRDefault="00F87642" w:rsidP="000F3860">
            <w:pPr>
              <w:spacing w:before="0" w:after="0"/>
              <w:jc w:val="left"/>
              <w:rPr>
                <w:rFonts w:eastAsia="Times New Roman" w:cstheme="minorHAnsi"/>
                <w:color w:val="000000"/>
                <w:sz w:val="20"/>
                <w:szCs w:val="20"/>
                <w:lang w:eastAsia="es-MX"/>
              </w:rPr>
            </w:pPr>
            <w:r w:rsidRPr="000F3860">
              <w:rPr>
                <w:rFonts w:eastAsia="Calibri" w:cstheme="minorHAnsi"/>
                <w:sz w:val="20"/>
                <w:szCs w:val="20"/>
              </w:rPr>
              <w:t>Instituto para la Atención de las y los Adultos Mayores del Estado de Hidalgo (IAAMEH)</w:t>
            </w:r>
          </w:p>
        </w:tc>
        <w:tc>
          <w:tcPr>
            <w:tcW w:w="1480" w:type="pct"/>
            <w:shd w:val="clear" w:color="000000" w:fill="FFFFFF"/>
            <w:vAlign w:val="center"/>
            <w:hideMark/>
          </w:tcPr>
          <w:p w14:paraId="6F0DA34B" w14:textId="140F32BD" w:rsidR="00D50578" w:rsidRPr="000F3860" w:rsidRDefault="00D50578" w:rsidP="0051243A">
            <w:pPr>
              <w:spacing w:before="0" w:after="0"/>
              <w:rPr>
                <w:rFonts w:eastAsia="Times New Roman" w:cstheme="minorHAnsi"/>
                <w:color w:val="000000"/>
                <w:sz w:val="20"/>
                <w:szCs w:val="20"/>
                <w:lang w:eastAsia="es-MX"/>
              </w:rPr>
            </w:pPr>
            <w:r w:rsidRPr="000F3860">
              <w:rPr>
                <w:rFonts w:eastAsia="Times New Roman" w:cstheme="minorHAnsi"/>
                <w:color w:val="000000"/>
                <w:sz w:val="20"/>
                <w:szCs w:val="20"/>
                <w:lang w:eastAsia="es-MX"/>
              </w:rPr>
              <w:t>K22-Atención a Adultos Mayores</w:t>
            </w:r>
          </w:p>
        </w:tc>
        <w:tc>
          <w:tcPr>
            <w:tcW w:w="677" w:type="pct"/>
            <w:shd w:val="clear" w:color="auto" w:fill="auto"/>
            <w:noWrap/>
            <w:vAlign w:val="bottom"/>
            <w:hideMark/>
          </w:tcPr>
          <w:p w14:paraId="793E60E4" w14:textId="77777777" w:rsidR="00D50578" w:rsidRPr="000F3860" w:rsidRDefault="00D50578" w:rsidP="000F3860">
            <w:pPr>
              <w:spacing w:before="0" w:after="0"/>
              <w:jc w:val="right"/>
              <w:rPr>
                <w:rFonts w:eastAsia="Times New Roman" w:cstheme="minorHAnsi"/>
                <w:color w:val="000000"/>
                <w:sz w:val="20"/>
                <w:szCs w:val="20"/>
                <w:lang w:eastAsia="es-MX"/>
              </w:rPr>
            </w:pPr>
            <w:r w:rsidRPr="000F3860">
              <w:rPr>
                <w:rFonts w:eastAsia="Times New Roman" w:cstheme="minorHAnsi"/>
                <w:color w:val="000000"/>
                <w:sz w:val="20"/>
                <w:szCs w:val="20"/>
                <w:lang w:eastAsia="es-MX"/>
              </w:rPr>
              <w:t>13.84</w:t>
            </w:r>
          </w:p>
        </w:tc>
      </w:tr>
      <w:tr w:rsidR="00F87642" w:rsidRPr="0051243A" w14:paraId="6E13AE1F" w14:textId="77777777" w:rsidTr="000F3860">
        <w:trPr>
          <w:trHeight w:val="105"/>
        </w:trPr>
        <w:tc>
          <w:tcPr>
            <w:tcW w:w="1136" w:type="pct"/>
            <w:vMerge/>
            <w:vAlign w:val="center"/>
            <w:hideMark/>
          </w:tcPr>
          <w:p w14:paraId="56DFAC85" w14:textId="77777777" w:rsidR="00D50578" w:rsidRPr="000F3860" w:rsidRDefault="00D50578" w:rsidP="000F3860">
            <w:pPr>
              <w:spacing w:before="0" w:after="0"/>
              <w:jc w:val="left"/>
              <w:rPr>
                <w:rFonts w:eastAsia="Times New Roman" w:cstheme="minorHAnsi"/>
                <w:color w:val="000000"/>
                <w:sz w:val="20"/>
                <w:szCs w:val="20"/>
                <w:lang w:eastAsia="es-MX"/>
              </w:rPr>
            </w:pPr>
          </w:p>
        </w:tc>
        <w:tc>
          <w:tcPr>
            <w:tcW w:w="1707" w:type="pct"/>
            <w:shd w:val="clear" w:color="000000" w:fill="FFFFFF"/>
            <w:vAlign w:val="center"/>
          </w:tcPr>
          <w:p w14:paraId="5DEA4893" w14:textId="77777777" w:rsidR="00D50578" w:rsidRPr="000F3860" w:rsidRDefault="00D50578" w:rsidP="000F3860">
            <w:pPr>
              <w:spacing w:before="0" w:after="0"/>
              <w:jc w:val="left"/>
              <w:rPr>
                <w:rFonts w:eastAsia="Times New Roman" w:cstheme="minorHAnsi"/>
                <w:color w:val="000000"/>
                <w:sz w:val="20"/>
                <w:szCs w:val="20"/>
                <w:lang w:eastAsia="es-MX"/>
              </w:rPr>
            </w:pPr>
            <w:r w:rsidRPr="000F3860">
              <w:rPr>
                <w:rFonts w:eastAsia="Times New Roman" w:cstheme="minorHAnsi"/>
                <w:color w:val="000000"/>
                <w:sz w:val="20"/>
                <w:szCs w:val="20"/>
                <w:lang w:eastAsia="es-MX"/>
              </w:rPr>
              <w:t>SOPOT</w:t>
            </w:r>
          </w:p>
        </w:tc>
        <w:tc>
          <w:tcPr>
            <w:tcW w:w="1480" w:type="pct"/>
            <w:shd w:val="clear" w:color="000000" w:fill="FFFFFF"/>
            <w:vAlign w:val="center"/>
            <w:hideMark/>
          </w:tcPr>
          <w:p w14:paraId="1327FFD5" w14:textId="5830C3CE" w:rsidR="00D50578" w:rsidRPr="000F3860" w:rsidRDefault="00D50578" w:rsidP="0051243A">
            <w:pPr>
              <w:spacing w:before="0" w:after="0"/>
              <w:rPr>
                <w:rFonts w:eastAsia="Times New Roman" w:cstheme="minorHAnsi"/>
                <w:color w:val="000000"/>
                <w:sz w:val="20"/>
                <w:szCs w:val="20"/>
                <w:lang w:eastAsia="es-MX"/>
              </w:rPr>
            </w:pPr>
            <w:r w:rsidRPr="000F3860">
              <w:rPr>
                <w:rFonts w:eastAsia="Times New Roman" w:cstheme="minorHAnsi"/>
                <w:color w:val="000000"/>
                <w:sz w:val="20"/>
                <w:szCs w:val="20"/>
                <w:lang w:eastAsia="es-MX"/>
              </w:rPr>
              <w:t>K24-Inversión en Obras Públicas</w:t>
            </w:r>
          </w:p>
        </w:tc>
        <w:tc>
          <w:tcPr>
            <w:tcW w:w="677" w:type="pct"/>
            <w:shd w:val="clear" w:color="auto" w:fill="auto"/>
            <w:noWrap/>
            <w:vAlign w:val="bottom"/>
            <w:hideMark/>
          </w:tcPr>
          <w:p w14:paraId="008E4C59" w14:textId="77777777" w:rsidR="00D50578" w:rsidRPr="000F3860" w:rsidRDefault="00D50578" w:rsidP="000F3860">
            <w:pPr>
              <w:spacing w:before="0" w:after="0"/>
              <w:jc w:val="right"/>
              <w:rPr>
                <w:rFonts w:eastAsia="Times New Roman" w:cstheme="minorHAnsi"/>
                <w:color w:val="000000"/>
                <w:sz w:val="20"/>
                <w:szCs w:val="20"/>
                <w:lang w:eastAsia="es-MX"/>
              </w:rPr>
            </w:pPr>
            <w:r w:rsidRPr="000F3860">
              <w:rPr>
                <w:rFonts w:eastAsia="Times New Roman" w:cstheme="minorHAnsi"/>
                <w:color w:val="000000"/>
                <w:sz w:val="20"/>
                <w:szCs w:val="20"/>
                <w:lang w:eastAsia="es-MX"/>
              </w:rPr>
              <w:t>389.58</w:t>
            </w:r>
          </w:p>
        </w:tc>
      </w:tr>
      <w:tr w:rsidR="00F87642" w:rsidRPr="0051243A" w14:paraId="5C6320CC" w14:textId="77777777" w:rsidTr="000F3860">
        <w:trPr>
          <w:trHeight w:val="165"/>
        </w:trPr>
        <w:tc>
          <w:tcPr>
            <w:tcW w:w="1136" w:type="pct"/>
            <w:vMerge/>
            <w:vAlign w:val="center"/>
            <w:hideMark/>
          </w:tcPr>
          <w:p w14:paraId="040BD985" w14:textId="77777777" w:rsidR="00D50578" w:rsidRPr="000F3860" w:rsidRDefault="00D50578" w:rsidP="000F3860">
            <w:pPr>
              <w:spacing w:before="0" w:after="0"/>
              <w:jc w:val="left"/>
              <w:rPr>
                <w:rFonts w:eastAsia="Times New Roman" w:cstheme="minorHAnsi"/>
                <w:color w:val="000000"/>
                <w:sz w:val="20"/>
                <w:szCs w:val="20"/>
                <w:lang w:eastAsia="es-MX"/>
              </w:rPr>
            </w:pPr>
          </w:p>
        </w:tc>
        <w:tc>
          <w:tcPr>
            <w:tcW w:w="1707" w:type="pct"/>
            <w:shd w:val="clear" w:color="000000" w:fill="FFFFFF"/>
            <w:vAlign w:val="center"/>
          </w:tcPr>
          <w:p w14:paraId="55A484E1" w14:textId="77777777" w:rsidR="00D50578" w:rsidRPr="000F3860" w:rsidRDefault="00D50578" w:rsidP="000F3860">
            <w:pPr>
              <w:spacing w:before="0" w:after="0"/>
              <w:jc w:val="left"/>
              <w:rPr>
                <w:rFonts w:eastAsia="Times New Roman" w:cstheme="minorHAnsi"/>
                <w:color w:val="000000"/>
                <w:sz w:val="20"/>
                <w:szCs w:val="20"/>
                <w:lang w:eastAsia="es-MX"/>
              </w:rPr>
            </w:pPr>
            <w:r w:rsidRPr="000F3860">
              <w:rPr>
                <w:rFonts w:eastAsia="Times New Roman" w:cstheme="minorHAnsi"/>
                <w:color w:val="000000"/>
                <w:sz w:val="20"/>
                <w:szCs w:val="20"/>
                <w:lang w:eastAsia="es-MX"/>
              </w:rPr>
              <w:t>SOPOT</w:t>
            </w:r>
          </w:p>
        </w:tc>
        <w:tc>
          <w:tcPr>
            <w:tcW w:w="1480" w:type="pct"/>
            <w:shd w:val="clear" w:color="000000" w:fill="FFFFFF"/>
            <w:vAlign w:val="center"/>
            <w:hideMark/>
          </w:tcPr>
          <w:p w14:paraId="13D474B5" w14:textId="3405C119" w:rsidR="00D50578" w:rsidRPr="000F3860" w:rsidRDefault="00D50578" w:rsidP="0051243A">
            <w:pPr>
              <w:spacing w:before="0" w:after="0"/>
              <w:rPr>
                <w:rFonts w:eastAsia="Times New Roman" w:cstheme="minorHAnsi"/>
                <w:color w:val="000000"/>
                <w:sz w:val="20"/>
                <w:szCs w:val="20"/>
                <w:lang w:eastAsia="es-MX"/>
              </w:rPr>
            </w:pPr>
            <w:r w:rsidRPr="000F3860">
              <w:rPr>
                <w:rFonts w:eastAsia="Times New Roman" w:cstheme="minorHAnsi"/>
                <w:color w:val="000000"/>
                <w:sz w:val="20"/>
                <w:szCs w:val="20"/>
                <w:lang w:eastAsia="es-MX"/>
              </w:rPr>
              <w:t>K25-Agua, drenaje y saneamiento</w:t>
            </w:r>
          </w:p>
        </w:tc>
        <w:tc>
          <w:tcPr>
            <w:tcW w:w="677" w:type="pct"/>
            <w:shd w:val="clear" w:color="auto" w:fill="auto"/>
            <w:noWrap/>
            <w:vAlign w:val="bottom"/>
            <w:hideMark/>
          </w:tcPr>
          <w:p w14:paraId="588E0BAF" w14:textId="77777777" w:rsidR="00D50578" w:rsidRPr="000F3860" w:rsidRDefault="00D50578" w:rsidP="000F3860">
            <w:pPr>
              <w:spacing w:before="0" w:after="0"/>
              <w:jc w:val="right"/>
              <w:rPr>
                <w:rFonts w:eastAsia="Times New Roman" w:cstheme="minorHAnsi"/>
                <w:color w:val="000000"/>
                <w:sz w:val="20"/>
                <w:szCs w:val="20"/>
                <w:lang w:eastAsia="es-MX"/>
              </w:rPr>
            </w:pPr>
            <w:r w:rsidRPr="000F3860">
              <w:rPr>
                <w:rFonts w:eastAsia="Times New Roman" w:cstheme="minorHAnsi"/>
                <w:color w:val="000000"/>
                <w:sz w:val="20"/>
                <w:szCs w:val="20"/>
                <w:lang w:eastAsia="es-MX"/>
              </w:rPr>
              <w:t>30.84</w:t>
            </w:r>
          </w:p>
        </w:tc>
      </w:tr>
      <w:tr w:rsidR="00F87642" w:rsidRPr="0051243A" w14:paraId="09181242" w14:textId="77777777" w:rsidTr="000F3860">
        <w:trPr>
          <w:trHeight w:val="123"/>
        </w:trPr>
        <w:tc>
          <w:tcPr>
            <w:tcW w:w="1136" w:type="pct"/>
            <w:vMerge/>
            <w:vAlign w:val="center"/>
            <w:hideMark/>
          </w:tcPr>
          <w:p w14:paraId="61EE2559" w14:textId="77777777" w:rsidR="00D50578" w:rsidRPr="000F3860" w:rsidRDefault="00D50578" w:rsidP="000F3860">
            <w:pPr>
              <w:spacing w:before="0" w:after="0"/>
              <w:jc w:val="left"/>
              <w:rPr>
                <w:rFonts w:eastAsia="Times New Roman" w:cstheme="minorHAnsi"/>
                <w:color w:val="000000"/>
                <w:sz w:val="20"/>
                <w:szCs w:val="20"/>
                <w:lang w:eastAsia="es-MX"/>
              </w:rPr>
            </w:pPr>
          </w:p>
        </w:tc>
        <w:tc>
          <w:tcPr>
            <w:tcW w:w="1707" w:type="pct"/>
            <w:shd w:val="clear" w:color="000000" w:fill="FFFFFF"/>
            <w:vAlign w:val="center"/>
          </w:tcPr>
          <w:p w14:paraId="081BAF1D" w14:textId="7E83B37E" w:rsidR="00D50578" w:rsidRPr="000F3860" w:rsidRDefault="00F87642" w:rsidP="000F3860">
            <w:pPr>
              <w:spacing w:before="0" w:after="0"/>
              <w:jc w:val="left"/>
              <w:rPr>
                <w:rFonts w:eastAsia="Times New Roman" w:cstheme="minorHAnsi"/>
                <w:color w:val="000000"/>
                <w:sz w:val="20"/>
                <w:szCs w:val="20"/>
                <w:lang w:eastAsia="es-MX"/>
              </w:rPr>
            </w:pPr>
            <w:r w:rsidRPr="0051243A">
              <w:rPr>
                <w:rFonts w:eastAsia="Calibri" w:cstheme="minorHAnsi"/>
                <w:sz w:val="20"/>
                <w:szCs w:val="20"/>
              </w:rPr>
              <w:t>Dirección General de Agricultura e Infraestructura Hidroagrícola</w:t>
            </w:r>
            <w:r w:rsidRPr="0051243A" w:rsidDel="00F87642">
              <w:rPr>
                <w:rFonts w:eastAsia="Calibri" w:cstheme="minorHAnsi"/>
                <w:sz w:val="20"/>
                <w:szCs w:val="20"/>
              </w:rPr>
              <w:t xml:space="preserve"> </w:t>
            </w:r>
          </w:p>
        </w:tc>
        <w:tc>
          <w:tcPr>
            <w:tcW w:w="1480" w:type="pct"/>
            <w:shd w:val="clear" w:color="000000" w:fill="FFFFFF"/>
            <w:vAlign w:val="center"/>
            <w:hideMark/>
          </w:tcPr>
          <w:p w14:paraId="54808415" w14:textId="50C6B907" w:rsidR="00D50578" w:rsidRPr="000F3860" w:rsidRDefault="00D50578" w:rsidP="0051243A">
            <w:pPr>
              <w:spacing w:before="0" w:after="0"/>
              <w:rPr>
                <w:rFonts w:eastAsia="Times New Roman" w:cstheme="minorHAnsi"/>
                <w:color w:val="000000"/>
                <w:sz w:val="20"/>
                <w:szCs w:val="20"/>
                <w:lang w:eastAsia="es-MX"/>
              </w:rPr>
            </w:pPr>
            <w:r w:rsidRPr="000F3860">
              <w:rPr>
                <w:rFonts w:eastAsia="Times New Roman" w:cstheme="minorHAnsi"/>
                <w:color w:val="000000"/>
                <w:sz w:val="20"/>
                <w:szCs w:val="20"/>
                <w:lang w:eastAsia="es-MX"/>
              </w:rPr>
              <w:t>K31-Programas Hidroagrícolas</w:t>
            </w:r>
          </w:p>
        </w:tc>
        <w:tc>
          <w:tcPr>
            <w:tcW w:w="677" w:type="pct"/>
            <w:shd w:val="clear" w:color="auto" w:fill="auto"/>
            <w:noWrap/>
            <w:vAlign w:val="bottom"/>
            <w:hideMark/>
          </w:tcPr>
          <w:p w14:paraId="6158072C" w14:textId="77777777" w:rsidR="00D50578" w:rsidRPr="000F3860" w:rsidRDefault="00D50578" w:rsidP="000F3860">
            <w:pPr>
              <w:spacing w:before="0" w:after="0"/>
              <w:jc w:val="right"/>
              <w:rPr>
                <w:rFonts w:eastAsia="Times New Roman" w:cstheme="minorHAnsi"/>
                <w:color w:val="000000"/>
                <w:sz w:val="20"/>
                <w:szCs w:val="20"/>
                <w:lang w:eastAsia="es-MX"/>
              </w:rPr>
            </w:pPr>
            <w:r w:rsidRPr="000F3860">
              <w:rPr>
                <w:rFonts w:eastAsia="Times New Roman" w:cstheme="minorHAnsi"/>
                <w:color w:val="000000"/>
                <w:sz w:val="20"/>
                <w:szCs w:val="20"/>
                <w:lang w:eastAsia="es-MX"/>
              </w:rPr>
              <w:t>3.00</w:t>
            </w:r>
          </w:p>
        </w:tc>
      </w:tr>
      <w:tr w:rsidR="00F87642" w:rsidRPr="0051243A" w14:paraId="0EB0253B" w14:textId="77777777" w:rsidTr="000F3860">
        <w:trPr>
          <w:trHeight w:val="123"/>
        </w:trPr>
        <w:tc>
          <w:tcPr>
            <w:tcW w:w="1136" w:type="pct"/>
            <w:vMerge/>
            <w:vAlign w:val="center"/>
            <w:hideMark/>
          </w:tcPr>
          <w:p w14:paraId="7B811755" w14:textId="77777777" w:rsidR="00D50578" w:rsidRPr="000F3860" w:rsidRDefault="00D50578" w:rsidP="000F3860">
            <w:pPr>
              <w:spacing w:before="0" w:after="0"/>
              <w:jc w:val="left"/>
              <w:rPr>
                <w:rFonts w:eastAsia="Times New Roman" w:cstheme="minorHAnsi"/>
                <w:color w:val="000000"/>
                <w:sz w:val="20"/>
                <w:szCs w:val="20"/>
                <w:lang w:eastAsia="es-MX"/>
              </w:rPr>
            </w:pPr>
          </w:p>
        </w:tc>
        <w:tc>
          <w:tcPr>
            <w:tcW w:w="1707" w:type="pct"/>
            <w:shd w:val="clear" w:color="000000" w:fill="FFFFFF"/>
            <w:vAlign w:val="center"/>
          </w:tcPr>
          <w:p w14:paraId="22692246" w14:textId="2C778747" w:rsidR="00D50578" w:rsidRPr="000F3860" w:rsidRDefault="00840D33" w:rsidP="000F3860">
            <w:pPr>
              <w:spacing w:before="0" w:after="0"/>
              <w:jc w:val="left"/>
              <w:rPr>
                <w:rFonts w:eastAsia="Times New Roman" w:cstheme="minorHAnsi"/>
                <w:color w:val="000000"/>
                <w:sz w:val="20"/>
                <w:szCs w:val="20"/>
                <w:lang w:eastAsia="es-MX"/>
              </w:rPr>
            </w:pPr>
            <w:r w:rsidRPr="0051243A">
              <w:rPr>
                <w:rFonts w:eastAsia="Times New Roman" w:cstheme="minorHAnsi"/>
                <w:color w:val="000000"/>
                <w:sz w:val="20"/>
                <w:szCs w:val="20"/>
                <w:lang w:eastAsia="es-MX"/>
              </w:rPr>
              <w:t>Secretaría de Turismo (</w:t>
            </w:r>
            <w:r w:rsidRPr="000F3860">
              <w:rPr>
                <w:rFonts w:eastAsia="Calibri" w:cstheme="minorHAnsi"/>
                <w:sz w:val="20"/>
                <w:szCs w:val="20"/>
              </w:rPr>
              <w:t>SECTURH)</w:t>
            </w:r>
            <w:r w:rsidRPr="0051243A" w:rsidDel="00840D33">
              <w:rPr>
                <w:rFonts w:eastAsia="Times New Roman" w:cstheme="minorHAnsi"/>
                <w:color w:val="000000"/>
                <w:sz w:val="20"/>
                <w:szCs w:val="20"/>
                <w:lang w:eastAsia="es-MX"/>
              </w:rPr>
              <w:t xml:space="preserve"> </w:t>
            </w:r>
          </w:p>
        </w:tc>
        <w:tc>
          <w:tcPr>
            <w:tcW w:w="1480" w:type="pct"/>
            <w:shd w:val="clear" w:color="000000" w:fill="FFFFFF"/>
            <w:vAlign w:val="center"/>
            <w:hideMark/>
          </w:tcPr>
          <w:p w14:paraId="6736175C" w14:textId="506384A9" w:rsidR="00D50578" w:rsidRPr="000F3860" w:rsidRDefault="00D50578" w:rsidP="0051243A">
            <w:pPr>
              <w:spacing w:before="0" w:after="0"/>
              <w:rPr>
                <w:rFonts w:eastAsia="Times New Roman" w:cstheme="minorHAnsi"/>
                <w:color w:val="000000"/>
                <w:sz w:val="20"/>
                <w:szCs w:val="20"/>
                <w:lang w:eastAsia="es-MX"/>
              </w:rPr>
            </w:pPr>
            <w:r w:rsidRPr="000F3860">
              <w:rPr>
                <w:rFonts w:eastAsia="Times New Roman" w:cstheme="minorHAnsi"/>
                <w:color w:val="000000"/>
                <w:sz w:val="20"/>
                <w:szCs w:val="20"/>
                <w:lang w:eastAsia="es-MX"/>
              </w:rPr>
              <w:t>K32-Inversión en Turismo</w:t>
            </w:r>
          </w:p>
        </w:tc>
        <w:tc>
          <w:tcPr>
            <w:tcW w:w="677" w:type="pct"/>
            <w:shd w:val="clear" w:color="auto" w:fill="auto"/>
            <w:noWrap/>
            <w:vAlign w:val="bottom"/>
            <w:hideMark/>
          </w:tcPr>
          <w:p w14:paraId="212B217B" w14:textId="77777777" w:rsidR="00D50578" w:rsidRPr="000F3860" w:rsidRDefault="00D50578" w:rsidP="000F3860">
            <w:pPr>
              <w:spacing w:before="0" w:after="0"/>
              <w:jc w:val="right"/>
              <w:rPr>
                <w:rFonts w:eastAsia="Times New Roman" w:cstheme="minorHAnsi"/>
                <w:color w:val="000000"/>
                <w:sz w:val="20"/>
                <w:szCs w:val="20"/>
                <w:lang w:eastAsia="es-MX"/>
              </w:rPr>
            </w:pPr>
            <w:r w:rsidRPr="000F3860">
              <w:rPr>
                <w:rFonts w:eastAsia="Times New Roman" w:cstheme="minorHAnsi"/>
                <w:color w:val="000000"/>
                <w:sz w:val="20"/>
                <w:szCs w:val="20"/>
                <w:lang w:eastAsia="es-MX"/>
              </w:rPr>
              <w:t>1.43</w:t>
            </w:r>
          </w:p>
        </w:tc>
      </w:tr>
      <w:tr w:rsidR="00F87642" w:rsidRPr="0051243A" w14:paraId="02352FC4" w14:textId="77777777" w:rsidTr="000F3860">
        <w:trPr>
          <w:trHeight w:val="150"/>
        </w:trPr>
        <w:tc>
          <w:tcPr>
            <w:tcW w:w="1136" w:type="pct"/>
            <w:vMerge/>
            <w:vAlign w:val="center"/>
            <w:hideMark/>
          </w:tcPr>
          <w:p w14:paraId="16910F18" w14:textId="77777777" w:rsidR="00D50578" w:rsidRPr="000F3860" w:rsidRDefault="00D50578" w:rsidP="000F3860">
            <w:pPr>
              <w:spacing w:before="0" w:after="0"/>
              <w:jc w:val="left"/>
              <w:rPr>
                <w:rFonts w:eastAsia="Times New Roman" w:cstheme="minorHAnsi"/>
                <w:color w:val="000000"/>
                <w:sz w:val="20"/>
                <w:szCs w:val="20"/>
                <w:lang w:eastAsia="es-MX"/>
              </w:rPr>
            </w:pPr>
          </w:p>
        </w:tc>
        <w:tc>
          <w:tcPr>
            <w:tcW w:w="1707" w:type="pct"/>
            <w:shd w:val="clear" w:color="000000" w:fill="FFFFFF"/>
            <w:vAlign w:val="center"/>
          </w:tcPr>
          <w:p w14:paraId="55FCCA35" w14:textId="37AB7BBE" w:rsidR="00D50578" w:rsidRPr="000F3860" w:rsidRDefault="009A7620" w:rsidP="000F3860">
            <w:pPr>
              <w:spacing w:before="0" w:after="0"/>
              <w:jc w:val="left"/>
              <w:rPr>
                <w:rFonts w:eastAsia="Times New Roman" w:cstheme="minorHAnsi"/>
                <w:color w:val="000000"/>
                <w:sz w:val="20"/>
                <w:szCs w:val="20"/>
                <w:lang w:eastAsia="es-MX"/>
              </w:rPr>
            </w:pPr>
            <w:r w:rsidRPr="0051243A">
              <w:rPr>
                <w:rFonts w:eastAsia="Times New Roman" w:cstheme="minorHAnsi"/>
                <w:color w:val="000000"/>
                <w:sz w:val="20"/>
                <w:szCs w:val="20"/>
                <w:lang w:eastAsia="es-MX"/>
              </w:rPr>
              <w:t>SECTUR</w:t>
            </w:r>
            <w:r w:rsidR="00840D33" w:rsidRPr="0051243A">
              <w:rPr>
                <w:rFonts w:eastAsia="Times New Roman" w:cstheme="minorHAnsi"/>
                <w:color w:val="000000"/>
                <w:sz w:val="20"/>
                <w:szCs w:val="20"/>
                <w:lang w:eastAsia="es-MX"/>
              </w:rPr>
              <w:t>H</w:t>
            </w:r>
          </w:p>
        </w:tc>
        <w:tc>
          <w:tcPr>
            <w:tcW w:w="1480" w:type="pct"/>
            <w:shd w:val="clear" w:color="000000" w:fill="FFFFFF"/>
            <w:vAlign w:val="center"/>
            <w:hideMark/>
          </w:tcPr>
          <w:p w14:paraId="652B630F" w14:textId="2C235740" w:rsidR="00D50578" w:rsidRPr="000F3860" w:rsidRDefault="00D50578" w:rsidP="0051243A">
            <w:pPr>
              <w:spacing w:before="0" w:after="0"/>
              <w:rPr>
                <w:rFonts w:eastAsia="Times New Roman" w:cstheme="minorHAnsi"/>
                <w:color w:val="000000"/>
                <w:sz w:val="20"/>
                <w:szCs w:val="20"/>
                <w:lang w:eastAsia="es-MX"/>
              </w:rPr>
            </w:pPr>
            <w:r w:rsidRPr="000F3860">
              <w:rPr>
                <w:rFonts w:eastAsia="Times New Roman" w:cstheme="minorHAnsi"/>
                <w:color w:val="000000"/>
                <w:sz w:val="20"/>
                <w:szCs w:val="20"/>
                <w:lang w:eastAsia="es-MX"/>
              </w:rPr>
              <w:t>K33-Desarrollo de Pueblos Mágicos</w:t>
            </w:r>
          </w:p>
        </w:tc>
        <w:tc>
          <w:tcPr>
            <w:tcW w:w="677" w:type="pct"/>
            <w:shd w:val="clear" w:color="auto" w:fill="auto"/>
            <w:noWrap/>
            <w:vAlign w:val="bottom"/>
            <w:hideMark/>
          </w:tcPr>
          <w:p w14:paraId="4C841562" w14:textId="77777777" w:rsidR="00D50578" w:rsidRPr="000F3860" w:rsidRDefault="00D50578" w:rsidP="000F3860">
            <w:pPr>
              <w:spacing w:before="0" w:after="0"/>
              <w:jc w:val="right"/>
              <w:rPr>
                <w:rFonts w:eastAsia="Times New Roman" w:cstheme="minorHAnsi"/>
                <w:color w:val="000000"/>
                <w:sz w:val="20"/>
                <w:szCs w:val="20"/>
                <w:lang w:eastAsia="es-MX"/>
              </w:rPr>
            </w:pPr>
            <w:r w:rsidRPr="000F3860">
              <w:rPr>
                <w:rFonts w:eastAsia="Times New Roman" w:cstheme="minorHAnsi"/>
                <w:color w:val="000000"/>
                <w:sz w:val="20"/>
                <w:szCs w:val="20"/>
                <w:lang w:eastAsia="es-MX"/>
              </w:rPr>
              <w:t>4.00</w:t>
            </w:r>
          </w:p>
        </w:tc>
      </w:tr>
      <w:tr w:rsidR="00F87642" w:rsidRPr="0051243A" w14:paraId="457A767F" w14:textId="77777777" w:rsidTr="000F3860">
        <w:trPr>
          <w:trHeight w:val="215"/>
        </w:trPr>
        <w:tc>
          <w:tcPr>
            <w:tcW w:w="1136" w:type="pct"/>
            <w:vMerge/>
            <w:vAlign w:val="center"/>
            <w:hideMark/>
          </w:tcPr>
          <w:p w14:paraId="4D76198A" w14:textId="77777777" w:rsidR="00D50578" w:rsidRPr="000F3860" w:rsidRDefault="00D50578" w:rsidP="000F3860">
            <w:pPr>
              <w:spacing w:before="0" w:after="0"/>
              <w:jc w:val="left"/>
              <w:rPr>
                <w:rFonts w:eastAsia="Times New Roman" w:cstheme="minorHAnsi"/>
                <w:color w:val="000000"/>
                <w:sz w:val="20"/>
                <w:szCs w:val="20"/>
                <w:lang w:eastAsia="es-MX"/>
              </w:rPr>
            </w:pPr>
          </w:p>
        </w:tc>
        <w:tc>
          <w:tcPr>
            <w:tcW w:w="1707" w:type="pct"/>
            <w:shd w:val="clear" w:color="000000" w:fill="FFFFFF"/>
            <w:vAlign w:val="center"/>
          </w:tcPr>
          <w:p w14:paraId="46BEAAD6" w14:textId="7ABD8431" w:rsidR="00D50578" w:rsidRPr="000F3860" w:rsidRDefault="00840D33" w:rsidP="000F3860">
            <w:pPr>
              <w:spacing w:before="0" w:after="0"/>
              <w:jc w:val="left"/>
              <w:rPr>
                <w:rFonts w:eastAsia="Times New Roman" w:cstheme="minorHAnsi"/>
                <w:color w:val="000000"/>
                <w:sz w:val="20"/>
                <w:szCs w:val="20"/>
                <w:lang w:eastAsia="es-MX"/>
              </w:rPr>
            </w:pPr>
            <w:r w:rsidRPr="000F3860">
              <w:rPr>
                <w:rFonts w:eastAsia="Calibri" w:cstheme="minorHAnsi"/>
                <w:sz w:val="20"/>
                <w:szCs w:val="20"/>
              </w:rPr>
              <w:t>Secretaría de Educación Pública (SEPH</w:t>
            </w:r>
            <w:r w:rsidRPr="0051243A">
              <w:rPr>
                <w:rFonts w:eastAsia="Times New Roman" w:cstheme="minorHAnsi"/>
                <w:color w:val="000000"/>
                <w:sz w:val="20"/>
                <w:szCs w:val="20"/>
                <w:lang w:eastAsia="es-MX"/>
              </w:rPr>
              <w:t>)</w:t>
            </w:r>
          </w:p>
        </w:tc>
        <w:tc>
          <w:tcPr>
            <w:tcW w:w="1480" w:type="pct"/>
            <w:shd w:val="clear" w:color="000000" w:fill="FFFFFF"/>
            <w:vAlign w:val="center"/>
            <w:hideMark/>
          </w:tcPr>
          <w:p w14:paraId="4A7D9F72" w14:textId="3D00A5D5" w:rsidR="00D50578" w:rsidRPr="000F3860" w:rsidRDefault="00D50578" w:rsidP="0051243A">
            <w:pPr>
              <w:spacing w:before="0" w:after="0"/>
              <w:rPr>
                <w:rFonts w:eastAsia="Times New Roman" w:cstheme="minorHAnsi"/>
                <w:color w:val="000000"/>
                <w:sz w:val="20"/>
                <w:szCs w:val="20"/>
                <w:lang w:eastAsia="es-MX"/>
              </w:rPr>
            </w:pPr>
            <w:r w:rsidRPr="000F3860">
              <w:rPr>
                <w:rFonts w:eastAsia="Times New Roman" w:cstheme="minorHAnsi"/>
                <w:color w:val="000000"/>
                <w:sz w:val="20"/>
                <w:szCs w:val="20"/>
                <w:lang w:eastAsia="es-MX"/>
              </w:rPr>
              <w:t>K36-Infraestructura en Educación</w:t>
            </w:r>
          </w:p>
        </w:tc>
        <w:tc>
          <w:tcPr>
            <w:tcW w:w="677" w:type="pct"/>
            <w:shd w:val="clear" w:color="auto" w:fill="auto"/>
            <w:noWrap/>
            <w:vAlign w:val="bottom"/>
            <w:hideMark/>
          </w:tcPr>
          <w:p w14:paraId="505AC668" w14:textId="77777777" w:rsidR="00D50578" w:rsidRPr="000F3860" w:rsidRDefault="00D50578" w:rsidP="000F3860">
            <w:pPr>
              <w:spacing w:before="0" w:after="0"/>
              <w:jc w:val="right"/>
              <w:rPr>
                <w:rFonts w:eastAsia="Times New Roman" w:cstheme="minorHAnsi"/>
                <w:color w:val="000000"/>
                <w:sz w:val="20"/>
                <w:szCs w:val="20"/>
                <w:lang w:eastAsia="es-MX"/>
              </w:rPr>
            </w:pPr>
            <w:r w:rsidRPr="000F3860">
              <w:rPr>
                <w:rFonts w:eastAsia="Times New Roman" w:cstheme="minorHAnsi"/>
                <w:color w:val="000000"/>
                <w:sz w:val="20"/>
                <w:szCs w:val="20"/>
                <w:lang w:eastAsia="es-MX"/>
              </w:rPr>
              <w:t>79.81</w:t>
            </w:r>
          </w:p>
        </w:tc>
      </w:tr>
      <w:tr w:rsidR="00F87642" w:rsidRPr="0051243A" w14:paraId="575B900D" w14:textId="77777777" w:rsidTr="000F3860">
        <w:trPr>
          <w:trHeight w:val="215"/>
        </w:trPr>
        <w:tc>
          <w:tcPr>
            <w:tcW w:w="1136" w:type="pct"/>
            <w:vMerge/>
            <w:vAlign w:val="center"/>
            <w:hideMark/>
          </w:tcPr>
          <w:p w14:paraId="0620C380" w14:textId="77777777" w:rsidR="00D50578" w:rsidRPr="000F3860" w:rsidRDefault="00D50578" w:rsidP="000F3860">
            <w:pPr>
              <w:spacing w:before="0" w:after="0"/>
              <w:jc w:val="left"/>
              <w:rPr>
                <w:rFonts w:eastAsia="Times New Roman" w:cstheme="minorHAnsi"/>
                <w:color w:val="000000"/>
                <w:sz w:val="20"/>
                <w:szCs w:val="20"/>
                <w:lang w:eastAsia="es-MX"/>
              </w:rPr>
            </w:pPr>
          </w:p>
        </w:tc>
        <w:tc>
          <w:tcPr>
            <w:tcW w:w="1707" w:type="pct"/>
            <w:shd w:val="clear" w:color="000000" w:fill="FFFFFF"/>
            <w:vAlign w:val="center"/>
          </w:tcPr>
          <w:p w14:paraId="31F8C56A" w14:textId="58E91B60" w:rsidR="00D50578" w:rsidRPr="000F3860" w:rsidRDefault="00840D33" w:rsidP="000F3860">
            <w:pPr>
              <w:spacing w:before="0" w:after="0"/>
              <w:jc w:val="left"/>
              <w:rPr>
                <w:rFonts w:eastAsia="Times New Roman" w:cstheme="minorHAnsi"/>
                <w:color w:val="000000"/>
                <w:sz w:val="20"/>
                <w:szCs w:val="20"/>
                <w:lang w:eastAsia="es-MX"/>
              </w:rPr>
            </w:pPr>
            <w:r w:rsidRPr="0051243A">
              <w:rPr>
                <w:rFonts w:eastAsia="Calibri" w:cstheme="minorHAnsi"/>
                <w:sz w:val="20"/>
                <w:szCs w:val="20"/>
              </w:rPr>
              <w:t>Comisión Estatal para el Desarrollo Sostenible de los Pueblos Indígenas (CEDSPI)</w:t>
            </w:r>
          </w:p>
        </w:tc>
        <w:tc>
          <w:tcPr>
            <w:tcW w:w="1480" w:type="pct"/>
            <w:shd w:val="clear" w:color="000000" w:fill="FFFFFF"/>
            <w:vAlign w:val="center"/>
            <w:hideMark/>
          </w:tcPr>
          <w:p w14:paraId="18DD0504" w14:textId="0D09B039" w:rsidR="00D50578" w:rsidRPr="000F3860" w:rsidRDefault="00D50578" w:rsidP="0051243A">
            <w:pPr>
              <w:spacing w:before="0" w:after="0"/>
              <w:rPr>
                <w:rFonts w:eastAsia="Times New Roman" w:cstheme="minorHAnsi"/>
                <w:color w:val="000000"/>
                <w:sz w:val="20"/>
                <w:szCs w:val="20"/>
                <w:lang w:eastAsia="es-MX"/>
              </w:rPr>
            </w:pPr>
            <w:bookmarkStart w:id="14" w:name="_Hlk56737501"/>
            <w:r w:rsidRPr="000F3860">
              <w:rPr>
                <w:rFonts w:eastAsia="Times New Roman" w:cstheme="minorHAnsi"/>
                <w:color w:val="000000"/>
                <w:sz w:val="20"/>
                <w:szCs w:val="20"/>
                <w:lang w:eastAsia="es-MX"/>
              </w:rPr>
              <w:t>K43-Infraestructura para Pueblos Indígenas</w:t>
            </w:r>
            <w:bookmarkEnd w:id="14"/>
          </w:p>
        </w:tc>
        <w:tc>
          <w:tcPr>
            <w:tcW w:w="677" w:type="pct"/>
            <w:shd w:val="clear" w:color="auto" w:fill="auto"/>
            <w:noWrap/>
            <w:vAlign w:val="bottom"/>
            <w:hideMark/>
          </w:tcPr>
          <w:p w14:paraId="72162A24" w14:textId="77777777" w:rsidR="00D50578" w:rsidRPr="000F3860" w:rsidRDefault="00D50578" w:rsidP="000F3860">
            <w:pPr>
              <w:spacing w:before="0" w:after="0"/>
              <w:jc w:val="right"/>
              <w:rPr>
                <w:rFonts w:eastAsia="Times New Roman" w:cstheme="minorHAnsi"/>
                <w:color w:val="000000"/>
                <w:sz w:val="20"/>
                <w:szCs w:val="20"/>
                <w:lang w:eastAsia="es-MX"/>
              </w:rPr>
            </w:pPr>
            <w:r w:rsidRPr="000F3860">
              <w:rPr>
                <w:rFonts w:eastAsia="Times New Roman" w:cstheme="minorHAnsi"/>
                <w:color w:val="000000"/>
                <w:sz w:val="20"/>
                <w:szCs w:val="20"/>
                <w:lang w:eastAsia="es-MX"/>
              </w:rPr>
              <w:t>13.58</w:t>
            </w:r>
          </w:p>
        </w:tc>
      </w:tr>
      <w:tr w:rsidR="00F87642" w:rsidRPr="0051243A" w14:paraId="315E714E" w14:textId="77777777" w:rsidTr="000F3860">
        <w:trPr>
          <w:trHeight w:val="215"/>
        </w:trPr>
        <w:tc>
          <w:tcPr>
            <w:tcW w:w="1136" w:type="pct"/>
            <w:vMerge/>
            <w:vAlign w:val="center"/>
            <w:hideMark/>
          </w:tcPr>
          <w:p w14:paraId="6EB22EFE" w14:textId="77777777" w:rsidR="00D50578" w:rsidRPr="000F3860" w:rsidRDefault="00D50578" w:rsidP="000F3860">
            <w:pPr>
              <w:spacing w:before="0" w:after="0"/>
              <w:jc w:val="left"/>
              <w:rPr>
                <w:rFonts w:eastAsia="Times New Roman" w:cstheme="minorHAnsi"/>
                <w:color w:val="000000"/>
                <w:sz w:val="20"/>
                <w:szCs w:val="20"/>
                <w:lang w:eastAsia="es-MX"/>
              </w:rPr>
            </w:pPr>
          </w:p>
        </w:tc>
        <w:tc>
          <w:tcPr>
            <w:tcW w:w="1707" w:type="pct"/>
            <w:shd w:val="clear" w:color="000000" w:fill="FFFFFF"/>
            <w:vAlign w:val="center"/>
          </w:tcPr>
          <w:p w14:paraId="44C1B22C" w14:textId="6F6E72EC" w:rsidR="00D50578" w:rsidRPr="000F3860" w:rsidRDefault="0051243A" w:rsidP="000F3860">
            <w:pPr>
              <w:spacing w:before="0" w:after="0"/>
              <w:jc w:val="left"/>
              <w:rPr>
                <w:rFonts w:eastAsia="Times New Roman" w:cstheme="minorHAnsi"/>
                <w:color w:val="000000"/>
                <w:sz w:val="20"/>
                <w:szCs w:val="20"/>
                <w:lang w:eastAsia="es-MX"/>
              </w:rPr>
            </w:pPr>
            <w:r w:rsidRPr="0051243A">
              <w:rPr>
                <w:rFonts w:eastAsia="Calibri" w:cstheme="minorHAnsi"/>
                <w:sz w:val="20"/>
                <w:szCs w:val="20"/>
              </w:rPr>
              <w:t>Secretaría del Medio Ambiente y Recursos Naturales (</w:t>
            </w:r>
            <w:r w:rsidR="009A7620" w:rsidRPr="000F3860">
              <w:rPr>
                <w:rFonts w:eastAsia="Calibri" w:cstheme="minorHAnsi"/>
                <w:sz w:val="20"/>
                <w:szCs w:val="20"/>
              </w:rPr>
              <w:t>SEMARNATH</w:t>
            </w:r>
            <w:r w:rsidRPr="0051243A">
              <w:rPr>
                <w:rFonts w:eastAsia="Calibri" w:cstheme="minorHAnsi"/>
                <w:sz w:val="20"/>
                <w:szCs w:val="20"/>
              </w:rPr>
              <w:t>)</w:t>
            </w:r>
          </w:p>
        </w:tc>
        <w:tc>
          <w:tcPr>
            <w:tcW w:w="1480" w:type="pct"/>
            <w:shd w:val="clear" w:color="000000" w:fill="FFFFFF"/>
            <w:vAlign w:val="center"/>
            <w:hideMark/>
          </w:tcPr>
          <w:p w14:paraId="1BFD5C4C" w14:textId="3FCE0FCC" w:rsidR="00D50578" w:rsidRPr="000F3860" w:rsidRDefault="00D50578" w:rsidP="0051243A">
            <w:pPr>
              <w:spacing w:before="0" w:after="0"/>
              <w:rPr>
                <w:rFonts w:eastAsia="Times New Roman" w:cstheme="minorHAnsi"/>
                <w:color w:val="000000"/>
                <w:sz w:val="20"/>
                <w:szCs w:val="20"/>
                <w:lang w:eastAsia="es-MX"/>
              </w:rPr>
            </w:pPr>
            <w:bookmarkStart w:id="15" w:name="_Hlk56737530"/>
            <w:r w:rsidRPr="000F3860">
              <w:rPr>
                <w:rFonts w:eastAsia="Times New Roman" w:cstheme="minorHAnsi"/>
                <w:color w:val="000000"/>
                <w:sz w:val="20"/>
                <w:szCs w:val="20"/>
                <w:lang w:eastAsia="es-MX"/>
              </w:rPr>
              <w:t>K44-Inversión en Medio Ambiente y Recursos Naturales</w:t>
            </w:r>
            <w:bookmarkEnd w:id="15"/>
          </w:p>
        </w:tc>
        <w:tc>
          <w:tcPr>
            <w:tcW w:w="677" w:type="pct"/>
            <w:shd w:val="clear" w:color="auto" w:fill="auto"/>
            <w:noWrap/>
            <w:vAlign w:val="bottom"/>
            <w:hideMark/>
          </w:tcPr>
          <w:p w14:paraId="61CA8508" w14:textId="77777777" w:rsidR="00D50578" w:rsidRPr="000F3860" w:rsidRDefault="00D50578" w:rsidP="000F3860">
            <w:pPr>
              <w:spacing w:before="0" w:after="0"/>
              <w:jc w:val="right"/>
              <w:rPr>
                <w:rFonts w:eastAsia="Times New Roman" w:cstheme="minorHAnsi"/>
                <w:color w:val="000000"/>
                <w:sz w:val="20"/>
                <w:szCs w:val="20"/>
                <w:lang w:eastAsia="es-MX"/>
              </w:rPr>
            </w:pPr>
            <w:r w:rsidRPr="000F3860">
              <w:rPr>
                <w:rFonts w:eastAsia="Times New Roman" w:cstheme="minorHAnsi"/>
                <w:color w:val="000000"/>
                <w:sz w:val="20"/>
                <w:szCs w:val="20"/>
                <w:lang w:eastAsia="es-MX"/>
              </w:rPr>
              <w:t>2.51</w:t>
            </w:r>
          </w:p>
        </w:tc>
      </w:tr>
      <w:tr w:rsidR="00F87642" w:rsidRPr="0051243A" w14:paraId="0E984837" w14:textId="77777777" w:rsidTr="000F3860">
        <w:trPr>
          <w:trHeight w:val="123"/>
        </w:trPr>
        <w:tc>
          <w:tcPr>
            <w:tcW w:w="1136" w:type="pct"/>
            <w:vMerge/>
            <w:vAlign w:val="center"/>
            <w:hideMark/>
          </w:tcPr>
          <w:p w14:paraId="0F2D784F" w14:textId="77777777" w:rsidR="00D50578" w:rsidRPr="000F3860" w:rsidRDefault="00D50578" w:rsidP="000F3860">
            <w:pPr>
              <w:spacing w:before="0" w:after="0"/>
              <w:jc w:val="left"/>
              <w:rPr>
                <w:rFonts w:eastAsia="Times New Roman" w:cstheme="minorHAnsi"/>
                <w:color w:val="000000"/>
                <w:sz w:val="20"/>
                <w:szCs w:val="20"/>
                <w:lang w:eastAsia="es-MX"/>
              </w:rPr>
            </w:pPr>
          </w:p>
        </w:tc>
        <w:tc>
          <w:tcPr>
            <w:tcW w:w="1707" w:type="pct"/>
            <w:shd w:val="clear" w:color="000000" w:fill="FFFFFF"/>
            <w:vAlign w:val="center"/>
          </w:tcPr>
          <w:p w14:paraId="5E6D204D" w14:textId="048A3FAA" w:rsidR="00D50578" w:rsidRPr="000F3860" w:rsidRDefault="0051243A" w:rsidP="000F3860">
            <w:pPr>
              <w:spacing w:before="0" w:after="0"/>
              <w:jc w:val="left"/>
              <w:rPr>
                <w:rFonts w:eastAsia="Times New Roman" w:cstheme="minorHAnsi"/>
                <w:color w:val="000000"/>
                <w:sz w:val="20"/>
                <w:szCs w:val="20"/>
                <w:lang w:eastAsia="es-MX"/>
              </w:rPr>
            </w:pPr>
            <w:r w:rsidRPr="0051243A">
              <w:rPr>
                <w:rFonts w:eastAsia="Times New Roman" w:cstheme="minorHAnsi"/>
                <w:color w:val="000000"/>
                <w:sz w:val="20"/>
                <w:szCs w:val="20"/>
                <w:lang w:eastAsia="es-MX"/>
              </w:rPr>
              <w:t>Secretaría de Salud de Hidalgo (</w:t>
            </w:r>
            <w:r w:rsidR="009A7620" w:rsidRPr="0051243A">
              <w:rPr>
                <w:rFonts w:eastAsia="Times New Roman" w:cstheme="minorHAnsi"/>
                <w:color w:val="000000"/>
                <w:sz w:val="20"/>
                <w:szCs w:val="20"/>
                <w:lang w:eastAsia="es-MX"/>
              </w:rPr>
              <w:t>SSH</w:t>
            </w:r>
            <w:r w:rsidRPr="0051243A">
              <w:rPr>
                <w:rFonts w:eastAsia="Times New Roman" w:cstheme="minorHAnsi"/>
                <w:color w:val="000000"/>
                <w:sz w:val="20"/>
                <w:szCs w:val="20"/>
                <w:lang w:eastAsia="es-MX"/>
              </w:rPr>
              <w:t>)</w:t>
            </w:r>
          </w:p>
        </w:tc>
        <w:tc>
          <w:tcPr>
            <w:tcW w:w="1480" w:type="pct"/>
            <w:shd w:val="clear" w:color="000000" w:fill="FFFFFF"/>
            <w:vAlign w:val="center"/>
            <w:hideMark/>
          </w:tcPr>
          <w:p w14:paraId="277243F1" w14:textId="45DE43E6" w:rsidR="00D50578" w:rsidRPr="000F3860" w:rsidRDefault="00D50578" w:rsidP="0051243A">
            <w:pPr>
              <w:spacing w:before="0" w:after="0"/>
              <w:rPr>
                <w:rFonts w:eastAsia="Times New Roman" w:cstheme="minorHAnsi"/>
                <w:color w:val="000000"/>
                <w:sz w:val="20"/>
                <w:szCs w:val="20"/>
                <w:lang w:eastAsia="es-MX"/>
              </w:rPr>
            </w:pPr>
            <w:r w:rsidRPr="000F3860">
              <w:rPr>
                <w:rFonts w:eastAsia="Times New Roman" w:cstheme="minorHAnsi"/>
                <w:color w:val="000000"/>
                <w:sz w:val="20"/>
                <w:szCs w:val="20"/>
                <w:lang w:eastAsia="es-MX"/>
              </w:rPr>
              <w:t>K49-Inversión en Salud</w:t>
            </w:r>
          </w:p>
        </w:tc>
        <w:tc>
          <w:tcPr>
            <w:tcW w:w="677" w:type="pct"/>
            <w:shd w:val="clear" w:color="auto" w:fill="auto"/>
            <w:noWrap/>
            <w:vAlign w:val="bottom"/>
            <w:hideMark/>
          </w:tcPr>
          <w:p w14:paraId="65A53968" w14:textId="77777777" w:rsidR="00D50578" w:rsidRPr="000F3860" w:rsidRDefault="00D50578" w:rsidP="000F3860">
            <w:pPr>
              <w:spacing w:before="0" w:after="0"/>
              <w:jc w:val="right"/>
              <w:rPr>
                <w:rFonts w:eastAsia="Times New Roman" w:cstheme="minorHAnsi"/>
                <w:color w:val="000000"/>
                <w:sz w:val="20"/>
                <w:szCs w:val="20"/>
                <w:lang w:eastAsia="es-MX"/>
              </w:rPr>
            </w:pPr>
            <w:r w:rsidRPr="000F3860">
              <w:rPr>
                <w:rFonts w:eastAsia="Times New Roman" w:cstheme="minorHAnsi"/>
                <w:color w:val="000000"/>
                <w:sz w:val="20"/>
                <w:szCs w:val="20"/>
                <w:lang w:eastAsia="es-MX"/>
              </w:rPr>
              <w:t>19.89</w:t>
            </w:r>
          </w:p>
        </w:tc>
      </w:tr>
      <w:tr w:rsidR="00F87642" w:rsidRPr="0051243A" w14:paraId="0EFC5194" w14:textId="77777777" w:rsidTr="000F3860">
        <w:trPr>
          <w:trHeight w:val="323"/>
        </w:trPr>
        <w:tc>
          <w:tcPr>
            <w:tcW w:w="1136" w:type="pct"/>
            <w:vMerge/>
            <w:vAlign w:val="center"/>
            <w:hideMark/>
          </w:tcPr>
          <w:p w14:paraId="03171C02" w14:textId="77777777" w:rsidR="00D50578" w:rsidRPr="000F3860" w:rsidRDefault="00D50578" w:rsidP="000F3860">
            <w:pPr>
              <w:spacing w:before="0" w:after="0"/>
              <w:jc w:val="left"/>
              <w:rPr>
                <w:rFonts w:eastAsia="Times New Roman" w:cstheme="minorHAnsi"/>
                <w:color w:val="000000"/>
                <w:sz w:val="20"/>
                <w:szCs w:val="20"/>
                <w:lang w:eastAsia="es-MX"/>
              </w:rPr>
            </w:pPr>
          </w:p>
        </w:tc>
        <w:tc>
          <w:tcPr>
            <w:tcW w:w="1707" w:type="pct"/>
            <w:shd w:val="clear" w:color="000000" w:fill="FFFFFF"/>
            <w:vAlign w:val="center"/>
          </w:tcPr>
          <w:p w14:paraId="289A2AC8" w14:textId="70044B1B" w:rsidR="00D50578" w:rsidRPr="000F3860" w:rsidRDefault="0051243A" w:rsidP="000F3860">
            <w:pPr>
              <w:spacing w:before="0" w:after="0"/>
              <w:jc w:val="left"/>
              <w:rPr>
                <w:rFonts w:eastAsia="Times New Roman" w:cstheme="minorHAnsi"/>
                <w:color w:val="000000"/>
                <w:sz w:val="20"/>
                <w:szCs w:val="20"/>
                <w:lang w:eastAsia="es-MX"/>
              </w:rPr>
            </w:pPr>
            <w:r w:rsidRPr="000F3860">
              <w:rPr>
                <w:rFonts w:cstheme="minorHAnsi"/>
                <w:sz w:val="20"/>
                <w:szCs w:val="20"/>
              </w:rPr>
              <w:t xml:space="preserve"> </w:t>
            </w:r>
            <w:r w:rsidRPr="0051243A">
              <w:rPr>
                <w:rFonts w:eastAsia="Times New Roman" w:cstheme="minorHAnsi"/>
                <w:color w:val="000000"/>
                <w:sz w:val="20"/>
                <w:szCs w:val="20"/>
                <w:lang w:eastAsia="es-MX"/>
              </w:rPr>
              <w:t>Secretaría de Desarrollo Económico (SEDECOH)</w:t>
            </w:r>
          </w:p>
        </w:tc>
        <w:tc>
          <w:tcPr>
            <w:tcW w:w="1480" w:type="pct"/>
            <w:shd w:val="clear" w:color="000000" w:fill="FFFFFF"/>
            <w:vAlign w:val="center"/>
            <w:hideMark/>
          </w:tcPr>
          <w:p w14:paraId="5915E0C8" w14:textId="075DB689" w:rsidR="00D50578" w:rsidRPr="000F3860" w:rsidRDefault="00D50578" w:rsidP="0051243A">
            <w:pPr>
              <w:spacing w:before="0" w:after="0"/>
              <w:rPr>
                <w:rFonts w:eastAsia="Times New Roman" w:cstheme="minorHAnsi"/>
                <w:color w:val="000000"/>
                <w:sz w:val="20"/>
                <w:szCs w:val="20"/>
                <w:lang w:eastAsia="es-MX"/>
              </w:rPr>
            </w:pPr>
            <w:r w:rsidRPr="000F3860">
              <w:rPr>
                <w:rFonts w:eastAsia="Times New Roman" w:cstheme="minorHAnsi"/>
                <w:color w:val="000000"/>
                <w:sz w:val="20"/>
                <w:szCs w:val="20"/>
                <w:lang w:eastAsia="es-MX"/>
              </w:rPr>
              <w:t>K52-Fomento a Nuevas Inversiones Locales, Nacionales y Extranjeras</w:t>
            </w:r>
          </w:p>
        </w:tc>
        <w:tc>
          <w:tcPr>
            <w:tcW w:w="677" w:type="pct"/>
            <w:shd w:val="clear" w:color="auto" w:fill="auto"/>
            <w:noWrap/>
            <w:vAlign w:val="bottom"/>
            <w:hideMark/>
          </w:tcPr>
          <w:p w14:paraId="375D3D10" w14:textId="77777777" w:rsidR="00D50578" w:rsidRPr="000F3860" w:rsidRDefault="00D50578" w:rsidP="000F3860">
            <w:pPr>
              <w:spacing w:before="0" w:after="0"/>
              <w:jc w:val="right"/>
              <w:rPr>
                <w:rFonts w:eastAsia="Times New Roman" w:cstheme="minorHAnsi"/>
                <w:color w:val="000000"/>
                <w:sz w:val="20"/>
                <w:szCs w:val="20"/>
                <w:lang w:eastAsia="es-MX"/>
              </w:rPr>
            </w:pPr>
            <w:r w:rsidRPr="000F3860">
              <w:rPr>
                <w:rFonts w:eastAsia="Times New Roman" w:cstheme="minorHAnsi"/>
                <w:color w:val="000000"/>
                <w:sz w:val="20"/>
                <w:szCs w:val="20"/>
                <w:lang w:eastAsia="es-MX"/>
              </w:rPr>
              <w:t>0.52</w:t>
            </w:r>
          </w:p>
        </w:tc>
      </w:tr>
      <w:tr w:rsidR="00F87642" w:rsidRPr="0051243A" w14:paraId="34898F02" w14:textId="77777777" w:rsidTr="000F3860">
        <w:trPr>
          <w:trHeight w:val="123"/>
        </w:trPr>
        <w:tc>
          <w:tcPr>
            <w:tcW w:w="1136" w:type="pct"/>
            <w:vMerge/>
            <w:vAlign w:val="center"/>
            <w:hideMark/>
          </w:tcPr>
          <w:p w14:paraId="00D2482D" w14:textId="77777777" w:rsidR="00D50578" w:rsidRPr="000F3860" w:rsidRDefault="00D50578" w:rsidP="000F3860">
            <w:pPr>
              <w:spacing w:before="0" w:after="0"/>
              <w:jc w:val="left"/>
              <w:rPr>
                <w:rFonts w:eastAsia="Times New Roman" w:cstheme="minorHAnsi"/>
                <w:color w:val="000000"/>
                <w:sz w:val="20"/>
                <w:szCs w:val="20"/>
                <w:lang w:eastAsia="es-MX"/>
              </w:rPr>
            </w:pPr>
          </w:p>
        </w:tc>
        <w:tc>
          <w:tcPr>
            <w:tcW w:w="1707" w:type="pct"/>
            <w:shd w:val="clear" w:color="000000" w:fill="FFFFFF"/>
            <w:vAlign w:val="center"/>
          </w:tcPr>
          <w:p w14:paraId="1E279CAC" w14:textId="77777777" w:rsidR="00D50578" w:rsidRPr="000F3860" w:rsidRDefault="00D50578" w:rsidP="000F3860">
            <w:pPr>
              <w:spacing w:before="0" w:after="0"/>
              <w:jc w:val="left"/>
              <w:rPr>
                <w:rFonts w:eastAsia="Times New Roman" w:cstheme="minorHAnsi"/>
                <w:color w:val="000000"/>
                <w:sz w:val="20"/>
                <w:szCs w:val="20"/>
                <w:lang w:eastAsia="es-MX"/>
              </w:rPr>
            </w:pPr>
            <w:r w:rsidRPr="000F3860">
              <w:rPr>
                <w:rFonts w:eastAsia="Times New Roman" w:cstheme="minorHAnsi"/>
                <w:color w:val="000000"/>
                <w:sz w:val="20"/>
                <w:szCs w:val="20"/>
                <w:lang w:eastAsia="es-MX"/>
              </w:rPr>
              <w:t>Diferentes municipios</w:t>
            </w:r>
          </w:p>
        </w:tc>
        <w:tc>
          <w:tcPr>
            <w:tcW w:w="1480" w:type="pct"/>
            <w:shd w:val="clear" w:color="000000" w:fill="FFFFFF"/>
            <w:noWrap/>
            <w:vAlign w:val="center"/>
            <w:hideMark/>
          </w:tcPr>
          <w:p w14:paraId="015DDDE5" w14:textId="287A84F0" w:rsidR="00D50578" w:rsidRPr="000F3860" w:rsidRDefault="00D50578" w:rsidP="0051243A">
            <w:pPr>
              <w:spacing w:before="0" w:after="0"/>
              <w:rPr>
                <w:rFonts w:eastAsia="Times New Roman" w:cstheme="minorHAnsi"/>
                <w:color w:val="000000"/>
                <w:sz w:val="20"/>
                <w:szCs w:val="20"/>
                <w:lang w:eastAsia="es-MX"/>
              </w:rPr>
            </w:pPr>
            <w:r w:rsidRPr="000F3860">
              <w:rPr>
                <w:rFonts w:eastAsia="Times New Roman" w:cstheme="minorHAnsi"/>
                <w:color w:val="000000"/>
                <w:sz w:val="20"/>
                <w:szCs w:val="20"/>
                <w:lang w:eastAsia="es-MX"/>
              </w:rPr>
              <w:t>K53-Inversión en los Municipios</w:t>
            </w:r>
          </w:p>
        </w:tc>
        <w:tc>
          <w:tcPr>
            <w:tcW w:w="677" w:type="pct"/>
            <w:shd w:val="clear" w:color="auto" w:fill="auto"/>
            <w:noWrap/>
            <w:vAlign w:val="bottom"/>
            <w:hideMark/>
          </w:tcPr>
          <w:p w14:paraId="091638B1" w14:textId="77777777" w:rsidR="00D50578" w:rsidRPr="000F3860" w:rsidRDefault="00D50578" w:rsidP="000F3860">
            <w:pPr>
              <w:spacing w:before="0" w:after="0"/>
              <w:jc w:val="right"/>
              <w:rPr>
                <w:rFonts w:eastAsia="Times New Roman" w:cstheme="minorHAnsi"/>
                <w:color w:val="000000"/>
                <w:sz w:val="20"/>
                <w:szCs w:val="20"/>
                <w:lang w:eastAsia="es-MX"/>
              </w:rPr>
            </w:pPr>
            <w:r w:rsidRPr="000F3860">
              <w:rPr>
                <w:rFonts w:eastAsia="Times New Roman" w:cstheme="minorHAnsi"/>
                <w:color w:val="000000"/>
                <w:sz w:val="20"/>
                <w:szCs w:val="20"/>
                <w:lang w:eastAsia="es-MX"/>
              </w:rPr>
              <w:t>85.99</w:t>
            </w:r>
          </w:p>
        </w:tc>
      </w:tr>
      <w:tr w:rsidR="00F87642" w:rsidRPr="0051243A" w14:paraId="1136C275" w14:textId="77777777" w:rsidTr="000F3860">
        <w:trPr>
          <w:trHeight w:val="61"/>
        </w:trPr>
        <w:tc>
          <w:tcPr>
            <w:tcW w:w="1136" w:type="pct"/>
            <w:shd w:val="clear" w:color="000000" w:fill="FFFFFF"/>
            <w:vAlign w:val="center"/>
            <w:hideMark/>
          </w:tcPr>
          <w:p w14:paraId="0759C014" w14:textId="7F4AB297" w:rsidR="00D50578" w:rsidRPr="000F3860" w:rsidRDefault="00D50578" w:rsidP="000F3860">
            <w:pPr>
              <w:spacing w:before="0" w:after="0"/>
              <w:jc w:val="left"/>
              <w:rPr>
                <w:rFonts w:eastAsia="Times New Roman" w:cstheme="minorHAnsi"/>
                <w:color w:val="000000"/>
                <w:sz w:val="20"/>
                <w:szCs w:val="20"/>
                <w:lang w:eastAsia="es-MX"/>
              </w:rPr>
            </w:pPr>
            <w:r w:rsidRPr="000F3860">
              <w:rPr>
                <w:rFonts w:eastAsia="Times New Roman" w:cstheme="minorHAnsi"/>
                <w:color w:val="000000"/>
                <w:sz w:val="20"/>
                <w:szCs w:val="20"/>
                <w:lang w:eastAsia="es-MX"/>
              </w:rPr>
              <w:t>III.</w:t>
            </w:r>
            <w:r w:rsidR="003105A8" w:rsidRPr="000F3860">
              <w:rPr>
                <w:rFonts w:eastAsia="Times New Roman" w:cstheme="minorHAnsi"/>
                <w:color w:val="000000"/>
                <w:sz w:val="20"/>
                <w:szCs w:val="20"/>
                <w:lang w:eastAsia="es-MX"/>
              </w:rPr>
              <w:t xml:space="preserve"> </w:t>
            </w:r>
            <w:r w:rsidRPr="000F3860">
              <w:rPr>
                <w:rFonts w:eastAsia="Times New Roman" w:cstheme="minorHAnsi"/>
                <w:color w:val="000000"/>
                <w:sz w:val="20"/>
                <w:szCs w:val="20"/>
                <w:lang w:eastAsia="es-MX"/>
              </w:rPr>
              <w:t>Saneamiento financiero</w:t>
            </w:r>
          </w:p>
        </w:tc>
        <w:tc>
          <w:tcPr>
            <w:tcW w:w="1707" w:type="pct"/>
            <w:shd w:val="clear" w:color="000000" w:fill="FFFFFF"/>
            <w:vAlign w:val="center"/>
          </w:tcPr>
          <w:p w14:paraId="5B015D2D" w14:textId="559D7E89" w:rsidR="00D50578" w:rsidRPr="000F3860" w:rsidRDefault="00D50578" w:rsidP="000F3860">
            <w:pPr>
              <w:spacing w:before="0" w:after="0"/>
              <w:jc w:val="left"/>
              <w:rPr>
                <w:rFonts w:eastAsia="Times New Roman" w:cstheme="minorHAnsi"/>
                <w:color w:val="000000"/>
                <w:sz w:val="20"/>
                <w:szCs w:val="20"/>
                <w:lang w:eastAsia="es-MX"/>
              </w:rPr>
            </w:pPr>
            <w:r w:rsidRPr="000F3860">
              <w:rPr>
                <w:rFonts w:eastAsia="Times New Roman" w:cstheme="minorHAnsi"/>
                <w:color w:val="000000"/>
                <w:sz w:val="20"/>
                <w:szCs w:val="20"/>
                <w:lang w:eastAsia="es-MX"/>
              </w:rPr>
              <w:t>Coordinación de Planeación Financiera</w:t>
            </w:r>
          </w:p>
        </w:tc>
        <w:tc>
          <w:tcPr>
            <w:tcW w:w="1480" w:type="pct"/>
            <w:shd w:val="clear" w:color="000000" w:fill="FFFFFF"/>
            <w:vAlign w:val="center"/>
            <w:hideMark/>
          </w:tcPr>
          <w:p w14:paraId="0DE524AA" w14:textId="268EA945" w:rsidR="00D50578" w:rsidRPr="000F3860" w:rsidRDefault="00D50578" w:rsidP="0051243A">
            <w:pPr>
              <w:spacing w:before="0" w:after="0"/>
              <w:rPr>
                <w:rFonts w:eastAsia="Times New Roman" w:cstheme="minorHAnsi"/>
                <w:color w:val="000000"/>
                <w:sz w:val="20"/>
                <w:szCs w:val="20"/>
                <w:lang w:eastAsia="es-MX"/>
              </w:rPr>
            </w:pPr>
            <w:r w:rsidRPr="000F3860">
              <w:rPr>
                <w:rFonts w:eastAsia="Times New Roman" w:cstheme="minorHAnsi"/>
                <w:color w:val="000000"/>
                <w:sz w:val="20"/>
                <w:szCs w:val="20"/>
                <w:lang w:eastAsia="es-MX"/>
              </w:rPr>
              <w:t>D02-Deuda</w:t>
            </w:r>
          </w:p>
        </w:tc>
        <w:tc>
          <w:tcPr>
            <w:tcW w:w="677" w:type="pct"/>
            <w:shd w:val="clear" w:color="auto" w:fill="auto"/>
            <w:noWrap/>
            <w:vAlign w:val="bottom"/>
            <w:hideMark/>
          </w:tcPr>
          <w:p w14:paraId="2ABC347F" w14:textId="77777777" w:rsidR="00D50578" w:rsidRPr="000F3860" w:rsidRDefault="00D50578" w:rsidP="000F3860">
            <w:pPr>
              <w:spacing w:before="0" w:after="0"/>
              <w:jc w:val="right"/>
              <w:rPr>
                <w:rFonts w:eastAsia="Times New Roman" w:cstheme="minorHAnsi"/>
                <w:color w:val="000000"/>
                <w:sz w:val="20"/>
                <w:szCs w:val="20"/>
                <w:lang w:eastAsia="es-MX"/>
              </w:rPr>
            </w:pPr>
            <w:r w:rsidRPr="000F3860">
              <w:rPr>
                <w:rFonts w:eastAsia="Times New Roman" w:cstheme="minorHAnsi"/>
                <w:color w:val="000000"/>
                <w:sz w:val="20"/>
                <w:szCs w:val="20"/>
                <w:lang w:eastAsia="es-MX"/>
              </w:rPr>
              <w:t>250.78</w:t>
            </w:r>
          </w:p>
        </w:tc>
      </w:tr>
      <w:tr w:rsidR="00F87642" w:rsidRPr="0051243A" w14:paraId="222760A1" w14:textId="77777777" w:rsidTr="000F3860">
        <w:trPr>
          <w:trHeight w:val="249"/>
        </w:trPr>
        <w:tc>
          <w:tcPr>
            <w:tcW w:w="1136" w:type="pct"/>
            <w:shd w:val="clear" w:color="000000" w:fill="FFFFFF"/>
            <w:vAlign w:val="center"/>
            <w:hideMark/>
          </w:tcPr>
          <w:p w14:paraId="7CCEBF91" w14:textId="23FE7927" w:rsidR="00D50578" w:rsidRPr="000F3860" w:rsidRDefault="00D50578" w:rsidP="000F3860">
            <w:pPr>
              <w:spacing w:before="0" w:after="0"/>
              <w:jc w:val="left"/>
              <w:rPr>
                <w:rFonts w:eastAsia="Times New Roman" w:cstheme="minorHAnsi"/>
                <w:color w:val="000000"/>
                <w:sz w:val="20"/>
                <w:szCs w:val="20"/>
                <w:lang w:eastAsia="es-MX"/>
              </w:rPr>
            </w:pPr>
            <w:r w:rsidRPr="000F3860">
              <w:rPr>
                <w:rFonts w:eastAsia="Times New Roman" w:cstheme="minorHAnsi"/>
                <w:color w:val="000000"/>
                <w:sz w:val="20"/>
                <w:szCs w:val="20"/>
                <w:lang w:eastAsia="es-MX"/>
              </w:rPr>
              <w:lastRenderedPageBreak/>
              <w:t>IV. Modernización de los registros públicos de la propiedad y del comercio locales</w:t>
            </w:r>
          </w:p>
        </w:tc>
        <w:tc>
          <w:tcPr>
            <w:tcW w:w="1707" w:type="pct"/>
            <w:shd w:val="clear" w:color="000000" w:fill="FFFFFF"/>
            <w:vAlign w:val="center"/>
          </w:tcPr>
          <w:p w14:paraId="32498270" w14:textId="43EE8BAB" w:rsidR="00D50578" w:rsidRPr="000F3860" w:rsidRDefault="00D50578" w:rsidP="000F3860">
            <w:pPr>
              <w:spacing w:before="0" w:after="0"/>
              <w:jc w:val="left"/>
              <w:rPr>
                <w:rFonts w:eastAsia="Times New Roman" w:cstheme="minorHAnsi"/>
                <w:color w:val="000000"/>
                <w:sz w:val="20"/>
                <w:szCs w:val="20"/>
                <w:lang w:eastAsia="es-MX"/>
              </w:rPr>
            </w:pPr>
            <w:r w:rsidRPr="000F3860">
              <w:rPr>
                <w:rFonts w:eastAsia="Times New Roman" w:cstheme="minorHAnsi"/>
                <w:color w:val="000000"/>
                <w:sz w:val="20"/>
                <w:szCs w:val="20"/>
                <w:lang w:eastAsia="es-MX"/>
              </w:rPr>
              <w:t>Secretaría de Gobierno</w:t>
            </w:r>
            <w:r w:rsidR="00062093">
              <w:rPr>
                <w:rFonts w:eastAsia="Times New Roman" w:cstheme="minorHAnsi"/>
                <w:color w:val="000000"/>
                <w:sz w:val="20"/>
                <w:szCs w:val="20"/>
                <w:lang w:eastAsia="es-MX"/>
              </w:rPr>
              <w:t>- Instituto de la Función Registral</w:t>
            </w:r>
          </w:p>
        </w:tc>
        <w:tc>
          <w:tcPr>
            <w:tcW w:w="1480" w:type="pct"/>
            <w:shd w:val="clear" w:color="000000" w:fill="FFFFFF"/>
            <w:vAlign w:val="center"/>
            <w:hideMark/>
          </w:tcPr>
          <w:p w14:paraId="40F5B01A" w14:textId="0F78E584" w:rsidR="00D50578" w:rsidRPr="000F3860" w:rsidRDefault="00D50578" w:rsidP="0051243A">
            <w:pPr>
              <w:spacing w:before="0" w:after="0"/>
              <w:rPr>
                <w:rFonts w:eastAsia="Times New Roman" w:cstheme="minorHAnsi"/>
                <w:color w:val="000000"/>
                <w:sz w:val="20"/>
                <w:szCs w:val="20"/>
                <w:lang w:eastAsia="es-MX"/>
              </w:rPr>
            </w:pPr>
            <w:r w:rsidRPr="000F3860">
              <w:rPr>
                <w:rFonts w:eastAsia="Times New Roman" w:cstheme="minorHAnsi"/>
                <w:color w:val="000000"/>
                <w:sz w:val="20"/>
                <w:szCs w:val="20"/>
                <w:lang w:eastAsia="es-MX"/>
              </w:rPr>
              <w:t>K15-Inversión para el Fortalecimiento de la Gobernabilidad Democrática y Gobernanza</w:t>
            </w:r>
          </w:p>
        </w:tc>
        <w:tc>
          <w:tcPr>
            <w:tcW w:w="677" w:type="pct"/>
            <w:shd w:val="clear" w:color="auto" w:fill="auto"/>
            <w:noWrap/>
            <w:vAlign w:val="bottom"/>
            <w:hideMark/>
          </w:tcPr>
          <w:p w14:paraId="2C71BB33" w14:textId="77777777" w:rsidR="00D50578" w:rsidRPr="000F3860" w:rsidRDefault="00D50578" w:rsidP="000F3860">
            <w:pPr>
              <w:spacing w:before="0" w:after="0"/>
              <w:jc w:val="right"/>
              <w:rPr>
                <w:rFonts w:eastAsia="Times New Roman" w:cstheme="minorHAnsi"/>
                <w:color w:val="000000"/>
                <w:sz w:val="20"/>
                <w:szCs w:val="20"/>
                <w:lang w:eastAsia="es-MX"/>
              </w:rPr>
            </w:pPr>
            <w:r w:rsidRPr="000F3860">
              <w:rPr>
                <w:rFonts w:eastAsia="Times New Roman" w:cstheme="minorHAnsi"/>
                <w:color w:val="000000"/>
                <w:sz w:val="20"/>
                <w:szCs w:val="20"/>
                <w:lang w:eastAsia="es-MX"/>
              </w:rPr>
              <w:t>9.98</w:t>
            </w:r>
          </w:p>
        </w:tc>
      </w:tr>
      <w:tr w:rsidR="00F87642" w:rsidRPr="0051243A" w14:paraId="102E8EAE" w14:textId="77777777" w:rsidTr="000F3860">
        <w:trPr>
          <w:trHeight w:val="123"/>
        </w:trPr>
        <w:tc>
          <w:tcPr>
            <w:tcW w:w="1136" w:type="pct"/>
            <w:shd w:val="clear" w:color="000000" w:fill="FFFFFF"/>
            <w:vAlign w:val="center"/>
            <w:hideMark/>
          </w:tcPr>
          <w:p w14:paraId="5BB2D6CE" w14:textId="2C099F65" w:rsidR="00D50578" w:rsidRPr="000F3860" w:rsidRDefault="00D50578" w:rsidP="000F3860">
            <w:pPr>
              <w:spacing w:before="0" w:after="0"/>
              <w:jc w:val="left"/>
              <w:rPr>
                <w:rFonts w:eastAsia="Times New Roman" w:cstheme="minorHAnsi"/>
                <w:color w:val="000000"/>
                <w:sz w:val="20"/>
                <w:szCs w:val="20"/>
                <w:lang w:eastAsia="es-MX"/>
              </w:rPr>
            </w:pPr>
            <w:r w:rsidRPr="000F3860">
              <w:rPr>
                <w:rFonts w:eastAsia="Times New Roman" w:cstheme="minorHAnsi"/>
                <w:color w:val="000000"/>
                <w:sz w:val="20"/>
                <w:szCs w:val="20"/>
                <w:lang w:eastAsia="es-MX"/>
              </w:rPr>
              <w:t xml:space="preserve">VIII. </w:t>
            </w:r>
            <w:r w:rsidR="00092EE0" w:rsidRPr="0051243A">
              <w:rPr>
                <w:rFonts w:eastAsia="Times New Roman" w:cstheme="minorHAnsi"/>
                <w:color w:val="000000"/>
                <w:sz w:val="20"/>
                <w:szCs w:val="20"/>
                <w:lang w:eastAsia="es-MX"/>
              </w:rPr>
              <w:t>Apoyos a la educación</w:t>
            </w:r>
          </w:p>
        </w:tc>
        <w:tc>
          <w:tcPr>
            <w:tcW w:w="1707" w:type="pct"/>
            <w:shd w:val="clear" w:color="000000" w:fill="FFFFFF"/>
            <w:vAlign w:val="center"/>
          </w:tcPr>
          <w:p w14:paraId="192EFDE4" w14:textId="0834A024" w:rsidR="00D50578" w:rsidRPr="000F3860" w:rsidRDefault="0051243A" w:rsidP="000F3860">
            <w:pPr>
              <w:spacing w:before="0" w:after="0"/>
              <w:jc w:val="left"/>
              <w:rPr>
                <w:rFonts w:eastAsia="Times New Roman" w:cstheme="minorHAnsi"/>
                <w:color w:val="000000"/>
                <w:sz w:val="20"/>
                <w:szCs w:val="20"/>
                <w:lang w:eastAsia="es-MX"/>
              </w:rPr>
            </w:pPr>
            <w:r w:rsidRPr="0051243A">
              <w:rPr>
                <w:rFonts w:eastAsia="Calibri" w:cstheme="minorHAnsi"/>
                <w:sz w:val="20"/>
                <w:szCs w:val="20"/>
              </w:rPr>
              <w:t>SEPH</w:t>
            </w:r>
          </w:p>
        </w:tc>
        <w:tc>
          <w:tcPr>
            <w:tcW w:w="1480" w:type="pct"/>
            <w:shd w:val="clear" w:color="000000" w:fill="FFFFFF"/>
            <w:vAlign w:val="center"/>
            <w:hideMark/>
          </w:tcPr>
          <w:p w14:paraId="2A308BF8" w14:textId="49DF0678" w:rsidR="00D50578" w:rsidRPr="000F3860" w:rsidRDefault="00D50578" w:rsidP="0051243A">
            <w:pPr>
              <w:spacing w:before="0" w:after="0"/>
              <w:rPr>
                <w:rFonts w:eastAsia="Times New Roman" w:cstheme="minorHAnsi"/>
                <w:color w:val="000000"/>
                <w:sz w:val="20"/>
                <w:szCs w:val="20"/>
                <w:lang w:eastAsia="es-MX"/>
              </w:rPr>
            </w:pPr>
            <w:r w:rsidRPr="000F3860">
              <w:rPr>
                <w:rFonts w:eastAsia="Times New Roman" w:cstheme="minorHAnsi"/>
                <w:color w:val="000000"/>
                <w:sz w:val="20"/>
                <w:szCs w:val="20"/>
                <w:lang w:eastAsia="es-MX"/>
              </w:rPr>
              <w:t>K35-</w:t>
            </w:r>
            <w:r w:rsidR="003105A8" w:rsidRPr="000F3860">
              <w:rPr>
                <w:rFonts w:eastAsia="Times New Roman" w:cstheme="minorHAnsi"/>
                <w:color w:val="000000"/>
                <w:sz w:val="20"/>
                <w:szCs w:val="20"/>
                <w:lang w:eastAsia="es-MX"/>
              </w:rPr>
              <w:t>B</w:t>
            </w:r>
            <w:r w:rsidRPr="000F3860">
              <w:rPr>
                <w:rFonts w:eastAsia="Times New Roman" w:cstheme="minorHAnsi"/>
                <w:color w:val="000000"/>
                <w:sz w:val="20"/>
                <w:szCs w:val="20"/>
                <w:lang w:eastAsia="es-MX"/>
              </w:rPr>
              <w:t>ecas para la Educación</w:t>
            </w:r>
          </w:p>
        </w:tc>
        <w:tc>
          <w:tcPr>
            <w:tcW w:w="677" w:type="pct"/>
            <w:shd w:val="clear" w:color="auto" w:fill="auto"/>
            <w:noWrap/>
            <w:vAlign w:val="bottom"/>
            <w:hideMark/>
          </w:tcPr>
          <w:p w14:paraId="237665DD" w14:textId="77777777" w:rsidR="00D50578" w:rsidRPr="000F3860" w:rsidRDefault="00D50578" w:rsidP="000F3860">
            <w:pPr>
              <w:spacing w:before="0" w:after="0"/>
              <w:jc w:val="right"/>
              <w:rPr>
                <w:rFonts w:eastAsia="Times New Roman" w:cstheme="minorHAnsi"/>
                <w:color w:val="000000"/>
                <w:sz w:val="20"/>
                <w:szCs w:val="20"/>
                <w:lang w:eastAsia="es-MX"/>
              </w:rPr>
            </w:pPr>
            <w:r w:rsidRPr="000F3860">
              <w:rPr>
                <w:rFonts w:eastAsia="Times New Roman" w:cstheme="minorHAnsi"/>
                <w:color w:val="000000"/>
                <w:sz w:val="20"/>
                <w:szCs w:val="20"/>
                <w:lang w:eastAsia="es-MX"/>
              </w:rPr>
              <w:t>97.00</w:t>
            </w:r>
          </w:p>
        </w:tc>
      </w:tr>
      <w:tr w:rsidR="006667AA" w:rsidRPr="0051243A" w14:paraId="781D82E1" w14:textId="532F33B9" w:rsidTr="000F3860">
        <w:trPr>
          <w:trHeight w:val="123"/>
        </w:trPr>
        <w:tc>
          <w:tcPr>
            <w:tcW w:w="4323" w:type="pct"/>
            <w:gridSpan w:val="3"/>
            <w:shd w:val="clear" w:color="auto" w:fill="auto"/>
          </w:tcPr>
          <w:p w14:paraId="76460AE9" w14:textId="4D5F4E9E" w:rsidR="003105A8" w:rsidRPr="000F3860" w:rsidRDefault="003105A8" w:rsidP="000F3860">
            <w:pPr>
              <w:spacing w:before="0" w:after="0"/>
              <w:jc w:val="left"/>
              <w:rPr>
                <w:rFonts w:eastAsia="Times New Roman" w:cstheme="minorHAnsi"/>
                <w:b/>
                <w:bCs/>
                <w:color w:val="000000"/>
                <w:sz w:val="20"/>
                <w:szCs w:val="20"/>
                <w:lang w:eastAsia="es-MX"/>
              </w:rPr>
            </w:pPr>
            <w:r w:rsidRPr="000F3860">
              <w:rPr>
                <w:rFonts w:eastAsia="Times New Roman" w:cstheme="minorHAnsi"/>
                <w:b/>
                <w:bCs/>
                <w:color w:val="000000"/>
                <w:sz w:val="20"/>
                <w:szCs w:val="20"/>
                <w:lang w:eastAsia="es-MX"/>
              </w:rPr>
              <w:t>Total</w:t>
            </w:r>
          </w:p>
        </w:tc>
        <w:tc>
          <w:tcPr>
            <w:tcW w:w="677" w:type="pct"/>
            <w:shd w:val="clear" w:color="auto" w:fill="auto"/>
            <w:vAlign w:val="bottom"/>
          </w:tcPr>
          <w:p w14:paraId="54E0122D" w14:textId="5D166DC6" w:rsidR="003105A8" w:rsidRPr="000F3860" w:rsidRDefault="003105A8" w:rsidP="0051243A">
            <w:pPr>
              <w:spacing w:before="0" w:after="0"/>
              <w:jc w:val="right"/>
              <w:rPr>
                <w:rFonts w:eastAsia="Times New Roman" w:cstheme="minorHAnsi"/>
                <w:b/>
                <w:bCs/>
                <w:color w:val="000000"/>
                <w:sz w:val="20"/>
                <w:szCs w:val="20"/>
                <w:lang w:eastAsia="es-MX"/>
              </w:rPr>
            </w:pPr>
            <w:r w:rsidRPr="000F3860">
              <w:rPr>
                <w:rFonts w:eastAsia="Times New Roman" w:cstheme="minorHAnsi"/>
                <w:b/>
                <w:bCs/>
                <w:color w:val="000000"/>
                <w:sz w:val="20"/>
                <w:szCs w:val="20"/>
                <w:lang w:eastAsia="es-MX"/>
              </w:rPr>
              <w:t>1,029.73</w:t>
            </w:r>
          </w:p>
        </w:tc>
      </w:tr>
    </w:tbl>
    <w:p w14:paraId="614B1FFE" w14:textId="7E6FD9FF" w:rsidR="00A1771F" w:rsidRDefault="00A1771F" w:rsidP="006564D3">
      <w:pPr>
        <w:pStyle w:val="Textonotapie"/>
      </w:pPr>
      <w:r w:rsidRPr="00A1771F">
        <w:rPr>
          <w:vertAlign w:val="superscript"/>
        </w:rPr>
        <w:t>1</w:t>
      </w:r>
      <w:r>
        <w:t>/Mdp: Millones de pesos.</w:t>
      </w:r>
    </w:p>
    <w:p w14:paraId="089EBE9F" w14:textId="275ACBDA" w:rsidR="00B95F30" w:rsidRPr="00BF19F9" w:rsidRDefault="00B95F30" w:rsidP="006564D3">
      <w:pPr>
        <w:pStyle w:val="Textonotapie"/>
      </w:pPr>
      <w:r w:rsidRPr="00BF19F9">
        <w:t>Fuente: Elaboración propia con información proporcionada por la SFP</w:t>
      </w:r>
      <w:r w:rsidR="00EE07C9">
        <w:t xml:space="preserve">, PEDH 2016-2022, </w:t>
      </w:r>
      <w:r w:rsidR="004028FC">
        <w:t>MIR de los Programas Presupuestarios 2018</w:t>
      </w:r>
      <w:r w:rsidR="004028FC">
        <w:rPr>
          <w:rStyle w:val="Refdenotaalpie"/>
        </w:rPr>
        <w:footnoteReference w:id="6"/>
      </w:r>
      <w:r w:rsidR="004028FC">
        <w:t xml:space="preserve"> </w:t>
      </w:r>
      <w:r w:rsidR="00EE07C9">
        <w:t>y</w:t>
      </w:r>
      <w:r w:rsidR="00DC6AA6">
        <w:t xml:space="preserve"> </w:t>
      </w:r>
      <w:r w:rsidR="00EE07C9">
        <w:t>Clasificación Programática 2018</w:t>
      </w:r>
      <w:r w:rsidRPr="00BF19F9">
        <w:t>.</w:t>
      </w:r>
    </w:p>
    <w:p w14:paraId="28D329B2" w14:textId="505CD61A" w:rsidR="00D404B8" w:rsidRDefault="00DD43C1" w:rsidP="00104F90">
      <w:r w:rsidRPr="00DD43C1">
        <w:t>Derivado de Aspectos Susceptibles de Mejora, de las evaluaciones específicas de desempeño 2014 y 2015 que se realizaron al FAFEF</w:t>
      </w:r>
      <w:r>
        <w:t xml:space="preserve"> en la entidad</w:t>
      </w:r>
      <w:r w:rsidR="00DB18FD">
        <w:t xml:space="preserve"> federativa</w:t>
      </w:r>
      <w:r w:rsidRPr="00DD43C1">
        <w:t xml:space="preserve">, se crea una MIR Estatal </w:t>
      </w:r>
      <w:r w:rsidR="00FC4AC6">
        <w:t>específica para el Fondo en</w:t>
      </w:r>
      <w:r w:rsidRPr="00DD43C1">
        <w:t xml:space="preserve"> el ejercicio 2018</w:t>
      </w:r>
      <w:r>
        <w:t xml:space="preserve">, cuyo resumen narrativo </w:t>
      </w:r>
      <w:r w:rsidR="00771D80">
        <w:t xml:space="preserve">y su vinculación con la MIR federal del Fondo, </w:t>
      </w:r>
      <w:r>
        <w:t xml:space="preserve">se resume en el siguiente </w:t>
      </w:r>
      <w:r w:rsidR="00771D80">
        <w:t>C</w:t>
      </w:r>
      <w:r>
        <w:t>uadro.</w:t>
      </w:r>
    </w:p>
    <w:p w14:paraId="068A85D2" w14:textId="148E798A" w:rsidR="00DD43C1" w:rsidRPr="00D84175" w:rsidRDefault="00DD43C1" w:rsidP="003C38C1">
      <w:pPr>
        <w:pStyle w:val="Cuadro"/>
        <w:keepNext/>
        <w:rPr>
          <w:i/>
          <w:iCs/>
        </w:rPr>
      </w:pPr>
      <w:bookmarkStart w:id="16" w:name="_Toc44878925"/>
      <w:bookmarkStart w:id="17" w:name="_Toc56741056"/>
      <w:r w:rsidRPr="00D84175">
        <w:t xml:space="preserve">Cuadro </w:t>
      </w:r>
      <w:r w:rsidR="00EE43A5">
        <w:t>3</w:t>
      </w:r>
      <w:r>
        <w:t xml:space="preserve">. </w:t>
      </w:r>
      <w:r w:rsidRPr="00D84175">
        <w:t xml:space="preserve">Resumen narrativo de la MIR federal del FAFEF y </w:t>
      </w:r>
      <w:r w:rsidRPr="004B3567">
        <w:t>de la MIR estatal para el FAFEF 2018</w:t>
      </w:r>
      <w:bookmarkEnd w:id="16"/>
      <w:bookmarkEnd w:id="17"/>
    </w:p>
    <w:tbl>
      <w:tblPr>
        <w:tblStyle w:val="Sombreadoclaro-nfasis51"/>
        <w:tblW w:w="5045" w:type="pct"/>
        <w:tblLayout w:type="fixed"/>
        <w:tblLook w:val="04A0" w:firstRow="1" w:lastRow="0" w:firstColumn="1" w:lastColumn="0" w:noHBand="0" w:noVBand="1"/>
      </w:tblPr>
      <w:tblGrid>
        <w:gridCol w:w="1377"/>
        <w:gridCol w:w="8448"/>
        <w:gridCol w:w="225"/>
        <w:gridCol w:w="12"/>
      </w:tblGrid>
      <w:tr w:rsidR="00DD43C1" w:rsidRPr="000F4372" w14:paraId="2B5FF34E" w14:textId="77777777" w:rsidTr="004B3567">
        <w:trPr>
          <w:gridAfter w:val="1"/>
          <w:cnfStyle w:val="100000000000" w:firstRow="1" w:lastRow="0" w:firstColumn="0" w:lastColumn="0" w:oddVBand="0" w:evenVBand="0" w:oddHBand="0" w:evenHBand="0" w:firstRowFirstColumn="0" w:firstRowLastColumn="0" w:lastRowFirstColumn="0" w:lastRowLastColumn="0"/>
          <w:wAfter w:w="6" w:type="pct"/>
          <w:trHeight w:val="73"/>
          <w:tblHeader/>
        </w:trPr>
        <w:tc>
          <w:tcPr>
            <w:cnfStyle w:val="001000000000" w:firstRow="0" w:lastRow="0" w:firstColumn="1" w:lastColumn="0" w:oddVBand="0" w:evenVBand="0" w:oddHBand="0" w:evenHBand="0" w:firstRowFirstColumn="0" w:firstRowLastColumn="0" w:lastRowFirstColumn="0" w:lastRowLastColumn="0"/>
            <w:tcW w:w="4994" w:type="pct"/>
            <w:gridSpan w:val="3"/>
            <w:tcBorders>
              <w:top w:val="single" w:sz="4" w:space="0" w:color="auto"/>
              <w:bottom w:val="nil"/>
            </w:tcBorders>
            <w:shd w:val="clear" w:color="auto" w:fill="9CC2E5"/>
          </w:tcPr>
          <w:p w14:paraId="0B3C8250" w14:textId="77777777" w:rsidR="00DD43C1" w:rsidRPr="00D062DF" w:rsidRDefault="00DD43C1" w:rsidP="00254E22">
            <w:pPr>
              <w:spacing w:before="0" w:after="0"/>
              <w:jc w:val="center"/>
            </w:pPr>
            <w:r w:rsidRPr="00D062DF">
              <w:rPr>
                <w:color w:val="auto"/>
              </w:rPr>
              <w:t xml:space="preserve">Resumen narrativo </w:t>
            </w:r>
          </w:p>
        </w:tc>
      </w:tr>
      <w:tr w:rsidR="00DD43C1" w:rsidRPr="000F4372" w14:paraId="496FFA6F" w14:textId="77777777" w:rsidTr="003C38C1">
        <w:trPr>
          <w:gridAfter w:val="1"/>
          <w:cnfStyle w:val="000000100000" w:firstRow="0" w:lastRow="0" w:firstColumn="0" w:lastColumn="0" w:oddVBand="0" w:evenVBand="0" w:oddHBand="1" w:evenHBand="0" w:firstRowFirstColumn="0" w:firstRowLastColumn="0" w:lastRowFirstColumn="0" w:lastRowLastColumn="0"/>
          <w:wAfter w:w="6" w:type="pct"/>
          <w:trHeight w:val="69"/>
        </w:trPr>
        <w:tc>
          <w:tcPr>
            <w:cnfStyle w:val="001000000000" w:firstRow="0" w:lastRow="0" w:firstColumn="1" w:lastColumn="0" w:oddVBand="0" w:evenVBand="0" w:oddHBand="0" w:evenHBand="0" w:firstRowFirstColumn="0" w:firstRowLastColumn="0" w:lastRowFirstColumn="0" w:lastRowLastColumn="0"/>
            <w:tcW w:w="4994" w:type="pct"/>
            <w:gridSpan w:val="3"/>
            <w:tcBorders>
              <w:top w:val="nil"/>
              <w:bottom w:val="nil"/>
            </w:tcBorders>
            <w:shd w:val="clear" w:color="auto" w:fill="auto"/>
          </w:tcPr>
          <w:p w14:paraId="1B05D2AD" w14:textId="77777777" w:rsidR="00DD43C1" w:rsidRPr="000F4372" w:rsidRDefault="00DD43C1" w:rsidP="00254E22">
            <w:pPr>
              <w:spacing w:before="0" w:after="0"/>
              <w:jc w:val="center"/>
            </w:pPr>
            <w:r w:rsidRPr="0099361C">
              <w:rPr>
                <w:color w:val="auto"/>
              </w:rPr>
              <w:t>MIR federal del FAFEF</w:t>
            </w:r>
          </w:p>
        </w:tc>
      </w:tr>
      <w:tr w:rsidR="00DD43C1" w:rsidRPr="000F4372" w14:paraId="7FEE02D0" w14:textId="77777777" w:rsidTr="003C38C1">
        <w:trPr>
          <w:gridAfter w:val="1"/>
          <w:wAfter w:w="6" w:type="pct"/>
          <w:trHeight w:val="69"/>
        </w:trPr>
        <w:tc>
          <w:tcPr>
            <w:cnfStyle w:val="001000000000" w:firstRow="0" w:lastRow="0" w:firstColumn="1" w:lastColumn="0" w:oddVBand="0" w:evenVBand="0" w:oddHBand="0" w:evenHBand="0" w:firstRowFirstColumn="0" w:firstRowLastColumn="0" w:lastRowFirstColumn="0" w:lastRowLastColumn="0"/>
            <w:tcW w:w="684" w:type="pct"/>
            <w:tcBorders>
              <w:top w:val="nil"/>
              <w:bottom w:val="nil"/>
            </w:tcBorders>
            <w:shd w:val="clear" w:color="auto" w:fill="9CC2E5" w:themeFill="accent1" w:themeFillTint="99"/>
          </w:tcPr>
          <w:p w14:paraId="67E74804" w14:textId="77777777" w:rsidR="00DD43C1" w:rsidRPr="00295806" w:rsidRDefault="00DD43C1" w:rsidP="00254E22">
            <w:pPr>
              <w:spacing w:before="0" w:after="0"/>
              <w:jc w:val="left"/>
              <w:rPr>
                <w:color w:val="auto"/>
              </w:rPr>
            </w:pPr>
            <w:r w:rsidRPr="00295806">
              <w:rPr>
                <w:color w:val="auto"/>
              </w:rPr>
              <w:t xml:space="preserve">Fin </w:t>
            </w:r>
          </w:p>
        </w:tc>
        <w:tc>
          <w:tcPr>
            <w:tcW w:w="4309" w:type="pct"/>
            <w:gridSpan w:val="2"/>
            <w:tcBorders>
              <w:top w:val="nil"/>
            </w:tcBorders>
            <w:shd w:val="clear" w:color="auto" w:fill="9CC2E5" w:themeFill="accent1" w:themeFillTint="99"/>
          </w:tcPr>
          <w:p w14:paraId="2EC2BD89" w14:textId="77777777" w:rsidR="00DD43C1" w:rsidRPr="00295806" w:rsidRDefault="00DD43C1" w:rsidP="00254E22">
            <w:pPr>
              <w:spacing w:before="0" w:after="0" w:line="259" w:lineRule="auto"/>
              <w:cnfStyle w:val="000000000000" w:firstRow="0" w:lastRow="0" w:firstColumn="0" w:lastColumn="0" w:oddVBand="0" w:evenVBand="0" w:oddHBand="0" w:evenHBand="0" w:firstRowFirstColumn="0" w:firstRowLastColumn="0" w:lastRowFirstColumn="0" w:lastRowLastColumn="0"/>
              <w:rPr>
                <w:rFonts w:eastAsia="Calibri" w:cs="Times New Roman"/>
                <w:color w:val="auto"/>
              </w:rPr>
            </w:pPr>
            <w:r w:rsidRPr="00295806">
              <w:rPr>
                <w:rFonts w:eastAsia="Calibri" w:cs="Times New Roman"/>
                <w:color w:val="auto"/>
              </w:rPr>
              <w:t>Contribuir a impulsar el fortalecimiento del federalismo fiscal para que las Entidades Federativas y Municipios puedan lograr y preserva el equilibrio de sus finanzas públicas, mediante la optimización en la aplicación de los recursos públicos federales transferidos.</w:t>
            </w:r>
          </w:p>
        </w:tc>
      </w:tr>
      <w:tr w:rsidR="00DD43C1" w:rsidRPr="000F4372" w14:paraId="05B67B4E" w14:textId="77777777" w:rsidTr="004B3567">
        <w:trPr>
          <w:gridAfter w:val="1"/>
          <w:cnfStyle w:val="000000100000" w:firstRow="0" w:lastRow="0" w:firstColumn="0" w:lastColumn="0" w:oddVBand="0" w:evenVBand="0" w:oddHBand="1" w:evenHBand="0" w:firstRowFirstColumn="0" w:firstRowLastColumn="0" w:lastRowFirstColumn="0" w:lastRowLastColumn="0"/>
          <w:wAfter w:w="6" w:type="pct"/>
          <w:trHeight w:val="69"/>
        </w:trPr>
        <w:tc>
          <w:tcPr>
            <w:cnfStyle w:val="001000000000" w:firstRow="0" w:lastRow="0" w:firstColumn="1" w:lastColumn="0" w:oddVBand="0" w:evenVBand="0" w:oddHBand="0" w:evenHBand="0" w:firstRowFirstColumn="0" w:firstRowLastColumn="0" w:lastRowFirstColumn="0" w:lastRowLastColumn="0"/>
            <w:tcW w:w="684" w:type="pct"/>
            <w:tcBorders>
              <w:top w:val="nil"/>
              <w:bottom w:val="nil"/>
            </w:tcBorders>
            <w:shd w:val="clear" w:color="auto" w:fill="auto"/>
          </w:tcPr>
          <w:p w14:paraId="68EEE1CB" w14:textId="77777777" w:rsidR="00DD43C1" w:rsidRPr="0099361C" w:rsidRDefault="00DD43C1" w:rsidP="00254E22">
            <w:pPr>
              <w:spacing w:before="0" w:after="0"/>
              <w:jc w:val="left"/>
              <w:rPr>
                <w:color w:val="auto"/>
              </w:rPr>
            </w:pPr>
            <w:r w:rsidRPr="0099361C">
              <w:rPr>
                <w:color w:val="auto"/>
              </w:rPr>
              <w:t>Propósito</w:t>
            </w:r>
            <w:r>
              <w:rPr>
                <w:color w:val="auto"/>
              </w:rPr>
              <w:t xml:space="preserve"> </w:t>
            </w:r>
          </w:p>
        </w:tc>
        <w:tc>
          <w:tcPr>
            <w:tcW w:w="4309" w:type="pct"/>
            <w:gridSpan w:val="2"/>
            <w:vMerge w:val="restart"/>
            <w:tcBorders>
              <w:top w:val="nil"/>
            </w:tcBorders>
            <w:shd w:val="clear" w:color="auto" w:fill="auto"/>
          </w:tcPr>
          <w:p w14:paraId="2F5908E1" w14:textId="77777777" w:rsidR="00DD43C1" w:rsidRPr="00442B03" w:rsidRDefault="00DD43C1" w:rsidP="00254E22">
            <w:pPr>
              <w:spacing w:before="0" w:after="0" w:line="259" w:lineRule="auto"/>
              <w:cnfStyle w:val="000000100000" w:firstRow="0" w:lastRow="0" w:firstColumn="0" w:lastColumn="0" w:oddVBand="0" w:evenVBand="0" w:oddHBand="1" w:evenHBand="0" w:firstRowFirstColumn="0" w:firstRowLastColumn="0" w:lastRowFirstColumn="0" w:lastRowLastColumn="0"/>
              <w:rPr>
                <w:rFonts w:eastAsia="Calibri" w:cs="Times New Roman"/>
                <w:highlight w:val="lightGray"/>
              </w:rPr>
            </w:pPr>
            <w:r w:rsidRPr="00442B03">
              <w:rPr>
                <w:rFonts w:eastAsia="Calibri" w:cs="Times New Roman"/>
                <w:color w:val="auto"/>
              </w:rPr>
              <w:t>Las entidades federativas reciben la transferencia de recursos federales para el fortalecimiento de sus finanzas públicas estatales.</w:t>
            </w:r>
          </w:p>
        </w:tc>
      </w:tr>
      <w:tr w:rsidR="00DD43C1" w:rsidRPr="000F4372" w14:paraId="72907027" w14:textId="77777777" w:rsidTr="004B3567">
        <w:trPr>
          <w:gridAfter w:val="1"/>
          <w:wAfter w:w="6" w:type="pct"/>
          <w:trHeight w:val="69"/>
        </w:trPr>
        <w:tc>
          <w:tcPr>
            <w:cnfStyle w:val="001000000000" w:firstRow="0" w:lastRow="0" w:firstColumn="1" w:lastColumn="0" w:oddVBand="0" w:evenVBand="0" w:oddHBand="0" w:evenHBand="0" w:firstRowFirstColumn="0" w:firstRowLastColumn="0" w:lastRowFirstColumn="0" w:lastRowLastColumn="0"/>
            <w:tcW w:w="684" w:type="pct"/>
            <w:tcBorders>
              <w:top w:val="nil"/>
              <w:bottom w:val="nil"/>
            </w:tcBorders>
            <w:shd w:val="clear" w:color="auto" w:fill="auto"/>
          </w:tcPr>
          <w:p w14:paraId="44A51177" w14:textId="77777777" w:rsidR="00DD43C1" w:rsidRPr="0099361C" w:rsidRDefault="00DD43C1" w:rsidP="00254E22">
            <w:pPr>
              <w:spacing w:before="0" w:after="0"/>
              <w:jc w:val="left"/>
              <w:rPr>
                <w:color w:val="auto"/>
              </w:rPr>
            </w:pPr>
          </w:p>
        </w:tc>
        <w:tc>
          <w:tcPr>
            <w:tcW w:w="4309" w:type="pct"/>
            <w:gridSpan w:val="2"/>
            <w:vMerge/>
            <w:tcBorders>
              <w:bottom w:val="nil"/>
            </w:tcBorders>
            <w:shd w:val="clear" w:color="auto" w:fill="auto"/>
          </w:tcPr>
          <w:p w14:paraId="0B9BC991" w14:textId="77777777" w:rsidR="00DD43C1" w:rsidRPr="000F4372" w:rsidRDefault="00DD43C1" w:rsidP="00254E22">
            <w:pPr>
              <w:spacing w:before="0" w:after="0"/>
              <w:cnfStyle w:val="000000000000" w:firstRow="0" w:lastRow="0" w:firstColumn="0" w:lastColumn="0" w:oddVBand="0" w:evenVBand="0" w:oddHBand="0" w:evenHBand="0" w:firstRowFirstColumn="0" w:firstRowLastColumn="0" w:lastRowFirstColumn="0" w:lastRowLastColumn="0"/>
            </w:pPr>
          </w:p>
        </w:tc>
      </w:tr>
      <w:tr w:rsidR="00DD43C1" w:rsidRPr="000F4372" w14:paraId="26342AFF" w14:textId="77777777" w:rsidTr="008406F5">
        <w:trPr>
          <w:gridAfter w:val="1"/>
          <w:cnfStyle w:val="000000100000" w:firstRow="0" w:lastRow="0" w:firstColumn="0" w:lastColumn="0" w:oddVBand="0" w:evenVBand="0" w:oddHBand="1" w:evenHBand="0" w:firstRowFirstColumn="0" w:firstRowLastColumn="0" w:lastRowFirstColumn="0" w:lastRowLastColumn="0"/>
          <w:wAfter w:w="6" w:type="pct"/>
          <w:trHeight w:val="69"/>
        </w:trPr>
        <w:tc>
          <w:tcPr>
            <w:cnfStyle w:val="001000000000" w:firstRow="0" w:lastRow="0" w:firstColumn="1" w:lastColumn="0" w:oddVBand="0" w:evenVBand="0" w:oddHBand="0" w:evenHBand="0" w:firstRowFirstColumn="0" w:firstRowLastColumn="0" w:lastRowFirstColumn="0" w:lastRowLastColumn="0"/>
            <w:tcW w:w="684" w:type="pct"/>
            <w:tcBorders>
              <w:top w:val="nil"/>
              <w:bottom w:val="nil"/>
            </w:tcBorders>
            <w:shd w:val="clear" w:color="auto" w:fill="9CC2E5" w:themeFill="accent1" w:themeFillTint="99"/>
          </w:tcPr>
          <w:p w14:paraId="2A2B7604" w14:textId="77777777" w:rsidR="00DD43C1" w:rsidRPr="0099361C" w:rsidRDefault="00DD43C1" w:rsidP="00254E22">
            <w:pPr>
              <w:spacing w:before="0" w:after="0"/>
              <w:jc w:val="left"/>
              <w:rPr>
                <w:color w:val="auto"/>
              </w:rPr>
            </w:pPr>
            <w:r w:rsidRPr="0099361C">
              <w:rPr>
                <w:color w:val="auto"/>
              </w:rPr>
              <w:t>Componente</w:t>
            </w:r>
          </w:p>
        </w:tc>
        <w:tc>
          <w:tcPr>
            <w:tcW w:w="4309" w:type="pct"/>
            <w:gridSpan w:val="2"/>
            <w:tcBorders>
              <w:top w:val="nil"/>
              <w:bottom w:val="nil"/>
            </w:tcBorders>
            <w:shd w:val="clear" w:color="auto" w:fill="9CC2E5" w:themeFill="accent1" w:themeFillTint="99"/>
          </w:tcPr>
          <w:p w14:paraId="605B3604" w14:textId="77777777" w:rsidR="00DD43C1" w:rsidRPr="00442B03" w:rsidRDefault="00DD43C1" w:rsidP="00254E22">
            <w:pPr>
              <w:spacing w:before="0" w:after="0" w:line="259" w:lineRule="auto"/>
              <w:cnfStyle w:val="000000100000" w:firstRow="0" w:lastRow="0" w:firstColumn="0" w:lastColumn="0" w:oddVBand="0" w:evenVBand="0" w:oddHBand="1" w:evenHBand="0" w:firstRowFirstColumn="0" w:firstRowLastColumn="0" w:lastRowFirstColumn="0" w:lastRowLastColumn="0"/>
              <w:rPr>
                <w:rFonts w:eastAsia="Calibri" w:cs="Times New Roman"/>
              </w:rPr>
            </w:pPr>
            <w:r w:rsidRPr="00442B03">
              <w:rPr>
                <w:rFonts w:eastAsia="Calibri" w:cs="Times New Roman"/>
                <w:color w:val="auto"/>
              </w:rPr>
              <w:t>Recursos federales transferidos a las entidades federativas aplicados en los destinos de gasto establecidos en la Ley de Coordinación Fiscal.</w:t>
            </w:r>
          </w:p>
        </w:tc>
      </w:tr>
      <w:tr w:rsidR="00DD43C1" w:rsidRPr="000F4372" w14:paraId="72C49F9C" w14:textId="77777777" w:rsidTr="004B3567">
        <w:trPr>
          <w:gridAfter w:val="1"/>
          <w:wAfter w:w="6" w:type="pct"/>
          <w:trHeight w:val="69"/>
        </w:trPr>
        <w:tc>
          <w:tcPr>
            <w:cnfStyle w:val="001000000000" w:firstRow="0" w:lastRow="0" w:firstColumn="1" w:lastColumn="0" w:oddVBand="0" w:evenVBand="0" w:oddHBand="0" w:evenHBand="0" w:firstRowFirstColumn="0" w:firstRowLastColumn="0" w:lastRowFirstColumn="0" w:lastRowLastColumn="0"/>
            <w:tcW w:w="684" w:type="pct"/>
            <w:tcBorders>
              <w:top w:val="nil"/>
              <w:bottom w:val="nil"/>
            </w:tcBorders>
            <w:shd w:val="clear" w:color="auto" w:fill="auto"/>
          </w:tcPr>
          <w:p w14:paraId="3A622F8F" w14:textId="77777777" w:rsidR="00DD43C1" w:rsidRPr="0099361C" w:rsidRDefault="00DD43C1" w:rsidP="00254E22">
            <w:pPr>
              <w:spacing w:before="0" w:after="0"/>
              <w:jc w:val="left"/>
              <w:rPr>
                <w:color w:val="auto"/>
              </w:rPr>
            </w:pPr>
            <w:r w:rsidRPr="0099361C">
              <w:rPr>
                <w:color w:val="auto"/>
              </w:rPr>
              <w:t>Actividad</w:t>
            </w:r>
          </w:p>
        </w:tc>
        <w:tc>
          <w:tcPr>
            <w:tcW w:w="4309" w:type="pct"/>
            <w:gridSpan w:val="2"/>
            <w:tcBorders>
              <w:top w:val="nil"/>
              <w:bottom w:val="nil"/>
            </w:tcBorders>
            <w:shd w:val="clear" w:color="auto" w:fill="auto"/>
          </w:tcPr>
          <w:p w14:paraId="63C76042" w14:textId="77777777" w:rsidR="00DD43C1" w:rsidRPr="0099361C" w:rsidRDefault="00DD43C1" w:rsidP="00254E22">
            <w:pPr>
              <w:spacing w:before="0" w:after="0" w:line="259" w:lineRule="auto"/>
              <w:cnfStyle w:val="000000000000" w:firstRow="0" w:lastRow="0" w:firstColumn="0" w:lastColumn="0" w:oddVBand="0" w:evenVBand="0" w:oddHBand="0" w:evenHBand="0" w:firstRowFirstColumn="0" w:firstRowLastColumn="0" w:lastRowFirstColumn="0" w:lastRowLastColumn="0"/>
              <w:rPr>
                <w:rFonts w:eastAsia="Calibri" w:cs="Times New Roman"/>
                <w:highlight w:val="lightGray"/>
              </w:rPr>
            </w:pPr>
            <w:r w:rsidRPr="0099361C">
              <w:rPr>
                <w:rFonts w:eastAsia="Calibri" w:cs="Times New Roman"/>
                <w:color w:val="auto"/>
              </w:rPr>
              <w:t>Aplicación de los recursos federales transferidos a las entidades federativas, en los destinos de gasto establecidos en la Ley de Coordinación Fiscal.</w:t>
            </w:r>
          </w:p>
        </w:tc>
      </w:tr>
      <w:tr w:rsidR="00DD43C1" w:rsidRPr="000F4372" w14:paraId="4540B07F" w14:textId="77777777" w:rsidTr="004B3567">
        <w:trPr>
          <w:gridAfter w:val="1"/>
          <w:cnfStyle w:val="000000100000" w:firstRow="0" w:lastRow="0" w:firstColumn="0" w:lastColumn="0" w:oddVBand="0" w:evenVBand="0" w:oddHBand="1" w:evenHBand="0" w:firstRowFirstColumn="0" w:firstRowLastColumn="0" w:lastRowFirstColumn="0" w:lastRowLastColumn="0"/>
          <w:wAfter w:w="6" w:type="pct"/>
          <w:trHeight w:val="69"/>
        </w:trPr>
        <w:tc>
          <w:tcPr>
            <w:cnfStyle w:val="001000000000" w:firstRow="0" w:lastRow="0" w:firstColumn="1" w:lastColumn="0" w:oddVBand="0" w:evenVBand="0" w:oddHBand="0" w:evenHBand="0" w:firstRowFirstColumn="0" w:firstRowLastColumn="0" w:lastRowFirstColumn="0" w:lastRowLastColumn="0"/>
            <w:tcW w:w="4994" w:type="pct"/>
            <w:gridSpan w:val="3"/>
            <w:tcBorders>
              <w:top w:val="nil"/>
              <w:bottom w:val="nil"/>
            </w:tcBorders>
            <w:shd w:val="clear" w:color="auto" w:fill="9CC2E5"/>
          </w:tcPr>
          <w:p w14:paraId="7C2C297E" w14:textId="7E27028B" w:rsidR="00DD43C1" w:rsidRPr="00442B03" w:rsidRDefault="00DD43C1" w:rsidP="00254E22">
            <w:pPr>
              <w:spacing w:before="0" w:after="0"/>
              <w:jc w:val="center"/>
            </w:pPr>
            <w:r w:rsidRPr="00442B03">
              <w:rPr>
                <w:color w:val="auto"/>
              </w:rPr>
              <w:t xml:space="preserve">MIR </w:t>
            </w:r>
            <w:r>
              <w:rPr>
                <w:color w:val="auto"/>
              </w:rPr>
              <w:t>estatal</w:t>
            </w:r>
          </w:p>
        </w:tc>
      </w:tr>
      <w:tr w:rsidR="00DD43C1" w:rsidRPr="000F4372" w14:paraId="14CADB8C" w14:textId="77777777" w:rsidTr="004B3567">
        <w:trPr>
          <w:gridAfter w:val="1"/>
          <w:wAfter w:w="6" w:type="pct"/>
          <w:trHeight w:val="69"/>
        </w:trPr>
        <w:tc>
          <w:tcPr>
            <w:cnfStyle w:val="001000000000" w:firstRow="0" w:lastRow="0" w:firstColumn="1" w:lastColumn="0" w:oddVBand="0" w:evenVBand="0" w:oddHBand="0" w:evenHBand="0" w:firstRowFirstColumn="0" w:firstRowLastColumn="0" w:lastRowFirstColumn="0" w:lastRowLastColumn="0"/>
            <w:tcW w:w="684" w:type="pct"/>
            <w:tcBorders>
              <w:top w:val="nil"/>
              <w:bottom w:val="nil"/>
            </w:tcBorders>
            <w:shd w:val="clear" w:color="auto" w:fill="auto"/>
          </w:tcPr>
          <w:p w14:paraId="5DBFDD5D" w14:textId="77777777" w:rsidR="00DD43C1" w:rsidRPr="00D062DF" w:rsidRDefault="00DD43C1" w:rsidP="00254E22">
            <w:pPr>
              <w:spacing w:before="0" w:after="0"/>
              <w:jc w:val="left"/>
              <w:rPr>
                <w:color w:val="auto"/>
              </w:rPr>
            </w:pPr>
            <w:r w:rsidRPr="00D062DF">
              <w:rPr>
                <w:color w:val="auto"/>
              </w:rPr>
              <w:t>Fin</w:t>
            </w:r>
          </w:p>
        </w:tc>
        <w:tc>
          <w:tcPr>
            <w:tcW w:w="4309" w:type="pct"/>
            <w:gridSpan w:val="2"/>
            <w:tcBorders>
              <w:top w:val="nil"/>
              <w:bottom w:val="nil"/>
            </w:tcBorders>
            <w:shd w:val="clear" w:color="auto" w:fill="auto"/>
          </w:tcPr>
          <w:p w14:paraId="249C21D6" w14:textId="69E9A41C" w:rsidR="00DD43C1" w:rsidRPr="00D062DF" w:rsidRDefault="00DD43C1" w:rsidP="00DD43C1">
            <w:pPr>
              <w:spacing w:before="0" w:after="0" w:line="259" w:lineRule="auto"/>
              <w:cnfStyle w:val="000000000000" w:firstRow="0" w:lastRow="0" w:firstColumn="0" w:lastColumn="0" w:oddVBand="0" w:evenVBand="0" w:oddHBand="0" w:evenHBand="0" w:firstRowFirstColumn="0" w:firstRowLastColumn="0" w:lastRowFirstColumn="0" w:lastRowLastColumn="0"/>
            </w:pPr>
            <w:r w:rsidRPr="00DD43C1">
              <w:rPr>
                <w:rFonts w:eastAsia="Calibri" w:cs="Times New Roman"/>
                <w:color w:val="auto"/>
              </w:rPr>
              <w:t>Contribuir al fortalecimiento del presupuesto ejercido en Hidalgo mediante la ejecución de proyectos de inversión pública viables con recursos del fondo de aportaciones para el</w:t>
            </w:r>
            <w:r w:rsidR="001F563B">
              <w:rPr>
                <w:rFonts w:eastAsia="Calibri" w:cs="Times New Roman"/>
                <w:color w:val="auto"/>
              </w:rPr>
              <w:t xml:space="preserve"> </w:t>
            </w:r>
            <w:r w:rsidRPr="00DD43C1">
              <w:rPr>
                <w:rFonts w:eastAsia="Calibri" w:cs="Times New Roman"/>
                <w:color w:val="auto"/>
              </w:rPr>
              <w:t>Fortalecimiento de las entidades federativas (</w:t>
            </w:r>
            <w:r>
              <w:rPr>
                <w:rFonts w:eastAsia="Calibri" w:cs="Times New Roman"/>
                <w:color w:val="auto"/>
              </w:rPr>
              <w:t>FAFEF</w:t>
            </w:r>
            <w:r w:rsidRPr="00DD43C1">
              <w:rPr>
                <w:rFonts w:eastAsia="Calibri" w:cs="Times New Roman"/>
                <w:color w:val="auto"/>
              </w:rPr>
              <w:t>)</w:t>
            </w:r>
            <w:r>
              <w:rPr>
                <w:rFonts w:eastAsia="Calibri" w:cs="Times New Roman"/>
                <w:color w:val="auto"/>
              </w:rPr>
              <w:t>.</w:t>
            </w:r>
          </w:p>
        </w:tc>
      </w:tr>
      <w:tr w:rsidR="00DD43C1" w:rsidRPr="000F4372" w14:paraId="34C8AB3B" w14:textId="77777777" w:rsidTr="008406F5">
        <w:trPr>
          <w:gridAfter w:val="1"/>
          <w:cnfStyle w:val="000000100000" w:firstRow="0" w:lastRow="0" w:firstColumn="0" w:lastColumn="0" w:oddVBand="0" w:evenVBand="0" w:oddHBand="1" w:evenHBand="0" w:firstRowFirstColumn="0" w:firstRowLastColumn="0" w:lastRowFirstColumn="0" w:lastRowLastColumn="0"/>
          <w:wAfter w:w="6" w:type="pct"/>
          <w:trHeight w:val="112"/>
        </w:trPr>
        <w:tc>
          <w:tcPr>
            <w:cnfStyle w:val="001000000000" w:firstRow="0" w:lastRow="0" w:firstColumn="1" w:lastColumn="0" w:oddVBand="0" w:evenVBand="0" w:oddHBand="0" w:evenHBand="0" w:firstRowFirstColumn="0" w:firstRowLastColumn="0" w:lastRowFirstColumn="0" w:lastRowLastColumn="0"/>
            <w:tcW w:w="684" w:type="pct"/>
            <w:tcBorders>
              <w:top w:val="nil"/>
              <w:bottom w:val="nil"/>
            </w:tcBorders>
            <w:shd w:val="clear" w:color="auto" w:fill="9CC2E5" w:themeFill="accent1" w:themeFillTint="99"/>
          </w:tcPr>
          <w:p w14:paraId="4555444E" w14:textId="77777777" w:rsidR="00DD43C1" w:rsidRPr="00D062DF" w:rsidRDefault="00DD43C1" w:rsidP="00254E22">
            <w:pPr>
              <w:spacing w:before="0" w:after="0"/>
              <w:jc w:val="left"/>
            </w:pPr>
            <w:r w:rsidRPr="00D062DF">
              <w:rPr>
                <w:color w:val="auto"/>
              </w:rPr>
              <w:t>Propósito</w:t>
            </w:r>
          </w:p>
        </w:tc>
        <w:tc>
          <w:tcPr>
            <w:tcW w:w="4309" w:type="pct"/>
            <w:gridSpan w:val="2"/>
            <w:tcBorders>
              <w:top w:val="nil"/>
              <w:bottom w:val="nil"/>
            </w:tcBorders>
            <w:shd w:val="clear" w:color="auto" w:fill="9CC2E5" w:themeFill="accent1" w:themeFillTint="99"/>
          </w:tcPr>
          <w:p w14:paraId="732A31E2" w14:textId="7BE86B05" w:rsidR="00DD43C1" w:rsidRPr="00D062DF" w:rsidRDefault="00DD43C1" w:rsidP="00DD43C1">
            <w:pPr>
              <w:spacing w:before="0" w:after="0"/>
              <w:cnfStyle w:val="000000100000" w:firstRow="0" w:lastRow="0" w:firstColumn="0" w:lastColumn="0" w:oddVBand="0" w:evenVBand="0" w:oddHBand="1" w:evenHBand="0" w:firstRowFirstColumn="0" w:firstRowLastColumn="0" w:lastRowFirstColumn="0" w:lastRowLastColumn="0"/>
              <w:rPr>
                <w:color w:val="auto"/>
              </w:rPr>
            </w:pPr>
            <w:r w:rsidRPr="00DD43C1">
              <w:rPr>
                <w:color w:val="auto"/>
              </w:rPr>
              <w:t>Municipios hidalguenses se</w:t>
            </w:r>
            <w:r>
              <w:rPr>
                <w:color w:val="auto"/>
              </w:rPr>
              <w:t xml:space="preserve"> </w:t>
            </w:r>
            <w:r w:rsidRPr="00DD43C1">
              <w:rPr>
                <w:color w:val="auto"/>
              </w:rPr>
              <w:t>fortalecen con la inversión en</w:t>
            </w:r>
            <w:r>
              <w:rPr>
                <w:color w:val="auto"/>
              </w:rPr>
              <w:t xml:space="preserve"> </w:t>
            </w:r>
            <w:r w:rsidRPr="00DD43C1">
              <w:rPr>
                <w:color w:val="auto"/>
              </w:rPr>
              <w:t>obras y proyectos financiados</w:t>
            </w:r>
            <w:r w:rsidR="001F563B">
              <w:rPr>
                <w:color w:val="auto"/>
              </w:rPr>
              <w:t xml:space="preserve"> c</w:t>
            </w:r>
            <w:r w:rsidRPr="00DD43C1">
              <w:rPr>
                <w:color w:val="auto"/>
              </w:rPr>
              <w:t>on recursos del FAFEF</w:t>
            </w:r>
            <w:r>
              <w:rPr>
                <w:color w:val="auto"/>
              </w:rPr>
              <w:t>.</w:t>
            </w:r>
          </w:p>
        </w:tc>
      </w:tr>
      <w:tr w:rsidR="00DD43C1" w:rsidRPr="000F4372" w14:paraId="6B5D2030" w14:textId="77777777" w:rsidTr="004B3567">
        <w:trPr>
          <w:gridAfter w:val="1"/>
          <w:wAfter w:w="6" w:type="pct"/>
          <w:trHeight w:val="44"/>
        </w:trPr>
        <w:tc>
          <w:tcPr>
            <w:cnfStyle w:val="001000000000" w:firstRow="0" w:lastRow="0" w:firstColumn="1" w:lastColumn="0" w:oddVBand="0" w:evenVBand="0" w:oddHBand="0" w:evenHBand="0" w:firstRowFirstColumn="0" w:firstRowLastColumn="0" w:lastRowFirstColumn="0" w:lastRowLastColumn="0"/>
            <w:tcW w:w="684" w:type="pct"/>
            <w:tcBorders>
              <w:top w:val="nil"/>
              <w:bottom w:val="nil"/>
            </w:tcBorders>
            <w:shd w:val="clear" w:color="auto" w:fill="auto"/>
            <w:vAlign w:val="center"/>
          </w:tcPr>
          <w:p w14:paraId="115DC14A" w14:textId="77777777" w:rsidR="00DD43C1" w:rsidRPr="000F4372" w:rsidRDefault="00DD43C1" w:rsidP="00254E22">
            <w:pPr>
              <w:spacing w:before="0" w:after="0"/>
              <w:jc w:val="center"/>
              <w:rPr>
                <w:b w:val="0"/>
                <w:bCs w:val="0"/>
                <w:color w:val="auto"/>
              </w:rPr>
            </w:pPr>
            <w:r w:rsidRPr="00D062DF">
              <w:rPr>
                <w:color w:val="auto"/>
              </w:rPr>
              <w:t>Componente</w:t>
            </w:r>
          </w:p>
          <w:p w14:paraId="54CCF8F7" w14:textId="77777777" w:rsidR="00DD43C1" w:rsidRPr="00D062DF" w:rsidRDefault="00DD43C1" w:rsidP="00254E22">
            <w:pPr>
              <w:spacing w:before="0" w:after="0"/>
              <w:jc w:val="left"/>
            </w:pPr>
          </w:p>
        </w:tc>
        <w:tc>
          <w:tcPr>
            <w:tcW w:w="4309" w:type="pct"/>
            <w:gridSpan w:val="2"/>
            <w:tcBorders>
              <w:top w:val="nil"/>
              <w:bottom w:val="nil"/>
            </w:tcBorders>
            <w:shd w:val="clear" w:color="auto" w:fill="auto"/>
          </w:tcPr>
          <w:p w14:paraId="6B39A583" w14:textId="117113C8" w:rsidR="00DD43C1" w:rsidRPr="00015F6A" w:rsidRDefault="00DD43C1" w:rsidP="00515CAC">
            <w:pPr>
              <w:pStyle w:val="Prrafodelista"/>
              <w:numPr>
                <w:ilvl w:val="0"/>
                <w:numId w:val="9"/>
              </w:numPr>
              <w:spacing w:before="0" w:after="0"/>
              <w:cnfStyle w:val="000000000000" w:firstRow="0" w:lastRow="0" w:firstColumn="0" w:lastColumn="0" w:oddVBand="0" w:evenVBand="0" w:oddHBand="0" w:evenHBand="0" w:firstRowFirstColumn="0" w:firstRowLastColumn="0" w:lastRowFirstColumn="0" w:lastRowLastColumn="0"/>
            </w:pPr>
            <w:r w:rsidRPr="00015F6A">
              <w:rPr>
                <w:color w:val="000000" w:themeColor="text1"/>
              </w:rPr>
              <w:t>Proyectos de inversión destinados a infraestructura educativa ejecutados</w:t>
            </w:r>
            <w:r w:rsidR="00871F54">
              <w:rPr>
                <w:color w:val="000000" w:themeColor="text1"/>
              </w:rPr>
              <w:t>*</w:t>
            </w:r>
            <w:r w:rsidR="00015F6A">
              <w:rPr>
                <w:color w:val="000000" w:themeColor="text1"/>
              </w:rPr>
              <w:t>.</w:t>
            </w:r>
          </w:p>
          <w:p w14:paraId="4144699E" w14:textId="764F7EE7" w:rsidR="00015F6A" w:rsidRPr="00015F6A" w:rsidRDefault="00015F6A" w:rsidP="00515CAC">
            <w:pPr>
              <w:pStyle w:val="Prrafodelista"/>
              <w:numPr>
                <w:ilvl w:val="0"/>
                <w:numId w:val="9"/>
              </w:numPr>
              <w:spacing w:before="0" w:after="0"/>
              <w:cnfStyle w:val="000000000000" w:firstRow="0" w:lastRow="0" w:firstColumn="0" w:lastColumn="0" w:oddVBand="0" w:evenVBand="0" w:oddHBand="0" w:evenHBand="0" w:firstRowFirstColumn="0" w:firstRowLastColumn="0" w:lastRowFirstColumn="0" w:lastRowLastColumn="0"/>
              <w:rPr>
                <w:color w:val="000000" w:themeColor="text1"/>
              </w:rPr>
            </w:pPr>
            <w:r w:rsidRPr="00015F6A">
              <w:rPr>
                <w:color w:val="000000" w:themeColor="text1"/>
              </w:rPr>
              <w:t>Solvencia de la deuda pública ejecutada</w:t>
            </w:r>
          </w:p>
          <w:p w14:paraId="4A35D8EA" w14:textId="67A013DC" w:rsidR="00015F6A" w:rsidRPr="00015F6A" w:rsidRDefault="00015F6A" w:rsidP="00515CAC">
            <w:pPr>
              <w:pStyle w:val="Prrafodelista"/>
              <w:numPr>
                <w:ilvl w:val="0"/>
                <w:numId w:val="9"/>
              </w:numPr>
              <w:spacing w:before="0" w:after="0"/>
              <w:cnfStyle w:val="000000000000" w:firstRow="0" w:lastRow="0" w:firstColumn="0" w:lastColumn="0" w:oddVBand="0" w:evenVBand="0" w:oddHBand="0" w:evenHBand="0" w:firstRowFirstColumn="0" w:firstRowLastColumn="0" w:lastRowFirstColumn="0" w:lastRowLastColumn="0"/>
              <w:rPr>
                <w:color w:val="000000" w:themeColor="text1"/>
              </w:rPr>
            </w:pPr>
            <w:r w:rsidRPr="00015F6A">
              <w:rPr>
                <w:color w:val="000000" w:themeColor="text1"/>
              </w:rPr>
              <w:t>Proyectos de inversión destinados a la celebración de convenios ejecutados.</w:t>
            </w:r>
          </w:p>
          <w:p w14:paraId="67A358AD" w14:textId="0618CC2D" w:rsidR="00015F6A" w:rsidRPr="00015F6A" w:rsidRDefault="00015F6A" w:rsidP="00515CAC">
            <w:pPr>
              <w:pStyle w:val="Prrafodelista"/>
              <w:numPr>
                <w:ilvl w:val="0"/>
                <w:numId w:val="9"/>
              </w:numPr>
              <w:spacing w:before="0" w:after="0"/>
              <w:cnfStyle w:val="000000000000" w:firstRow="0" w:lastRow="0" w:firstColumn="0" w:lastColumn="0" w:oddVBand="0" w:evenVBand="0" w:oddHBand="0" w:evenHBand="0" w:firstRowFirstColumn="0" w:firstRowLastColumn="0" w:lastRowFirstColumn="0" w:lastRowLastColumn="0"/>
              <w:rPr>
                <w:color w:val="000000" w:themeColor="text1"/>
              </w:rPr>
            </w:pPr>
            <w:r w:rsidRPr="00015F6A">
              <w:rPr>
                <w:color w:val="000000" w:themeColor="text1"/>
              </w:rPr>
              <w:t>Infraestructura de atención gerontológica implementada.</w:t>
            </w:r>
          </w:p>
          <w:p w14:paraId="4C7AF651" w14:textId="3A108C17" w:rsidR="00015F6A" w:rsidRPr="00771D80" w:rsidRDefault="00015F6A" w:rsidP="00515CAC">
            <w:pPr>
              <w:pStyle w:val="Prrafodelista"/>
              <w:numPr>
                <w:ilvl w:val="0"/>
                <w:numId w:val="9"/>
              </w:numPr>
              <w:spacing w:before="0" w:after="0"/>
              <w:cnfStyle w:val="000000000000" w:firstRow="0" w:lastRow="0" w:firstColumn="0" w:lastColumn="0" w:oddVBand="0" w:evenVBand="0" w:oddHBand="0" w:evenHBand="0" w:firstRowFirstColumn="0" w:firstRowLastColumn="0" w:lastRowFirstColumn="0" w:lastRowLastColumn="0"/>
            </w:pPr>
            <w:r w:rsidRPr="00015F6A">
              <w:rPr>
                <w:color w:val="000000" w:themeColor="text1"/>
              </w:rPr>
              <w:t>Proyectos de inversión destinados al desarrollo y mejoramiento de vialidades urbanas ejecutados</w:t>
            </w:r>
            <w:r w:rsidR="00871F54">
              <w:rPr>
                <w:color w:val="000000" w:themeColor="text1"/>
              </w:rPr>
              <w:t>*</w:t>
            </w:r>
            <w:r w:rsidRPr="00015F6A">
              <w:rPr>
                <w:color w:val="000000" w:themeColor="text1"/>
              </w:rPr>
              <w:t>.</w:t>
            </w:r>
          </w:p>
          <w:p w14:paraId="08E1CCB2" w14:textId="27DB1D2F" w:rsidR="00771D80" w:rsidRDefault="00771D80" w:rsidP="00515CAC">
            <w:pPr>
              <w:pStyle w:val="Prrafodelista"/>
              <w:numPr>
                <w:ilvl w:val="0"/>
                <w:numId w:val="9"/>
              </w:numPr>
              <w:spacing w:before="0" w:after="0"/>
              <w:cnfStyle w:val="000000000000" w:firstRow="0" w:lastRow="0" w:firstColumn="0" w:lastColumn="0" w:oddVBand="0" w:evenVBand="0" w:oddHBand="0" w:evenHBand="0" w:firstRowFirstColumn="0" w:firstRowLastColumn="0" w:lastRowFirstColumn="0" w:lastRowLastColumn="0"/>
              <w:rPr>
                <w:color w:val="000000" w:themeColor="text1"/>
              </w:rPr>
            </w:pPr>
            <w:r w:rsidRPr="00771D80">
              <w:rPr>
                <w:color w:val="000000" w:themeColor="text1"/>
              </w:rPr>
              <w:t>Proyectos de inversión destinados al mejoramiento de la imagen urbana ejecutados</w:t>
            </w:r>
            <w:r w:rsidR="00871F54">
              <w:rPr>
                <w:color w:val="000000" w:themeColor="text1"/>
              </w:rPr>
              <w:t>*</w:t>
            </w:r>
            <w:r>
              <w:rPr>
                <w:color w:val="000000" w:themeColor="text1"/>
              </w:rPr>
              <w:t>.</w:t>
            </w:r>
          </w:p>
          <w:p w14:paraId="12ABA684" w14:textId="1BFB4AD9" w:rsidR="00771D80" w:rsidRPr="00771D80" w:rsidRDefault="005C40B5" w:rsidP="00515CAC">
            <w:pPr>
              <w:pStyle w:val="Prrafodelista"/>
              <w:numPr>
                <w:ilvl w:val="0"/>
                <w:numId w:val="9"/>
              </w:numPr>
              <w:spacing w:before="0" w:after="0"/>
              <w:cnfStyle w:val="000000000000" w:firstRow="0" w:lastRow="0" w:firstColumn="0" w:lastColumn="0" w:oddVBand="0" w:evenVBand="0" w:oddHBand="0" w:evenHBand="0" w:firstRowFirstColumn="0" w:firstRowLastColumn="0" w:lastRowFirstColumn="0" w:lastRowLastColumn="0"/>
              <w:rPr>
                <w:color w:val="000000" w:themeColor="text1"/>
              </w:rPr>
            </w:pPr>
            <w:r w:rsidRPr="00771D80">
              <w:rPr>
                <w:color w:val="000000" w:themeColor="text1"/>
              </w:rPr>
              <w:t>Proyectos de inversión</w:t>
            </w:r>
            <w:r w:rsidR="00771D80" w:rsidRPr="00771D80">
              <w:rPr>
                <w:color w:val="000000" w:themeColor="text1"/>
              </w:rPr>
              <w:t xml:space="preserve"> </w:t>
            </w:r>
            <w:r w:rsidRPr="00771D80">
              <w:rPr>
                <w:color w:val="000000" w:themeColor="text1"/>
              </w:rPr>
              <w:t>destinados al desarrollo de</w:t>
            </w:r>
            <w:r w:rsidR="00771D80" w:rsidRPr="00771D80">
              <w:rPr>
                <w:color w:val="000000" w:themeColor="text1"/>
              </w:rPr>
              <w:t xml:space="preserve"> </w:t>
            </w:r>
            <w:r w:rsidRPr="00771D80">
              <w:rPr>
                <w:color w:val="000000" w:themeColor="text1"/>
              </w:rPr>
              <w:t>infraestructura y servicios de</w:t>
            </w:r>
            <w:r w:rsidR="00771D80" w:rsidRPr="00771D80">
              <w:rPr>
                <w:color w:val="000000" w:themeColor="text1"/>
              </w:rPr>
              <w:t xml:space="preserve"> </w:t>
            </w:r>
            <w:r w:rsidRPr="00771D80">
              <w:rPr>
                <w:color w:val="000000" w:themeColor="text1"/>
              </w:rPr>
              <w:t>salud ejecutados</w:t>
            </w:r>
            <w:r w:rsidR="00871F54">
              <w:rPr>
                <w:color w:val="000000" w:themeColor="text1"/>
              </w:rPr>
              <w:t>*</w:t>
            </w:r>
            <w:r w:rsidRPr="00771D80">
              <w:rPr>
                <w:color w:val="000000" w:themeColor="text1"/>
              </w:rPr>
              <w:t>.</w:t>
            </w:r>
          </w:p>
          <w:p w14:paraId="25AB0AD3" w14:textId="12733835" w:rsidR="00015F6A" w:rsidRPr="005C40B5" w:rsidRDefault="005C40B5" w:rsidP="00515CAC">
            <w:pPr>
              <w:pStyle w:val="Prrafodelista"/>
              <w:numPr>
                <w:ilvl w:val="0"/>
                <w:numId w:val="9"/>
              </w:numPr>
              <w:spacing w:before="0" w:after="0"/>
              <w:cnfStyle w:val="000000000000" w:firstRow="0" w:lastRow="0" w:firstColumn="0" w:lastColumn="0" w:oddVBand="0" w:evenVBand="0" w:oddHBand="0" w:evenHBand="0" w:firstRowFirstColumn="0" w:firstRowLastColumn="0" w:lastRowFirstColumn="0" w:lastRowLastColumn="0"/>
              <w:rPr>
                <w:color w:val="000000" w:themeColor="text1"/>
              </w:rPr>
            </w:pPr>
            <w:r w:rsidRPr="005C40B5">
              <w:rPr>
                <w:color w:val="000000" w:themeColor="text1"/>
              </w:rPr>
              <w:t>Proyectos de inversión</w:t>
            </w:r>
            <w:r w:rsidR="00771D80" w:rsidRPr="005C40B5">
              <w:rPr>
                <w:color w:val="000000" w:themeColor="text1"/>
              </w:rPr>
              <w:t xml:space="preserve"> </w:t>
            </w:r>
            <w:r w:rsidRPr="005C40B5">
              <w:rPr>
                <w:color w:val="000000" w:themeColor="text1"/>
              </w:rPr>
              <w:t>destinados a infraestructura</w:t>
            </w:r>
            <w:r w:rsidR="00771D80" w:rsidRPr="005C40B5">
              <w:rPr>
                <w:color w:val="000000" w:themeColor="text1"/>
              </w:rPr>
              <w:t xml:space="preserve"> </w:t>
            </w:r>
            <w:r w:rsidRPr="005C40B5">
              <w:rPr>
                <w:color w:val="000000" w:themeColor="text1"/>
              </w:rPr>
              <w:t>educativa ejecutados</w:t>
            </w:r>
            <w:r w:rsidR="00871F54">
              <w:rPr>
                <w:color w:val="000000" w:themeColor="text1"/>
              </w:rPr>
              <w:t>*</w:t>
            </w:r>
            <w:r w:rsidRPr="005C40B5">
              <w:rPr>
                <w:color w:val="000000" w:themeColor="text1"/>
              </w:rPr>
              <w:t>.</w:t>
            </w:r>
          </w:p>
          <w:p w14:paraId="1B2B5EE5" w14:textId="694006C5" w:rsidR="00771D80" w:rsidRPr="005C40B5" w:rsidRDefault="005C40B5" w:rsidP="00515CAC">
            <w:pPr>
              <w:pStyle w:val="Prrafodelista"/>
              <w:numPr>
                <w:ilvl w:val="0"/>
                <w:numId w:val="9"/>
              </w:numPr>
              <w:spacing w:before="0" w:after="0"/>
              <w:cnfStyle w:val="000000000000" w:firstRow="0" w:lastRow="0" w:firstColumn="0" w:lastColumn="0" w:oddVBand="0" w:evenVBand="0" w:oddHBand="0" w:evenHBand="0" w:firstRowFirstColumn="0" w:firstRowLastColumn="0" w:lastRowFirstColumn="0" w:lastRowLastColumn="0"/>
              <w:rPr>
                <w:color w:val="000000" w:themeColor="text1"/>
              </w:rPr>
            </w:pPr>
            <w:r w:rsidRPr="005C40B5">
              <w:rPr>
                <w:color w:val="000000" w:themeColor="text1"/>
              </w:rPr>
              <w:t>Proyectos de inversión</w:t>
            </w:r>
            <w:r w:rsidR="00771D80" w:rsidRPr="005C40B5">
              <w:rPr>
                <w:color w:val="000000" w:themeColor="text1"/>
              </w:rPr>
              <w:t xml:space="preserve"> </w:t>
            </w:r>
            <w:r w:rsidRPr="005C40B5">
              <w:rPr>
                <w:color w:val="000000" w:themeColor="text1"/>
              </w:rPr>
              <w:t>destinados al desarrollo de</w:t>
            </w:r>
            <w:r w:rsidR="00771D80" w:rsidRPr="005C40B5">
              <w:rPr>
                <w:color w:val="000000" w:themeColor="text1"/>
              </w:rPr>
              <w:t xml:space="preserve"> </w:t>
            </w:r>
            <w:r w:rsidRPr="005C40B5">
              <w:rPr>
                <w:color w:val="000000" w:themeColor="text1"/>
              </w:rPr>
              <w:t>infraestructura en servicios</w:t>
            </w:r>
            <w:r w:rsidR="00771D80" w:rsidRPr="005C40B5">
              <w:rPr>
                <w:color w:val="000000" w:themeColor="text1"/>
              </w:rPr>
              <w:t xml:space="preserve"> </w:t>
            </w:r>
            <w:r w:rsidRPr="005C40B5">
              <w:rPr>
                <w:color w:val="000000" w:themeColor="text1"/>
              </w:rPr>
              <w:t>básicos ejecutados</w:t>
            </w:r>
            <w:r w:rsidR="00871F54">
              <w:rPr>
                <w:color w:val="000000" w:themeColor="text1"/>
              </w:rPr>
              <w:t>*</w:t>
            </w:r>
            <w:r w:rsidRPr="005C40B5">
              <w:rPr>
                <w:color w:val="000000" w:themeColor="text1"/>
              </w:rPr>
              <w:t>.</w:t>
            </w:r>
          </w:p>
          <w:p w14:paraId="1BD8E886" w14:textId="58509246" w:rsidR="005C40B5" w:rsidRPr="00015F6A" w:rsidRDefault="005C40B5" w:rsidP="00515CAC">
            <w:pPr>
              <w:pStyle w:val="Prrafodelista"/>
              <w:numPr>
                <w:ilvl w:val="0"/>
                <w:numId w:val="9"/>
              </w:numPr>
              <w:spacing w:before="0" w:after="0"/>
              <w:cnfStyle w:val="000000000000" w:firstRow="0" w:lastRow="0" w:firstColumn="0" w:lastColumn="0" w:oddVBand="0" w:evenVBand="0" w:oddHBand="0" w:evenHBand="0" w:firstRowFirstColumn="0" w:firstRowLastColumn="0" w:lastRowFirstColumn="0" w:lastRowLastColumn="0"/>
            </w:pPr>
            <w:r w:rsidRPr="005C40B5">
              <w:rPr>
                <w:color w:val="000000" w:themeColor="text1"/>
              </w:rPr>
              <w:lastRenderedPageBreak/>
              <w:t>Proyectos de inversión destinados al desarrollo de infraestructura de transporte terrestre ejecutados</w:t>
            </w:r>
            <w:r w:rsidR="00871F54">
              <w:rPr>
                <w:color w:val="000000" w:themeColor="text1"/>
              </w:rPr>
              <w:t>*</w:t>
            </w:r>
            <w:r w:rsidRPr="005C40B5">
              <w:rPr>
                <w:color w:val="000000" w:themeColor="text1"/>
              </w:rPr>
              <w:t>.</w:t>
            </w:r>
          </w:p>
        </w:tc>
      </w:tr>
      <w:tr w:rsidR="00DD43C1" w:rsidRPr="000F4372" w14:paraId="3153A1E8" w14:textId="77777777" w:rsidTr="008406F5">
        <w:trPr>
          <w:cnfStyle w:val="000000100000" w:firstRow="0" w:lastRow="0" w:firstColumn="0" w:lastColumn="0" w:oddVBand="0" w:evenVBand="0" w:oddHBand="1" w:evenHBand="0" w:firstRowFirstColumn="0" w:firstRowLastColumn="0" w:lastRowFirstColumn="0" w:lastRowLastColumn="0"/>
          <w:trHeight w:val="17"/>
        </w:trPr>
        <w:tc>
          <w:tcPr>
            <w:cnfStyle w:val="001000000000" w:firstRow="0" w:lastRow="0" w:firstColumn="1" w:lastColumn="0" w:oddVBand="0" w:evenVBand="0" w:oddHBand="0" w:evenHBand="0" w:firstRowFirstColumn="0" w:firstRowLastColumn="0" w:lastRowFirstColumn="0" w:lastRowLastColumn="0"/>
            <w:tcW w:w="684" w:type="pct"/>
            <w:tcBorders>
              <w:top w:val="nil"/>
              <w:bottom w:val="single" w:sz="4" w:space="0" w:color="auto"/>
            </w:tcBorders>
            <w:shd w:val="clear" w:color="auto" w:fill="9CC2E5" w:themeFill="accent1" w:themeFillTint="99"/>
            <w:vAlign w:val="center"/>
          </w:tcPr>
          <w:p w14:paraId="6EA8C486" w14:textId="523D199F" w:rsidR="00DD43C1" w:rsidRPr="00D062DF" w:rsidRDefault="00DD43C1" w:rsidP="00254E22">
            <w:pPr>
              <w:spacing w:before="0" w:after="0"/>
              <w:jc w:val="left"/>
              <w:rPr>
                <w:color w:val="auto"/>
              </w:rPr>
            </w:pPr>
            <w:r w:rsidRPr="00D062DF">
              <w:rPr>
                <w:color w:val="auto"/>
              </w:rPr>
              <w:lastRenderedPageBreak/>
              <w:t>Actividades</w:t>
            </w:r>
            <w:r w:rsidR="00871F54">
              <w:rPr>
                <w:color w:val="auto"/>
              </w:rPr>
              <w:t>**</w:t>
            </w:r>
          </w:p>
          <w:p w14:paraId="5B8848E1" w14:textId="77777777" w:rsidR="00DD43C1" w:rsidRPr="00D062DF" w:rsidRDefault="00DD43C1" w:rsidP="00254E22">
            <w:pPr>
              <w:spacing w:before="0" w:after="0"/>
              <w:jc w:val="left"/>
            </w:pPr>
            <w:r w:rsidRPr="00D062DF">
              <w:t xml:space="preserve"> </w:t>
            </w:r>
          </w:p>
        </w:tc>
        <w:tc>
          <w:tcPr>
            <w:tcW w:w="4198" w:type="pct"/>
            <w:tcBorders>
              <w:top w:val="nil"/>
              <w:bottom w:val="single" w:sz="4" w:space="0" w:color="auto"/>
            </w:tcBorders>
            <w:shd w:val="clear" w:color="auto" w:fill="9CC2E5" w:themeFill="accent1" w:themeFillTint="99"/>
          </w:tcPr>
          <w:p w14:paraId="1660D7DA" w14:textId="472260B8" w:rsidR="00DD43C1" w:rsidRPr="00D062DF" w:rsidRDefault="00871F54" w:rsidP="00254E22">
            <w:pPr>
              <w:spacing w:before="0" w:after="0"/>
              <w:ind w:right="-7311"/>
              <w:cnfStyle w:val="000000100000" w:firstRow="0" w:lastRow="0" w:firstColumn="0" w:lastColumn="0" w:oddVBand="0" w:evenVBand="0" w:oddHBand="1" w:evenHBand="0" w:firstRowFirstColumn="0" w:firstRowLastColumn="0" w:lastRowFirstColumn="0" w:lastRowLastColumn="0"/>
              <w:rPr>
                <w:color w:val="auto"/>
              </w:rPr>
            </w:pPr>
            <w:r>
              <w:rPr>
                <w:color w:val="auto"/>
              </w:rPr>
              <w:t>Se plantea como actividades la ejecución de cada uno de los proyectos definidos como Componentes.</w:t>
            </w:r>
          </w:p>
        </w:tc>
        <w:tc>
          <w:tcPr>
            <w:tcW w:w="117" w:type="pct"/>
            <w:gridSpan w:val="2"/>
            <w:tcBorders>
              <w:top w:val="single" w:sz="4" w:space="0" w:color="auto"/>
              <w:bottom w:val="nil"/>
            </w:tcBorders>
            <w:shd w:val="clear" w:color="auto" w:fill="auto"/>
          </w:tcPr>
          <w:p w14:paraId="1C458031" w14:textId="77777777" w:rsidR="00DD43C1" w:rsidRPr="00D062DF" w:rsidRDefault="00DD43C1" w:rsidP="00254E22">
            <w:pPr>
              <w:spacing w:before="0" w:after="0"/>
              <w:ind w:left="6217"/>
              <w:cnfStyle w:val="000000100000" w:firstRow="0" w:lastRow="0" w:firstColumn="0" w:lastColumn="0" w:oddVBand="0" w:evenVBand="0" w:oddHBand="1" w:evenHBand="0" w:firstRowFirstColumn="0" w:firstRowLastColumn="0" w:lastRowFirstColumn="0" w:lastRowLastColumn="0"/>
              <w:rPr>
                <w:color w:val="auto"/>
              </w:rPr>
            </w:pPr>
          </w:p>
        </w:tc>
      </w:tr>
    </w:tbl>
    <w:p w14:paraId="4B2A6BA9" w14:textId="4349BBCF" w:rsidR="00DD43C1" w:rsidRPr="00E861CC" w:rsidRDefault="00871F54" w:rsidP="004500D3">
      <w:pPr>
        <w:pStyle w:val="Textonotapie"/>
      </w:pPr>
      <w:r w:rsidRPr="00E861CC">
        <w:t xml:space="preserve">*Estos </w:t>
      </w:r>
      <w:r w:rsidR="00A70A52">
        <w:t>C</w:t>
      </w:r>
      <w:r w:rsidRPr="00E861CC">
        <w:t>omponentes se replican en diversos municipios</w:t>
      </w:r>
      <w:r w:rsidR="00254E22" w:rsidRPr="00E861CC">
        <w:t>,</w:t>
      </w:r>
      <w:r w:rsidRPr="00E861CC">
        <w:t xml:space="preserve"> dando un total de 29 Componentes en la MIR estatal.</w:t>
      </w:r>
    </w:p>
    <w:p w14:paraId="0F110250" w14:textId="27B892FD" w:rsidR="00871F54" w:rsidRDefault="00871F54" w:rsidP="004500D3">
      <w:pPr>
        <w:pStyle w:val="Textonotapie"/>
      </w:pPr>
      <w:r w:rsidRPr="004500D3">
        <w:rPr>
          <w:rStyle w:val="TextonotapieCar"/>
        </w:rPr>
        <w:t>**La MIR estatal contempla 35 Actividades, prácticamente una por cada Componente a excepción del Componente denominado</w:t>
      </w:r>
      <w:r w:rsidRPr="00E861CC">
        <w:t xml:space="preserve"> “Proyectos de inversión destinados al desarrollo de infraestructura en servicios básicos ejecutados”, al cual le corresponden 6 Actividades.</w:t>
      </w:r>
    </w:p>
    <w:p w14:paraId="6EEBBD90" w14:textId="56766D4A" w:rsidR="00DB72B7" w:rsidRPr="00E861CC" w:rsidRDefault="00DB72B7" w:rsidP="004500D3">
      <w:pPr>
        <w:pStyle w:val="Textonotapie"/>
      </w:pPr>
      <w:r>
        <w:t>Fuente: Elaboración propia con información de la MIR federal y MIR estatal del FAFEF.</w:t>
      </w:r>
    </w:p>
    <w:p w14:paraId="35E83370" w14:textId="18ABD875" w:rsidR="006E1725" w:rsidRDefault="00AC58A4" w:rsidP="00D32FF9">
      <w:r>
        <w:t>Cabe señalar que en concordancia con lo valorado en la Evaluación Especifica de Desempeño 201</w:t>
      </w:r>
      <w:r w:rsidR="00FF1B9E">
        <w:t>8</w:t>
      </w:r>
      <w:r>
        <w:t xml:space="preserve">, los indicadores a nivel de Fin y Propósito </w:t>
      </w:r>
      <w:r w:rsidR="00D04F89">
        <w:t xml:space="preserve">son adecuados y se vinculan con los indicadores de la MIR federal, sin </w:t>
      </w:r>
      <w:r w:rsidR="00D32FF9">
        <w:t>embargo,</w:t>
      </w:r>
      <w:r w:rsidR="00D04F89">
        <w:t xml:space="preserve"> a nivel de Componentes y Actividades</w:t>
      </w:r>
      <w:r w:rsidR="00D32FF9">
        <w:t xml:space="preserve"> lo que se ha planteado en la MIR son actividades que están directamente relacionadas a los proyectos, en cuanto a su definición sobre la mejora de la infraestructura; así como</w:t>
      </w:r>
      <w:r w:rsidR="00AB63AE">
        <w:t>,</w:t>
      </w:r>
      <w:r w:rsidR="00771353">
        <w:t xml:space="preserve">  </w:t>
      </w:r>
      <w:r w:rsidR="00D32FF9">
        <w:t>el apoyo a los municipios con obras y servicios que conlleven a la construcción, rehabilitación y ampliación de las mismas. Este modelo no sólo es repetitivo en cuanto a su definición, sino también en cuanto a sus supuestos, valores y metas.</w:t>
      </w:r>
      <w:r w:rsidR="0048095B">
        <w:t xml:space="preserve"> La MIR </w:t>
      </w:r>
      <w:r w:rsidR="00AC117F">
        <w:t>estatal no</w:t>
      </w:r>
      <w:r w:rsidR="0048095B">
        <w:t xml:space="preserve"> cuenta </w:t>
      </w:r>
      <w:r w:rsidR="00AC117F">
        <w:t>con Componentes</w:t>
      </w:r>
      <w:r w:rsidR="00A70A52">
        <w:t xml:space="preserve"> o A</w:t>
      </w:r>
      <w:r w:rsidR="0048095B">
        <w:t>ctividades relacionadas con el rubro de gasto apoyo a la educación.</w:t>
      </w:r>
    </w:p>
    <w:p w14:paraId="608496D2" w14:textId="161F63C4" w:rsidR="00104F90" w:rsidRDefault="00104F90" w:rsidP="00515CAC">
      <w:pPr>
        <w:pStyle w:val="Prrafodelista"/>
        <w:numPr>
          <w:ilvl w:val="0"/>
          <w:numId w:val="2"/>
        </w:numPr>
        <w:spacing w:after="0"/>
        <w:rPr>
          <w:rFonts w:cstheme="minorHAnsi"/>
        </w:rPr>
      </w:pPr>
      <w:r w:rsidRPr="00543068">
        <w:rPr>
          <w:rFonts w:cstheme="minorHAnsi"/>
          <w:b/>
          <w:bCs/>
        </w:rPr>
        <w:t>Variación de la cantidad de recursos presupuestarios recibida por concepto del FAFEF en la entidad federativa de acuerdo con el artículo 46 de la LCF en los últimos cinco ejercicios fiscales, así como lo siguiente</w:t>
      </w:r>
      <w:r w:rsidRPr="00E91F0E">
        <w:rPr>
          <w:rFonts w:cstheme="minorHAnsi"/>
        </w:rPr>
        <w:t xml:space="preserve">: </w:t>
      </w:r>
    </w:p>
    <w:p w14:paraId="7B017171" w14:textId="1EBB7392" w:rsidR="00CE59D5" w:rsidRDefault="00CE59D5" w:rsidP="006564D3">
      <w:pPr>
        <w:widowControl w:val="0"/>
        <w:numPr>
          <w:ilvl w:val="0"/>
          <w:numId w:val="26"/>
        </w:numPr>
        <w:ind w:left="709" w:hanging="349"/>
        <w:rPr>
          <w:rFonts w:eastAsia="MS Mincho"/>
          <w:i/>
          <w:iCs/>
          <w:kern w:val="2"/>
          <w:lang w:eastAsia="ja-JP"/>
        </w:rPr>
      </w:pPr>
      <w:r w:rsidRPr="00C43726">
        <w:rPr>
          <w:rFonts w:eastAsia="MS Mincho"/>
          <w:i/>
          <w:iCs/>
          <w:kern w:val="2"/>
          <w:lang w:eastAsia="ja-JP"/>
        </w:rPr>
        <w:t xml:space="preserve">Descripción del comportamiento del ejercicio del Fondo en la entidad federativa por rubro, capítulo y/o partida de gasto. </w:t>
      </w:r>
    </w:p>
    <w:p w14:paraId="03245C71" w14:textId="320941AE" w:rsidR="00EE43A5" w:rsidRDefault="00EE43A5" w:rsidP="00EE43A5">
      <w:r>
        <w:t xml:space="preserve">En los ejercicios fiscales del 2013 al 2018, se ha considerado </w:t>
      </w:r>
      <w:bookmarkStart w:id="18" w:name="_Hlk53988876"/>
      <w:r>
        <w:t>la atención prioritaria de 4 rubros de los 9 posibles permitidos en la LCF, es decir, a la inversión en infraestructura física, al saneamiento financiero, a la m</w:t>
      </w:r>
      <w:r w:rsidRPr="007C3D7C">
        <w:t>odernización de los registr</w:t>
      </w:r>
      <w:r w:rsidR="000D07AA">
        <w:t>os públicos de la propiedad y de</w:t>
      </w:r>
      <w:r w:rsidRPr="007C3D7C">
        <w:t xml:space="preserve"> comercio locales</w:t>
      </w:r>
      <w:r>
        <w:t xml:space="preserve"> y </w:t>
      </w:r>
      <w:r w:rsidR="008A54F8">
        <w:t xml:space="preserve">para apoyos </w:t>
      </w:r>
      <w:r>
        <w:t>a</w:t>
      </w:r>
      <w:r w:rsidR="008A54F8">
        <w:t xml:space="preserve"> la</w:t>
      </w:r>
      <w:r>
        <w:t xml:space="preserve"> educación pública. A excepción del ejercicio 2016, en todos se ha destinado un porcentaje similar de recursos a los cuatro rubros señalados. En promedio, en estos seis ejercicios fiscales se han destinado al rubro de infraestructura física 61.13% de los recursos, a saneamiento financiero</w:t>
      </w:r>
      <w:r w:rsidR="008A54F8">
        <w:t xml:space="preserve"> </w:t>
      </w:r>
      <w:r>
        <w:t>25.14%</w:t>
      </w:r>
      <w:r w:rsidR="008A54F8">
        <w:t>, a la</w:t>
      </w:r>
      <w:r>
        <w:t xml:space="preserve"> modernización de los registros públicos de la propiedad y del comercio locales 2.12% y </w:t>
      </w:r>
      <w:r w:rsidR="008A54F8">
        <w:t>para apoyos a la</w:t>
      </w:r>
      <w:r>
        <w:t xml:space="preserve"> educación un 11.62% </w:t>
      </w:r>
      <w:bookmarkEnd w:id="18"/>
      <w:r>
        <w:t xml:space="preserve">(Cuadro 4). </w:t>
      </w:r>
    </w:p>
    <w:p w14:paraId="24FB1B57" w14:textId="13C9440C" w:rsidR="00EE43A5" w:rsidRPr="00EE43A5" w:rsidRDefault="00EE43A5" w:rsidP="00EE43A5">
      <w:pPr>
        <w:pStyle w:val="Cuadro"/>
      </w:pPr>
      <w:bookmarkStart w:id="19" w:name="_Toc56741057"/>
      <w:r w:rsidRPr="00EE43A5">
        <w:t xml:space="preserve">Cuadro </w:t>
      </w:r>
      <w:r>
        <w:t>4</w:t>
      </w:r>
      <w:r w:rsidRPr="00EE43A5">
        <w:t>. Destino del gasto de los recursos del FAFEF en</w:t>
      </w:r>
      <w:r w:rsidR="006321F6">
        <w:t xml:space="preserve"> la entidad federativa</w:t>
      </w:r>
      <w:r w:rsidRPr="00EE43A5">
        <w:t>, según rubro de la LCF</w:t>
      </w:r>
      <w:r w:rsidR="003411C4">
        <w:t>,</w:t>
      </w:r>
      <w:r w:rsidRPr="00EE43A5">
        <w:t xml:space="preserve"> </w:t>
      </w:r>
      <w:r w:rsidR="004C3CCA">
        <w:t>p</w:t>
      </w:r>
      <w:r w:rsidR="00DA3B73">
        <w:t xml:space="preserve">eriodo </w:t>
      </w:r>
      <w:r w:rsidRPr="00EE43A5">
        <w:t>2013-2018</w:t>
      </w:r>
      <w:r w:rsidR="00DA3B73">
        <w:t xml:space="preserve"> </w:t>
      </w:r>
      <w:r w:rsidR="00DA3B73" w:rsidRPr="000A6ECC">
        <w:rPr>
          <w:rFonts w:eastAsia="MS Mincho"/>
          <w:bCs/>
          <w:kern w:val="2"/>
          <w:lang w:eastAsia="ja-JP"/>
        </w:rPr>
        <w:t>(</w:t>
      </w:r>
      <w:r w:rsidR="00DA3B73" w:rsidRPr="00B221C7">
        <w:rPr>
          <w:rFonts w:eastAsia="MS Mincho"/>
          <w:bCs/>
          <w:i/>
          <w:iCs/>
          <w:kern w:val="2"/>
          <w:lang w:eastAsia="ja-JP"/>
        </w:rPr>
        <w:t>Mdp</w:t>
      </w:r>
      <w:r w:rsidR="00DA3B73" w:rsidRPr="00B221C7">
        <w:rPr>
          <w:rFonts w:eastAsia="MS Mincho"/>
          <w:bCs/>
          <w:i/>
          <w:iCs/>
          <w:kern w:val="2"/>
          <w:vertAlign w:val="superscript"/>
          <w:lang w:eastAsia="ja-JP"/>
        </w:rPr>
        <w:t>1</w:t>
      </w:r>
      <w:r w:rsidR="00DA3B73" w:rsidRPr="000A6ECC">
        <w:rPr>
          <w:rFonts w:eastAsia="MS Mincho"/>
          <w:bCs/>
          <w:kern w:val="2"/>
          <w:lang w:eastAsia="ja-JP"/>
        </w:rPr>
        <w:t xml:space="preserve"> a precios corrientes)</w:t>
      </w:r>
      <w:bookmarkEnd w:id="19"/>
    </w:p>
    <w:tbl>
      <w:tblPr>
        <w:tblW w:w="5000" w:type="pct"/>
        <w:tblLayout w:type="fixed"/>
        <w:tblCellMar>
          <w:left w:w="70" w:type="dxa"/>
          <w:right w:w="70" w:type="dxa"/>
        </w:tblCellMar>
        <w:tblLook w:val="04A0" w:firstRow="1" w:lastRow="0" w:firstColumn="1" w:lastColumn="0" w:noHBand="0" w:noVBand="1"/>
      </w:tblPr>
      <w:tblGrid>
        <w:gridCol w:w="3677"/>
        <w:gridCol w:w="1047"/>
        <w:gridCol w:w="1048"/>
        <w:gridCol w:w="1047"/>
        <w:gridCol w:w="1048"/>
        <w:gridCol w:w="1047"/>
        <w:gridCol w:w="1048"/>
      </w:tblGrid>
      <w:tr w:rsidR="00EE43A5" w:rsidRPr="00705D03" w14:paraId="371F0735" w14:textId="77777777" w:rsidTr="000F3860">
        <w:trPr>
          <w:trHeight w:val="240"/>
          <w:tblHeader/>
        </w:trPr>
        <w:tc>
          <w:tcPr>
            <w:tcW w:w="3677" w:type="dxa"/>
            <w:vMerge w:val="restart"/>
            <w:tcBorders>
              <w:top w:val="single" w:sz="4" w:space="0" w:color="auto"/>
              <w:left w:val="single" w:sz="4" w:space="0" w:color="auto"/>
              <w:right w:val="single" w:sz="4" w:space="0" w:color="auto"/>
            </w:tcBorders>
            <w:shd w:val="clear" w:color="auto" w:fill="9CC2E5"/>
            <w:noWrap/>
            <w:vAlign w:val="center"/>
            <w:hideMark/>
          </w:tcPr>
          <w:p w14:paraId="5054AC9A" w14:textId="77777777" w:rsidR="00EE43A5" w:rsidRPr="00705D03" w:rsidRDefault="00EE43A5" w:rsidP="00BC0EB7">
            <w:pPr>
              <w:spacing w:before="0" w:after="0"/>
              <w:jc w:val="center"/>
              <w:rPr>
                <w:rFonts w:eastAsia="Times New Roman" w:cstheme="minorHAnsi"/>
                <w:color w:val="000000"/>
                <w:sz w:val="20"/>
                <w:szCs w:val="20"/>
                <w:lang w:eastAsia="es-MX"/>
              </w:rPr>
            </w:pPr>
            <w:r w:rsidRPr="00705D03">
              <w:rPr>
                <w:rFonts w:eastAsia="Times New Roman" w:cstheme="minorHAnsi"/>
                <w:b/>
                <w:bCs/>
                <w:color w:val="000000"/>
                <w:sz w:val="20"/>
                <w:szCs w:val="20"/>
                <w:lang w:eastAsia="es-MX"/>
              </w:rPr>
              <w:t>Destino del gasto por rubro según la LCF</w:t>
            </w:r>
          </w:p>
        </w:tc>
        <w:tc>
          <w:tcPr>
            <w:tcW w:w="6285" w:type="dxa"/>
            <w:gridSpan w:val="6"/>
            <w:tcBorders>
              <w:top w:val="single" w:sz="4" w:space="0" w:color="auto"/>
              <w:left w:val="nil"/>
              <w:bottom w:val="single" w:sz="4" w:space="0" w:color="auto"/>
              <w:right w:val="single" w:sz="4" w:space="0" w:color="auto"/>
            </w:tcBorders>
            <w:shd w:val="clear" w:color="auto" w:fill="9CC2E5"/>
            <w:noWrap/>
            <w:vAlign w:val="center"/>
            <w:hideMark/>
          </w:tcPr>
          <w:p w14:paraId="5B6E722D" w14:textId="44D2ECC8" w:rsidR="00EE43A5" w:rsidRPr="00705D03" w:rsidRDefault="00EE43A5" w:rsidP="00BC0EB7">
            <w:pPr>
              <w:spacing w:before="0" w:after="0"/>
              <w:jc w:val="center"/>
              <w:rPr>
                <w:rFonts w:eastAsia="Times New Roman" w:cstheme="minorHAnsi"/>
                <w:b/>
                <w:bCs/>
                <w:color w:val="000000"/>
                <w:sz w:val="20"/>
                <w:szCs w:val="20"/>
                <w:lang w:eastAsia="es-MX"/>
              </w:rPr>
            </w:pPr>
            <w:r w:rsidRPr="00705D03">
              <w:rPr>
                <w:rFonts w:eastAsia="Times New Roman" w:cstheme="minorHAnsi"/>
                <w:b/>
                <w:bCs/>
                <w:color w:val="000000"/>
                <w:sz w:val="20"/>
                <w:szCs w:val="20"/>
                <w:lang w:eastAsia="es-MX"/>
              </w:rPr>
              <w:t>Monto de los recursos asignados (</w:t>
            </w:r>
            <w:r w:rsidR="00850817">
              <w:rPr>
                <w:rFonts w:eastAsia="Times New Roman" w:cstheme="minorHAnsi"/>
                <w:b/>
                <w:bCs/>
                <w:color w:val="000000"/>
                <w:sz w:val="20"/>
                <w:szCs w:val="20"/>
                <w:lang w:eastAsia="es-MX"/>
              </w:rPr>
              <w:t>M</w:t>
            </w:r>
            <w:r w:rsidRPr="00705D03">
              <w:rPr>
                <w:rFonts w:eastAsia="Times New Roman" w:cstheme="minorHAnsi"/>
                <w:b/>
                <w:bCs/>
                <w:color w:val="000000"/>
                <w:sz w:val="20"/>
                <w:szCs w:val="20"/>
                <w:lang w:eastAsia="es-MX"/>
              </w:rPr>
              <w:t>dp)</w:t>
            </w:r>
          </w:p>
        </w:tc>
      </w:tr>
      <w:tr w:rsidR="00AC117F" w:rsidRPr="00705D03" w14:paraId="3C04A070" w14:textId="77777777" w:rsidTr="000F3860">
        <w:trPr>
          <w:trHeight w:val="240"/>
          <w:tblHeader/>
        </w:trPr>
        <w:tc>
          <w:tcPr>
            <w:tcW w:w="3677" w:type="dxa"/>
            <w:vMerge/>
            <w:tcBorders>
              <w:left w:val="single" w:sz="4" w:space="0" w:color="auto"/>
              <w:bottom w:val="single" w:sz="4" w:space="0" w:color="auto"/>
              <w:right w:val="single" w:sz="4" w:space="0" w:color="auto"/>
            </w:tcBorders>
            <w:shd w:val="clear" w:color="auto" w:fill="9CC2E5"/>
            <w:noWrap/>
            <w:vAlign w:val="center"/>
            <w:hideMark/>
          </w:tcPr>
          <w:p w14:paraId="3C645472" w14:textId="77777777" w:rsidR="00EE43A5" w:rsidRPr="00705D03" w:rsidRDefault="00EE43A5" w:rsidP="00BC0EB7">
            <w:pPr>
              <w:spacing w:before="0" w:after="0"/>
              <w:jc w:val="left"/>
              <w:rPr>
                <w:rFonts w:eastAsia="Times New Roman" w:cstheme="minorHAnsi"/>
                <w:color w:val="000000"/>
                <w:sz w:val="20"/>
                <w:szCs w:val="20"/>
                <w:lang w:eastAsia="es-MX"/>
              </w:rPr>
            </w:pPr>
          </w:p>
        </w:tc>
        <w:tc>
          <w:tcPr>
            <w:tcW w:w="1047" w:type="dxa"/>
            <w:tcBorders>
              <w:top w:val="nil"/>
              <w:left w:val="nil"/>
              <w:bottom w:val="single" w:sz="4" w:space="0" w:color="auto"/>
              <w:right w:val="single" w:sz="4" w:space="0" w:color="auto"/>
            </w:tcBorders>
            <w:shd w:val="clear" w:color="auto" w:fill="9CC2E5"/>
            <w:noWrap/>
            <w:vAlign w:val="center"/>
            <w:hideMark/>
          </w:tcPr>
          <w:p w14:paraId="70086B3C" w14:textId="77777777" w:rsidR="00EE43A5" w:rsidRPr="00705D03" w:rsidRDefault="00EE43A5" w:rsidP="00BC0EB7">
            <w:pPr>
              <w:spacing w:before="0" w:after="0"/>
              <w:jc w:val="center"/>
              <w:rPr>
                <w:rFonts w:eastAsia="Times New Roman" w:cstheme="minorHAnsi"/>
                <w:b/>
                <w:bCs/>
                <w:color w:val="000000"/>
                <w:sz w:val="20"/>
                <w:szCs w:val="20"/>
                <w:lang w:eastAsia="es-MX"/>
              </w:rPr>
            </w:pPr>
            <w:r w:rsidRPr="00705D03">
              <w:rPr>
                <w:rFonts w:eastAsia="Times New Roman" w:cstheme="minorHAnsi"/>
                <w:b/>
                <w:bCs/>
                <w:color w:val="000000"/>
                <w:sz w:val="20"/>
                <w:szCs w:val="20"/>
                <w:lang w:eastAsia="es-MX"/>
              </w:rPr>
              <w:t>2013</w:t>
            </w:r>
          </w:p>
        </w:tc>
        <w:tc>
          <w:tcPr>
            <w:tcW w:w="1048" w:type="dxa"/>
            <w:tcBorders>
              <w:top w:val="nil"/>
              <w:left w:val="nil"/>
              <w:bottom w:val="single" w:sz="4" w:space="0" w:color="auto"/>
              <w:right w:val="single" w:sz="4" w:space="0" w:color="auto"/>
            </w:tcBorders>
            <w:shd w:val="clear" w:color="auto" w:fill="9CC2E5"/>
            <w:noWrap/>
            <w:vAlign w:val="center"/>
            <w:hideMark/>
          </w:tcPr>
          <w:p w14:paraId="0E06C420" w14:textId="77777777" w:rsidR="00EE43A5" w:rsidRPr="00705D03" w:rsidRDefault="00EE43A5" w:rsidP="00BC0EB7">
            <w:pPr>
              <w:spacing w:before="0" w:after="0"/>
              <w:jc w:val="center"/>
              <w:rPr>
                <w:rFonts w:eastAsia="Times New Roman" w:cstheme="minorHAnsi"/>
                <w:b/>
                <w:bCs/>
                <w:color w:val="000000"/>
                <w:sz w:val="20"/>
                <w:szCs w:val="20"/>
                <w:lang w:eastAsia="es-MX"/>
              </w:rPr>
            </w:pPr>
            <w:r w:rsidRPr="00705D03">
              <w:rPr>
                <w:rFonts w:eastAsia="Times New Roman" w:cstheme="minorHAnsi"/>
                <w:b/>
                <w:bCs/>
                <w:color w:val="000000"/>
                <w:sz w:val="20"/>
                <w:szCs w:val="20"/>
                <w:lang w:eastAsia="es-MX"/>
              </w:rPr>
              <w:t>2014</w:t>
            </w:r>
          </w:p>
        </w:tc>
        <w:tc>
          <w:tcPr>
            <w:tcW w:w="1047" w:type="dxa"/>
            <w:tcBorders>
              <w:top w:val="nil"/>
              <w:left w:val="nil"/>
              <w:bottom w:val="single" w:sz="4" w:space="0" w:color="auto"/>
              <w:right w:val="single" w:sz="4" w:space="0" w:color="auto"/>
            </w:tcBorders>
            <w:shd w:val="clear" w:color="auto" w:fill="9CC2E5"/>
            <w:noWrap/>
            <w:vAlign w:val="center"/>
            <w:hideMark/>
          </w:tcPr>
          <w:p w14:paraId="349EC5AF" w14:textId="77777777" w:rsidR="00EE43A5" w:rsidRPr="00705D03" w:rsidRDefault="00EE43A5" w:rsidP="00BC0EB7">
            <w:pPr>
              <w:spacing w:before="0" w:after="0"/>
              <w:jc w:val="center"/>
              <w:rPr>
                <w:rFonts w:eastAsia="Times New Roman" w:cstheme="minorHAnsi"/>
                <w:b/>
                <w:bCs/>
                <w:color w:val="000000"/>
                <w:sz w:val="20"/>
                <w:szCs w:val="20"/>
                <w:lang w:eastAsia="es-MX"/>
              </w:rPr>
            </w:pPr>
            <w:r w:rsidRPr="00705D03">
              <w:rPr>
                <w:rFonts w:eastAsia="Times New Roman" w:cstheme="minorHAnsi"/>
                <w:b/>
                <w:bCs/>
                <w:color w:val="000000"/>
                <w:sz w:val="20"/>
                <w:szCs w:val="20"/>
                <w:lang w:eastAsia="es-MX"/>
              </w:rPr>
              <w:t>2015</w:t>
            </w:r>
          </w:p>
        </w:tc>
        <w:tc>
          <w:tcPr>
            <w:tcW w:w="1048" w:type="dxa"/>
            <w:tcBorders>
              <w:top w:val="nil"/>
              <w:left w:val="nil"/>
              <w:bottom w:val="single" w:sz="4" w:space="0" w:color="auto"/>
              <w:right w:val="single" w:sz="4" w:space="0" w:color="auto"/>
            </w:tcBorders>
            <w:shd w:val="clear" w:color="auto" w:fill="9CC2E5"/>
            <w:noWrap/>
            <w:vAlign w:val="center"/>
            <w:hideMark/>
          </w:tcPr>
          <w:p w14:paraId="4A129E0B" w14:textId="77777777" w:rsidR="00EE43A5" w:rsidRPr="00705D03" w:rsidRDefault="00EE43A5" w:rsidP="00BC0EB7">
            <w:pPr>
              <w:spacing w:before="0" w:after="0"/>
              <w:jc w:val="center"/>
              <w:rPr>
                <w:rFonts w:eastAsia="Times New Roman" w:cstheme="minorHAnsi"/>
                <w:b/>
                <w:bCs/>
                <w:color w:val="000000"/>
                <w:sz w:val="20"/>
                <w:szCs w:val="20"/>
                <w:lang w:eastAsia="es-MX"/>
              </w:rPr>
            </w:pPr>
            <w:r w:rsidRPr="00705D03">
              <w:rPr>
                <w:rFonts w:eastAsia="Times New Roman" w:cstheme="minorHAnsi"/>
                <w:b/>
                <w:bCs/>
                <w:color w:val="000000"/>
                <w:sz w:val="20"/>
                <w:szCs w:val="20"/>
                <w:lang w:eastAsia="es-MX"/>
              </w:rPr>
              <w:t>2016</w:t>
            </w:r>
          </w:p>
        </w:tc>
        <w:tc>
          <w:tcPr>
            <w:tcW w:w="1047" w:type="dxa"/>
            <w:tcBorders>
              <w:top w:val="nil"/>
              <w:left w:val="nil"/>
              <w:bottom w:val="single" w:sz="4" w:space="0" w:color="auto"/>
              <w:right w:val="single" w:sz="4" w:space="0" w:color="auto"/>
            </w:tcBorders>
            <w:shd w:val="clear" w:color="auto" w:fill="9CC2E5"/>
            <w:noWrap/>
            <w:vAlign w:val="center"/>
            <w:hideMark/>
          </w:tcPr>
          <w:p w14:paraId="4745F32C" w14:textId="77777777" w:rsidR="00EE43A5" w:rsidRPr="00705D03" w:rsidRDefault="00EE43A5" w:rsidP="00BC0EB7">
            <w:pPr>
              <w:spacing w:before="0" w:after="0"/>
              <w:jc w:val="center"/>
              <w:rPr>
                <w:rFonts w:eastAsia="Times New Roman" w:cstheme="minorHAnsi"/>
                <w:b/>
                <w:bCs/>
                <w:color w:val="000000"/>
                <w:sz w:val="20"/>
                <w:szCs w:val="20"/>
                <w:lang w:eastAsia="es-MX"/>
              </w:rPr>
            </w:pPr>
            <w:r w:rsidRPr="00705D03">
              <w:rPr>
                <w:rFonts w:eastAsia="Times New Roman" w:cstheme="minorHAnsi"/>
                <w:b/>
                <w:bCs/>
                <w:color w:val="000000"/>
                <w:sz w:val="20"/>
                <w:szCs w:val="20"/>
                <w:lang w:eastAsia="es-MX"/>
              </w:rPr>
              <w:t>2017</w:t>
            </w:r>
          </w:p>
        </w:tc>
        <w:tc>
          <w:tcPr>
            <w:tcW w:w="1048" w:type="dxa"/>
            <w:tcBorders>
              <w:top w:val="nil"/>
              <w:left w:val="nil"/>
              <w:bottom w:val="single" w:sz="4" w:space="0" w:color="auto"/>
              <w:right w:val="single" w:sz="4" w:space="0" w:color="auto"/>
            </w:tcBorders>
            <w:shd w:val="clear" w:color="auto" w:fill="9CC2E5"/>
            <w:noWrap/>
            <w:vAlign w:val="center"/>
            <w:hideMark/>
          </w:tcPr>
          <w:p w14:paraId="618EBD64" w14:textId="77777777" w:rsidR="00EE43A5" w:rsidRPr="00705D03" w:rsidRDefault="00EE43A5" w:rsidP="00BC0EB7">
            <w:pPr>
              <w:spacing w:before="0" w:after="0"/>
              <w:jc w:val="center"/>
              <w:rPr>
                <w:rFonts w:eastAsia="Times New Roman" w:cstheme="minorHAnsi"/>
                <w:b/>
                <w:bCs/>
                <w:color w:val="000000"/>
                <w:sz w:val="20"/>
                <w:szCs w:val="20"/>
                <w:lang w:eastAsia="es-MX"/>
              </w:rPr>
            </w:pPr>
            <w:r w:rsidRPr="00705D03">
              <w:rPr>
                <w:rFonts w:eastAsia="Times New Roman" w:cstheme="minorHAnsi"/>
                <w:b/>
                <w:bCs/>
                <w:color w:val="000000"/>
                <w:sz w:val="20"/>
                <w:szCs w:val="20"/>
                <w:lang w:eastAsia="es-MX"/>
              </w:rPr>
              <w:t>2018</w:t>
            </w:r>
          </w:p>
        </w:tc>
      </w:tr>
      <w:tr w:rsidR="00AC117F" w:rsidRPr="00705D03" w14:paraId="00C968A3" w14:textId="77777777" w:rsidTr="000F3860">
        <w:trPr>
          <w:trHeight w:val="240"/>
        </w:trPr>
        <w:tc>
          <w:tcPr>
            <w:tcW w:w="3677" w:type="dxa"/>
            <w:tcBorders>
              <w:top w:val="nil"/>
              <w:left w:val="single" w:sz="4" w:space="0" w:color="auto"/>
              <w:bottom w:val="single" w:sz="4" w:space="0" w:color="auto"/>
              <w:right w:val="single" w:sz="4" w:space="0" w:color="auto"/>
            </w:tcBorders>
            <w:shd w:val="clear" w:color="auto" w:fill="auto"/>
            <w:noWrap/>
            <w:vAlign w:val="bottom"/>
            <w:hideMark/>
          </w:tcPr>
          <w:p w14:paraId="188BACE0" w14:textId="38556630" w:rsidR="00EE43A5" w:rsidRPr="00705D03" w:rsidRDefault="00705D03" w:rsidP="00DA530D">
            <w:pPr>
              <w:spacing w:before="0" w:after="0"/>
              <w:rPr>
                <w:rFonts w:eastAsia="Times New Roman" w:cstheme="minorHAnsi"/>
                <w:color w:val="000000"/>
                <w:sz w:val="20"/>
                <w:szCs w:val="20"/>
                <w:lang w:eastAsia="es-MX"/>
              </w:rPr>
            </w:pPr>
            <w:r>
              <w:rPr>
                <w:rFonts w:eastAsia="Times New Roman" w:cstheme="minorHAnsi"/>
                <w:color w:val="000000"/>
                <w:sz w:val="20"/>
                <w:szCs w:val="20"/>
                <w:lang w:eastAsia="es-MX"/>
              </w:rPr>
              <w:t xml:space="preserve">I. </w:t>
            </w:r>
            <w:r w:rsidR="00EE43A5" w:rsidRPr="00705D03">
              <w:rPr>
                <w:rFonts w:eastAsia="Times New Roman" w:cstheme="minorHAnsi"/>
                <w:color w:val="000000"/>
                <w:sz w:val="20"/>
                <w:szCs w:val="20"/>
                <w:lang w:eastAsia="es-MX"/>
              </w:rPr>
              <w:t>Inversión en infraestructura física</w:t>
            </w:r>
          </w:p>
        </w:tc>
        <w:tc>
          <w:tcPr>
            <w:tcW w:w="1047" w:type="dxa"/>
            <w:tcBorders>
              <w:top w:val="nil"/>
              <w:left w:val="nil"/>
              <w:bottom w:val="single" w:sz="4" w:space="0" w:color="auto"/>
              <w:right w:val="single" w:sz="4" w:space="0" w:color="auto"/>
            </w:tcBorders>
            <w:shd w:val="clear" w:color="auto" w:fill="auto"/>
            <w:noWrap/>
            <w:vAlign w:val="bottom"/>
            <w:hideMark/>
          </w:tcPr>
          <w:p w14:paraId="4173CC17" w14:textId="32F44CB8" w:rsidR="00EE43A5" w:rsidRPr="00705D03" w:rsidRDefault="00EE43A5" w:rsidP="000F3860">
            <w:pPr>
              <w:spacing w:before="0" w:after="0"/>
              <w:jc w:val="right"/>
              <w:rPr>
                <w:rFonts w:eastAsia="Times New Roman" w:cstheme="minorHAnsi"/>
                <w:color w:val="000000"/>
                <w:sz w:val="20"/>
                <w:szCs w:val="20"/>
                <w:lang w:eastAsia="es-MX"/>
              </w:rPr>
            </w:pPr>
            <w:r w:rsidRPr="00705D03">
              <w:rPr>
                <w:rFonts w:eastAsia="Times New Roman" w:cstheme="minorHAnsi"/>
                <w:color w:val="000000"/>
                <w:sz w:val="20"/>
                <w:szCs w:val="20"/>
                <w:lang w:eastAsia="es-MX"/>
              </w:rPr>
              <w:t>363.45</w:t>
            </w:r>
          </w:p>
        </w:tc>
        <w:tc>
          <w:tcPr>
            <w:tcW w:w="1048" w:type="dxa"/>
            <w:tcBorders>
              <w:top w:val="nil"/>
              <w:left w:val="nil"/>
              <w:bottom w:val="single" w:sz="4" w:space="0" w:color="auto"/>
              <w:right w:val="single" w:sz="4" w:space="0" w:color="auto"/>
            </w:tcBorders>
            <w:shd w:val="clear" w:color="auto" w:fill="auto"/>
            <w:noWrap/>
            <w:vAlign w:val="bottom"/>
            <w:hideMark/>
          </w:tcPr>
          <w:p w14:paraId="12696979" w14:textId="612FFBCB" w:rsidR="00EE43A5" w:rsidRPr="00705D03" w:rsidRDefault="00EE43A5" w:rsidP="000F3860">
            <w:pPr>
              <w:spacing w:before="0" w:after="0"/>
              <w:jc w:val="right"/>
              <w:rPr>
                <w:rFonts w:eastAsia="Times New Roman" w:cstheme="minorHAnsi"/>
                <w:color w:val="000000"/>
                <w:sz w:val="20"/>
                <w:szCs w:val="20"/>
                <w:lang w:eastAsia="es-MX"/>
              </w:rPr>
            </w:pPr>
            <w:r w:rsidRPr="00705D03">
              <w:rPr>
                <w:rFonts w:eastAsia="Times New Roman" w:cstheme="minorHAnsi"/>
                <w:color w:val="000000"/>
                <w:sz w:val="20"/>
                <w:szCs w:val="20"/>
                <w:lang w:eastAsia="es-MX"/>
              </w:rPr>
              <w:t>422.79</w:t>
            </w:r>
          </w:p>
        </w:tc>
        <w:tc>
          <w:tcPr>
            <w:tcW w:w="1047" w:type="dxa"/>
            <w:tcBorders>
              <w:top w:val="nil"/>
              <w:left w:val="nil"/>
              <w:bottom w:val="single" w:sz="4" w:space="0" w:color="auto"/>
              <w:right w:val="single" w:sz="4" w:space="0" w:color="auto"/>
            </w:tcBorders>
            <w:shd w:val="clear" w:color="auto" w:fill="auto"/>
            <w:noWrap/>
            <w:vAlign w:val="bottom"/>
            <w:hideMark/>
          </w:tcPr>
          <w:p w14:paraId="70FFF5A2" w14:textId="08DB897E" w:rsidR="00EE43A5" w:rsidRPr="00705D03" w:rsidRDefault="00EE43A5" w:rsidP="000F3860">
            <w:pPr>
              <w:spacing w:before="0" w:after="0"/>
              <w:jc w:val="right"/>
              <w:rPr>
                <w:rFonts w:eastAsia="Times New Roman" w:cstheme="minorHAnsi"/>
                <w:color w:val="000000"/>
                <w:sz w:val="20"/>
                <w:szCs w:val="20"/>
                <w:lang w:eastAsia="es-MX"/>
              </w:rPr>
            </w:pPr>
            <w:r w:rsidRPr="00705D03">
              <w:rPr>
                <w:rFonts w:eastAsia="Times New Roman" w:cstheme="minorHAnsi"/>
                <w:color w:val="000000"/>
                <w:sz w:val="20"/>
                <w:szCs w:val="20"/>
                <w:lang w:eastAsia="es-MX"/>
              </w:rPr>
              <w:t>458.31</w:t>
            </w:r>
          </w:p>
        </w:tc>
        <w:tc>
          <w:tcPr>
            <w:tcW w:w="1048" w:type="dxa"/>
            <w:tcBorders>
              <w:top w:val="nil"/>
              <w:left w:val="nil"/>
              <w:bottom w:val="single" w:sz="4" w:space="0" w:color="auto"/>
              <w:right w:val="single" w:sz="4" w:space="0" w:color="auto"/>
            </w:tcBorders>
            <w:shd w:val="clear" w:color="auto" w:fill="auto"/>
            <w:noWrap/>
            <w:vAlign w:val="bottom"/>
            <w:hideMark/>
          </w:tcPr>
          <w:p w14:paraId="267F4E46" w14:textId="69366C14" w:rsidR="00EE43A5" w:rsidRPr="00705D03" w:rsidRDefault="00EE43A5" w:rsidP="000F3860">
            <w:pPr>
              <w:spacing w:before="0" w:after="0"/>
              <w:jc w:val="right"/>
              <w:rPr>
                <w:rFonts w:eastAsia="Times New Roman" w:cstheme="minorHAnsi"/>
                <w:color w:val="000000"/>
                <w:sz w:val="20"/>
                <w:szCs w:val="20"/>
                <w:lang w:eastAsia="es-MX"/>
              </w:rPr>
            </w:pPr>
            <w:r w:rsidRPr="00705D03">
              <w:rPr>
                <w:rFonts w:eastAsia="Times New Roman" w:cstheme="minorHAnsi"/>
                <w:color w:val="000000"/>
                <w:sz w:val="20"/>
                <w:szCs w:val="20"/>
                <w:lang w:eastAsia="es-MX"/>
              </w:rPr>
              <w:t>503.16</w:t>
            </w:r>
          </w:p>
        </w:tc>
        <w:tc>
          <w:tcPr>
            <w:tcW w:w="1047" w:type="dxa"/>
            <w:tcBorders>
              <w:top w:val="nil"/>
              <w:left w:val="nil"/>
              <w:bottom w:val="single" w:sz="4" w:space="0" w:color="auto"/>
              <w:right w:val="single" w:sz="4" w:space="0" w:color="auto"/>
            </w:tcBorders>
            <w:shd w:val="clear" w:color="auto" w:fill="auto"/>
            <w:noWrap/>
            <w:vAlign w:val="bottom"/>
            <w:hideMark/>
          </w:tcPr>
          <w:p w14:paraId="7CEAA82C" w14:textId="67DD3C24" w:rsidR="00EE43A5" w:rsidRPr="00705D03" w:rsidRDefault="00EE43A5" w:rsidP="000F3860">
            <w:pPr>
              <w:spacing w:before="0" w:after="0"/>
              <w:jc w:val="right"/>
              <w:rPr>
                <w:rFonts w:eastAsia="Times New Roman" w:cstheme="minorHAnsi"/>
                <w:color w:val="000000"/>
                <w:sz w:val="20"/>
                <w:szCs w:val="20"/>
                <w:lang w:eastAsia="es-MX"/>
              </w:rPr>
            </w:pPr>
            <w:r w:rsidRPr="00705D03">
              <w:rPr>
                <w:rFonts w:eastAsia="Times New Roman" w:cstheme="minorHAnsi"/>
                <w:color w:val="000000"/>
                <w:sz w:val="20"/>
                <w:szCs w:val="20"/>
                <w:lang w:eastAsia="es-MX"/>
              </w:rPr>
              <w:t>545.00</w:t>
            </w:r>
          </w:p>
        </w:tc>
        <w:tc>
          <w:tcPr>
            <w:tcW w:w="1048" w:type="dxa"/>
            <w:tcBorders>
              <w:top w:val="nil"/>
              <w:left w:val="nil"/>
              <w:bottom w:val="single" w:sz="4" w:space="0" w:color="auto"/>
              <w:right w:val="single" w:sz="4" w:space="0" w:color="auto"/>
            </w:tcBorders>
            <w:shd w:val="clear" w:color="auto" w:fill="auto"/>
            <w:noWrap/>
            <w:vAlign w:val="bottom"/>
            <w:hideMark/>
          </w:tcPr>
          <w:p w14:paraId="51428A88" w14:textId="2D591B1A" w:rsidR="00EE43A5" w:rsidRPr="00705D03" w:rsidRDefault="00EE43A5" w:rsidP="000F3860">
            <w:pPr>
              <w:spacing w:before="0" w:after="0"/>
              <w:jc w:val="right"/>
              <w:rPr>
                <w:rFonts w:eastAsia="Times New Roman" w:cstheme="minorHAnsi"/>
                <w:color w:val="000000"/>
                <w:sz w:val="20"/>
                <w:szCs w:val="20"/>
                <w:lang w:eastAsia="es-MX"/>
              </w:rPr>
            </w:pPr>
            <w:r w:rsidRPr="00705D03">
              <w:rPr>
                <w:rFonts w:eastAsia="Times New Roman" w:cstheme="minorHAnsi"/>
                <w:color w:val="000000"/>
                <w:sz w:val="20"/>
                <w:szCs w:val="20"/>
                <w:lang w:eastAsia="es-MX"/>
              </w:rPr>
              <w:t>672.00</w:t>
            </w:r>
          </w:p>
        </w:tc>
      </w:tr>
      <w:tr w:rsidR="00AC117F" w:rsidRPr="00705D03" w14:paraId="1B88FF01" w14:textId="77777777" w:rsidTr="000F3860">
        <w:trPr>
          <w:trHeight w:val="240"/>
        </w:trPr>
        <w:tc>
          <w:tcPr>
            <w:tcW w:w="3677" w:type="dxa"/>
            <w:tcBorders>
              <w:top w:val="nil"/>
              <w:left w:val="single" w:sz="4" w:space="0" w:color="auto"/>
              <w:bottom w:val="single" w:sz="4" w:space="0" w:color="auto"/>
              <w:right w:val="single" w:sz="4" w:space="0" w:color="auto"/>
            </w:tcBorders>
            <w:shd w:val="clear" w:color="auto" w:fill="auto"/>
            <w:noWrap/>
            <w:vAlign w:val="bottom"/>
            <w:hideMark/>
          </w:tcPr>
          <w:p w14:paraId="49BFF7E7" w14:textId="47D7B389" w:rsidR="00EE43A5" w:rsidRPr="00705D03" w:rsidRDefault="00705D03" w:rsidP="00DA530D">
            <w:pPr>
              <w:spacing w:before="0" w:after="0"/>
              <w:rPr>
                <w:rFonts w:eastAsia="Times New Roman" w:cstheme="minorHAnsi"/>
                <w:color w:val="000000"/>
                <w:sz w:val="20"/>
                <w:szCs w:val="20"/>
                <w:lang w:eastAsia="es-MX"/>
              </w:rPr>
            </w:pPr>
            <w:r>
              <w:rPr>
                <w:rFonts w:eastAsia="Times New Roman" w:cstheme="minorHAnsi"/>
                <w:color w:val="000000"/>
                <w:sz w:val="20"/>
                <w:szCs w:val="20"/>
                <w:lang w:eastAsia="es-MX"/>
              </w:rPr>
              <w:t xml:space="preserve">II. </w:t>
            </w:r>
            <w:r w:rsidR="00EE43A5" w:rsidRPr="00705D03">
              <w:rPr>
                <w:rFonts w:eastAsia="Times New Roman" w:cstheme="minorHAnsi"/>
                <w:color w:val="000000"/>
                <w:sz w:val="20"/>
                <w:szCs w:val="20"/>
                <w:lang w:eastAsia="es-MX"/>
              </w:rPr>
              <w:t>Saneamiento financiero (amortización de deuda pública)</w:t>
            </w:r>
          </w:p>
        </w:tc>
        <w:tc>
          <w:tcPr>
            <w:tcW w:w="1047" w:type="dxa"/>
            <w:tcBorders>
              <w:top w:val="nil"/>
              <w:left w:val="nil"/>
              <w:bottom w:val="single" w:sz="4" w:space="0" w:color="auto"/>
              <w:right w:val="single" w:sz="4" w:space="0" w:color="auto"/>
            </w:tcBorders>
            <w:shd w:val="clear" w:color="auto" w:fill="auto"/>
            <w:noWrap/>
            <w:vAlign w:val="bottom"/>
            <w:hideMark/>
          </w:tcPr>
          <w:p w14:paraId="649625B8" w14:textId="4E718F1C" w:rsidR="00EE43A5" w:rsidRPr="00705D03" w:rsidRDefault="00EE43A5" w:rsidP="000F3860">
            <w:pPr>
              <w:spacing w:before="0" w:after="0"/>
              <w:jc w:val="right"/>
              <w:rPr>
                <w:rFonts w:eastAsia="Times New Roman" w:cstheme="minorHAnsi"/>
                <w:color w:val="000000"/>
                <w:sz w:val="20"/>
                <w:szCs w:val="20"/>
                <w:lang w:eastAsia="es-MX"/>
              </w:rPr>
            </w:pPr>
            <w:r w:rsidRPr="00705D03">
              <w:rPr>
                <w:rFonts w:eastAsia="Times New Roman" w:cstheme="minorHAnsi"/>
                <w:color w:val="000000"/>
                <w:sz w:val="20"/>
                <w:szCs w:val="20"/>
                <w:lang w:eastAsia="es-MX"/>
              </w:rPr>
              <w:t>175.14</w:t>
            </w:r>
          </w:p>
        </w:tc>
        <w:tc>
          <w:tcPr>
            <w:tcW w:w="1048" w:type="dxa"/>
            <w:tcBorders>
              <w:top w:val="nil"/>
              <w:left w:val="nil"/>
              <w:bottom w:val="single" w:sz="4" w:space="0" w:color="auto"/>
              <w:right w:val="single" w:sz="4" w:space="0" w:color="auto"/>
            </w:tcBorders>
            <w:shd w:val="clear" w:color="auto" w:fill="auto"/>
            <w:noWrap/>
            <w:vAlign w:val="bottom"/>
            <w:hideMark/>
          </w:tcPr>
          <w:p w14:paraId="6F31F01D" w14:textId="758BF6C4" w:rsidR="00EE43A5" w:rsidRPr="00705D03" w:rsidRDefault="00EE43A5" w:rsidP="000F3860">
            <w:pPr>
              <w:spacing w:before="0" w:after="0"/>
              <w:jc w:val="right"/>
              <w:rPr>
                <w:rFonts w:eastAsia="Times New Roman" w:cstheme="minorHAnsi"/>
                <w:color w:val="000000"/>
                <w:sz w:val="20"/>
                <w:szCs w:val="20"/>
                <w:lang w:eastAsia="es-MX"/>
              </w:rPr>
            </w:pPr>
            <w:r w:rsidRPr="00705D03">
              <w:rPr>
                <w:rFonts w:eastAsia="Times New Roman" w:cstheme="minorHAnsi"/>
                <w:color w:val="000000"/>
                <w:sz w:val="20"/>
                <w:szCs w:val="20"/>
                <w:lang w:eastAsia="es-MX"/>
              </w:rPr>
              <w:t>177.22</w:t>
            </w:r>
          </w:p>
        </w:tc>
        <w:tc>
          <w:tcPr>
            <w:tcW w:w="1047" w:type="dxa"/>
            <w:tcBorders>
              <w:top w:val="nil"/>
              <w:left w:val="nil"/>
              <w:bottom w:val="single" w:sz="4" w:space="0" w:color="auto"/>
              <w:right w:val="single" w:sz="4" w:space="0" w:color="auto"/>
            </w:tcBorders>
            <w:shd w:val="clear" w:color="auto" w:fill="auto"/>
            <w:noWrap/>
            <w:vAlign w:val="bottom"/>
            <w:hideMark/>
          </w:tcPr>
          <w:p w14:paraId="69D5746E" w14:textId="1586B5FE" w:rsidR="00EE43A5" w:rsidRPr="00705D03" w:rsidRDefault="00EE43A5" w:rsidP="000F3860">
            <w:pPr>
              <w:spacing w:before="0" w:after="0"/>
              <w:jc w:val="right"/>
              <w:rPr>
                <w:rFonts w:eastAsia="Times New Roman" w:cstheme="minorHAnsi"/>
                <w:color w:val="000000"/>
                <w:sz w:val="20"/>
                <w:szCs w:val="20"/>
                <w:lang w:eastAsia="es-MX"/>
              </w:rPr>
            </w:pPr>
            <w:r w:rsidRPr="00705D03">
              <w:rPr>
                <w:rFonts w:eastAsia="Times New Roman" w:cstheme="minorHAnsi"/>
                <w:color w:val="000000"/>
                <w:sz w:val="20"/>
                <w:szCs w:val="20"/>
                <w:lang w:eastAsia="es-MX"/>
              </w:rPr>
              <w:t>183.89</w:t>
            </w:r>
          </w:p>
        </w:tc>
        <w:tc>
          <w:tcPr>
            <w:tcW w:w="1048" w:type="dxa"/>
            <w:tcBorders>
              <w:top w:val="nil"/>
              <w:left w:val="nil"/>
              <w:bottom w:val="single" w:sz="4" w:space="0" w:color="auto"/>
              <w:right w:val="single" w:sz="4" w:space="0" w:color="auto"/>
            </w:tcBorders>
            <w:shd w:val="clear" w:color="auto" w:fill="auto"/>
            <w:noWrap/>
            <w:vAlign w:val="bottom"/>
            <w:hideMark/>
          </w:tcPr>
          <w:p w14:paraId="3CE08F61" w14:textId="6C007D41" w:rsidR="00EE43A5" w:rsidRPr="00705D03" w:rsidRDefault="00EE43A5" w:rsidP="000F3860">
            <w:pPr>
              <w:spacing w:before="0" w:after="0"/>
              <w:jc w:val="right"/>
              <w:rPr>
                <w:rFonts w:eastAsia="Times New Roman" w:cstheme="minorHAnsi"/>
                <w:color w:val="000000"/>
                <w:sz w:val="20"/>
                <w:szCs w:val="20"/>
                <w:lang w:eastAsia="es-MX"/>
              </w:rPr>
            </w:pPr>
            <w:r w:rsidRPr="00705D03">
              <w:rPr>
                <w:rFonts w:eastAsia="Times New Roman" w:cstheme="minorHAnsi"/>
                <w:color w:val="000000"/>
                <w:sz w:val="20"/>
                <w:szCs w:val="20"/>
                <w:lang w:eastAsia="es-MX"/>
              </w:rPr>
              <w:t>200.05</w:t>
            </w:r>
          </w:p>
        </w:tc>
        <w:tc>
          <w:tcPr>
            <w:tcW w:w="1047" w:type="dxa"/>
            <w:tcBorders>
              <w:top w:val="nil"/>
              <w:left w:val="nil"/>
              <w:bottom w:val="single" w:sz="4" w:space="0" w:color="auto"/>
              <w:right w:val="single" w:sz="4" w:space="0" w:color="auto"/>
            </w:tcBorders>
            <w:shd w:val="clear" w:color="auto" w:fill="auto"/>
            <w:noWrap/>
            <w:vAlign w:val="bottom"/>
            <w:hideMark/>
          </w:tcPr>
          <w:p w14:paraId="0DE959E7" w14:textId="69D2185A" w:rsidR="00EE43A5" w:rsidRPr="00705D03" w:rsidRDefault="00EE43A5" w:rsidP="000F3860">
            <w:pPr>
              <w:spacing w:before="0" w:after="0"/>
              <w:jc w:val="right"/>
              <w:rPr>
                <w:rFonts w:eastAsia="Times New Roman" w:cstheme="minorHAnsi"/>
                <w:color w:val="000000"/>
                <w:sz w:val="20"/>
                <w:szCs w:val="20"/>
                <w:lang w:eastAsia="es-MX"/>
              </w:rPr>
            </w:pPr>
            <w:r w:rsidRPr="00705D03">
              <w:rPr>
                <w:rFonts w:eastAsia="Times New Roman" w:cstheme="minorHAnsi"/>
                <w:color w:val="000000"/>
                <w:sz w:val="20"/>
                <w:szCs w:val="20"/>
                <w:lang w:eastAsia="es-MX"/>
              </w:rPr>
              <w:t>219.54</w:t>
            </w:r>
          </w:p>
        </w:tc>
        <w:tc>
          <w:tcPr>
            <w:tcW w:w="1048" w:type="dxa"/>
            <w:tcBorders>
              <w:top w:val="nil"/>
              <w:left w:val="nil"/>
              <w:bottom w:val="single" w:sz="4" w:space="0" w:color="auto"/>
              <w:right w:val="single" w:sz="4" w:space="0" w:color="auto"/>
            </w:tcBorders>
            <w:shd w:val="clear" w:color="auto" w:fill="auto"/>
            <w:noWrap/>
            <w:vAlign w:val="bottom"/>
            <w:hideMark/>
          </w:tcPr>
          <w:p w14:paraId="4C2AA857" w14:textId="3BFD2AB5" w:rsidR="00EE43A5" w:rsidRPr="00705D03" w:rsidRDefault="00EE43A5" w:rsidP="000F3860">
            <w:pPr>
              <w:spacing w:before="0" w:after="0"/>
              <w:jc w:val="right"/>
              <w:rPr>
                <w:rFonts w:eastAsia="Times New Roman" w:cstheme="minorHAnsi"/>
                <w:color w:val="000000"/>
                <w:sz w:val="20"/>
                <w:szCs w:val="20"/>
                <w:lang w:eastAsia="es-MX"/>
              </w:rPr>
            </w:pPr>
            <w:r w:rsidRPr="00705D03">
              <w:rPr>
                <w:rFonts w:eastAsia="Times New Roman" w:cstheme="minorHAnsi"/>
                <w:color w:val="000000"/>
                <w:sz w:val="20"/>
                <w:szCs w:val="20"/>
                <w:lang w:eastAsia="es-MX"/>
              </w:rPr>
              <w:t>250.74</w:t>
            </w:r>
          </w:p>
        </w:tc>
      </w:tr>
      <w:tr w:rsidR="00AC117F" w:rsidRPr="00705D03" w14:paraId="55F3D62A" w14:textId="77777777" w:rsidTr="000F3860">
        <w:trPr>
          <w:trHeight w:val="240"/>
        </w:trPr>
        <w:tc>
          <w:tcPr>
            <w:tcW w:w="3677" w:type="dxa"/>
            <w:tcBorders>
              <w:top w:val="nil"/>
              <w:left w:val="single" w:sz="4" w:space="0" w:color="auto"/>
              <w:bottom w:val="single" w:sz="4" w:space="0" w:color="auto"/>
              <w:right w:val="single" w:sz="4" w:space="0" w:color="auto"/>
            </w:tcBorders>
            <w:shd w:val="clear" w:color="auto" w:fill="auto"/>
            <w:noWrap/>
            <w:vAlign w:val="bottom"/>
            <w:hideMark/>
          </w:tcPr>
          <w:p w14:paraId="71AB8454" w14:textId="2C571859" w:rsidR="00EE43A5" w:rsidRPr="00705D03" w:rsidRDefault="00705D03" w:rsidP="00DA530D">
            <w:pPr>
              <w:spacing w:before="0" w:after="0"/>
              <w:rPr>
                <w:rFonts w:eastAsia="Times New Roman" w:cstheme="minorHAnsi"/>
                <w:color w:val="000000"/>
                <w:sz w:val="20"/>
                <w:szCs w:val="20"/>
                <w:lang w:eastAsia="es-MX"/>
              </w:rPr>
            </w:pPr>
            <w:r>
              <w:rPr>
                <w:rFonts w:eastAsia="Times New Roman" w:cstheme="minorHAnsi"/>
                <w:color w:val="000000"/>
                <w:sz w:val="20"/>
                <w:szCs w:val="20"/>
                <w:lang w:eastAsia="es-MX"/>
              </w:rPr>
              <w:t xml:space="preserve">III. </w:t>
            </w:r>
            <w:r w:rsidR="00EE43A5" w:rsidRPr="00705D03">
              <w:rPr>
                <w:rFonts w:eastAsia="Times New Roman" w:cstheme="minorHAnsi"/>
                <w:color w:val="000000"/>
                <w:sz w:val="20"/>
                <w:szCs w:val="20"/>
                <w:lang w:eastAsia="es-MX"/>
              </w:rPr>
              <w:t>Saneamiento de pensiones</w:t>
            </w:r>
          </w:p>
        </w:tc>
        <w:tc>
          <w:tcPr>
            <w:tcW w:w="1047" w:type="dxa"/>
            <w:tcBorders>
              <w:top w:val="nil"/>
              <w:left w:val="nil"/>
              <w:bottom w:val="single" w:sz="4" w:space="0" w:color="auto"/>
              <w:right w:val="single" w:sz="4" w:space="0" w:color="auto"/>
            </w:tcBorders>
            <w:shd w:val="clear" w:color="auto" w:fill="auto"/>
            <w:noWrap/>
            <w:vAlign w:val="bottom"/>
            <w:hideMark/>
          </w:tcPr>
          <w:p w14:paraId="5C0088D8" w14:textId="7A5C3ED0" w:rsidR="00EE43A5" w:rsidRPr="00705D03" w:rsidRDefault="00EE43A5" w:rsidP="000F3860">
            <w:pPr>
              <w:spacing w:before="0" w:after="0"/>
              <w:jc w:val="right"/>
              <w:rPr>
                <w:rFonts w:eastAsia="Times New Roman" w:cstheme="minorHAnsi"/>
                <w:color w:val="000000"/>
                <w:sz w:val="20"/>
                <w:szCs w:val="20"/>
                <w:lang w:eastAsia="es-MX"/>
              </w:rPr>
            </w:pPr>
            <w:r w:rsidRPr="00705D03">
              <w:rPr>
                <w:rFonts w:eastAsia="Times New Roman" w:cstheme="minorHAnsi"/>
                <w:color w:val="000000"/>
                <w:sz w:val="20"/>
                <w:szCs w:val="20"/>
                <w:lang w:eastAsia="es-MX"/>
              </w:rPr>
              <w:t>0.00</w:t>
            </w:r>
          </w:p>
        </w:tc>
        <w:tc>
          <w:tcPr>
            <w:tcW w:w="1048" w:type="dxa"/>
            <w:tcBorders>
              <w:top w:val="nil"/>
              <w:left w:val="nil"/>
              <w:bottom w:val="single" w:sz="4" w:space="0" w:color="auto"/>
              <w:right w:val="single" w:sz="4" w:space="0" w:color="auto"/>
            </w:tcBorders>
            <w:shd w:val="clear" w:color="auto" w:fill="auto"/>
            <w:noWrap/>
            <w:vAlign w:val="bottom"/>
            <w:hideMark/>
          </w:tcPr>
          <w:p w14:paraId="1B8EA9E7" w14:textId="3FE2A254" w:rsidR="00EE43A5" w:rsidRPr="00705D03" w:rsidRDefault="00EE43A5" w:rsidP="000F3860">
            <w:pPr>
              <w:spacing w:before="0" w:after="0"/>
              <w:jc w:val="right"/>
              <w:rPr>
                <w:rFonts w:eastAsia="Times New Roman" w:cstheme="minorHAnsi"/>
                <w:color w:val="000000"/>
                <w:sz w:val="20"/>
                <w:szCs w:val="20"/>
                <w:lang w:eastAsia="es-MX"/>
              </w:rPr>
            </w:pPr>
            <w:r w:rsidRPr="00705D03">
              <w:rPr>
                <w:rFonts w:eastAsia="Times New Roman" w:cstheme="minorHAnsi"/>
                <w:color w:val="000000"/>
                <w:sz w:val="20"/>
                <w:szCs w:val="20"/>
                <w:lang w:eastAsia="es-MX"/>
              </w:rPr>
              <w:t>0.00</w:t>
            </w:r>
          </w:p>
        </w:tc>
        <w:tc>
          <w:tcPr>
            <w:tcW w:w="1047" w:type="dxa"/>
            <w:tcBorders>
              <w:top w:val="nil"/>
              <w:left w:val="nil"/>
              <w:bottom w:val="single" w:sz="4" w:space="0" w:color="auto"/>
              <w:right w:val="single" w:sz="4" w:space="0" w:color="auto"/>
            </w:tcBorders>
            <w:shd w:val="clear" w:color="auto" w:fill="auto"/>
            <w:noWrap/>
            <w:vAlign w:val="bottom"/>
            <w:hideMark/>
          </w:tcPr>
          <w:p w14:paraId="4B18B7D1" w14:textId="747A5897" w:rsidR="00EE43A5" w:rsidRPr="00705D03" w:rsidRDefault="00EE43A5" w:rsidP="000F3860">
            <w:pPr>
              <w:spacing w:before="0" w:after="0"/>
              <w:jc w:val="right"/>
              <w:rPr>
                <w:rFonts w:eastAsia="Times New Roman" w:cstheme="minorHAnsi"/>
                <w:color w:val="000000"/>
                <w:sz w:val="20"/>
                <w:szCs w:val="20"/>
                <w:lang w:eastAsia="es-MX"/>
              </w:rPr>
            </w:pPr>
            <w:r w:rsidRPr="00705D03">
              <w:rPr>
                <w:rFonts w:eastAsia="Times New Roman" w:cstheme="minorHAnsi"/>
                <w:color w:val="000000"/>
                <w:sz w:val="20"/>
                <w:szCs w:val="20"/>
                <w:lang w:eastAsia="es-MX"/>
              </w:rPr>
              <w:t>0.00</w:t>
            </w:r>
          </w:p>
        </w:tc>
        <w:tc>
          <w:tcPr>
            <w:tcW w:w="1048" w:type="dxa"/>
            <w:tcBorders>
              <w:top w:val="nil"/>
              <w:left w:val="nil"/>
              <w:bottom w:val="single" w:sz="4" w:space="0" w:color="auto"/>
              <w:right w:val="single" w:sz="4" w:space="0" w:color="auto"/>
            </w:tcBorders>
            <w:shd w:val="clear" w:color="auto" w:fill="auto"/>
            <w:noWrap/>
            <w:vAlign w:val="bottom"/>
            <w:hideMark/>
          </w:tcPr>
          <w:p w14:paraId="0E50AFE9" w14:textId="14A57E29" w:rsidR="00EE43A5" w:rsidRPr="00705D03" w:rsidRDefault="00EE43A5" w:rsidP="000F3860">
            <w:pPr>
              <w:spacing w:before="0" w:after="0"/>
              <w:jc w:val="right"/>
              <w:rPr>
                <w:rFonts w:eastAsia="Times New Roman" w:cstheme="minorHAnsi"/>
                <w:color w:val="000000"/>
                <w:sz w:val="20"/>
                <w:szCs w:val="20"/>
                <w:lang w:eastAsia="es-MX"/>
              </w:rPr>
            </w:pPr>
            <w:r w:rsidRPr="00705D03">
              <w:rPr>
                <w:rFonts w:eastAsia="Times New Roman" w:cstheme="minorHAnsi"/>
                <w:color w:val="000000"/>
                <w:sz w:val="20"/>
                <w:szCs w:val="20"/>
                <w:lang w:eastAsia="es-MX"/>
              </w:rPr>
              <w:t>0.00</w:t>
            </w:r>
          </w:p>
        </w:tc>
        <w:tc>
          <w:tcPr>
            <w:tcW w:w="1047" w:type="dxa"/>
            <w:tcBorders>
              <w:top w:val="nil"/>
              <w:left w:val="nil"/>
              <w:bottom w:val="single" w:sz="4" w:space="0" w:color="auto"/>
              <w:right w:val="single" w:sz="4" w:space="0" w:color="auto"/>
            </w:tcBorders>
            <w:shd w:val="clear" w:color="auto" w:fill="auto"/>
            <w:noWrap/>
            <w:vAlign w:val="bottom"/>
            <w:hideMark/>
          </w:tcPr>
          <w:p w14:paraId="48792F19" w14:textId="2BE5B48D" w:rsidR="00EE43A5" w:rsidRPr="00705D03" w:rsidRDefault="00EE43A5" w:rsidP="000F3860">
            <w:pPr>
              <w:spacing w:before="0" w:after="0"/>
              <w:jc w:val="right"/>
              <w:rPr>
                <w:rFonts w:eastAsia="Times New Roman" w:cstheme="minorHAnsi"/>
                <w:color w:val="000000"/>
                <w:sz w:val="20"/>
                <w:szCs w:val="20"/>
                <w:lang w:eastAsia="es-MX"/>
              </w:rPr>
            </w:pPr>
            <w:r w:rsidRPr="00705D03">
              <w:rPr>
                <w:rFonts w:eastAsia="Times New Roman" w:cstheme="minorHAnsi"/>
                <w:color w:val="000000"/>
                <w:sz w:val="20"/>
                <w:szCs w:val="20"/>
                <w:lang w:eastAsia="es-MX"/>
              </w:rPr>
              <w:t>0.00</w:t>
            </w:r>
          </w:p>
        </w:tc>
        <w:tc>
          <w:tcPr>
            <w:tcW w:w="1048" w:type="dxa"/>
            <w:tcBorders>
              <w:top w:val="nil"/>
              <w:left w:val="nil"/>
              <w:bottom w:val="single" w:sz="4" w:space="0" w:color="auto"/>
              <w:right w:val="single" w:sz="4" w:space="0" w:color="auto"/>
            </w:tcBorders>
            <w:shd w:val="clear" w:color="auto" w:fill="auto"/>
            <w:noWrap/>
            <w:vAlign w:val="bottom"/>
            <w:hideMark/>
          </w:tcPr>
          <w:p w14:paraId="6C10A76C" w14:textId="264C4DE8" w:rsidR="00EE43A5" w:rsidRPr="00705D03" w:rsidRDefault="00EE43A5" w:rsidP="000F3860">
            <w:pPr>
              <w:spacing w:before="0" w:after="0"/>
              <w:jc w:val="right"/>
              <w:rPr>
                <w:rFonts w:eastAsia="Times New Roman" w:cstheme="minorHAnsi"/>
                <w:color w:val="000000"/>
                <w:sz w:val="20"/>
                <w:szCs w:val="20"/>
                <w:lang w:eastAsia="es-MX"/>
              </w:rPr>
            </w:pPr>
            <w:r w:rsidRPr="00705D03">
              <w:rPr>
                <w:rFonts w:eastAsia="Times New Roman" w:cstheme="minorHAnsi"/>
                <w:color w:val="000000"/>
                <w:sz w:val="20"/>
                <w:szCs w:val="20"/>
                <w:lang w:eastAsia="es-MX"/>
              </w:rPr>
              <w:t>0.00</w:t>
            </w:r>
          </w:p>
        </w:tc>
      </w:tr>
      <w:tr w:rsidR="00AC117F" w:rsidRPr="00705D03" w14:paraId="5F4965B1" w14:textId="77777777" w:rsidTr="000F3860">
        <w:trPr>
          <w:trHeight w:val="240"/>
        </w:trPr>
        <w:tc>
          <w:tcPr>
            <w:tcW w:w="3677" w:type="dxa"/>
            <w:tcBorders>
              <w:top w:val="nil"/>
              <w:left w:val="single" w:sz="4" w:space="0" w:color="auto"/>
              <w:bottom w:val="single" w:sz="4" w:space="0" w:color="auto"/>
              <w:right w:val="single" w:sz="4" w:space="0" w:color="auto"/>
            </w:tcBorders>
            <w:shd w:val="clear" w:color="auto" w:fill="auto"/>
            <w:noWrap/>
            <w:vAlign w:val="bottom"/>
            <w:hideMark/>
          </w:tcPr>
          <w:p w14:paraId="066BF3E2" w14:textId="01D0183E" w:rsidR="00EE43A5" w:rsidRPr="00705D03" w:rsidRDefault="00705D03" w:rsidP="00DA530D">
            <w:pPr>
              <w:spacing w:before="0" w:after="0"/>
              <w:rPr>
                <w:rFonts w:eastAsia="Times New Roman" w:cstheme="minorHAnsi"/>
                <w:color w:val="000000"/>
                <w:sz w:val="20"/>
                <w:szCs w:val="20"/>
                <w:lang w:eastAsia="es-MX"/>
              </w:rPr>
            </w:pPr>
            <w:r>
              <w:rPr>
                <w:rFonts w:eastAsia="Times New Roman" w:cstheme="minorHAnsi"/>
                <w:color w:val="000000"/>
                <w:sz w:val="20"/>
                <w:szCs w:val="20"/>
                <w:lang w:eastAsia="es-MX"/>
              </w:rPr>
              <w:t xml:space="preserve">IV. </w:t>
            </w:r>
            <w:r w:rsidR="00EE43A5" w:rsidRPr="00705D03">
              <w:rPr>
                <w:rFonts w:eastAsia="Times New Roman" w:cstheme="minorHAnsi"/>
                <w:color w:val="000000"/>
                <w:sz w:val="20"/>
                <w:szCs w:val="20"/>
                <w:lang w:eastAsia="es-MX"/>
              </w:rPr>
              <w:t>Modernización de los registros públicos de la propiedad y del comercio locales</w:t>
            </w:r>
          </w:p>
        </w:tc>
        <w:tc>
          <w:tcPr>
            <w:tcW w:w="1047" w:type="dxa"/>
            <w:tcBorders>
              <w:top w:val="nil"/>
              <w:left w:val="nil"/>
              <w:bottom w:val="single" w:sz="4" w:space="0" w:color="auto"/>
              <w:right w:val="single" w:sz="4" w:space="0" w:color="auto"/>
            </w:tcBorders>
            <w:shd w:val="clear" w:color="auto" w:fill="auto"/>
            <w:noWrap/>
            <w:vAlign w:val="bottom"/>
            <w:hideMark/>
          </w:tcPr>
          <w:p w14:paraId="7677EAC8" w14:textId="58557819" w:rsidR="00EE43A5" w:rsidRPr="00705D03" w:rsidRDefault="00EE43A5" w:rsidP="000F3860">
            <w:pPr>
              <w:spacing w:before="0" w:after="0"/>
              <w:jc w:val="right"/>
              <w:rPr>
                <w:rFonts w:eastAsia="Times New Roman" w:cstheme="minorHAnsi"/>
                <w:color w:val="000000"/>
                <w:sz w:val="20"/>
                <w:szCs w:val="20"/>
                <w:lang w:eastAsia="es-MX"/>
              </w:rPr>
            </w:pPr>
            <w:r w:rsidRPr="00705D03">
              <w:rPr>
                <w:rFonts w:eastAsia="Times New Roman" w:cstheme="minorHAnsi"/>
                <w:color w:val="000000"/>
                <w:sz w:val="20"/>
                <w:szCs w:val="20"/>
                <w:lang w:eastAsia="es-MX"/>
              </w:rPr>
              <w:t>20.00</w:t>
            </w:r>
          </w:p>
        </w:tc>
        <w:tc>
          <w:tcPr>
            <w:tcW w:w="1048" w:type="dxa"/>
            <w:tcBorders>
              <w:top w:val="nil"/>
              <w:left w:val="nil"/>
              <w:bottom w:val="single" w:sz="4" w:space="0" w:color="auto"/>
              <w:right w:val="single" w:sz="4" w:space="0" w:color="auto"/>
            </w:tcBorders>
            <w:shd w:val="clear" w:color="auto" w:fill="auto"/>
            <w:noWrap/>
            <w:vAlign w:val="bottom"/>
            <w:hideMark/>
          </w:tcPr>
          <w:p w14:paraId="7176F802" w14:textId="61ED4779" w:rsidR="00EE43A5" w:rsidRPr="00705D03" w:rsidRDefault="00EE43A5" w:rsidP="000F3860">
            <w:pPr>
              <w:spacing w:before="0" w:after="0"/>
              <w:jc w:val="right"/>
              <w:rPr>
                <w:rFonts w:eastAsia="Times New Roman" w:cstheme="minorHAnsi"/>
                <w:color w:val="000000"/>
                <w:sz w:val="20"/>
                <w:szCs w:val="20"/>
                <w:lang w:eastAsia="es-MX"/>
              </w:rPr>
            </w:pPr>
            <w:r w:rsidRPr="00705D03">
              <w:rPr>
                <w:rFonts w:eastAsia="Times New Roman" w:cstheme="minorHAnsi"/>
                <w:color w:val="000000"/>
                <w:sz w:val="20"/>
                <w:szCs w:val="20"/>
                <w:lang w:eastAsia="es-MX"/>
              </w:rPr>
              <w:t>20.00</w:t>
            </w:r>
          </w:p>
        </w:tc>
        <w:tc>
          <w:tcPr>
            <w:tcW w:w="1047" w:type="dxa"/>
            <w:tcBorders>
              <w:top w:val="nil"/>
              <w:left w:val="nil"/>
              <w:bottom w:val="single" w:sz="4" w:space="0" w:color="auto"/>
              <w:right w:val="single" w:sz="4" w:space="0" w:color="auto"/>
            </w:tcBorders>
            <w:shd w:val="clear" w:color="auto" w:fill="auto"/>
            <w:noWrap/>
            <w:vAlign w:val="bottom"/>
            <w:hideMark/>
          </w:tcPr>
          <w:p w14:paraId="7C156094" w14:textId="66DBD87A" w:rsidR="00EE43A5" w:rsidRPr="00705D03" w:rsidRDefault="00EE43A5" w:rsidP="000F3860">
            <w:pPr>
              <w:spacing w:before="0" w:after="0"/>
              <w:jc w:val="right"/>
              <w:rPr>
                <w:rFonts w:eastAsia="Times New Roman" w:cstheme="minorHAnsi"/>
                <w:color w:val="000000"/>
                <w:sz w:val="20"/>
                <w:szCs w:val="20"/>
                <w:lang w:eastAsia="es-MX"/>
              </w:rPr>
            </w:pPr>
            <w:r w:rsidRPr="00705D03">
              <w:rPr>
                <w:rFonts w:eastAsia="Times New Roman" w:cstheme="minorHAnsi"/>
                <w:color w:val="000000"/>
                <w:sz w:val="20"/>
                <w:szCs w:val="20"/>
                <w:lang w:eastAsia="es-MX"/>
              </w:rPr>
              <w:t>29.84</w:t>
            </w:r>
          </w:p>
        </w:tc>
        <w:tc>
          <w:tcPr>
            <w:tcW w:w="1048" w:type="dxa"/>
            <w:tcBorders>
              <w:top w:val="nil"/>
              <w:left w:val="nil"/>
              <w:bottom w:val="single" w:sz="4" w:space="0" w:color="auto"/>
              <w:right w:val="single" w:sz="4" w:space="0" w:color="auto"/>
            </w:tcBorders>
            <w:shd w:val="clear" w:color="auto" w:fill="auto"/>
            <w:noWrap/>
            <w:vAlign w:val="bottom"/>
            <w:hideMark/>
          </w:tcPr>
          <w:p w14:paraId="5B2717B5" w14:textId="1B0CB343" w:rsidR="00EE43A5" w:rsidRPr="00705D03" w:rsidRDefault="00EE43A5" w:rsidP="000F3860">
            <w:pPr>
              <w:spacing w:before="0" w:after="0"/>
              <w:jc w:val="right"/>
              <w:rPr>
                <w:rFonts w:eastAsia="Times New Roman" w:cstheme="minorHAnsi"/>
                <w:color w:val="000000"/>
                <w:sz w:val="20"/>
                <w:szCs w:val="20"/>
                <w:lang w:eastAsia="es-MX"/>
              </w:rPr>
            </w:pPr>
            <w:r w:rsidRPr="00705D03">
              <w:rPr>
                <w:rFonts w:eastAsia="Times New Roman" w:cstheme="minorHAnsi"/>
                <w:color w:val="000000"/>
                <w:sz w:val="20"/>
                <w:szCs w:val="20"/>
                <w:lang w:eastAsia="es-MX"/>
              </w:rPr>
              <w:t>0.00</w:t>
            </w:r>
          </w:p>
        </w:tc>
        <w:tc>
          <w:tcPr>
            <w:tcW w:w="1047" w:type="dxa"/>
            <w:tcBorders>
              <w:top w:val="nil"/>
              <w:left w:val="nil"/>
              <w:bottom w:val="single" w:sz="4" w:space="0" w:color="auto"/>
              <w:right w:val="single" w:sz="4" w:space="0" w:color="auto"/>
            </w:tcBorders>
            <w:shd w:val="clear" w:color="auto" w:fill="auto"/>
            <w:noWrap/>
            <w:vAlign w:val="bottom"/>
            <w:hideMark/>
          </w:tcPr>
          <w:p w14:paraId="05C56408" w14:textId="5145DD3E" w:rsidR="00EE43A5" w:rsidRPr="00705D03" w:rsidRDefault="00EE43A5" w:rsidP="000F3860">
            <w:pPr>
              <w:spacing w:before="0" w:after="0"/>
              <w:jc w:val="right"/>
              <w:rPr>
                <w:rFonts w:eastAsia="Times New Roman" w:cstheme="minorHAnsi"/>
                <w:color w:val="000000"/>
                <w:sz w:val="20"/>
                <w:szCs w:val="20"/>
                <w:lang w:eastAsia="es-MX"/>
              </w:rPr>
            </w:pPr>
            <w:r w:rsidRPr="00705D03">
              <w:rPr>
                <w:rFonts w:eastAsia="Times New Roman" w:cstheme="minorHAnsi"/>
                <w:color w:val="000000"/>
                <w:sz w:val="20"/>
                <w:szCs w:val="20"/>
                <w:lang w:eastAsia="es-MX"/>
              </w:rPr>
              <w:t>16.69</w:t>
            </w:r>
          </w:p>
        </w:tc>
        <w:tc>
          <w:tcPr>
            <w:tcW w:w="1048" w:type="dxa"/>
            <w:tcBorders>
              <w:top w:val="nil"/>
              <w:left w:val="nil"/>
              <w:bottom w:val="single" w:sz="4" w:space="0" w:color="auto"/>
              <w:right w:val="single" w:sz="4" w:space="0" w:color="auto"/>
            </w:tcBorders>
            <w:shd w:val="clear" w:color="auto" w:fill="auto"/>
            <w:noWrap/>
            <w:vAlign w:val="bottom"/>
            <w:hideMark/>
          </w:tcPr>
          <w:p w14:paraId="009B4241" w14:textId="00456D71" w:rsidR="00EE43A5" w:rsidRPr="00705D03" w:rsidRDefault="00EE43A5" w:rsidP="000F3860">
            <w:pPr>
              <w:spacing w:before="0" w:after="0"/>
              <w:jc w:val="right"/>
              <w:rPr>
                <w:rFonts w:eastAsia="Times New Roman" w:cstheme="minorHAnsi"/>
                <w:color w:val="000000"/>
                <w:sz w:val="20"/>
                <w:szCs w:val="20"/>
                <w:lang w:eastAsia="es-MX"/>
              </w:rPr>
            </w:pPr>
            <w:r w:rsidRPr="00705D03">
              <w:rPr>
                <w:rFonts w:eastAsia="Times New Roman" w:cstheme="minorHAnsi"/>
                <w:color w:val="000000"/>
                <w:sz w:val="20"/>
                <w:szCs w:val="20"/>
                <w:lang w:eastAsia="es-MX"/>
              </w:rPr>
              <w:t>9.99</w:t>
            </w:r>
          </w:p>
        </w:tc>
      </w:tr>
      <w:tr w:rsidR="00AC117F" w:rsidRPr="00705D03" w14:paraId="06D7BC28" w14:textId="77777777" w:rsidTr="000F3860">
        <w:trPr>
          <w:trHeight w:val="240"/>
        </w:trPr>
        <w:tc>
          <w:tcPr>
            <w:tcW w:w="3677" w:type="dxa"/>
            <w:tcBorders>
              <w:top w:val="nil"/>
              <w:left w:val="single" w:sz="4" w:space="0" w:color="auto"/>
              <w:bottom w:val="single" w:sz="4" w:space="0" w:color="auto"/>
              <w:right w:val="single" w:sz="4" w:space="0" w:color="auto"/>
            </w:tcBorders>
            <w:shd w:val="clear" w:color="auto" w:fill="auto"/>
            <w:noWrap/>
            <w:vAlign w:val="bottom"/>
            <w:hideMark/>
          </w:tcPr>
          <w:p w14:paraId="1DCF2C58" w14:textId="6994ABD0" w:rsidR="00EE43A5" w:rsidRPr="00705D03" w:rsidRDefault="00705D03" w:rsidP="00DA530D">
            <w:pPr>
              <w:spacing w:before="0" w:after="0"/>
              <w:rPr>
                <w:rFonts w:eastAsia="Times New Roman" w:cstheme="minorHAnsi"/>
                <w:color w:val="000000"/>
                <w:sz w:val="20"/>
                <w:szCs w:val="20"/>
                <w:lang w:eastAsia="es-MX"/>
              </w:rPr>
            </w:pPr>
            <w:r>
              <w:rPr>
                <w:rFonts w:eastAsia="Times New Roman" w:cstheme="minorHAnsi"/>
                <w:color w:val="000000"/>
                <w:sz w:val="20"/>
                <w:szCs w:val="20"/>
                <w:lang w:eastAsia="es-MX"/>
              </w:rPr>
              <w:t xml:space="preserve">V. </w:t>
            </w:r>
            <w:r w:rsidR="00EE43A5" w:rsidRPr="00705D03">
              <w:rPr>
                <w:rFonts w:eastAsia="Times New Roman" w:cstheme="minorHAnsi"/>
                <w:color w:val="000000"/>
                <w:sz w:val="20"/>
                <w:szCs w:val="20"/>
                <w:lang w:eastAsia="es-MX"/>
              </w:rPr>
              <w:t>Modernizar los sistemas de recaudación</w:t>
            </w:r>
          </w:p>
        </w:tc>
        <w:tc>
          <w:tcPr>
            <w:tcW w:w="1047" w:type="dxa"/>
            <w:tcBorders>
              <w:top w:val="nil"/>
              <w:left w:val="nil"/>
              <w:bottom w:val="single" w:sz="4" w:space="0" w:color="auto"/>
              <w:right w:val="single" w:sz="4" w:space="0" w:color="auto"/>
            </w:tcBorders>
            <w:shd w:val="clear" w:color="auto" w:fill="auto"/>
            <w:noWrap/>
            <w:vAlign w:val="bottom"/>
            <w:hideMark/>
          </w:tcPr>
          <w:p w14:paraId="2FE4E045" w14:textId="02843A55" w:rsidR="00EE43A5" w:rsidRPr="00705D03" w:rsidRDefault="00EE43A5" w:rsidP="000F3860">
            <w:pPr>
              <w:spacing w:before="0" w:after="0"/>
              <w:jc w:val="right"/>
              <w:rPr>
                <w:rFonts w:eastAsia="Times New Roman" w:cstheme="minorHAnsi"/>
                <w:color w:val="000000"/>
                <w:sz w:val="20"/>
                <w:szCs w:val="20"/>
                <w:lang w:eastAsia="es-MX"/>
              </w:rPr>
            </w:pPr>
            <w:r w:rsidRPr="00705D03">
              <w:rPr>
                <w:rFonts w:eastAsia="Times New Roman" w:cstheme="minorHAnsi"/>
                <w:color w:val="000000"/>
                <w:sz w:val="20"/>
                <w:szCs w:val="20"/>
                <w:lang w:eastAsia="es-MX"/>
              </w:rPr>
              <w:t>0.00</w:t>
            </w:r>
          </w:p>
        </w:tc>
        <w:tc>
          <w:tcPr>
            <w:tcW w:w="1048" w:type="dxa"/>
            <w:tcBorders>
              <w:top w:val="nil"/>
              <w:left w:val="nil"/>
              <w:bottom w:val="single" w:sz="4" w:space="0" w:color="auto"/>
              <w:right w:val="single" w:sz="4" w:space="0" w:color="auto"/>
            </w:tcBorders>
            <w:shd w:val="clear" w:color="auto" w:fill="auto"/>
            <w:noWrap/>
            <w:vAlign w:val="bottom"/>
            <w:hideMark/>
          </w:tcPr>
          <w:p w14:paraId="7A7C88A9" w14:textId="25BE7DCA" w:rsidR="00EE43A5" w:rsidRPr="00705D03" w:rsidRDefault="00EE43A5" w:rsidP="000F3860">
            <w:pPr>
              <w:spacing w:before="0" w:after="0"/>
              <w:jc w:val="right"/>
              <w:rPr>
                <w:rFonts w:eastAsia="Times New Roman" w:cstheme="minorHAnsi"/>
                <w:color w:val="000000"/>
                <w:sz w:val="20"/>
                <w:szCs w:val="20"/>
                <w:lang w:eastAsia="es-MX"/>
              </w:rPr>
            </w:pPr>
            <w:r w:rsidRPr="00705D03">
              <w:rPr>
                <w:rFonts w:eastAsia="Times New Roman" w:cstheme="minorHAnsi"/>
                <w:color w:val="000000"/>
                <w:sz w:val="20"/>
                <w:szCs w:val="20"/>
                <w:lang w:eastAsia="es-MX"/>
              </w:rPr>
              <w:t>0.00</w:t>
            </w:r>
          </w:p>
        </w:tc>
        <w:tc>
          <w:tcPr>
            <w:tcW w:w="1047" w:type="dxa"/>
            <w:tcBorders>
              <w:top w:val="nil"/>
              <w:left w:val="nil"/>
              <w:bottom w:val="single" w:sz="4" w:space="0" w:color="auto"/>
              <w:right w:val="single" w:sz="4" w:space="0" w:color="auto"/>
            </w:tcBorders>
            <w:shd w:val="clear" w:color="auto" w:fill="auto"/>
            <w:noWrap/>
            <w:vAlign w:val="bottom"/>
            <w:hideMark/>
          </w:tcPr>
          <w:p w14:paraId="1693B42F" w14:textId="17EC64FF" w:rsidR="00EE43A5" w:rsidRPr="00705D03" w:rsidRDefault="00EE43A5" w:rsidP="000F3860">
            <w:pPr>
              <w:spacing w:before="0" w:after="0"/>
              <w:jc w:val="right"/>
              <w:rPr>
                <w:rFonts w:eastAsia="Times New Roman" w:cstheme="minorHAnsi"/>
                <w:color w:val="000000"/>
                <w:sz w:val="20"/>
                <w:szCs w:val="20"/>
                <w:lang w:eastAsia="es-MX"/>
              </w:rPr>
            </w:pPr>
            <w:r w:rsidRPr="00705D03">
              <w:rPr>
                <w:rFonts w:eastAsia="Times New Roman" w:cstheme="minorHAnsi"/>
                <w:color w:val="000000"/>
                <w:sz w:val="20"/>
                <w:szCs w:val="20"/>
                <w:lang w:eastAsia="es-MX"/>
              </w:rPr>
              <w:t>0.00</w:t>
            </w:r>
          </w:p>
        </w:tc>
        <w:tc>
          <w:tcPr>
            <w:tcW w:w="1048" w:type="dxa"/>
            <w:tcBorders>
              <w:top w:val="nil"/>
              <w:left w:val="nil"/>
              <w:bottom w:val="single" w:sz="4" w:space="0" w:color="auto"/>
              <w:right w:val="single" w:sz="4" w:space="0" w:color="auto"/>
            </w:tcBorders>
            <w:shd w:val="clear" w:color="auto" w:fill="auto"/>
            <w:noWrap/>
            <w:vAlign w:val="bottom"/>
            <w:hideMark/>
          </w:tcPr>
          <w:p w14:paraId="3B741B0F" w14:textId="62EB4E2F" w:rsidR="00EE43A5" w:rsidRPr="00705D03" w:rsidRDefault="00EE43A5" w:rsidP="000F3860">
            <w:pPr>
              <w:spacing w:before="0" w:after="0"/>
              <w:jc w:val="right"/>
              <w:rPr>
                <w:rFonts w:eastAsia="Times New Roman" w:cstheme="minorHAnsi"/>
                <w:color w:val="000000"/>
                <w:sz w:val="20"/>
                <w:szCs w:val="20"/>
                <w:lang w:eastAsia="es-MX"/>
              </w:rPr>
            </w:pPr>
            <w:r w:rsidRPr="00705D03">
              <w:rPr>
                <w:rFonts w:eastAsia="Times New Roman" w:cstheme="minorHAnsi"/>
                <w:color w:val="000000"/>
                <w:sz w:val="20"/>
                <w:szCs w:val="20"/>
                <w:lang w:eastAsia="es-MX"/>
              </w:rPr>
              <w:t>0.00</w:t>
            </w:r>
          </w:p>
        </w:tc>
        <w:tc>
          <w:tcPr>
            <w:tcW w:w="1047" w:type="dxa"/>
            <w:tcBorders>
              <w:top w:val="nil"/>
              <w:left w:val="nil"/>
              <w:bottom w:val="single" w:sz="4" w:space="0" w:color="auto"/>
              <w:right w:val="single" w:sz="4" w:space="0" w:color="auto"/>
            </w:tcBorders>
            <w:shd w:val="clear" w:color="auto" w:fill="auto"/>
            <w:noWrap/>
            <w:vAlign w:val="bottom"/>
            <w:hideMark/>
          </w:tcPr>
          <w:p w14:paraId="703ED9D3" w14:textId="78234477" w:rsidR="00EE43A5" w:rsidRPr="00705D03" w:rsidRDefault="00EE43A5" w:rsidP="000F3860">
            <w:pPr>
              <w:spacing w:before="0" w:after="0"/>
              <w:jc w:val="right"/>
              <w:rPr>
                <w:rFonts w:eastAsia="Times New Roman" w:cstheme="minorHAnsi"/>
                <w:color w:val="000000"/>
                <w:sz w:val="20"/>
                <w:szCs w:val="20"/>
                <w:lang w:eastAsia="es-MX"/>
              </w:rPr>
            </w:pPr>
            <w:r w:rsidRPr="00705D03">
              <w:rPr>
                <w:rFonts w:eastAsia="Times New Roman" w:cstheme="minorHAnsi"/>
                <w:color w:val="000000"/>
                <w:sz w:val="20"/>
                <w:szCs w:val="20"/>
                <w:lang w:eastAsia="es-MX"/>
              </w:rPr>
              <w:t>0.00</w:t>
            </w:r>
          </w:p>
        </w:tc>
        <w:tc>
          <w:tcPr>
            <w:tcW w:w="1048" w:type="dxa"/>
            <w:tcBorders>
              <w:top w:val="nil"/>
              <w:left w:val="nil"/>
              <w:bottom w:val="single" w:sz="4" w:space="0" w:color="auto"/>
              <w:right w:val="single" w:sz="4" w:space="0" w:color="auto"/>
            </w:tcBorders>
            <w:shd w:val="clear" w:color="auto" w:fill="auto"/>
            <w:noWrap/>
            <w:vAlign w:val="bottom"/>
            <w:hideMark/>
          </w:tcPr>
          <w:p w14:paraId="36376984" w14:textId="7C06743A" w:rsidR="00EE43A5" w:rsidRPr="00705D03" w:rsidRDefault="00EE43A5" w:rsidP="000F3860">
            <w:pPr>
              <w:spacing w:before="0" w:after="0"/>
              <w:jc w:val="right"/>
              <w:rPr>
                <w:rFonts w:eastAsia="Times New Roman" w:cstheme="minorHAnsi"/>
                <w:color w:val="000000"/>
                <w:sz w:val="20"/>
                <w:szCs w:val="20"/>
                <w:lang w:eastAsia="es-MX"/>
              </w:rPr>
            </w:pPr>
            <w:r w:rsidRPr="00705D03">
              <w:rPr>
                <w:rFonts w:eastAsia="Times New Roman" w:cstheme="minorHAnsi"/>
                <w:color w:val="000000"/>
                <w:sz w:val="20"/>
                <w:szCs w:val="20"/>
                <w:lang w:eastAsia="es-MX"/>
              </w:rPr>
              <w:t>0.00</w:t>
            </w:r>
          </w:p>
        </w:tc>
      </w:tr>
      <w:tr w:rsidR="00AC117F" w:rsidRPr="00705D03" w14:paraId="79859AF2" w14:textId="77777777" w:rsidTr="000F3860">
        <w:trPr>
          <w:trHeight w:val="240"/>
        </w:trPr>
        <w:tc>
          <w:tcPr>
            <w:tcW w:w="3677" w:type="dxa"/>
            <w:tcBorders>
              <w:top w:val="nil"/>
              <w:left w:val="single" w:sz="4" w:space="0" w:color="auto"/>
              <w:bottom w:val="single" w:sz="4" w:space="0" w:color="auto"/>
              <w:right w:val="single" w:sz="4" w:space="0" w:color="auto"/>
            </w:tcBorders>
            <w:shd w:val="clear" w:color="auto" w:fill="auto"/>
            <w:noWrap/>
            <w:vAlign w:val="bottom"/>
            <w:hideMark/>
          </w:tcPr>
          <w:p w14:paraId="1D59FDC9" w14:textId="46D2A8F9" w:rsidR="00EE43A5" w:rsidRPr="00705D03" w:rsidRDefault="00705D03" w:rsidP="00DA530D">
            <w:pPr>
              <w:spacing w:before="0" w:after="0"/>
              <w:rPr>
                <w:rFonts w:eastAsia="Times New Roman" w:cstheme="minorHAnsi"/>
                <w:color w:val="000000"/>
                <w:sz w:val="20"/>
                <w:szCs w:val="20"/>
                <w:lang w:eastAsia="es-MX"/>
              </w:rPr>
            </w:pPr>
            <w:r>
              <w:rPr>
                <w:rFonts w:eastAsia="Times New Roman" w:cstheme="minorHAnsi"/>
                <w:color w:val="000000"/>
                <w:sz w:val="20"/>
                <w:szCs w:val="20"/>
                <w:lang w:eastAsia="es-MX"/>
              </w:rPr>
              <w:t xml:space="preserve">VI. </w:t>
            </w:r>
            <w:r w:rsidR="00EE43A5" w:rsidRPr="00705D03">
              <w:rPr>
                <w:rFonts w:eastAsia="Times New Roman" w:cstheme="minorHAnsi"/>
                <w:color w:val="000000"/>
                <w:sz w:val="20"/>
                <w:szCs w:val="20"/>
                <w:lang w:eastAsia="es-MX"/>
              </w:rPr>
              <w:t>Proyectos de investigación científica y desarrollo tecnológico</w:t>
            </w:r>
          </w:p>
        </w:tc>
        <w:tc>
          <w:tcPr>
            <w:tcW w:w="1047" w:type="dxa"/>
            <w:tcBorders>
              <w:top w:val="nil"/>
              <w:left w:val="nil"/>
              <w:bottom w:val="single" w:sz="4" w:space="0" w:color="auto"/>
              <w:right w:val="single" w:sz="4" w:space="0" w:color="auto"/>
            </w:tcBorders>
            <w:shd w:val="clear" w:color="auto" w:fill="auto"/>
            <w:noWrap/>
            <w:vAlign w:val="bottom"/>
            <w:hideMark/>
          </w:tcPr>
          <w:p w14:paraId="2069C4CA" w14:textId="1EA5BD99" w:rsidR="00EE43A5" w:rsidRPr="00705D03" w:rsidRDefault="00EE43A5" w:rsidP="000F3860">
            <w:pPr>
              <w:spacing w:before="0" w:after="0"/>
              <w:jc w:val="right"/>
              <w:rPr>
                <w:rFonts w:eastAsia="Times New Roman" w:cstheme="minorHAnsi"/>
                <w:color w:val="000000"/>
                <w:sz w:val="20"/>
                <w:szCs w:val="20"/>
                <w:lang w:eastAsia="es-MX"/>
              </w:rPr>
            </w:pPr>
            <w:r w:rsidRPr="00705D03">
              <w:rPr>
                <w:rFonts w:eastAsia="Times New Roman" w:cstheme="minorHAnsi"/>
                <w:color w:val="000000"/>
                <w:sz w:val="20"/>
                <w:szCs w:val="20"/>
                <w:lang w:eastAsia="es-MX"/>
              </w:rPr>
              <w:t>0.00</w:t>
            </w:r>
          </w:p>
        </w:tc>
        <w:tc>
          <w:tcPr>
            <w:tcW w:w="1048" w:type="dxa"/>
            <w:tcBorders>
              <w:top w:val="nil"/>
              <w:left w:val="nil"/>
              <w:bottom w:val="single" w:sz="4" w:space="0" w:color="auto"/>
              <w:right w:val="single" w:sz="4" w:space="0" w:color="auto"/>
            </w:tcBorders>
            <w:shd w:val="clear" w:color="auto" w:fill="auto"/>
            <w:noWrap/>
            <w:vAlign w:val="bottom"/>
            <w:hideMark/>
          </w:tcPr>
          <w:p w14:paraId="14AF38C6" w14:textId="5767590B" w:rsidR="00EE43A5" w:rsidRPr="00705D03" w:rsidRDefault="00EE43A5" w:rsidP="000F3860">
            <w:pPr>
              <w:spacing w:before="0" w:after="0"/>
              <w:jc w:val="right"/>
              <w:rPr>
                <w:rFonts w:eastAsia="Times New Roman" w:cstheme="minorHAnsi"/>
                <w:color w:val="000000"/>
                <w:sz w:val="20"/>
                <w:szCs w:val="20"/>
                <w:lang w:eastAsia="es-MX"/>
              </w:rPr>
            </w:pPr>
            <w:r w:rsidRPr="00705D03">
              <w:rPr>
                <w:rFonts w:eastAsia="Times New Roman" w:cstheme="minorHAnsi"/>
                <w:color w:val="000000"/>
                <w:sz w:val="20"/>
                <w:szCs w:val="20"/>
                <w:lang w:eastAsia="es-MX"/>
              </w:rPr>
              <w:t>0.00</w:t>
            </w:r>
          </w:p>
        </w:tc>
        <w:tc>
          <w:tcPr>
            <w:tcW w:w="1047" w:type="dxa"/>
            <w:tcBorders>
              <w:top w:val="nil"/>
              <w:left w:val="nil"/>
              <w:bottom w:val="single" w:sz="4" w:space="0" w:color="auto"/>
              <w:right w:val="single" w:sz="4" w:space="0" w:color="auto"/>
            </w:tcBorders>
            <w:shd w:val="clear" w:color="auto" w:fill="auto"/>
            <w:noWrap/>
            <w:vAlign w:val="bottom"/>
            <w:hideMark/>
          </w:tcPr>
          <w:p w14:paraId="2121D108" w14:textId="32CFD942" w:rsidR="00EE43A5" w:rsidRPr="00705D03" w:rsidRDefault="00EE43A5" w:rsidP="000F3860">
            <w:pPr>
              <w:spacing w:before="0" w:after="0"/>
              <w:jc w:val="right"/>
              <w:rPr>
                <w:rFonts w:eastAsia="Times New Roman" w:cstheme="minorHAnsi"/>
                <w:color w:val="000000"/>
                <w:sz w:val="20"/>
                <w:szCs w:val="20"/>
                <w:lang w:eastAsia="es-MX"/>
              </w:rPr>
            </w:pPr>
            <w:r w:rsidRPr="00705D03">
              <w:rPr>
                <w:rFonts w:eastAsia="Times New Roman" w:cstheme="minorHAnsi"/>
                <w:color w:val="000000"/>
                <w:sz w:val="20"/>
                <w:szCs w:val="20"/>
                <w:lang w:eastAsia="es-MX"/>
              </w:rPr>
              <w:t>0.00</w:t>
            </w:r>
          </w:p>
        </w:tc>
        <w:tc>
          <w:tcPr>
            <w:tcW w:w="1048" w:type="dxa"/>
            <w:tcBorders>
              <w:top w:val="nil"/>
              <w:left w:val="nil"/>
              <w:bottom w:val="single" w:sz="4" w:space="0" w:color="auto"/>
              <w:right w:val="single" w:sz="4" w:space="0" w:color="auto"/>
            </w:tcBorders>
            <w:shd w:val="clear" w:color="auto" w:fill="auto"/>
            <w:noWrap/>
            <w:vAlign w:val="bottom"/>
            <w:hideMark/>
          </w:tcPr>
          <w:p w14:paraId="295CF63A" w14:textId="6ACE7FC8" w:rsidR="00EE43A5" w:rsidRPr="00705D03" w:rsidRDefault="00EE43A5" w:rsidP="000F3860">
            <w:pPr>
              <w:spacing w:before="0" w:after="0"/>
              <w:jc w:val="right"/>
              <w:rPr>
                <w:rFonts w:eastAsia="Times New Roman" w:cstheme="minorHAnsi"/>
                <w:color w:val="000000"/>
                <w:sz w:val="20"/>
                <w:szCs w:val="20"/>
                <w:lang w:eastAsia="es-MX"/>
              </w:rPr>
            </w:pPr>
            <w:r w:rsidRPr="00705D03">
              <w:rPr>
                <w:rFonts w:eastAsia="Times New Roman" w:cstheme="minorHAnsi"/>
                <w:color w:val="000000"/>
                <w:sz w:val="20"/>
                <w:szCs w:val="20"/>
                <w:lang w:eastAsia="es-MX"/>
              </w:rPr>
              <w:t>0.00</w:t>
            </w:r>
          </w:p>
        </w:tc>
        <w:tc>
          <w:tcPr>
            <w:tcW w:w="1047" w:type="dxa"/>
            <w:tcBorders>
              <w:top w:val="nil"/>
              <w:left w:val="nil"/>
              <w:bottom w:val="single" w:sz="4" w:space="0" w:color="auto"/>
              <w:right w:val="single" w:sz="4" w:space="0" w:color="auto"/>
            </w:tcBorders>
            <w:shd w:val="clear" w:color="auto" w:fill="auto"/>
            <w:noWrap/>
            <w:vAlign w:val="bottom"/>
            <w:hideMark/>
          </w:tcPr>
          <w:p w14:paraId="6E5ECC22" w14:textId="0F090E73" w:rsidR="00EE43A5" w:rsidRPr="00705D03" w:rsidRDefault="00EE43A5" w:rsidP="000F3860">
            <w:pPr>
              <w:spacing w:before="0" w:after="0"/>
              <w:jc w:val="right"/>
              <w:rPr>
                <w:rFonts w:eastAsia="Times New Roman" w:cstheme="minorHAnsi"/>
                <w:color w:val="000000"/>
                <w:sz w:val="20"/>
                <w:szCs w:val="20"/>
                <w:lang w:eastAsia="es-MX"/>
              </w:rPr>
            </w:pPr>
            <w:r w:rsidRPr="00705D03">
              <w:rPr>
                <w:rFonts w:eastAsia="Times New Roman" w:cstheme="minorHAnsi"/>
                <w:color w:val="000000"/>
                <w:sz w:val="20"/>
                <w:szCs w:val="20"/>
                <w:lang w:eastAsia="es-MX"/>
              </w:rPr>
              <w:t>0.00</w:t>
            </w:r>
          </w:p>
        </w:tc>
        <w:tc>
          <w:tcPr>
            <w:tcW w:w="1048" w:type="dxa"/>
            <w:tcBorders>
              <w:top w:val="nil"/>
              <w:left w:val="nil"/>
              <w:bottom w:val="single" w:sz="4" w:space="0" w:color="auto"/>
              <w:right w:val="single" w:sz="4" w:space="0" w:color="auto"/>
            </w:tcBorders>
            <w:shd w:val="clear" w:color="auto" w:fill="auto"/>
            <w:noWrap/>
            <w:vAlign w:val="bottom"/>
            <w:hideMark/>
          </w:tcPr>
          <w:p w14:paraId="45CA35FA" w14:textId="697C0FBE" w:rsidR="00EE43A5" w:rsidRPr="00705D03" w:rsidRDefault="00EE43A5" w:rsidP="000F3860">
            <w:pPr>
              <w:spacing w:before="0" w:after="0"/>
              <w:jc w:val="right"/>
              <w:rPr>
                <w:rFonts w:eastAsia="Times New Roman" w:cstheme="minorHAnsi"/>
                <w:color w:val="000000"/>
                <w:sz w:val="20"/>
                <w:szCs w:val="20"/>
                <w:lang w:eastAsia="es-MX"/>
              </w:rPr>
            </w:pPr>
            <w:r w:rsidRPr="00705D03">
              <w:rPr>
                <w:rFonts w:eastAsia="Times New Roman" w:cstheme="minorHAnsi"/>
                <w:color w:val="000000"/>
                <w:sz w:val="20"/>
                <w:szCs w:val="20"/>
                <w:lang w:eastAsia="es-MX"/>
              </w:rPr>
              <w:t>0.00</w:t>
            </w:r>
          </w:p>
        </w:tc>
      </w:tr>
      <w:tr w:rsidR="00AC117F" w:rsidRPr="00705D03" w14:paraId="6BDEA6D1" w14:textId="77777777" w:rsidTr="000F3860">
        <w:trPr>
          <w:trHeight w:val="240"/>
        </w:trPr>
        <w:tc>
          <w:tcPr>
            <w:tcW w:w="3677" w:type="dxa"/>
            <w:tcBorders>
              <w:top w:val="nil"/>
              <w:left w:val="single" w:sz="4" w:space="0" w:color="auto"/>
              <w:bottom w:val="single" w:sz="4" w:space="0" w:color="auto"/>
              <w:right w:val="single" w:sz="4" w:space="0" w:color="auto"/>
            </w:tcBorders>
            <w:shd w:val="clear" w:color="auto" w:fill="auto"/>
            <w:noWrap/>
            <w:vAlign w:val="bottom"/>
            <w:hideMark/>
          </w:tcPr>
          <w:p w14:paraId="15964208" w14:textId="54F9DD91" w:rsidR="00EE43A5" w:rsidRPr="00705D03" w:rsidRDefault="00705D03" w:rsidP="00DA530D">
            <w:pPr>
              <w:spacing w:before="0" w:after="0"/>
              <w:rPr>
                <w:rFonts w:eastAsia="Times New Roman" w:cstheme="minorHAnsi"/>
                <w:color w:val="000000"/>
                <w:sz w:val="20"/>
                <w:szCs w:val="20"/>
                <w:lang w:eastAsia="es-MX"/>
              </w:rPr>
            </w:pPr>
            <w:r>
              <w:rPr>
                <w:rFonts w:eastAsia="Times New Roman" w:cstheme="minorHAnsi"/>
                <w:color w:val="000000"/>
                <w:sz w:val="20"/>
                <w:szCs w:val="20"/>
                <w:lang w:eastAsia="es-MX"/>
              </w:rPr>
              <w:t xml:space="preserve">VII. </w:t>
            </w:r>
            <w:r w:rsidR="00EE43A5" w:rsidRPr="00705D03">
              <w:rPr>
                <w:rFonts w:eastAsia="Times New Roman" w:cstheme="minorHAnsi"/>
                <w:color w:val="000000"/>
                <w:sz w:val="20"/>
                <w:szCs w:val="20"/>
                <w:lang w:eastAsia="es-MX"/>
              </w:rPr>
              <w:t>Sistemas de protección civil</w:t>
            </w:r>
          </w:p>
        </w:tc>
        <w:tc>
          <w:tcPr>
            <w:tcW w:w="1047" w:type="dxa"/>
            <w:tcBorders>
              <w:top w:val="nil"/>
              <w:left w:val="nil"/>
              <w:bottom w:val="single" w:sz="4" w:space="0" w:color="auto"/>
              <w:right w:val="single" w:sz="4" w:space="0" w:color="auto"/>
            </w:tcBorders>
            <w:shd w:val="clear" w:color="auto" w:fill="auto"/>
            <w:noWrap/>
            <w:vAlign w:val="bottom"/>
            <w:hideMark/>
          </w:tcPr>
          <w:p w14:paraId="406FFA28" w14:textId="5774CE2E" w:rsidR="00EE43A5" w:rsidRPr="00705D03" w:rsidRDefault="00EE43A5" w:rsidP="000F3860">
            <w:pPr>
              <w:spacing w:before="0" w:after="0"/>
              <w:jc w:val="right"/>
              <w:rPr>
                <w:rFonts w:eastAsia="Times New Roman" w:cstheme="minorHAnsi"/>
                <w:color w:val="000000"/>
                <w:sz w:val="20"/>
                <w:szCs w:val="20"/>
                <w:lang w:eastAsia="es-MX"/>
              </w:rPr>
            </w:pPr>
            <w:r w:rsidRPr="00705D03">
              <w:rPr>
                <w:rFonts w:eastAsia="Times New Roman" w:cstheme="minorHAnsi"/>
                <w:color w:val="000000"/>
                <w:sz w:val="20"/>
                <w:szCs w:val="20"/>
                <w:lang w:eastAsia="es-MX"/>
              </w:rPr>
              <w:t>0.00</w:t>
            </w:r>
          </w:p>
        </w:tc>
        <w:tc>
          <w:tcPr>
            <w:tcW w:w="1048" w:type="dxa"/>
            <w:tcBorders>
              <w:top w:val="nil"/>
              <w:left w:val="nil"/>
              <w:bottom w:val="single" w:sz="4" w:space="0" w:color="auto"/>
              <w:right w:val="single" w:sz="4" w:space="0" w:color="auto"/>
            </w:tcBorders>
            <w:shd w:val="clear" w:color="auto" w:fill="auto"/>
            <w:noWrap/>
            <w:vAlign w:val="bottom"/>
            <w:hideMark/>
          </w:tcPr>
          <w:p w14:paraId="22DCB4CA" w14:textId="3716929A" w:rsidR="00EE43A5" w:rsidRPr="00705D03" w:rsidRDefault="00EE43A5" w:rsidP="000F3860">
            <w:pPr>
              <w:spacing w:before="0" w:after="0"/>
              <w:jc w:val="right"/>
              <w:rPr>
                <w:rFonts w:eastAsia="Times New Roman" w:cstheme="minorHAnsi"/>
                <w:color w:val="000000"/>
                <w:sz w:val="20"/>
                <w:szCs w:val="20"/>
                <w:lang w:eastAsia="es-MX"/>
              </w:rPr>
            </w:pPr>
            <w:r w:rsidRPr="00705D03">
              <w:rPr>
                <w:rFonts w:eastAsia="Times New Roman" w:cstheme="minorHAnsi"/>
                <w:color w:val="000000"/>
                <w:sz w:val="20"/>
                <w:szCs w:val="20"/>
                <w:lang w:eastAsia="es-MX"/>
              </w:rPr>
              <w:t>0.00</w:t>
            </w:r>
          </w:p>
        </w:tc>
        <w:tc>
          <w:tcPr>
            <w:tcW w:w="1047" w:type="dxa"/>
            <w:tcBorders>
              <w:top w:val="nil"/>
              <w:left w:val="nil"/>
              <w:bottom w:val="single" w:sz="4" w:space="0" w:color="auto"/>
              <w:right w:val="single" w:sz="4" w:space="0" w:color="auto"/>
            </w:tcBorders>
            <w:shd w:val="clear" w:color="auto" w:fill="auto"/>
            <w:noWrap/>
            <w:vAlign w:val="bottom"/>
            <w:hideMark/>
          </w:tcPr>
          <w:p w14:paraId="08105E36" w14:textId="7802FA41" w:rsidR="00EE43A5" w:rsidRPr="00705D03" w:rsidRDefault="00EE43A5" w:rsidP="000F3860">
            <w:pPr>
              <w:spacing w:before="0" w:after="0"/>
              <w:jc w:val="right"/>
              <w:rPr>
                <w:rFonts w:eastAsia="Times New Roman" w:cstheme="minorHAnsi"/>
                <w:color w:val="000000"/>
                <w:sz w:val="20"/>
                <w:szCs w:val="20"/>
                <w:lang w:eastAsia="es-MX"/>
              </w:rPr>
            </w:pPr>
            <w:r w:rsidRPr="00705D03">
              <w:rPr>
                <w:rFonts w:eastAsia="Times New Roman" w:cstheme="minorHAnsi"/>
                <w:color w:val="000000"/>
                <w:sz w:val="20"/>
                <w:szCs w:val="20"/>
                <w:lang w:eastAsia="es-MX"/>
              </w:rPr>
              <w:t>0.00</w:t>
            </w:r>
          </w:p>
        </w:tc>
        <w:tc>
          <w:tcPr>
            <w:tcW w:w="1048" w:type="dxa"/>
            <w:tcBorders>
              <w:top w:val="nil"/>
              <w:left w:val="nil"/>
              <w:bottom w:val="single" w:sz="4" w:space="0" w:color="auto"/>
              <w:right w:val="single" w:sz="4" w:space="0" w:color="auto"/>
            </w:tcBorders>
            <w:shd w:val="clear" w:color="auto" w:fill="auto"/>
            <w:noWrap/>
            <w:vAlign w:val="bottom"/>
            <w:hideMark/>
          </w:tcPr>
          <w:p w14:paraId="76FAF343" w14:textId="2547876D" w:rsidR="00EE43A5" w:rsidRPr="00705D03" w:rsidRDefault="00EE43A5" w:rsidP="000F3860">
            <w:pPr>
              <w:spacing w:before="0" w:after="0"/>
              <w:jc w:val="right"/>
              <w:rPr>
                <w:rFonts w:eastAsia="Times New Roman" w:cstheme="minorHAnsi"/>
                <w:color w:val="000000"/>
                <w:sz w:val="20"/>
                <w:szCs w:val="20"/>
                <w:lang w:eastAsia="es-MX"/>
              </w:rPr>
            </w:pPr>
            <w:r w:rsidRPr="00705D03">
              <w:rPr>
                <w:rFonts w:eastAsia="Times New Roman" w:cstheme="minorHAnsi"/>
                <w:color w:val="000000"/>
                <w:sz w:val="20"/>
                <w:szCs w:val="20"/>
                <w:lang w:eastAsia="es-MX"/>
              </w:rPr>
              <w:t>0.00</w:t>
            </w:r>
          </w:p>
        </w:tc>
        <w:tc>
          <w:tcPr>
            <w:tcW w:w="1047" w:type="dxa"/>
            <w:tcBorders>
              <w:top w:val="nil"/>
              <w:left w:val="nil"/>
              <w:bottom w:val="single" w:sz="4" w:space="0" w:color="auto"/>
              <w:right w:val="single" w:sz="4" w:space="0" w:color="auto"/>
            </w:tcBorders>
            <w:shd w:val="clear" w:color="auto" w:fill="auto"/>
            <w:noWrap/>
            <w:vAlign w:val="bottom"/>
            <w:hideMark/>
          </w:tcPr>
          <w:p w14:paraId="145353A5" w14:textId="44232528" w:rsidR="00EE43A5" w:rsidRPr="00705D03" w:rsidRDefault="00EE43A5" w:rsidP="000F3860">
            <w:pPr>
              <w:spacing w:before="0" w:after="0"/>
              <w:jc w:val="right"/>
              <w:rPr>
                <w:rFonts w:eastAsia="Times New Roman" w:cstheme="minorHAnsi"/>
                <w:color w:val="000000"/>
                <w:sz w:val="20"/>
                <w:szCs w:val="20"/>
                <w:lang w:eastAsia="es-MX"/>
              </w:rPr>
            </w:pPr>
            <w:r w:rsidRPr="00705D03">
              <w:rPr>
                <w:rFonts w:eastAsia="Times New Roman" w:cstheme="minorHAnsi"/>
                <w:color w:val="000000"/>
                <w:sz w:val="20"/>
                <w:szCs w:val="20"/>
                <w:lang w:eastAsia="es-MX"/>
              </w:rPr>
              <w:t>0.00</w:t>
            </w:r>
          </w:p>
        </w:tc>
        <w:tc>
          <w:tcPr>
            <w:tcW w:w="1048" w:type="dxa"/>
            <w:tcBorders>
              <w:top w:val="nil"/>
              <w:left w:val="nil"/>
              <w:bottom w:val="single" w:sz="4" w:space="0" w:color="auto"/>
              <w:right w:val="single" w:sz="4" w:space="0" w:color="auto"/>
            </w:tcBorders>
            <w:shd w:val="clear" w:color="auto" w:fill="auto"/>
            <w:noWrap/>
            <w:vAlign w:val="bottom"/>
            <w:hideMark/>
          </w:tcPr>
          <w:p w14:paraId="5BBC8F9F" w14:textId="13555117" w:rsidR="00EE43A5" w:rsidRPr="00705D03" w:rsidRDefault="00EE43A5" w:rsidP="000F3860">
            <w:pPr>
              <w:spacing w:before="0" w:after="0"/>
              <w:jc w:val="right"/>
              <w:rPr>
                <w:rFonts w:eastAsia="Times New Roman" w:cstheme="minorHAnsi"/>
                <w:color w:val="000000"/>
                <w:sz w:val="20"/>
                <w:szCs w:val="20"/>
                <w:lang w:eastAsia="es-MX"/>
              </w:rPr>
            </w:pPr>
            <w:r w:rsidRPr="00705D03">
              <w:rPr>
                <w:rFonts w:eastAsia="Times New Roman" w:cstheme="minorHAnsi"/>
                <w:color w:val="000000"/>
                <w:sz w:val="20"/>
                <w:szCs w:val="20"/>
                <w:lang w:eastAsia="es-MX"/>
              </w:rPr>
              <w:t>0.00</w:t>
            </w:r>
          </w:p>
        </w:tc>
      </w:tr>
      <w:tr w:rsidR="00AC117F" w:rsidRPr="00705D03" w14:paraId="794FD685" w14:textId="77777777" w:rsidTr="000F3860">
        <w:trPr>
          <w:trHeight w:val="240"/>
        </w:trPr>
        <w:tc>
          <w:tcPr>
            <w:tcW w:w="3677" w:type="dxa"/>
            <w:tcBorders>
              <w:top w:val="nil"/>
              <w:left w:val="single" w:sz="4" w:space="0" w:color="auto"/>
              <w:bottom w:val="single" w:sz="4" w:space="0" w:color="auto"/>
              <w:right w:val="single" w:sz="4" w:space="0" w:color="auto"/>
            </w:tcBorders>
            <w:shd w:val="clear" w:color="auto" w:fill="auto"/>
            <w:noWrap/>
            <w:vAlign w:val="bottom"/>
            <w:hideMark/>
          </w:tcPr>
          <w:p w14:paraId="57B29AE2" w14:textId="67C692A8" w:rsidR="00EE43A5" w:rsidRPr="00705D03" w:rsidRDefault="00705D03" w:rsidP="00DA530D">
            <w:pPr>
              <w:spacing w:before="0" w:after="0"/>
              <w:rPr>
                <w:rFonts w:eastAsia="Times New Roman" w:cstheme="minorHAnsi"/>
                <w:color w:val="000000"/>
                <w:sz w:val="20"/>
                <w:szCs w:val="20"/>
                <w:lang w:eastAsia="es-MX"/>
              </w:rPr>
            </w:pPr>
            <w:r>
              <w:rPr>
                <w:rFonts w:eastAsia="Times New Roman" w:cstheme="minorHAnsi"/>
                <w:color w:val="000000"/>
                <w:sz w:val="20"/>
                <w:szCs w:val="20"/>
                <w:lang w:eastAsia="es-MX"/>
              </w:rPr>
              <w:t xml:space="preserve">VIII. </w:t>
            </w:r>
            <w:r w:rsidR="00EE43A5" w:rsidRPr="00705D03">
              <w:rPr>
                <w:rFonts w:eastAsia="Times New Roman" w:cstheme="minorHAnsi"/>
                <w:color w:val="000000"/>
                <w:sz w:val="20"/>
                <w:szCs w:val="20"/>
                <w:lang w:eastAsia="es-MX"/>
              </w:rPr>
              <w:t>Educación pública</w:t>
            </w:r>
          </w:p>
        </w:tc>
        <w:tc>
          <w:tcPr>
            <w:tcW w:w="1047" w:type="dxa"/>
            <w:tcBorders>
              <w:top w:val="nil"/>
              <w:left w:val="nil"/>
              <w:bottom w:val="single" w:sz="4" w:space="0" w:color="auto"/>
              <w:right w:val="single" w:sz="4" w:space="0" w:color="auto"/>
            </w:tcBorders>
            <w:shd w:val="clear" w:color="auto" w:fill="auto"/>
            <w:noWrap/>
            <w:vAlign w:val="bottom"/>
            <w:hideMark/>
          </w:tcPr>
          <w:p w14:paraId="79ECACC9" w14:textId="4B14A5DD" w:rsidR="00EE43A5" w:rsidRPr="00705D03" w:rsidRDefault="00EE43A5" w:rsidP="000F3860">
            <w:pPr>
              <w:spacing w:before="0" w:after="0"/>
              <w:jc w:val="right"/>
              <w:rPr>
                <w:rFonts w:eastAsia="Times New Roman" w:cstheme="minorHAnsi"/>
                <w:color w:val="000000"/>
                <w:sz w:val="20"/>
                <w:szCs w:val="20"/>
                <w:lang w:eastAsia="es-MX"/>
              </w:rPr>
            </w:pPr>
            <w:r w:rsidRPr="00705D03">
              <w:rPr>
                <w:rFonts w:eastAsia="Times New Roman" w:cstheme="minorHAnsi"/>
                <w:color w:val="000000"/>
                <w:sz w:val="20"/>
                <w:szCs w:val="20"/>
                <w:lang w:eastAsia="es-MX"/>
              </w:rPr>
              <w:t>87.00</w:t>
            </w:r>
          </w:p>
        </w:tc>
        <w:tc>
          <w:tcPr>
            <w:tcW w:w="1048" w:type="dxa"/>
            <w:tcBorders>
              <w:top w:val="nil"/>
              <w:left w:val="nil"/>
              <w:bottom w:val="single" w:sz="4" w:space="0" w:color="auto"/>
              <w:right w:val="single" w:sz="4" w:space="0" w:color="auto"/>
            </w:tcBorders>
            <w:shd w:val="clear" w:color="auto" w:fill="auto"/>
            <w:noWrap/>
            <w:vAlign w:val="bottom"/>
            <w:hideMark/>
          </w:tcPr>
          <w:p w14:paraId="07AD8F50" w14:textId="722BE633" w:rsidR="00EE43A5" w:rsidRPr="00705D03" w:rsidRDefault="00EE43A5" w:rsidP="000F3860">
            <w:pPr>
              <w:spacing w:before="0" w:after="0"/>
              <w:jc w:val="right"/>
              <w:rPr>
                <w:rFonts w:eastAsia="Times New Roman" w:cstheme="minorHAnsi"/>
                <w:color w:val="000000"/>
                <w:sz w:val="20"/>
                <w:szCs w:val="20"/>
                <w:lang w:eastAsia="es-MX"/>
              </w:rPr>
            </w:pPr>
            <w:r w:rsidRPr="00705D03">
              <w:rPr>
                <w:rFonts w:eastAsia="Times New Roman" w:cstheme="minorHAnsi"/>
                <w:color w:val="000000"/>
                <w:sz w:val="20"/>
                <w:szCs w:val="20"/>
                <w:lang w:eastAsia="es-MX"/>
              </w:rPr>
              <w:t>77.00</w:t>
            </w:r>
          </w:p>
        </w:tc>
        <w:tc>
          <w:tcPr>
            <w:tcW w:w="1047" w:type="dxa"/>
            <w:tcBorders>
              <w:top w:val="nil"/>
              <w:left w:val="nil"/>
              <w:bottom w:val="single" w:sz="4" w:space="0" w:color="auto"/>
              <w:right w:val="single" w:sz="4" w:space="0" w:color="auto"/>
            </w:tcBorders>
            <w:shd w:val="clear" w:color="auto" w:fill="auto"/>
            <w:noWrap/>
            <w:vAlign w:val="bottom"/>
            <w:hideMark/>
          </w:tcPr>
          <w:p w14:paraId="285F9FF2" w14:textId="192B2758" w:rsidR="00EE43A5" w:rsidRPr="00705D03" w:rsidRDefault="00EE43A5" w:rsidP="000F3860">
            <w:pPr>
              <w:spacing w:before="0" w:after="0"/>
              <w:jc w:val="right"/>
              <w:rPr>
                <w:rFonts w:eastAsia="Times New Roman" w:cstheme="minorHAnsi"/>
                <w:color w:val="000000"/>
                <w:sz w:val="20"/>
                <w:szCs w:val="20"/>
                <w:lang w:eastAsia="es-MX"/>
              </w:rPr>
            </w:pPr>
            <w:r w:rsidRPr="00705D03">
              <w:rPr>
                <w:rFonts w:eastAsia="Times New Roman" w:cstheme="minorHAnsi"/>
                <w:color w:val="000000"/>
                <w:sz w:val="20"/>
                <w:szCs w:val="20"/>
                <w:lang w:eastAsia="es-MX"/>
              </w:rPr>
              <w:t>96.98</w:t>
            </w:r>
          </w:p>
        </w:tc>
        <w:tc>
          <w:tcPr>
            <w:tcW w:w="1048" w:type="dxa"/>
            <w:tcBorders>
              <w:top w:val="nil"/>
              <w:left w:val="nil"/>
              <w:bottom w:val="single" w:sz="4" w:space="0" w:color="auto"/>
              <w:right w:val="single" w:sz="4" w:space="0" w:color="auto"/>
            </w:tcBorders>
            <w:shd w:val="clear" w:color="auto" w:fill="auto"/>
            <w:noWrap/>
            <w:vAlign w:val="bottom"/>
            <w:hideMark/>
          </w:tcPr>
          <w:p w14:paraId="7787BD02" w14:textId="27911557" w:rsidR="00EE43A5" w:rsidRPr="00705D03" w:rsidRDefault="00EE43A5" w:rsidP="000F3860">
            <w:pPr>
              <w:spacing w:before="0" w:after="0"/>
              <w:jc w:val="right"/>
              <w:rPr>
                <w:rFonts w:eastAsia="Times New Roman" w:cstheme="minorHAnsi"/>
                <w:color w:val="000000"/>
                <w:sz w:val="20"/>
                <w:szCs w:val="20"/>
                <w:lang w:eastAsia="es-MX"/>
              </w:rPr>
            </w:pPr>
            <w:r w:rsidRPr="00705D03">
              <w:rPr>
                <w:rFonts w:eastAsia="Times New Roman" w:cstheme="minorHAnsi"/>
                <w:color w:val="000000"/>
                <w:sz w:val="20"/>
                <w:szCs w:val="20"/>
                <w:lang w:eastAsia="es-MX"/>
              </w:rPr>
              <w:t>96.98</w:t>
            </w:r>
          </w:p>
        </w:tc>
        <w:tc>
          <w:tcPr>
            <w:tcW w:w="1047" w:type="dxa"/>
            <w:tcBorders>
              <w:top w:val="nil"/>
              <w:left w:val="nil"/>
              <w:bottom w:val="single" w:sz="4" w:space="0" w:color="auto"/>
              <w:right w:val="single" w:sz="4" w:space="0" w:color="auto"/>
            </w:tcBorders>
            <w:shd w:val="clear" w:color="auto" w:fill="auto"/>
            <w:noWrap/>
            <w:vAlign w:val="bottom"/>
            <w:hideMark/>
          </w:tcPr>
          <w:p w14:paraId="2D6AFB7A" w14:textId="03EC7131" w:rsidR="00EE43A5" w:rsidRPr="00705D03" w:rsidRDefault="00EE43A5" w:rsidP="000F3860">
            <w:pPr>
              <w:spacing w:before="0" w:after="0"/>
              <w:jc w:val="right"/>
              <w:rPr>
                <w:rFonts w:eastAsia="Times New Roman" w:cstheme="minorHAnsi"/>
                <w:color w:val="000000"/>
                <w:sz w:val="20"/>
                <w:szCs w:val="20"/>
                <w:lang w:eastAsia="es-MX"/>
              </w:rPr>
            </w:pPr>
            <w:r w:rsidRPr="00705D03">
              <w:rPr>
                <w:rFonts w:eastAsia="Times New Roman" w:cstheme="minorHAnsi"/>
                <w:color w:val="000000"/>
                <w:sz w:val="20"/>
                <w:szCs w:val="20"/>
                <w:lang w:eastAsia="es-MX"/>
              </w:rPr>
              <w:t>97.04</w:t>
            </w:r>
          </w:p>
        </w:tc>
        <w:tc>
          <w:tcPr>
            <w:tcW w:w="1048" w:type="dxa"/>
            <w:tcBorders>
              <w:top w:val="nil"/>
              <w:left w:val="nil"/>
              <w:bottom w:val="single" w:sz="4" w:space="0" w:color="auto"/>
              <w:right w:val="single" w:sz="4" w:space="0" w:color="auto"/>
            </w:tcBorders>
            <w:shd w:val="clear" w:color="auto" w:fill="auto"/>
            <w:noWrap/>
            <w:vAlign w:val="bottom"/>
            <w:hideMark/>
          </w:tcPr>
          <w:p w14:paraId="7C3E33A2" w14:textId="20BF1C53" w:rsidR="00EE43A5" w:rsidRPr="00705D03" w:rsidRDefault="00EE43A5" w:rsidP="000F3860">
            <w:pPr>
              <w:spacing w:before="0" w:after="0"/>
              <w:jc w:val="right"/>
              <w:rPr>
                <w:rFonts w:eastAsia="Times New Roman" w:cstheme="minorHAnsi"/>
                <w:color w:val="000000"/>
                <w:sz w:val="20"/>
                <w:szCs w:val="20"/>
                <w:lang w:eastAsia="es-MX"/>
              </w:rPr>
            </w:pPr>
            <w:r w:rsidRPr="00705D03">
              <w:rPr>
                <w:rFonts w:eastAsia="Times New Roman" w:cstheme="minorHAnsi"/>
                <w:color w:val="000000"/>
                <w:sz w:val="20"/>
                <w:szCs w:val="20"/>
                <w:lang w:eastAsia="es-MX"/>
              </w:rPr>
              <w:t>97.00</w:t>
            </w:r>
          </w:p>
        </w:tc>
      </w:tr>
      <w:tr w:rsidR="00AC117F" w:rsidRPr="00705D03" w14:paraId="2357AAD1" w14:textId="77777777" w:rsidTr="000F3860">
        <w:trPr>
          <w:trHeight w:val="240"/>
        </w:trPr>
        <w:tc>
          <w:tcPr>
            <w:tcW w:w="3677" w:type="dxa"/>
            <w:tcBorders>
              <w:top w:val="nil"/>
              <w:left w:val="single" w:sz="4" w:space="0" w:color="auto"/>
              <w:bottom w:val="single" w:sz="4" w:space="0" w:color="auto"/>
              <w:right w:val="single" w:sz="4" w:space="0" w:color="auto"/>
            </w:tcBorders>
            <w:shd w:val="clear" w:color="auto" w:fill="auto"/>
            <w:noWrap/>
            <w:vAlign w:val="bottom"/>
            <w:hideMark/>
          </w:tcPr>
          <w:p w14:paraId="06E59226" w14:textId="3866321D" w:rsidR="00EE43A5" w:rsidRPr="00705D03" w:rsidRDefault="00705D03" w:rsidP="00DA530D">
            <w:pPr>
              <w:spacing w:before="0" w:after="0"/>
              <w:rPr>
                <w:rFonts w:eastAsia="Times New Roman" w:cstheme="minorHAnsi"/>
                <w:color w:val="000000"/>
                <w:sz w:val="20"/>
                <w:szCs w:val="20"/>
                <w:lang w:eastAsia="es-MX"/>
              </w:rPr>
            </w:pPr>
            <w:r>
              <w:rPr>
                <w:rFonts w:eastAsia="Times New Roman" w:cstheme="minorHAnsi"/>
                <w:color w:val="000000"/>
                <w:sz w:val="20"/>
                <w:szCs w:val="20"/>
                <w:lang w:eastAsia="es-MX"/>
              </w:rPr>
              <w:t xml:space="preserve">IX. </w:t>
            </w:r>
            <w:r w:rsidR="00EE43A5" w:rsidRPr="00705D03">
              <w:rPr>
                <w:rFonts w:eastAsia="Times New Roman" w:cstheme="minorHAnsi"/>
                <w:color w:val="000000"/>
                <w:sz w:val="20"/>
                <w:szCs w:val="20"/>
                <w:lang w:eastAsia="es-MX"/>
              </w:rPr>
              <w:t>Fondos constituidos por los Estados para apoyar proyectos de infraestructura concesionada o donde se combinen recursos públicos y privados</w:t>
            </w:r>
          </w:p>
        </w:tc>
        <w:tc>
          <w:tcPr>
            <w:tcW w:w="1047" w:type="dxa"/>
            <w:tcBorders>
              <w:top w:val="nil"/>
              <w:left w:val="nil"/>
              <w:bottom w:val="single" w:sz="4" w:space="0" w:color="auto"/>
              <w:right w:val="single" w:sz="4" w:space="0" w:color="auto"/>
            </w:tcBorders>
            <w:shd w:val="clear" w:color="auto" w:fill="auto"/>
            <w:noWrap/>
            <w:vAlign w:val="bottom"/>
            <w:hideMark/>
          </w:tcPr>
          <w:p w14:paraId="30246996" w14:textId="5EAE667B" w:rsidR="00EE43A5" w:rsidRPr="00705D03" w:rsidRDefault="00EE43A5" w:rsidP="000F3860">
            <w:pPr>
              <w:spacing w:before="0" w:after="0"/>
              <w:jc w:val="right"/>
              <w:rPr>
                <w:rFonts w:eastAsia="Times New Roman" w:cstheme="minorHAnsi"/>
                <w:color w:val="000000"/>
                <w:sz w:val="20"/>
                <w:szCs w:val="20"/>
                <w:lang w:eastAsia="es-MX"/>
              </w:rPr>
            </w:pPr>
            <w:r w:rsidRPr="00705D03">
              <w:rPr>
                <w:rFonts w:eastAsia="Times New Roman" w:cstheme="minorHAnsi"/>
                <w:color w:val="000000"/>
                <w:sz w:val="20"/>
                <w:szCs w:val="20"/>
                <w:lang w:eastAsia="es-MX"/>
              </w:rPr>
              <w:t>0.00</w:t>
            </w:r>
          </w:p>
        </w:tc>
        <w:tc>
          <w:tcPr>
            <w:tcW w:w="1048" w:type="dxa"/>
            <w:tcBorders>
              <w:top w:val="nil"/>
              <w:left w:val="nil"/>
              <w:bottom w:val="single" w:sz="4" w:space="0" w:color="auto"/>
              <w:right w:val="single" w:sz="4" w:space="0" w:color="auto"/>
            </w:tcBorders>
            <w:shd w:val="clear" w:color="auto" w:fill="auto"/>
            <w:noWrap/>
            <w:vAlign w:val="bottom"/>
            <w:hideMark/>
          </w:tcPr>
          <w:p w14:paraId="7FF378A7" w14:textId="639E5DB7" w:rsidR="00EE43A5" w:rsidRPr="00705D03" w:rsidRDefault="00EE43A5" w:rsidP="000F3860">
            <w:pPr>
              <w:spacing w:before="0" w:after="0"/>
              <w:jc w:val="right"/>
              <w:rPr>
                <w:rFonts w:eastAsia="Times New Roman" w:cstheme="minorHAnsi"/>
                <w:color w:val="000000"/>
                <w:sz w:val="20"/>
                <w:szCs w:val="20"/>
                <w:lang w:eastAsia="es-MX"/>
              </w:rPr>
            </w:pPr>
            <w:r w:rsidRPr="00705D03">
              <w:rPr>
                <w:rFonts w:eastAsia="Times New Roman" w:cstheme="minorHAnsi"/>
                <w:color w:val="000000"/>
                <w:sz w:val="20"/>
                <w:szCs w:val="20"/>
                <w:lang w:eastAsia="es-MX"/>
              </w:rPr>
              <w:t>0.00</w:t>
            </w:r>
          </w:p>
        </w:tc>
        <w:tc>
          <w:tcPr>
            <w:tcW w:w="1047" w:type="dxa"/>
            <w:tcBorders>
              <w:top w:val="nil"/>
              <w:left w:val="nil"/>
              <w:bottom w:val="single" w:sz="4" w:space="0" w:color="auto"/>
              <w:right w:val="single" w:sz="4" w:space="0" w:color="auto"/>
            </w:tcBorders>
            <w:shd w:val="clear" w:color="auto" w:fill="auto"/>
            <w:noWrap/>
            <w:vAlign w:val="bottom"/>
            <w:hideMark/>
          </w:tcPr>
          <w:p w14:paraId="3A68A4B7" w14:textId="4D7E17F0" w:rsidR="00EE43A5" w:rsidRPr="00705D03" w:rsidRDefault="00EE43A5" w:rsidP="000F3860">
            <w:pPr>
              <w:spacing w:before="0" w:after="0"/>
              <w:jc w:val="right"/>
              <w:rPr>
                <w:rFonts w:eastAsia="Times New Roman" w:cstheme="minorHAnsi"/>
                <w:color w:val="000000"/>
                <w:sz w:val="20"/>
                <w:szCs w:val="20"/>
                <w:lang w:eastAsia="es-MX"/>
              </w:rPr>
            </w:pPr>
            <w:r w:rsidRPr="00705D03">
              <w:rPr>
                <w:rFonts w:eastAsia="Times New Roman" w:cstheme="minorHAnsi"/>
                <w:color w:val="000000"/>
                <w:sz w:val="20"/>
                <w:szCs w:val="20"/>
                <w:lang w:eastAsia="es-MX"/>
              </w:rPr>
              <w:t>0.00</w:t>
            </w:r>
          </w:p>
        </w:tc>
        <w:tc>
          <w:tcPr>
            <w:tcW w:w="1048" w:type="dxa"/>
            <w:tcBorders>
              <w:top w:val="nil"/>
              <w:left w:val="nil"/>
              <w:bottom w:val="single" w:sz="4" w:space="0" w:color="auto"/>
              <w:right w:val="single" w:sz="4" w:space="0" w:color="auto"/>
            </w:tcBorders>
            <w:shd w:val="clear" w:color="auto" w:fill="auto"/>
            <w:noWrap/>
            <w:vAlign w:val="bottom"/>
            <w:hideMark/>
          </w:tcPr>
          <w:p w14:paraId="5B83D8AB" w14:textId="79691F96" w:rsidR="00EE43A5" w:rsidRPr="00705D03" w:rsidRDefault="00EE43A5" w:rsidP="000F3860">
            <w:pPr>
              <w:spacing w:before="0" w:after="0"/>
              <w:jc w:val="right"/>
              <w:rPr>
                <w:rFonts w:eastAsia="Times New Roman" w:cstheme="minorHAnsi"/>
                <w:color w:val="000000"/>
                <w:sz w:val="20"/>
                <w:szCs w:val="20"/>
                <w:lang w:eastAsia="es-MX"/>
              </w:rPr>
            </w:pPr>
            <w:r w:rsidRPr="00705D03">
              <w:rPr>
                <w:rFonts w:eastAsia="Times New Roman" w:cstheme="minorHAnsi"/>
                <w:color w:val="000000"/>
                <w:sz w:val="20"/>
                <w:szCs w:val="20"/>
                <w:lang w:eastAsia="es-MX"/>
              </w:rPr>
              <w:t>0.00</w:t>
            </w:r>
          </w:p>
        </w:tc>
        <w:tc>
          <w:tcPr>
            <w:tcW w:w="1047" w:type="dxa"/>
            <w:tcBorders>
              <w:top w:val="nil"/>
              <w:left w:val="nil"/>
              <w:bottom w:val="single" w:sz="4" w:space="0" w:color="auto"/>
              <w:right w:val="single" w:sz="4" w:space="0" w:color="auto"/>
            </w:tcBorders>
            <w:shd w:val="clear" w:color="auto" w:fill="auto"/>
            <w:noWrap/>
            <w:vAlign w:val="bottom"/>
            <w:hideMark/>
          </w:tcPr>
          <w:p w14:paraId="6C1C104E" w14:textId="50EDAFAF" w:rsidR="00EE43A5" w:rsidRPr="00705D03" w:rsidRDefault="00EE43A5" w:rsidP="000F3860">
            <w:pPr>
              <w:spacing w:before="0" w:after="0"/>
              <w:jc w:val="right"/>
              <w:rPr>
                <w:rFonts w:eastAsia="Times New Roman" w:cstheme="minorHAnsi"/>
                <w:color w:val="000000"/>
                <w:sz w:val="20"/>
                <w:szCs w:val="20"/>
                <w:lang w:eastAsia="es-MX"/>
              </w:rPr>
            </w:pPr>
            <w:r w:rsidRPr="00705D03">
              <w:rPr>
                <w:rFonts w:eastAsia="Times New Roman" w:cstheme="minorHAnsi"/>
                <w:color w:val="000000"/>
                <w:sz w:val="20"/>
                <w:szCs w:val="20"/>
                <w:lang w:eastAsia="es-MX"/>
              </w:rPr>
              <w:t>0.00</w:t>
            </w:r>
          </w:p>
        </w:tc>
        <w:tc>
          <w:tcPr>
            <w:tcW w:w="1048" w:type="dxa"/>
            <w:tcBorders>
              <w:top w:val="nil"/>
              <w:left w:val="nil"/>
              <w:bottom w:val="single" w:sz="4" w:space="0" w:color="auto"/>
              <w:right w:val="single" w:sz="4" w:space="0" w:color="auto"/>
            </w:tcBorders>
            <w:shd w:val="clear" w:color="auto" w:fill="auto"/>
            <w:noWrap/>
            <w:vAlign w:val="bottom"/>
            <w:hideMark/>
          </w:tcPr>
          <w:p w14:paraId="0BAA67AA" w14:textId="49799F85" w:rsidR="00EE43A5" w:rsidRPr="00705D03" w:rsidRDefault="00EE43A5" w:rsidP="000F3860">
            <w:pPr>
              <w:spacing w:before="0" w:after="0"/>
              <w:jc w:val="right"/>
              <w:rPr>
                <w:rFonts w:eastAsia="Times New Roman" w:cstheme="minorHAnsi"/>
                <w:color w:val="000000"/>
                <w:sz w:val="20"/>
                <w:szCs w:val="20"/>
                <w:lang w:eastAsia="es-MX"/>
              </w:rPr>
            </w:pPr>
            <w:r w:rsidRPr="00705D03">
              <w:rPr>
                <w:rFonts w:eastAsia="Times New Roman" w:cstheme="minorHAnsi"/>
                <w:color w:val="000000"/>
                <w:sz w:val="20"/>
                <w:szCs w:val="20"/>
                <w:lang w:eastAsia="es-MX"/>
              </w:rPr>
              <w:t>0.00</w:t>
            </w:r>
          </w:p>
        </w:tc>
      </w:tr>
      <w:tr w:rsidR="00AC117F" w:rsidRPr="00705D03" w14:paraId="23D50301" w14:textId="77777777" w:rsidTr="000F3860">
        <w:trPr>
          <w:trHeight w:val="240"/>
        </w:trPr>
        <w:tc>
          <w:tcPr>
            <w:tcW w:w="367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40E765" w14:textId="77777777" w:rsidR="00EE43A5" w:rsidRPr="00705D03" w:rsidRDefault="00EE43A5" w:rsidP="00BC0EB7">
            <w:pPr>
              <w:spacing w:before="0" w:after="0"/>
              <w:jc w:val="left"/>
              <w:rPr>
                <w:rFonts w:eastAsia="Times New Roman" w:cstheme="minorHAnsi"/>
                <w:b/>
                <w:bCs/>
                <w:color w:val="000000"/>
                <w:sz w:val="20"/>
                <w:szCs w:val="20"/>
                <w:lang w:eastAsia="es-MX"/>
              </w:rPr>
            </w:pPr>
            <w:r w:rsidRPr="00705D03">
              <w:rPr>
                <w:rFonts w:eastAsia="Times New Roman" w:cstheme="minorHAnsi"/>
                <w:b/>
                <w:bCs/>
                <w:color w:val="000000"/>
                <w:sz w:val="20"/>
                <w:szCs w:val="20"/>
                <w:lang w:eastAsia="es-MX"/>
              </w:rPr>
              <w:lastRenderedPageBreak/>
              <w:t>Total</w:t>
            </w:r>
          </w:p>
        </w:tc>
        <w:tc>
          <w:tcPr>
            <w:tcW w:w="1047" w:type="dxa"/>
            <w:tcBorders>
              <w:top w:val="nil"/>
              <w:left w:val="nil"/>
              <w:bottom w:val="single" w:sz="4" w:space="0" w:color="auto"/>
              <w:right w:val="single" w:sz="4" w:space="0" w:color="auto"/>
            </w:tcBorders>
            <w:shd w:val="clear" w:color="auto" w:fill="auto"/>
            <w:noWrap/>
            <w:vAlign w:val="bottom"/>
            <w:hideMark/>
          </w:tcPr>
          <w:p w14:paraId="55F9F4DE" w14:textId="59E98E14" w:rsidR="00EE43A5" w:rsidRPr="00705D03" w:rsidRDefault="00EE43A5" w:rsidP="000F3860">
            <w:pPr>
              <w:spacing w:before="0" w:after="0"/>
              <w:jc w:val="right"/>
              <w:rPr>
                <w:rFonts w:eastAsia="Times New Roman" w:cstheme="minorHAnsi"/>
                <w:b/>
                <w:bCs/>
                <w:color w:val="000000"/>
                <w:sz w:val="20"/>
                <w:szCs w:val="20"/>
                <w:lang w:eastAsia="es-MX"/>
              </w:rPr>
            </w:pPr>
            <w:r w:rsidRPr="00705D03">
              <w:rPr>
                <w:rFonts w:eastAsia="Times New Roman" w:cstheme="minorHAnsi"/>
                <w:b/>
                <w:bCs/>
                <w:color w:val="000000"/>
                <w:sz w:val="20"/>
                <w:szCs w:val="20"/>
                <w:lang w:eastAsia="es-MX"/>
              </w:rPr>
              <w:t>645.59</w:t>
            </w:r>
          </w:p>
        </w:tc>
        <w:tc>
          <w:tcPr>
            <w:tcW w:w="1048" w:type="dxa"/>
            <w:tcBorders>
              <w:top w:val="nil"/>
              <w:left w:val="nil"/>
              <w:bottom w:val="single" w:sz="4" w:space="0" w:color="auto"/>
              <w:right w:val="single" w:sz="4" w:space="0" w:color="auto"/>
            </w:tcBorders>
            <w:shd w:val="clear" w:color="auto" w:fill="auto"/>
            <w:noWrap/>
            <w:vAlign w:val="bottom"/>
            <w:hideMark/>
          </w:tcPr>
          <w:p w14:paraId="7133C721" w14:textId="6FFC6A28" w:rsidR="00EE43A5" w:rsidRPr="00705D03" w:rsidRDefault="00EE43A5" w:rsidP="000F3860">
            <w:pPr>
              <w:spacing w:before="0" w:after="0"/>
              <w:jc w:val="right"/>
              <w:rPr>
                <w:rFonts w:eastAsia="Times New Roman" w:cstheme="minorHAnsi"/>
                <w:b/>
                <w:bCs/>
                <w:color w:val="000000"/>
                <w:sz w:val="20"/>
                <w:szCs w:val="20"/>
                <w:lang w:eastAsia="es-MX"/>
              </w:rPr>
            </w:pPr>
            <w:r w:rsidRPr="00705D03">
              <w:rPr>
                <w:rFonts w:eastAsia="Times New Roman" w:cstheme="minorHAnsi"/>
                <w:b/>
                <w:bCs/>
                <w:color w:val="000000"/>
                <w:sz w:val="20"/>
                <w:szCs w:val="20"/>
                <w:lang w:eastAsia="es-MX"/>
              </w:rPr>
              <w:t>697.01</w:t>
            </w:r>
          </w:p>
        </w:tc>
        <w:tc>
          <w:tcPr>
            <w:tcW w:w="1047" w:type="dxa"/>
            <w:tcBorders>
              <w:top w:val="nil"/>
              <w:left w:val="nil"/>
              <w:bottom w:val="single" w:sz="4" w:space="0" w:color="auto"/>
              <w:right w:val="single" w:sz="4" w:space="0" w:color="auto"/>
            </w:tcBorders>
            <w:shd w:val="clear" w:color="auto" w:fill="auto"/>
            <w:noWrap/>
            <w:vAlign w:val="bottom"/>
            <w:hideMark/>
          </w:tcPr>
          <w:p w14:paraId="6A6B3F10" w14:textId="41817904" w:rsidR="00EE43A5" w:rsidRPr="00705D03" w:rsidRDefault="00EE43A5" w:rsidP="000F3860">
            <w:pPr>
              <w:spacing w:before="0" w:after="0"/>
              <w:jc w:val="right"/>
              <w:rPr>
                <w:rFonts w:eastAsia="Times New Roman" w:cstheme="minorHAnsi"/>
                <w:b/>
                <w:bCs/>
                <w:color w:val="000000"/>
                <w:sz w:val="20"/>
                <w:szCs w:val="20"/>
                <w:lang w:eastAsia="es-MX"/>
              </w:rPr>
            </w:pPr>
            <w:r w:rsidRPr="00705D03">
              <w:rPr>
                <w:rFonts w:eastAsia="Times New Roman" w:cstheme="minorHAnsi"/>
                <w:b/>
                <w:bCs/>
                <w:color w:val="000000"/>
                <w:sz w:val="20"/>
                <w:szCs w:val="20"/>
                <w:lang w:eastAsia="es-MX"/>
              </w:rPr>
              <w:t>769.02</w:t>
            </w:r>
          </w:p>
        </w:tc>
        <w:tc>
          <w:tcPr>
            <w:tcW w:w="1048" w:type="dxa"/>
            <w:tcBorders>
              <w:top w:val="nil"/>
              <w:left w:val="nil"/>
              <w:bottom w:val="single" w:sz="4" w:space="0" w:color="auto"/>
              <w:right w:val="single" w:sz="4" w:space="0" w:color="auto"/>
            </w:tcBorders>
            <w:shd w:val="clear" w:color="auto" w:fill="auto"/>
            <w:noWrap/>
            <w:vAlign w:val="bottom"/>
            <w:hideMark/>
          </w:tcPr>
          <w:p w14:paraId="2F5F2F3E" w14:textId="1F0C6B4B" w:rsidR="00EE43A5" w:rsidRPr="00705D03" w:rsidRDefault="00EE43A5" w:rsidP="000F3860">
            <w:pPr>
              <w:spacing w:before="0" w:after="0"/>
              <w:jc w:val="right"/>
              <w:rPr>
                <w:rFonts w:eastAsia="Times New Roman" w:cstheme="minorHAnsi"/>
                <w:b/>
                <w:bCs/>
                <w:color w:val="000000"/>
                <w:sz w:val="20"/>
                <w:szCs w:val="20"/>
                <w:lang w:eastAsia="es-MX"/>
              </w:rPr>
            </w:pPr>
            <w:r w:rsidRPr="00705D03">
              <w:rPr>
                <w:rFonts w:eastAsia="Times New Roman" w:cstheme="minorHAnsi"/>
                <w:b/>
                <w:bCs/>
                <w:color w:val="000000"/>
                <w:sz w:val="20"/>
                <w:szCs w:val="20"/>
                <w:lang w:eastAsia="es-MX"/>
              </w:rPr>
              <w:t>800.19</w:t>
            </w:r>
          </w:p>
        </w:tc>
        <w:tc>
          <w:tcPr>
            <w:tcW w:w="1047" w:type="dxa"/>
            <w:tcBorders>
              <w:top w:val="nil"/>
              <w:left w:val="nil"/>
              <w:bottom w:val="single" w:sz="4" w:space="0" w:color="auto"/>
              <w:right w:val="single" w:sz="4" w:space="0" w:color="auto"/>
            </w:tcBorders>
            <w:shd w:val="clear" w:color="auto" w:fill="auto"/>
            <w:noWrap/>
            <w:vAlign w:val="bottom"/>
            <w:hideMark/>
          </w:tcPr>
          <w:p w14:paraId="71A41C9C" w14:textId="3A7CD1BF" w:rsidR="00EE43A5" w:rsidRPr="00705D03" w:rsidRDefault="00EE43A5" w:rsidP="000F3860">
            <w:pPr>
              <w:spacing w:before="0" w:after="0"/>
              <w:jc w:val="right"/>
              <w:rPr>
                <w:rFonts w:eastAsia="Times New Roman" w:cstheme="minorHAnsi"/>
                <w:b/>
                <w:bCs/>
                <w:color w:val="000000"/>
                <w:sz w:val="20"/>
                <w:szCs w:val="20"/>
                <w:lang w:eastAsia="es-MX"/>
              </w:rPr>
            </w:pPr>
            <w:r w:rsidRPr="00705D03">
              <w:rPr>
                <w:rFonts w:eastAsia="Times New Roman" w:cstheme="minorHAnsi"/>
                <w:b/>
                <w:bCs/>
                <w:color w:val="000000"/>
                <w:sz w:val="20"/>
                <w:szCs w:val="20"/>
                <w:lang w:eastAsia="es-MX"/>
              </w:rPr>
              <w:t>878.26</w:t>
            </w:r>
          </w:p>
        </w:tc>
        <w:tc>
          <w:tcPr>
            <w:tcW w:w="1048" w:type="dxa"/>
            <w:tcBorders>
              <w:top w:val="nil"/>
              <w:left w:val="nil"/>
              <w:bottom w:val="single" w:sz="4" w:space="0" w:color="auto"/>
              <w:right w:val="single" w:sz="4" w:space="0" w:color="auto"/>
            </w:tcBorders>
            <w:shd w:val="clear" w:color="auto" w:fill="auto"/>
            <w:noWrap/>
            <w:vAlign w:val="bottom"/>
            <w:hideMark/>
          </w:tcPr>
          <w:p w14:paraId="3FEA8AA0" w14:textId="61875A63" w:rsidR="00EE43A5" w:rsidRPr="00705D03" w:rsidRDefault="00EE43A5" w:rsidP="000F3860">
            <w:pPr>
              <w:spacing w:before="0" w:after="0"/>
              <w:jc w:val="right"/>
              <w:rPr>
                <w:rFonts w:eastAsia="Times New Roman" w:cstheme="minorHAnsi"/>
                <w:b/>
                <w:bCs/>
                <w:color w:val="000000"/>
                <w:sz w:val="20"/>
                <w:szCs w:val="20"/>
                <w:lang w:eastAsia="es-MX"/>
              </w:rPr>
            </w:pPr>
            <w:r w:rsidRPr="00705D03">
              <w:rPr>
                <w:rFonts w:eastAsia="Times New Roman" w:cstheme="minorHAnsi"/>
                <w:b/>
                <w:bCs/>
                <w:color w:val="000000"/>
                <w:sz w:val="20"/>
                <w:szCs w:val="20"/>
                <w:lang w:eastAsia="es-MX"/>
              </w:rPr>
              <w:t>1,029.73</w:t>
            </w:r>
          </w:p>
        </w:tc>
      </w:tr>
    </w:tbl>
    <w:p w14:paraId="6D3F075A" w14:textId="77777777" w:rsidR="00B221C7" w:rsidRDefault="00B221C7" w:rsidP="00B221C7">
      <w:pPr>
        <w:pStyle w:val="Textonotapie"/>
        <w:rPr>
          <w:lang w:eastAsia="ja-JP"/>
        </w:rPr>
      </w:pPr>
      <w:r w:rsidRPr="000A6ECC">
        <w:rPr>
          <w:vertAlign w:val="superscript"/>
          <w:lang w:eastAsia="ja-JP"/>
        </w:rPr>
        <w:t>1</w:t>
      </w:r>
      <w:r>
        <w:rPr>
          <w:lang w:eastAsia="ja-JP"/>
        </w:rPr>
        <w:t>/Mdp: Millones de pesos.</w:t>
      </w:r>
    </w:p>
    <w:p w14:paraId="3DE0FFE6" w14:textId="05F3B20A" w:rsidR="00EE43A5" w:rsidRDefault="00EE43A5" w:rsidP="00B221C7">
      <w:pPr>
        <w:pStyle w:val="Textonotapie"/>
      </w:pPr>
      <w:r w:rsidRPr="00EE43A5">
        <w:t>Fuente: Elaboración propia, con base en información de la Entrevista a Personal Operativo del FAFEF en el Estado de Hidalgo e información de las auditorias 2014-2018.</w:t>
      </w:r>
      <w:r>
        <w:t xml:space="preserve"> </w:t>
      </w:r>
    </w:p>
    <w:p w14:paraId="50BE5B80" w14:textId="7880C91E" w:rsidR="00042835" w:rsidRDefault="00042835" w:rsidP="00042835">
      <w:r>
        <w:t xml:space="preserve">Para el ejercicio fiscal 2018 en el rubro de infraestructura física los recursos del Fondo fueron utilizados para atender </w:t>
      </w:r>
      <w:r w:rsidRPr="002D0521">
        <w:t>los temas de agua y alcantarillado</w:t>
      </w:r>
      <w:r>
        <w:t>,</w:t>
      </w:r>
      <w:r w:rsidRPr="002D0521">
        <w:t xml:space="preserve"> infraestructura hidroagrícola</w:t>
      </w:r>
      <w:r>
        <w:t>,</w:t>
      </w:r>
      <w:r w:rsidRPr="002D0521">
        <w:t xml:space="preserve"> comunicaciones</w:t>
      </w:r>
      <w:r>
        <w:t>,</w:t>
      </w:r>
      <w:r w:rsidRPr="002D0521">
        <w:t xml:space="preserve"> conservación de carreteras estatales</w:t>
      </w:r>
      <w:r>
        <w:t>,</w:t>
      </w:r>
      <w:r w:rsidRPr="002D0521">
        <w:t xml:space="preserve"> desarrollo de infraestructura turística</w:t>
      </w:r>
      <w:r>
        <w:t>,</w:t>
      </w:r>
      <w:r w:rsidRPr="002D0521">
        <w:t xml:space="preserve"> estudios y proyectos</w:t>
      </w:r>
      <w:r>
        <w:t xml:space="preserve">, </w:t>
      </w:r>
      <w:r w:rsidRPr="002D0521">
        <w:t>obras públicas</w:t>
      </w:r>
      <w:r>
        <w:t>,</w:t>
      </w:r>
      <w:r w:rsidRPr="002D0521">
        <w:t xml:space="preserve"> infraestructura física educativa</w:t>
      </w:r>
      <w:r>
        <w:t>, infraestructura de</w:t>
      </w:r>
      <w:r w:rsidRPr="002D0521">
        <w:t xml:space="preserve"> salud</w:t>
      </w:r>
      <w:r>
        <w:t xml:space="preserve"> y</w:t>
      </w:r>
      <w:r w:rsidRPr="002D0521">
        <w:t xml:space="preserve"> desarrollo social y humano</w:t>
      </w:r>
      <w:r>
        <w:t xml:space="preserve"> y sus instancias ejecutoras fueron la Secretaría de Obras Públicas y Ordenamiento Territorial</w:t>
      </w:r>
      <w:r w:rsidR="00AF3F92">
        <w:t xml:space="preserve"> (SOPOT), </w:t>
      </w:r>
      <w:r>
        <w:t>Dirección general de Obras Públicas, Dirección General de Comunicaciones, Dirección General de Conservación de Carreteras Estatales y Dirección General de Estudios y Proyectos, Instituto para la Atención de las y los Adultos Mayores del Estado de Hidalgo, Comisión Estatal del Agua y Alcantarillado, Secretaría de Desarrollo Social, Secretaría de Desarrollo Agropecuario, Secretaría del Medio Ambiente y los Recursos Naturales, Servicios de Salud de Hidalgo, Secretaría de Turismo, Secretaría de Gobierno, Secretaría de Educación Pública, Instituto Hidalguense de la Infraestructura Física Educativa y distintos municipios.</w:t>
      </w:r>
    </w:p>
    <w:p w14:paraId="31C911F2" w14:textId="77777777" w:rsidR="00042835" w:rsidRDefault="00042835" w:rsidP="00042835">
      <w:r w:rsidRPr="0062142C">
        <w:t>De los 250</w:t>
      </w:r>
      <w:r>
        <w:t>.</w:t>
      </w:r>
      <w:r w:rsidRPr="0062142C">
        <w:t>7</w:t>
      </w:r>
      <w:r>
        <w:t xml:space="preserve"> mdp</w:t>
      </w:r>
      <w:r w:rsidRPr="0062142C">
        <w:t xml:space="preserve"> aplicados en el rubro de saneamiento financiero, el 40.5% se destinó para la amortización de capital, que contribuyó en un 20.5% a la disminución de los contratos de deuda pública que se pagaron con FAFEF 2018 y el 59.5% se destinó al pago de intereses generados por los mismos contratos de deuda.</w:t>
      </w:r>
      <w:r>
        <w:t xml:space="preserve"> Este recurso fue administrado por la Secretaría de Finanzas Públicas de Hidalgo a través de la Coordinación de Planeación Financiera.</w:t>
      </w:r>
    </w:p>
    <w:p w14:paraId="09C23F98" w14:textId="33251BFA" w:rsidR="00042835" w:rsidRDefault="00042835" w:rsidP="00042835">
      <w:r>
        <w:t xml:space="preserve">En relación con el monto destinado a apoyar la educación pública los recursos fueron destinados para la entrega de becas para la educación. Respecto al rubro de modernización de los registros públicos de la propiedad y del comercio locales, el recurso fue ejercido por el </w:t>
      </w:r>
      <w:r w:rsidRPr="00D24F19">
        <w:t>Instituto de la Función Registral</w:t>
      </w:r>
      <w:r>
        <w:t xml:space="preserve"> y destinado para 1) Adquisición, i</w:t>
      </w:r>
      <w:r w:rsidRPr="00904224">
        <w:t>nstalación, reparación y mantenimiento de equipo de cómputo y tecnología de la información</w:t>
      </w:r>
      <w:r>
        <w:t xml:space="preserve">; y 2) </w:t>
      </w:r>
      <w:r w:rsidRPr="00904224">
        <w:t>Servicios de apoyo administrativo, traducción, fotocopiado e impresión</w:t>
      </w:r>
      <w:r>
        <w:t xml:space="preserve">. </w:t>
      </w:r>
    </w:p>
    <w:p w14:paraId="656A169E" w14:textId="77777777" w:rsidR="00CE59D5" w:rsidRPr="00C43726" w:rsidRDefault="00CE59D5" w:rsidP="00F12113">
      <w:pPr>
        <w:widowControl w:val="0"/>
        <w:numPr>
          <w:ilvl w:val="0"/>
          <w:numId w:val="26"/>
        </w:numPr>
        <w:ind w:left="709" w:hanging="349"/>
        <w:rPr>
          <w:rFonts w:eastAsia="MS Mincho"/>
          <w:i/>
          <w:iCs/>
          <w:kern w:val="2"/>
          <w:lang w:eastAsia="ja-JP"/>
        </w:rPr>
      </w:pPr>
      <w:r w:rsidRPr="00C43726">
        <w:rPr>
          <w:rFonts w:eastAsia="MS Mincho"/>
          <w:i/>
          <w:iCs/>
          <w:kern w:val="2"/>
          <w:lang w:eastAsia="ja-JP"/>
        </w:rPr>
        <w:t>Porcentaje que la cantidad de recursos presupuestarios recibida por concepto del FAFEF ha representado respecto del presupuesto total del FAFEF a nivel federal de los últimos cinco ejercicios fiscales.</w:t>
      </w:r>
    </w:p>
    <w:p w14:paraId="584814EA" w14:textId="5AEA0B8C" w:rsidR="00DC6AA6" w:rsidRDefault="004447F6" w:rsidP="004447F6">
      <w:r w:rsidRPr="004447F6">
        <w:t xml:space="preserve">De acuerdo al presupuesto asignado a las entidades federativas a través del FAFEF para los ejercicios fiscales del 2014 al 2017, (Cuadro </w:t>
      </w:r>
      <w:r w:rsidR="007637DC">
        <w:t>5</w:t>
      </w:r>
      <w:r w:rsidRPr="004447F6">
        <w:t>), el Estado de Hidalgo se ubica en la posición 17 de las entidades</w:t>
      </w:r>
      <w:r w:rsidR="00DB18FD">
        <w:t xml:space="preserve"> federativas</w:t>
      </w:r>
      <w:r w:rsidRPr="004447F6">
        <w:t xml:space="preserve"> que recibe más recursos del FAFEF (en promedio 2.36%, del total del FAFEF nacional para esos ejercicios), mientras que del ejercicio 2018 al 2020, el Estado se ubica en la posición 15, con un promedio de 2.50% del total de los recursos del FAFEF a nivel nacional. En general, los recursos del Fondo, en el periodo del 2014 al 2020, han representado un promedio del 2.13% del presupuesto total que ejerce la entidad</w:t>
      </w:r>
      <w:r w:rsidR="00DB18FD">
        <w:t xml:space="preserve"> federativa</w:t>
      </w:r>
      <w:r w:rsidRPr="004447F6">
        <w:t xml:space="preserve">. Dentro de los Fondos del Ramo 33, el FAFEF en </w:t>
      </w:r>
      <w:r w:rsidR="00DB18FD">
        <w:t>Hidalgo</w:t>
      </w:r>
      <w:r w:rsidRPr="004447F6">
        <w:t>, es el sexto Fondo con mayor monto de aportaciones</w:t>
      </w:r>
      <w:r w:rsidRPr="004447F6">
        <w:rPr>
          <w:vertAlign w:val="superscript"/>
        </w:rPr>
        <w:footnoteReference w:id="7"/>
      </w:r>
      <w:r w:rsidRPr="004447F6">
        <w:t>, por debajo del FONE, del FASSA, del FAIS, del FISMDF y del FORTAMUN.</w:t>
      </w:r>
    </w:p>
    <w:p w14:paraId="572E6263" w14:textId="77777777" w:rsidR="00DC6AA6" w:rsidRDefault="00DC6AA6">
      <w:pPr>
        <w:spacing w:before="0" w:after="160" w:line="259" w:lineRule="auto"/>
        <w:jc w:val="left"/>
      </w:pPr>
      <w:r>
        <w:br w:type="page"/>
      </w:r>
    </w:p>
    <w:p w14:paraId="60573C08" w14:textId="4DE36359" w:rsidR="004447F6" w:rsidRPr="004447F6" w:rsidRDefault="004447F6" w:rsidP="005B1878">
      <w:pPr>
        <w:pStyle w:val="Cuadro"/>
      </w:pPr>
      <w:bookmarkStart w:id="20" w:name="_Toc56741058"/>
      <w:r w:rsidRPr="004447F6">
        <w:lastRenderedPageBreak/>
        <w:t xml:space="preserve">Cuadro </w:t>
      </w:r>
      <w:r w:rsidR="00C20ECD">
        <w:t>5</w:t>
      </w:r>
      <w:r w:rsidRPr="004447F6">
        <w:t xml:space="preserve">. </w:t>
      </w:r>
      <w:r w:rsidR="004F0E05" w:rsidRPr="004F0E05">
        <w:t>Presupuesto FAFEF en el Estado, a nivel federal y presupuesto total de la entidad federativa</w:t>
      </w:r>
      <w:r w:rsidRPr="004447F6">
        <w:t>.</w:t>
      </w:r>
      <w:bookmarkEnd w:id="20"/>
    </w:p>
    <w:tbl>
      <w:tblPr>
        <w:tblW w:w="5067" w:type="pct"/>
        <w:tblCellMar>
          <w:left w:w="70" w:type="dxa"/>
          <w:right w:w="70" w:type="dxa"/>
        </w:tblCellMar>
        <w:tblLook w:val="04A0" w:firstRow="1" w:lastRow="0" w:firstColumn="1" w:lastColumn="0" w:noHBand="0" w:noVBand="1"/>
      </w:tblPr>
      <w:tblGrid>
        <w:gridCol w:w="1266"/>
        <w:gridCol w:w="1418"/>
        <w:gridCol w:w="1842"/>
        <w:gridCol w:w="1559"/>
        <w:gridCol w:w="1844"/>
        <w:gridCol w:w="2156"/>
      </w:tblGrid>
      <w:tr w:rsidR="00CF3BD7" w:rsidRPr="004447F6" w14:paraId="70D2DEAC" w14:textId="77777777" w:rsidTr="00CF3BD7">
        <w:trPr>
          <w:trHeight w:val="505"/>
          <w:tblHeader/>
        </w:trPr>
        <w:tc>
          <w:tcPr>
            <w:tcW w:w="628" w:type="pct"/>
            <w:vMerge w:val="restart"/>
            <w:tcBorders>
              <w:top w:val="single" w:sz="8" w:space="0" w:color="auto"/>
              <w:left w:val="single" w:sz="8" w:space="0" w:color="auto"/>
              <w:bottom w:val="single" w:sz="8" w:space="0" w:color="000000"/>
              <w:right w:val="single" w:sz="8" w:space="0" w:color="auto"/>
            </w:tcBorders>
            <w:shd w:val="clear" w:color="auto" w:fill="9CC2E5"/>
            <w:vAlign w:val="center"/>
            <w:hideMark/>
          </w:tcPr>
          <w:p w14:paraId="0DA6F5BF" w14:textId="77777777" w:rsidR="00CF3BD7" w:rsidRPr="004447F6" w:rsidRDefault="00CF3BD7" w:rsidP="004447F6">
            <w:pPr>
              <w:spacing w:before="0" w:after="0"/>
              <w:jc w:val="center"/>
              <w:rPr>
                <w:rFonts w:ascii="Calibri" w:eastAsia="Times New Roman" w:hAnsi="Calibri" w:cs="Times New Roman"/>
                <w:b/>
                <w:bCs/>
                <w:color w:val="000000"/>
                <w:sz w:val="20"/>
                <w:szCs w:val="20"/>
                <w:lang w:eastAsia="es-MX"/>
              </w:rPr>
            </w:pPr>
            <w:r w:rsidRPr="004447F6">
              <w:rPr>
                <w:rFonts w:ascii="Calibri" w:eastAsia="Times New Roman" w:hAnsi="Calibri" w:cs="Times New Roman"/>
                <w:b/>
                <w:bCs/>
                <w:color w:val="000000"/>
                <w:sz w:val="20"/>
                <w:szCs w:val="20"/>
                <w:lang w:val="es-ES" w:eastAsia="es-MX"/>
              </w:rPr>
              <w:t>Ejercicio fiscal</w:t>
            </w:r>
          </w:p>
        </w:tc>
        <w:tc>
          <w:tcPr>
            <w:tcW w:w="703" w:type="pct"/>
            <w:tcBorders>
              <w:top w:val="single" w:sz="8" w:space="0" w:color="auto"/>
              <w:left w:val="nil"/>
              <w:bottom w:val="nil"/>
              <w:right w:val="single" w:sz="8" w:space="0" w:color="auto"/>
            </w:tcBorders>
            <w:shd w:val="clear" w:color="auto" w:fill="9CC2E5"/>
            <w:vAlign w:val="center"/>
            <w:hideMark/>
          </w:tcPr>
          <w:p w14:paraId="592E5702" w14:textId="77777777" w:rsidR="00CF3BD7" w:rsidRPr="004447F6" w:rsidRDefault="00CF3BD7" w:rsidP="004447F6">
            <w:pPr>
              <w:spacing w:before="0" w:after="0"/>
              <w:jc w:val="center"/>
              <w:rPr>
                <w:rFonts w:ascii="Calibri" w:eastAsia="Times New Roman" w:hAnsi="Calibri" w:cs="Times New Roman"/>
                <w:b/>
                <w:bCs/>
                <w:color w:val="000000"/>
                <w:sz w:val="20"/>
                <w:szCs w:val="20"/>
                <w:lang w:eastAsia="es-MX"/>
              </w:rPr>
            </w:pPr>
            <w:r w:rsidRPr="004447F6">
              <w:rPr>
                <w:rFonts w:ascii="Calibri" w:eastAsia="Times New Roman" w:hAnsi="Calibri" w:cs="Times New Roman"/>
                <w:b/>
                <w:bCs/>
                <w:color w:val="000000"/>
                <w:sz w:val="20"/>
                <w:szCs w:val="20"/>
                <w:lang w:val="es-ES" w:eastAsia="es-MX"/>
              </w:rPr>
              <w:t>Presupuesto FAFEF de Hidalgo</w:t>
            </w:r>
          </w:p>
        </w:tc>
        <w:tc>
          <w:tcPr>
            <w:tcW w:w="913" w:type="pct"/>
            <w:tcBorders>
              <w:top w:val="single" w:sz="8" w:space="0" w:color="auto"/>
              <w:left w:val="nil"/>
              <w:bottom w:val="nil"/>
              <w:right w:val="single" w:sz="8" w:space="0" w:color="auto"/>
            </w:tcBorders>
            <w:shd w:val="clear" w:color="auto" w:fill="9CC2E5"/>
            <w:vAlign w:val="center"/>
            <w:hideMark/>
          </w:tcPr>
          <w:p w14:paraId="61CCD186" w14:textId="77777777" w:rsidR="00CF3BD7" w:rsidRPr="004447F6" w:rsidRDefault="00CF3BD7" w:rsidP="004447F6">
            <w:pPr>
              <w:spacing w:before="0" w:after="0"/>
              <w:jc w:val="center"/>
              <w:rPr>
                <w:rFonts w:ascii="Calibri" w:eastAsia="Times New Roman" w:hAnsi="Calibri" w:cs="Times New Roman"/>
                <w:b/>
                <w:bCs/>
                <w:color w:val="000000"/>
                <w:sz w:val="20"/>
                <w:szCs w:val="20"/>
                <w:lang w:eastAsia="es-MX"/>
              </w:rPr>
            </w:pPr>
            <w:r w:rsidRPr="004447F6">
              <w:rPr>
                <w:rFonts w:ascii="Calibri" w:eastAsia="Times New Roman" w:hAnsi="Calibri" w:cs="Times New Roman"/>
                <w:b/>
                <w:bCs/>
                <w:color w:val="000000"/>
                <w:sz w:val="20"/>
                <w:szCs w:val="20"/>
                <w:lang w:val="es-ES" w:eastAsia="es-MX"/>
              </w:rPr>
              <w:t>Presupuesto total FAFEF a nivel federal</w:t>
            </w:r>
          </w:p>
        </w:tc>
        <w:tc>
          <w:tcPr>
            <w:tcW w:w="773" w:type="pct"/>
            <w:tcBorders>
              <w:top w:val="single" w:sz="8" w:space="0" w:color="auto"/>
              <w:left w:val="nil"/>
              <w:bottom w:val="nil"/>
              <w:right w:val="single" w:sz="8" w:space="0" w:color="auto"/>
            </w:tcBorders>
            <w:shd w:val="clear" w:color="auto" w:fill="9CC2E5"/>
            <w:vAlign w:val="center"/>
            <w:hideMark/>
          </w:tcPr>
          <w:p w14:paraId="098EEDCE" w14:textId="77777777" w:rsidR="00CF3BD7" w:rsidRPr="004447F6" w:rsidRDefault="00CF3BD7" w:rsidP="004447F6">
            <w:pPr>
              <w:spacing w:before="0" w:after="0"/>
              <w:jc w:val="center"/>
              <w:rPr>
                <w:rFonts w:ascii="Calibri" w:eastAsia="Times New Roman" w:hAnsi="Calibri" w:cs="Times New Roman"/>
                <w:b/>
                <w:bCs/>
                <w:color w:val="000000"/>
                <w:sz w:val="20"/>
                <w:szCs w:val="20"/>
                <w:lang w:eastAsia="es-MX"/>
              </w:rPr>
            </w:pPr>
            <w:r w:rsidRPr="004447F6">
              <w:rPr>
                <w:rFonts w:ascii="Calibri" w:eastAsia="Times New Roman" w:hAnsi="Calibri" w:cs="Times New Roman"/>
                <w:b/>
                <w:bCs/>
                <w:color w:val="000000"/>
                <w:sz w:val="20"/>
                <w:szCs w:val="20"/>
                <w:lang w:val="es-ES" w:eastAsia="es-MX"/>
              </w:rPr>
              <w:t>Presupuesto total Estado de Hidalgo</w:t>
            </w:r>
          </w:p>
        </w:tc>
        <w:tc>
          <w:tcPr>
            <w:tcW w:w="914" w:type="pct"/>
            <w:vMerge w:val="restart"/>
            <w:tcBorders>
              <w:top w:val="single" w:sz="8" w:space="0" w:color="auto"/>
              <w:left w:val="nil"/>
              <w:right w:val="single" w:sz="8" w:space="0" w:color="auto"/>
            </w:tcBorders>
            <w:shd w:val="clear" w:color="auto" w:fill="9CC2E5"/>
            <w:vAlign w:val="center"/>
            <w:hideMark/>
          </w:tcPr>
          <w:p w14:paraId="693BEC8E" w14:textId="77777777" w:rsidR="00CF3BD7" w:rsidRPr="004447F6" w:rsidRDefault="00CF3BD7" w:rsidP="004447F6">
            <w:pPr>
              <w:spacing w:before="0" w:after="0"/>
              <w:jc w:val="center"/>
              <w:rPr>
                <w:rFonts w:ascii="Calibri" w:eastAsia="Times New Roman" w:hAnsi="Calibri" w:cs="Times New Roman"/>
                <w:b/>
                <w:bCs/>
                <w:color w:val="000000"/>
                <w:sz w:val="20"/>
                <w:szCs w:val="20"/>
                <w:lang w:eastAsia="es-MX"/>
              </w:rPr>
            </w:pPr>
            <w:r w:rsidRPr="004447F6">
              <w:rPr>
                <w:rFonts w:ascii="Calibri" w:eastAsia="Times New Roman" w:hAnsi="Calibri" w:cs="Times New Roman"/>
                <w:b/>
                <w:bCs/>
                <w:color w:val="000000"/>
                <w:sz w:val="20"/>
                <w:szCs w:val="20"/>
                <w:lang w:val="es-ES" w:eastAsia="es-MX"/>
              </w:rPr>
              <w:t>Porcentaje FAFEF Hidalgo respecto al total del FAFEF</w:t>
            </w:r>
            <w:r>
              <w:rPr>
                <w:rFonts w:ascii="Calibri" w:eastAsia="Times New Roman" w:hAnsi="Calibri" w:cs="Times New Roman"/>
                <w:b/>
                <w:bCs/>
                <w:color w:val="000000"/>
                <w:sz w:val="20"/>
                <w:szCs w:val="20"/>
                <w:lang w:val="es-ES" w:eastAsia="es-MX"/>
              </w:rPr>
              <w:t xml:space="preserve"> a nivel federal</w:t>
            </w:r>
          </w:p>
          <w:p w14:paraId="4B45AF6F" w14:textId="78184248" w:rsidR="00CF3BD7" w:rsidRPr="004447F6" w:rsidRDefault="00CF3BD7" w:rsidP="00CF3BD7">
            <w:pPr>
              <w:spacing w:before="0" w:after="0"/>
              <w:jc w:val="center"/>
              <w:rPr>
                <w:rFonts w:ascii="Calibri" w:eastAsia="Times New Roman" w:hAnsi="Calibri" w:cs="Times New Roman"/>
                <w:b/>
                <w:bCs/>
                <w:color w:val="000000"/>
                <w:sz w:val="20"/>
                <w:szCs w:val="20"/>
                <w:lang w:eastAsia="es-MX"/>
              </w:rPr>
            </w:pPr>
            <w:r w:rsidRPr="004447F6">
              <w:rPr>
                <w:rFonts w:ascii="Calibri" w:eastAsia="Times New Roman" w:hAnsi="Calibri" w:cs="Times New Roman"/>
                <w:b/>
                <w:bCs/>
                <w:color w:val="000000"/>
                <w:sz w:val="20"/>
                <w:szCs w:val="20"/>
                <w:lang w:val="es-ES" w:eastAsia="es-MX"/>
              </w:rPr>
              <w:t>(A/B)</w:t>
            </w:r>
          </w:p>
        </w:tc>
        <w:tc>
          <w:tcPr>
            <w:tcW w:w="1069" w:type="pct"/>
            <w:vMerge w:val="restart"/>
            <w:tcBorders>
              <w:top w:val="single" w:sz="8" w:space="0" w:color="auto"/>
              <w:left w:val="nil"/>
              <w:right w:val="single" w:sz="8" w:space="0" w:color="auto"/>
            </w:tcBorders>
            <w:shd w:val="clear" w:color="auto" w:fill="9CC2E5"/>
            <w:vAlign w:val="center"/>
            <w:hideMark/>
          </w:tcPr>
          <w:p w14:paraId="465FAA86" w14:textId="77777777" w:rsidR="00CF3BD7" w:rsidRPr="004447F6" w:rsidRDefault="00CF3BD7" w:rsidP="004447F6">
            <w:pPr>
              <w:spacing w:before="0" w:after="0"/>
              <w:jc w:val="center"/>
              <w:rPr>
                <w:rFonts w:ascii="Calibri" w:eastAsia="Times New Roman" w:hAnsi="Calibri" w:cs="Times New Roman"/>
                <w:b/>
                <w:bCs/>
                <w:color w:val="000000"/>
                <w:sz w:val="20"/>
                <w:szCs w:val="20"/>
                <w:lang w:eastAsia="es-MX"/>
              </w:rPr>
            </w:pPr>
            <w:r w:rsidRPr="004447F6">
              <w:rPr>
                <w:rFonts w:ascii="Calibri" w:eastAsia="Times New Roman" w:hAnsi="Calibri" w:cs="Times New Roman"/>
                <w:b/>
                <w:bCs/>
                <w:color w:val="000000"/>
                <w:sz w:val="20"/>
                <w:szCs w:val="20"/>
                <w:lang w:val="es-ES" w:eastAsia="es-MX"/>
              </w:rPr>
              <w:t>Porcentaje FAFEF Hidalgo respecto al total de la entidad</w:t>
            </w:r>
            <w:r>
              <w:rPr>
                <w:rFonts w:ascii="Calibri" w:eastAsia="Times New Roman" w:hAnsi="Calibri" w:cs="Times New Roman"/>
                <w:b/>
                <w:bCs/>
                <w:color w:val="000000"/>
                <w:sz w:val="20"/>
                <w:szCs w:val="20"/>
                <w:lang w:val="es-ES" w:eastAsia="es-MX"/>
              </w:rPr>
              <w:t xml:space="preserve"> federativa</w:t>
            </w:r>
          </w:p>
          <w:p w14:paraId="4B68069F" w14:textId="484DC45D" w:rsidR="00CF3BD7" w:rsidRPr="004447F6" w:rsidRDefault="00CF3BD7" w:rsidP="00CF3BD7">
            <w:pPr>
              <w:spacing w:before="0" w:after="0"/>
              <w:jc w:val="center"/>
              <w:rPr>
                <w:rFonts w:ascii="Calibri" w:eastAsia="Times New Roman" w:hAnsi="Calibri" w:cs="Times New Roman"/>
                <w:b/>
                <w:bCs/>
                <w:color w:val="000000"/>
                <w:sz w:val="20"/>
                <w:szCs w:val="20"/>
                <w:lang w:eastAsia="es-MX"/>
              </w:rPr>
            </w:pPr>
            <w:r w:rsidRPr="004447F6">
              <w:rPr>
                <w:rFonts w:ascii="Calibri" w:eastAsia="Times New Roman" w:hAnsi="Calibri" w:cs="Times New Roman"/>
                <w:b/>
                <w:bCs/>
                <w:color w:val="000000"/>
                <w:sz w:val="20"/>
                <w:szCs w:val="20"/>
                <w:lang w:val="es-ES" w:eastAsia="es-MX"/>
              </w:rPr>
              <w:t>(A/C)</w:t>
            </w:r>
          </w:p>
        </w:tc>
      </w:tr>
      <w:tr w:rsidR="00CF3BD7" w:rsidRPr="004447F6" w14:paraId="71E9ABCA" w14:textId="77777777" w:rsidTr="00CF3BD7">
        <w:trPr>
          <w:trHeight w:val="67"/>
          <w:tblHeader/>
        </w:trPr>
        <w:tc>
          <w:tcPr>
            <w:tcW w:w="628" w:type="pct"/>
            <w:vMerge/>
            <w:tcBorders>
              <w:top w:val="single" w:sz="8" w:space="0" w:color="auto"/>
              <w:left w:val="single" w:sz="8" w:space="0" w:color="auto"/>
              <w:bottom w:val="single" w:sz="8" w:space="0" w:color="000000"/>
              <w:right w:val="single" w:sz="8" w:space="0" w:color="auto"/>
            </w:tcBorders>
            <w:shd w:val="clear" w:color="auto" w:fill="9CC2E5"/>
            <w:vAlign w:val="center"/>
            <w:hideMark/>
          </w:tcPr>
          <w:p w14:paraId="64B54F50" w14:textId="77777777" w:rsidR="00CF3BD7" w:rsidRPr="004447F6" w:rsidRDefault="00CF3BD7" w:rsidP="004447F6">
            <w:pPr>
              <w:spacing w:before="0" w:after="0"/>
              <w:jc w:val="left"/>
              <w:rPr>
                <w:rFonts w:ascii="Calibri" w:eastAsia="Times New Roman" w:hAnsi="Calibri" w:cs="Times New Roman"/>
                <w:b/>
                <w:bCs/>
                <w:color w:val="000000"/>
                <w:sz w:val="20"/>
                <w:szCs w:val="20"/>
                <w:lang w:eastAsia="es-MX"/>
              </w:rPr>
            </w:pPr>
          </w:p>
        </w:tc>
        <w:tc>
          <w:tcPr>
            <w:tcW w:w="703" w:type="pct"/>
            <w:tcBorders>
              <w:top w:val="nil"/>
              <w:left w:val="nil"/>
              <w:bottom w:val="single" w:sz="8" w:space="0" w:color="auto"/>
              <w:right w:val="single" w:sz="8" w:space="0" w:color="auto"/>
            </w:tcBorders>
            <w:shd w:val="clear" w:color="auto" w:fill="9CC2E5"/>
            <w:vAlign w:val="center"/>
            <w:hideMark/>
          </w:tcPr>
          <w:p w14:paraId="1AB0A062" w14:textId="77777777" w:rsidR="00CF3BD7" w:rsidRPr="004447F6" w:rsidRDefault="00CF3BD7" w:rsidP="004447F6">
            <w:pPr>
              <w:spacing w:before="0" w:after="0"/>
              <w:jc w:val="center"/>
              <w:rPr>
                <w:rFonts w:ascii="Calibri" w:eastAsia="Times New Roman" w:hAnsi="Calibri" w:cs="Times New Roman"/>
                <w:b/>
                <w:bCs/>
                <w:color w:val="000000"/>
                <w:sz w:val="20"/>
                <w:szCs w:val="20"/>
                <w:lang w:eastAsia="es-MX"/>
              </w:rPr>
            </w:pPr>
            <w:r w:rsidRPr="004447F6">
              <w:rPr>
                <w:rFonts w:ascii="Calibri" w:eastAsia="Times New Roman" w:hAnsi="Calibri" w:cs="Times New Roman"/>
                <w:b/>
                <w:bCs/>
                <w:color w:val="000000"/>
                <w:sz w:val="20"/>
                <w:szCs w:val="20"/>
                <w:lang w:val="es-ES" w:eastAsia="es-MX"/>
              </w:rPr>
              <w:t>(A)</w:t>
            </w:r>
          </w:p>
        </w:tc>
        <w:tc>
          <w:tcPr>
            <w:tcW w:w="913" w:type="pct"/>
            <w:tcBorders>
              <w:top w:val="nil"/>
              <w:left w:val="nil"/>
              <w:bottom w:val="single" w:sz="8" w:space="0" w:color="auto"/>
              <w:right w:val="single" w:sz="8" w:space="0" w:color="auto"/>
            </w:tcBorders>
            <w:shd w:val="clear" w:color="auto" w:fill="9CC2E5"/>
            <w:vAlign w:val="center"/>
            <w:hideMark/>
          </w:tcPr>
          <w:p w14:paraId="05058DCC" w14:textId="77777777" w:rsidR="00CF3BD7" w:rsidRPr="004447F6" w:rsidRDefault="00CF3BD7" w:rsidP="004447F6">
            <w:pPr>
              <w:spacing w:before="0" w:after="0"/>
              <w:jc w:val="center"/>
              <w:rPr>
                <w:rFonts w:ascii="Calibri" w:eastAsia="Times New Roman" w:hAnsi="Calibri" w:cs="Times New Roman"/>
                <w:b/>
                <w:bCs/>
                <w:color w:val="000000"/>
                <w:sz w:val="20"/>
                <w:szCs w:val="20"/>
                <w:lang w:eastAsia="es-MX"/>
              </w:rPr>
            </w:pPr>
            <w:r w:rsidRPr="004447F6">
              <w:rPr>
                <w:rFonts w:ascii="Calibri" w:eastAsia="Times New Roman" w:hAnsi="Calibri" w:cs="Times New Roman"/>
                <w:b/>
                <w:bCs/>
                <w:color w:val="000000"/>
                <w:sz w:val="20"/>
                <w:szCs w:val="20"/>
                <w:lang w:val="es-ES" w:eastAsia="es-MX"/>
              </w:rPr>
              <w:t>(B)</w:t>
            </w:r>
          </w:p>
        </w:tc>
        <w:tc>
          <w:tcPr>
            <w:tcW w:w="773" w:type="pct"/>
            <w:tcBorders>
              <w:top w:val="nil"/>
              <w:left w:val="nil"/>
              <w:bottom w:val="single" w:sz="8" w:space="0" w:color="auto"/>
              <w:right w:val="single" w:sz="8" w:space="0" w:color="auto"/>
            </w:tcBorders>
            <w:shd w:val="clear" w:color="auto" w:fill="9CC2E5"/>
            <w:vAlign w:val="center"/>
            <w:hideMark/>
          </w:tcPr>
          <w:p w14:paraId="411D7572" w14:textId="77777777" w:rsidR="00CF3BD7" w:rsidRPr="004447F6" w:rsidRDefault="00CF3BD7" w:rsidP="004447F6">
            <w:pPr>
              <w:spacing w:before="0" w:after="0"/>
              <w:jc w:val="center"/>
              <w:rPr>
                <w:rFonts w:ascii="Calibri" w:eastAsia="Times New Roman" w:hAnsi="Calibri" w:cs="Times New Roman"/>
                <w:b/>
                <w:bCs/>
                <w:color w:val="000000"/>
                <w:sz w:val="20"/>
                <w:szCs w:val="20"/>
                <w:lang w:eastAsia="es-MX"/>
              </w:rPr>
            </w:pPr>
            <w:r w:rsidRPr="004447F6">
              <w:rPr>
                <w:rFonts w:ascii="Calibri" w:eastAsia="Times New Roman" w:hAnsi="Calibri" w:cs="Times New Roman"/>
                <w:b/>
                <w:bCs/>
                <w:color w:val="000000"/>
                <w:sz w:val="20"/>
                <w:szCs w:val="20"/>
                <w:lang w:val="es-ES" w:eastAsia="es-MX"/>
              </w:rPr>
              <w:t>(C)</w:t>
            </w:r>
          </w:p>
        </w:tc>
        <w:tc>
          <w:tcPr>
            <w:tcW w:w="914" w:type="pct"/>
            <w:vMerge/>
            <w:tcBorders>
              <w:left w:val="nil"/>
              <w:right w:val="single" w:sz="8" w:space="0" w:color="auto"/>
            </w:tcBorders>
            <w:shd w:val="clear" w:color="auto" w:fill="9CC2E5"/>
            <w:vAlign w:val="center"/>
            <w:hideMark/>
          </w:tcPr>
          <w:p w14:paraId="222F61F2" w14:textId="5882BCC8" w:rsidR="00CF3BD7" w:rsidRPr="004447F6" w:rsidRDefault="00CF3BD7" w:rsidP="004447F6">
            <w:pPr>
              <w:spacing w:before="0" w:after="0"/>
              <w:jc w:val="left"/>
              <w:rPr>
                <w:rFonts w:ascii="Calibri" w:eastAsia="Times New Roman" w:hAnsi="Calibri" w:cs="Times New Roman"/>
                <w:b/>
                <w:bCs/>
                <w:color w:val="000000"/>
                <w:sz w:val="20"/>
                <w:szCs w:val="20"/>
                <w:lang w:eastAsia="es-MX"/>
              </w:rPr>
            </w:pPr>
          </w:p>
        </w:tc>
        <w:tc>
          <w:tcPr>
            <w:tcW w:w="1069" w:type="pct"/>
            <w:vMerge/>
            <w:tcBorders>
              <w:left w:val="nil"/>
              <w:right w:val="single" w:sz="8" w:space="0" w:color="auto"/>
            </w:tcBorders>
            <w:shd w:val="clear" w:color="auto" w:fill="9CC2E5"/>
            <w:vAlign w:val="center"/>
            <w:hideMark/>
          </w:tcPr>
          <w:p w14:paraId="0ECD37FD" w14:textId="026959C2" w:rsidR="00CF3BD7" w:rsidRPr="004447F6" w:rsidRDefault="00CF3BD7" w:rsidP="004447F6">
            <w:pPr>
              <w:spacing w:before="0" w:after="0"/>
              <w:jc w:val="left"/>
              <w:rPr>
                <w:rFonts w:ascii="Calibri" w:eastAsia="Times New Roman" w:hAnsi="Calibri" w:cs="Times New Roman"/>
                <w:b/>
                <w:bCs/>
                <w:color w:val="000000"/>
                <w:sz w:val="20"/>
                <w:szCs w:val="20"/>
                <w:lang w:eastAsia="es-MX"/>
              </w:rPr>
            </w:pPr>
          </w:p>
        </w:tc>
      </w:tr>
      <w:tr w:rsidR="00CF3BD7" w:rsidRPr="004447F6" w14:paraId="5792BDA0" w14:textId="77777777" w:rsidTr="00CF3BD7">
        <w:trPr>
          <w:trHeight w:val="287"/>
        </w:trPr>
        <w:tc>
          <w:tcPr>
            <w:tcW w:w="628" w:type="pct"/>
            <w:vMerge/>
            <w:tcBorders>
              <w:top w:val="single" w:sz="8" w:space="0" w:color="auto"/>
              <w:left w:val="single" w:sz="8" w:space="0" w:color="auto"/>
              <w:bottom w:val="single" w:sz="8" w:space="0" w:color="000000"/>
              <w:right w:val="single" w:sz="8" w:space="0" w:color="auto"/>
            </w:tcBorders>
            <w:shd w:val="clear" w:color="auto" w:fill="9CC2E5"/>
            <w:vAlign w:val="center"/>
            <w:hideMark/>
          </w:tcPr>
          <w:p w14:paraId="2C705E25" w14:textId="77777777" w:rsidR="00CF3BD7" w:rsidRPr="004447F6" w:rsidRDefault="00CF3BD7" w:rsidP="004447F6">
            <w:pPr>
              <w:spacing w:before="0" w:after="0"/>
              <w:jc w:val="left"/>
              <w:rPr>
                <w:rFonts w:ascii="Calibri" w:eastAsia="Times New Roman" w:hAnsi="Calibri" w:cs="Times New Roman"/>
                <w:b/>
                <w:bCs/>
                <w:color w:val="000000"/>
                <w:sz w:val="20"/>
                <w:szCs w:val="20"/>
                <w:lang w:eastAsia="es-MX"/>
              </w:rPr>
            </w:pPr>
          </w:p>
        </w:tc>
        <w:tc>
          <w:tcPr>
            <w:tcW w:w="2389" w:type="pct"/>
            <w:gridSpan w:val="3"/>
            <w:tcBorders>
              <w:top w:val="single" w:sz="8" w:space="0" w:color="auto"/>
              <w:left w:val="nil"/>
              <w:bottom w:val="single" w:sz="8" w:space="0" w:color="auto"/>
              <w:right w:val="single" w:sz="8" w:space="0" w:color="000000"/>
            </w:tcBorders>
            <w:shd w:val="clear" w:color="auto" w:fill="9CC2E5"/>
            <w:vAlign w:val="center"/>
            <w:hideMark/>
          </w:tcPr>
          <w:p w14:paraId="6DD86B5C" w14:textId="0176CFFF" w:rsidR="00CF3BD7" w:rsidRPr="004447F6" w:rsidRDefault="00CF3BD7" w:rsidP="004447F6">
            <w:pPr>
              <w:spacing w:before="0" w:after="0"/>
              <w:jc w:val="center"/>
              <w:rPr>
                <w:rFonts w:ascii="Calibri" w:eastAsia="Times New Roman" w:hAnsi="Calibri" w:cs="Times New Roman"/>
                <w:b/>
                <w:bCs/>
                <w:i/>
                <w:iCs/>
                <w:color w:val="000000"/>
                <w:sz w:val="20"/>
                <w:szCs w:val="20"/>
                <w:lang w:eastAsia="es-MX"/>
              </w:rPr>
            </w:pPr>
            <w:r w:rsidRPr="005A3EC2">
              <w:rPr>
                <w:rFonts w:eastAsia="Times New Roman" w:cstheme="minorHAnsi"/>
                <w:b/>
                <w:bCs/>
                <w:i/>
                <w:iCs/>
                <w:color w:val="000000"/>
                <w:sz w:val="20"/>
                <w:szCs w:val="20"/>
                <w:lang w:eastAsia="es-MX"/>
              </w:rPr>
              <w:t>(</w:t>
            </w:r>
            <w:r>
              <w:rPr>
                <w:rFonts w:eastAsia="Times New Roman" w:cstheme="minorHAnsi"/>
                <w:b/>
                <w:bCs/>
                <w:i/>
                <w:iCs/>
                <w:color w:val="000000"/>
                <w:sz w:val="20"/>
                <w:szCs w:val="20"/>
                <w:lang w:eastAsia="es-MX"/>
              </w:rPr>
              <w:t>Mdp</w:t>
            </w:r>
            <w:r w:rsidRPr="005A3EC2">
              <w:rPr>
                <w:rFonts w:eastAsia="Times New Roman" w:cstheme="minorHAnsi"/>
                <w:b/>
                <w:bCs/>
                <w:i/>
                <w:iCs/>
                <w:color w:val="000000"/>
                <w:sz w:val="20"/>
                <w:szCs w:val="20"/>
                <w:lang w:eastAsia="es-MX"/>
              </w:rPr>
              <w:t>)</w:t>
            </w:r>
            <w:r w:rsidRPr="00466813">
              <w:rPr>
                <w:rFonts w:eastAsia="Times New Roman" w:cstheme="minorHAnsi"/>
                <w:b/>
                <w:bCs/>
                <w:i/>
                <w:iCs/>
                <w:color w:val="000000"/>
                <w:sz w:val="20"/>
                <w:szCs w:val="20"/>
                <w:vertAlign w:val="superscript"/>
                <w:lang w:eastAsia="es-MX"/>
              </w:rPr>
              <w:t>1</w:t>
            </w:r>
          </w:p>
        </w:tc>
        <w:tc>
          <w:tcPr>
            <w:tcW w:w="914" w:type="pct"/>
            <w:vMerge/>
            <w:tcBorders>
              <w:left w:val="nil"/>
              <w:bottom w:val="single" w:sz="8" w:space="0" w:color="auto"/>
              <w:right w:val="single" w:sz="8" w:space="0" w:color="auto"/>
            </w:tcBorders>
            <w:shd w:val="clear" w:color="auto" w:fill="9CC2E5"/>
            <w:vAlign w:val="center"/>
            <w:hideMark/>
          </w:tcPr>
          <w:p w14:paraId="229B91EC" w14:textId="087CDBBA" w:rsidR="00CF3BD7" w:rsidRPr="004447F6" w:rsidRDefault="00CF3BD7" w:rsidP="004447F6">
            <w:pPr>
              <w:spacing w:before="0" w:after="0"/>
              <w:jc w:val="left"/>
              <w:rPr>
                <w:rFonts w:ascii="Calibri" w:eastAsia="Times New Roman" w:hAnsi="Calibri" w:cs="Times New Roman"/>
                <w:color w:val="000000"/>
                <w:sz w:val="20"/>
                <w:szCs w:val="20"/>
                <w:lang w:eastAsia="es-MX"/>
              </w:rPr>
            </w:pPr>
          </w:p>
        </w:tc>
        <w:tc>
          <w:tcPr>
            <w:tcW w:w="1069" w:type="pct"/>
            <w:vMerge/>
            <w:tcBorders>
              <w:left w:val="nil"/>
              <w:bottom w:val="single" w:sz="8" w:space="0" w:color="auto"/>
              <w:right w:val="single" w:sz="8" w:space="0" w:color="auto"/>
            </w:tcBorders>
            <w:shd w:val="clear" w:color="auto" w:fill="9CC2E5"/>
            <w:vAlign w:val="center"/>
            <w:hideMark/>
          </w:tcPr>
          <w:p w14:paraId="4539DAFC" w14:textId="7D80D4DD" w:rsidR="00CF3BD7" w:rsidRPr="004447F6" w:rsidRDefault="00CF3BD7" w:rsidP="004447F6">
            <w:pPr>
              <w:spacing w:before="0" w:after="0"/>
              <w:jc w:val="left"/>
              <w:rPr>
                <w:rFonts w:ascii="Calibri" w:eastAsia="Times New Roman" w:hAnsi="Calibri" w:cs="Times New Roman"/>
                <w:color w:val="000000"/>
                <w:sz w:val="20"/>
                <w:szCs w:val="20"/>
                <w:lang w:eastAsia="es-MX"/>
              </w:rPr>
            </w:pPr>
          </w:p>
        </w:tc>
      </w:tr>
      <w:tr w:rsidR="004447F6" w:rsidRPr="004447F6" w14:paraId="65FA869F" w14:textId="77777777" w:rsidTr="00CF3BD7">
        <w:trPr>
          <w:trHeight w:val="287"/>
        </w:trPr>
        <w:tc>
          <w:tcPr>
            <w:tcW w:w="628" w:type="pct"/>
            <w:tcBorders>
              <w:top w:val="nil"/>
              <w:left w:val="single" w:sz="8" w:space="0" w:color="auto"/>
              <w:bottom w:val="single" w:sz="8" w:space="0" w:color="auto"/>
              <w:right w:val="single" w:sz="8" w:space="0" w:color="auto"/>
            </w:tcBorders>
            <w:shd w:val="clear" w:color="auto" w:fill="auto"/>
            <w:noWrap/>
            <w:vAlign w:val="center"/>
            <w:hideMark/>
          </w:tcPr>
          <w:p w14:paraId="3381994A" w14:textId="77777777" w:rsidR="004447F6" w:rsidRPr="004447F6" w:rsidRDefault="004447F6" w:rsidP="004447F6">
            <w:pPr>
              <w:spacing w:before="0" w:after="0"/>
              <w:jc w:val="center"/>
              <w:rPr>
                <w:rFonts w:ascii="Calibri" w:eastAsia="Times New Roman" w:hAnsi="Calibri" w:cs="Times New Roman"/>
                <w:color w:val="000000"/>
                <w:sz w:val="20"/>
                <w:szCs w:val="20"/>
                <w:lang w:eastAsia="es-MX"/>
              </w:rPr>
            </w:pPr>
            <w:r w:rsidRPr="004447F6">
              <w:rPr>
                <w:rFonts w:ascii="Calibri" w:eastAsia="Times New Roman" w:hAnsi="Calibri" w:cs="Times New Roman"/>
                <w:color w:val="000000"/>
                <w:sz w:val="20"/>
                <w:szCs w:val="20"/>
                <w:lang w:val="es-ES" w:eastAsia="es-MX"/>
              </w:rPr>
              <w:t>2014</w:t>
            </w:r>
          </w:p>
        </w:tc>
        <w:tc>
          <w:tcPr>
            <w:tcW w:w="703" w:type="pct"/>
            <w:tcBorders>
              <w:top w:val="nil"/>
              <w:left w:val="nil"/>
              <w:bottom w:val="single" w:sz="8" w:space="0" w:color="auto"/>
              <w:right w:val="single" w:sz="8" w:space="0" w:color="auto"/>
            </w:tcBorders>
            <w:shd w:val="clear" w:color="auto" w:fill="auto"/>
            <w:noWrap/>
            <w:vAlign w:val="bottom"/>
          </w:tcPr>
          <w:p w14:paraId="0DE27085" w14:textId="10926DEF" w:rsidR="004447F6" w:rsidRPr="004447F6" w:rsidRDefault="004447F6" w:rsidP="00526139">
            <w:pPr>
              <w:spacing w:before="0" w:after="0"/>
              <w:jc w:val="center"/>
              <w:rPr>
                <w:rFonts w:ascii="Calibri" w:hAnsi="Calibri"/>
                <w:color w:val="000000"/>
                <w:sz w:val="20"/>
                <w:szCs w:val="20"/>
              </w:rPr>
            </w:pPr>
            <w:r w:rsidRPr="004447F6">
              <w:rPr>
                <w:rFonts w:ascii="Calibri" w:hAnsi="Calibri"/>
                <w:color w:val="000000"/>
                <w:sz w:val="20"/>
                <w:szCs w:val="20"/>
              </w:rPr>
              <w:t>750.25</w:t>
            </w:r>
          </w:p>
        </w:tc>
        <w:tc>
          <w:tcPr>
            <w:tcW w:w="913" w:type="pct"/>
            <w:tcBorders>
              <w:top w:val="nil"/>
              <w:left w:val="nil"/>
              <w:bottom w:val="single" w:sz="8" w:space="0" w:color="auto"/>
              <w:right w:val="single" w:sz="8" w:space="0" w:color="auto"/>
            </w:tcBorders>
            <w:shd w:val="clear" w:color="auto" w:fill="auto"/>
            <w:noWrap/>
            <w:vAlign w:val="bottom"/>
            <w:hideMark/>
          </w:tcPr>
          <w:p w14:paraId="4303607A" w14:textId="69BEF375" w:rsidR="004447F6" w:rsidRPr="004447F6" w:rsidRDefault="004447F6" w:rsidP="00526139">
            <w:pPr>
              <w:spacing w:before="0" w:after="0"/>
              <w:jc w:val="center"/>
              <w:rPr>
                <w:rFonts w:ascii="Calibri" w:hAnsi="Calibri"/>
                <w:color w:val="000000"/>
                <w:sz w:val="20"/>
                <w:szCs w:val="20"/>
              </w:rPr>
            </w:pPr>
            <w:r w:rsidRPr="004447F6">
              <w:rPr>
                <w:rFonts w:ascii="Calibri" w:hAnsi="Calibri"/>
                <w:color w:val="000000"/>
                <w:sz w:val="20"/>
                <w:szCs w:val="20"/>
              </w:rPr>
              <w:t>32,054.27</w:t>
            </w:r>
          </w:p>
        </w:tc>
        <w:tc>
          <w:tcPr>
            <w:tcW w:w="773" w:type="pct"/>
            <w:tcBorders>
              <w:top w:val="nil"/>
              <w:left w:val="nil"/>
              <w:bottom w:val="single" w:sz="8" w:space="0" w:color="auto"/>
              <w:right w:val="single" w:sz="8" w:space="0" w:color="auto"/>
            </w:tcBorders>
            <w:shd w:val="clear" w:color="auto" w:fill="auto"/>
            <w:noWrap/>
            <w:vAlign w:val="bottom"/>
            <w:hideMark/>
          </w:tcPr>
          <w:p w14:paraId="73991111" w14:textId="31C88676" w:rsidR="004447F6" w:rsidRPr="004447F6" w:rsidRDefault="004447F6" w:rsidP="00526139">
            <w:pPr>
              <w:spacing w:before="0" w:after="0"/>
              <w:jc w:val="center"/>
              <w:rPr>
                <w:rFonts w:ascii="Calibri" w:hAnsi="Calibri"/>
                <w:color w:val="000000"/>
                <w:sz w:val="20"/>
                <w:szCs w:val="20"/>
              </w:rPr>
            </w:pPr>
            <w:r w:rsidRPr="004447F6">
              <w:rPr>
                <w:rFonts w:ascii="Calibri" w:hAnsi="Calibri"/>
                <w:color w:val="000000"/>
                <w:sz w:val="20"/>
                <w:szCs w:val="20"/>
              </w:rPr>
              <w:t>37,116.2</w:t>
            </w:r>
            <w:r w:rsidR="00FB5EC8">
              <w:rPr>
                <w:rFonts w:ascii="Calibri" w:hAnsi="Calibri"/>
                <w:color w:val="000000"/>
                <w:sz w:val="20"/>
                <w:szCs w:val="20"/>
              </w:rPr>
              <w:t>3</w:t>
            </w:r>
          </w:p>
        </w:tc>
        <w:tc>
          <w:tcPr>
            <w:tcW w:w="914" w:type="pct"/>
            <w:tcBorders>
              <w:top w:val="nil"/>
              <w:left w:val="nil"/>
              <w:bottom w:val="single" w:sz="8" w:space="0" w:color="auto"/>
              <w:right w:val="single" w:sz="8" w:space="0" w:color="auto"/>
            </w:tcBorders>
            <w:shd w:val="clear" w:color="auto" w:fill="auto"/>
            <w:noWrap/>
            <w:vAlign w:val="bottom"/>
            <w:hideMark/>
          </w:tcPr>
          <w:p w14:paraId="5230B6D4" w14:textId="1E2D4D85" w:rsidR="004447F6" w:rsidRPr="004447F6" w:rsidRDefault="004447F6" w:rsidP="00526139">
            <w:pPr>
              <w:spacing w:before="0" w:after="0"/>
              <w:jc w:val="center"/>
              <w:rPr>
                <w:rFonts w:ascii="Calibri" w:hAnsi="Calibri"/>
                <w:color w:val="000000"/>
                <w:sz w:val="20"/>
                <w:szCs w:val="20"/>
              </w:rPr>
            </w:pPr>
            <w:r w:rsidRPr="004447F6">
              <w:rPr>
                <w:rFonts w:ascii="Calibri" w:hAnsi="Calibri"/>
                <w:color w:val="000000"/>
                <w:sz w:val="20"/>
                <w:szCs w:val="20"/>
              </w:rPr>
              <w:t>2.34</w:t>
            </w:r>
            <w:r w:rsidR="005B6B1A">
              <w:rPr>
                <w:rFonts w:ascii="Calibri" w:hAnsi="Calibri"/>
                <w:color w:val="000000"/>
                <w:sz w:val="20"/>
                <w:szCs w:val="20"/>
              </w:rPr>
              <w:t>%</w:t>
            </w:r>
          </w:p>
        </w:tc>
        <w:tc>
          <w:tcPr>
            <w:tcW w:w="1069" w:type="pct"/>
            <w:tcBorders>
              <w:top w:val="nil"/>
              <w:left w:val="nil"/>
              <w:bottom w:val="single" w:sz="8" w:space="0" w:color="auto"/>
              <w:right w:val="single" w:sz="8" w:space="0" w:color="auto"/>
            </w:tcBorders>
            <w:shd w:val="clear" w:color="auto" w:fill="auto"/>
            <w:noWrap/>
            <w:vAlign w:val="bottom"/>
            <w:hideMark/>
          </w:tcPr>
          <w:p w14:paraId="31E2D462" w14:textId="1090F14C" w:rsidR="004447F6" w:rsidRPr="004447F6" w:rsidRDefault="004447F6" w:rsidP="00526139">
            <w:pPr>
              <w:spacing w:before="0" w:after="0"/>
              <w:jc w:val="center"/>
              <w:rPr>
                <w:rFonts w:ascii="Calibri" w:hAnsi="Calibri"/>
                <w:color w:val="000000"/>
                <w:sz w:val="20"/>
                <w:szCs w:val="20"/>
              </w:rPr>
            </w:pPr>
            <w:r w:rsidRPr="004447F6">
              <w:rPr>
                <w:rFonts w:ascii="Calibri" w:hAnsi="Calibri"/>
                <w:color w:val="000000"/>
                <w:sz w:val="20"/>
                <w:szCs w:val="20"/>
              </w:rPr>
              <w:t>2.02</w:t>
            </w:r>
            <w:r w:rsidR="005B6B1A">
              <w:rPr>
                <w:rFonts w:ascii="Calibri" w:hAnsi="Calibri"/>
                <w:color w:val="000000"/>
                <w:sz w:val="20"/>
                <w:szCs w:val="20"/>
              </w:rPr>
              <w:t>%</w:t>
            </w:r>
          </w:p>
        </w:tc>
      </w:tr>
      <w:tr w:rsidR="004447F6" w:rsidRPr="004447F6" w14:paraId="2F5D7EE1" w14:textId="77777777" w:rsidTr="00CF3BD7">
        <w:trPr>
          <w:trHeight w:val="287"/>
        </w:trPr>
        <w:tc>
          <w:tcPr>
            <w:tcW w:w="628" w:type="pct"/>
            <w:tcBorders>
              <w:top w:val="nil"/>
              <w:left w:val="single" w:sz="8" w:space="0" w:color="auto"/>
              <w:bottom w:val="single" w:sz="8" w:space="0" w:color="auto"/>
              <w:right w:val="single" w:sz="8" w:space="0" w:color="auto"/>
            </w:tcBorders>
            <w:shd w:val="clear" w:color="auto" w:fill="auto"/>
            <w:noWrap/>
            <w:vAlign w:val="center"/>
            <w:hideMark/>
          </w:tcPr>
          <w:p w14:paraId="570B657D" w14:textId="77777777" w:rsidR="004447F6" w:rsidRPr="004447F6" w:rsidRDefault="004447F6" w:rsidP="004447F6">
            <w:pPr>
              <w:spacing w:before="0" w:after="0"/>
              <w:jc w:val="center"/>
              <w:rPr>
                <w:rFonts w:ascii="Calibri" w:eastAsia="Times New Roman" w:hAnsi="Calibri" w:cs="Times New Roman"/>
                <w:color w:val="000000"/>
                <w:sz w:val="20"/>
                <w:szCs w:val="20"/>
                <w:lang w:eastAsia="es-MX"/>
              </w:rPr>
            </w:pPr>
            <w:r w:rsidRPr="004447F6">
              <w:rPr>
                <w:rFonts w:ascii="Calibri" w:eastAsia="Times New Roman" w:hAnsi="Calibri" w:cs="Times New Roman"/>
                <w:color w:val="000000"/>
                <w:sz w:val="20"/>
                <w:szCs w:val="20"/>
                <w:lang w:val="es-ES" w:eastAsia="es-MX"/>
              </w:rPr>
              <w:t>2015</w:t>
            </w:r>
          </w:p>
        </w:tc>
        <w:tc>
          <w:tcPr>
            <w:tcW w:w="703" w:type="pct"/>
            <w:tcBorders>
              <w:top w:val="nil"/>
              <w:left w:val="nil"/>
              <w:bottom w:val="single" w:sz="8" w:space="0" w:color="auto"/>
              <w:right w:val="single" w:sz="8" w:space="0" w:color="auto"/>
            </w:tcBorders>
            <w:shd w:val="clear" w:color="auto" w:fill="auto"/>
            <w:noWrap/>
            <w:vAlign w:val="bottom"/>
          </w:tcPr>
          <w:p w14:paraId="6B41638B" w14:textId="5C902162" w:rsidR="004447F6" w:rsidRPr="004447F6" w:rsidRDefault="004447F6" w:rsidP="00526139">
            <w:pPr>
              <w:spacing w:before="0" w:after="0"/>
              <w:jc w:val="center"/>
              <w:rPr>
                <w:rFonts w:ascii="Calibri" w:hAnsi="Calibri"/>
                <w:color w:val="000000"/>
                <w:sz w:val="20"/>
                <w:szCs w:val="20"/>
              </w:rPr>
            </w:pPr>
            <w:r w:rsidRPr="004447F6">
              <w:rPr>
                <w:rFonts w:ascii="Calibri" w:hAnsi="Calibri"/>
                <w:color w:val="000000"/>
                <w:sz w:val="20"/>
                <w:szCs w:val="20"/>
              </w:rPr>
              <w:t>769.10</w:t>
            </w:r>
          </w:p>
        </w:tc>
        <w:tc>
          <w:tcPr>
            <w:tcW w:w="913" w:type="pct"/>
            <w:tcBorders>
              <w:top w:val="nil"/>
              <w:left w:val="nil"/>
              <w:bottom w:val="single" w:sz="8" w:space="0" w:color="auto"/>
              <w:right w:val="single" w:sz="8" w:space="0" w:color="auto"/>
            </w:tcBorders>
            <w:shd w:val="clear" w:color="auto" w:fill="auto"/>
            <w:noWrap/>
            <w:vAlign w:val="bottom"/>
            <w:hideMark/>
          </w:tcPr>
          <w:p w14:paraId="4694C45B" w14:textId="27D7E5EC" w:rsidR="004447F6" w:rsidRPr="004447F6" w:rsidRDefault="004447F6" w:rsidP="00526139">
            <w:pPr>
              <w:spacing w:before="0" w:after="0"/>
              <w:jc w:val="center"/>
              <w:rPr>
                <w:rFonts w:ascii="Calibri" w:hAnsi="Calibri"/>
                <w:color w:val="000000"/>
                <w:sz w:val="20"/>
                <w:szCs w:val="20"/>
              </w:rPr>
            </w:pPr>
            <w:r w:rsidRPr="004447F6">
              <w:rPr>
                <w:rFonts w:ascii="Calibri" w:hAnsi="Calibri"/>
                <w:color w:val="000000"/>
                <w:sz w:val="20"/>
                <w:szCs w:val="20"/>
              </w:rPr>
              <w:t>32,380.8</w:t>
            </w:r>
            <w:r w:rsidR="00FB5EC8">
              <w:rPr>
                <w:rFonts w:ascii="Calibri" w:hAnsi="Calibri"/>
                <w:color w:val="000000"/>
                <w:sz w:val="20"/>
                <w:szCs w:val="20"/>
              </w:rPr>
              <w:t>6</w:t>
            </w:r>
          </w:p>
        </w:tc>
        <w:tc>
          <w:tcPr>
            <w:tcW w:w="773" w:type="pct"/>
            <w:tcBorders>
              <w:top w:val="nil"/>
              <w:left w:val="nil"/>
              <w:bottom w:val="single" w:sz="8" w:space="0" w:color="auto"/>
              <w:right w:val="single" w:sz="8" w:space="0" w:color="auto"/>
            </w:tcBorders>
            <w:shd w:val="clear" w:color="auto" w:fill="auto"/>
            <w:noWrap/>
            <w:vAlign w:val="bottom"/>
            <w:hideMark/>
          </w:tcPr>
          <w:p w14:paraId="543DB072" w14:textId="7AA70053" w:rsidR="004447F6" w:rsidRPr="004447F6" w:rsidRDefault="004447F6" w:rsidP="00526139">
            <w:pPr>
              <w:spacing w:before="0" w:after="0"/>
              <w:jc w:val="center"/>
              <w:rPr>
                <w:rFonts w:ascii="Calibri" w:hAnsi="Calibri"/>
                <w:color w:val="000000"/>
                <w:sz w:val="20"/>
                <w:szCs w:val="20"/>
              </w:rPr>
            </w:pPr>
            <w:r w:rsidRPr="004447F6">
              <w:rPr>
                <w:rFonts w:ascii="Calibri" w:hAnsi="Calibri"/>
                <w:color w:val="000000"/>
                <w:sz w:val="20"/>
                <w:szCs w:val="20"/>
              </w:rPr>
              <w:t>43,241.9</w:t>
            </w:r>
            <w:r w:rsidR="00FB5EC8">
              <w:rPr>
                <w:rFonts w:ascii="Calibri" w:hAnsi="Calibri"/>
                <w:color w:val="000000"/>
                <w:sz w:val="20"/>
                <w:szCs w:val="20"/>
              </w:rPr>
              <w:t>5</w:t>
            </w:r>
          </w:p>
        </w:tc>
        <w:tc>
          <w:tcPr>
            <w:tcW w:w="914" w:type="pct"/>
            <w:tcBorders>
              <w:top w:val="nil"/>
              <w:left w:val="nil"/>
              <w:bottom w:val="single" w:sz="8" w:space="0" w:color="auto"/>
              <w:right w:val="single" w:sz="8" w:space="0" w:color="auto"/>
            </w:tcBorders>
            <w:shd w:val="clear" w:color="auto" w:fill="auto"/>
            <w:noWrap/>
            <w:vAlign w:val="bottom"/>
            <w:hideMark/>
          </w:tcPr>
          <w:p w14:paraId="5DA6FA00" w14:textId="4B03A4FB" w:rsidR="004447F6" w:rsidRPr="004447F6" w:rsidRDefault="004447F6" w:rsidP="00526139">
            <w:pPr>
              <w:spacing w:before="0" w:after="0"/>
              <w:jc w:val="center"/>
              <w:rPr>
                <w:rFonts w:ascii="Calibri" w:hAnsi="Calibri"/>
                <w:color w:val="000000"/>
                <w:sz w:val="20"/>
                <w:szCs w:val="20"/>
              </w:rPr>
            </w:pPr>
            <w:r w:rsidRPr="004447F6">
              <w:rPr>
                <w:rFonts w:ascii="Calibri" w:hAnsi="Calibri"/>
                <w:color w:val="000000"/>
                <w:sz w:val="20"/>
                <w:szCs w:val="20"/>
              </w:rPr>
              <w:t>2.38</w:t>
            </w:r>
            <w:r w:rsidR="005B6B1A">
              <w:rPr>
                <w:rFonts w:ascii="Calibri" w:hAnsi="Calibri"/>
                <w:color w:val="000000"/>
                <w:sz w:val="20"/>
                <w:szCs w:val="20"/>
              </w:rPr>
              <w:t>%</w:t>
            </w:r>
          </w:p>
        </w:tc>
        <w:tc>
          <w:tcPr>
            <w:tcW w:w="1069" w:type="pct"/>
            <w:tcBorders>
              <w:top w:val="nil"/>
              <w:left w:val="nil"/>
              <w:bottom w:val="single" w:sz="8" w:space="0" w:color="auto"/>
              <w:right w:val="single" w:sz="8" w:space="0" w:color="auto"/>
            </w:tcBorders>
            <w:shd w:val="clear" w:color="auto" w:fill="auto"/>
            <w:noWrap/>
            <w:vAlign w:val="bottom"/>
            <w:hideMark/>
          </w:tcPr>
          <w:p w14:paraId="69D1C41D" w14:textId="3EEF268C" w:rsidR="004447F6" w:rsidRPr="004447F6" w:rsidRDefault="004447F6" w:rsidP="00526139">
            <w:pPr>
              <w:spacing w:before="0" w:after="0"/>
              <w:jc w:val="center"/>
              <w:rPr>
                <w:rFonts w:ascii="Calibri" w:hAnsi="Calibri"/>
                <w:color w:val="000000"/>
                <w:sz w:val="20"/>
                <w:szCs w:val="20"/>
              </w:rPr>
            </w:pPr>
            <w:r w:rsidRPr="004447F6">
              <w:rPr>
                <w:rFonts w:ascii="Calibri" w:hAnsi="Calibri"/>
                <w:color w:val="000000"/>
                <w:sz w:val="20"/>
                <w:szCs w:val="20"/>
              </w:rPr>
              <w:t>1.78</w:t>
            </w:r>
            <w:r w:rsidR="005B6B1A">
              <w:rPr>
                <w:rFonts w:ascii="Calibri" w:hAnsi="Calibri"/>
                <w:color w:val="000000"/>
                <w:sz w:val="20"/>
                <w:szCs w:val="20"/>
              </w:rPr>
              <w:t>%</w:t>
            </w:r>
          </w:p>
        </w:tc>
      </w:tr>
      <w:tr w:rsidR="004447F6" w:rsidRPr="004447F6" w14:paraId="00371524" w14:textId="77777777" w:rsidTr="00CF3BD7">
        <w:trPr>
          <w:trHeight w:val="287"/>
        </w:trPr>
        <w:tc>
          <w:tcPr>
            <w:tcW w:w="628" w:type="pct"/>
            <w:tcBorders>
              <w:top w:val="nil"/>
              <w:left w:val="single" w:sz="8" w:space="0" w:color="auto"/>
              <w:bottom w:val="single" w:sz="8" w:space="0" w:color="auto"/>
              <w:right w:val="single" w:sz="8" w:space="0" w:color="auto"/>
            </w:tcBorders>
            <w:shd w:val="clear" w:color="auto" w:fill="auto"/>
            <w:noWrap/>
            <w:vAlign w:val="center"/>
            <w:hideMark/>
          </w:tcPr>
          <w:p w14:paraId="30D93842" w14:textId="77777777" w:rsidR="004447F6" w:rsidRPr="004447F6" w:rsidRDefault="004447F6" w:rsidP="004447F6">
            <w:pPr>
              <w:spacing w:before="0" w:after="0"/>
              <w:jc w:val="center"/>
              <w:rPr>
                <w:rFonts w:ascii="Calibri" w:eastAsia="Times New Roman" w:hAnsi="Calibri" w:cs="Times New Roman"/>
                <w:color w:val="000000"/>
                <w:sz w:val="20"/>
                <w:szCs w:val="20"/>
                <w:lang w:eastAsia="es-MX"/>
              </w:rPr>
            </w:pPr>
            <w:r w:rsidRPr="004447F6">
              <w:rPr>
                <w:rFonts w:ascii="Calibri" w:eastAsia="Times New Roman" w:hAnsi="Calibri" w:cs="Times New Roman"/>
                <w:color w:val="000000"/>
                <w:sz w:val="20"/>
                <w:szCs w:val="20"/>
                <w:lang w:val="es-ES" w:eastAsia="es-MX"/>
              </w:rPr>
              <w:t>2016</w:t>
            </w:r>
          </w:p>
        </w:tc>
        <w:tc>
          <w:tcPr>
            <w:tcW w:w="703" w:type="pct"/>
            <w:tcBorders>
              <w:top w:val="nil"/>
              <w:left w:val="nil"/>
              <w:bottom w:val="single" w:sz="8" w:space="0" w:color="auto"/>
              <w:right w:val="single" w:sz="8" w:space="0" w:color="auto"/>
            </w:tcBorders>
            <w:shd w:val="clear" w:color="auto" w:fill="auto"/>
            <w:noWrap/>
            <w:vAlign w:val="bottom"/>
          </w:tcPr>
          <w:p w14:paraId="18501080" w14:textId="205D8D99" w:rsidR="004447F6" w:rsidRPr="004447F6" w:rsidRDefault="004447F6" w:rsidP="00526139">
            <w:pPr>
              <w:spacing w:before="0" w:after="0"/>
              <w:jc w:val="center"/>
              <w:rPr>
                <w:rFonts w:ascii="Calibri" w:hAnsi="Calibri"/>
                <w:color w:val="000000"/>
                <w:sz w:val="20"/>
                <w:szCs w:val="20"/>
              </w:rPr>
            </w:pPr>
            <w:r w:rsidRPr="004447F6">
              <w:rPr>
                <w:rFonts w:ascii="Calibri" w:hAnsi="Calibri"/>
                <w:color w:val="000000"/>
                <w:sz w:val="20"/>
                <w:szCs w:val="20"/>
              </w:rPr>
              <w:t>800.19</w:t>
            </w:r>
          </w:p>
        </w:tc>
        <w:tc>
          <w:tcPr>
            <w:tcW w:w="913" w:type="pct"/>
            <w:tcBorders>
              <w:top w:val="nil"/>
              <w:left w:val="nil"/>
              <w:bottom w:val="single" w:sz="8" w:space="0" w:color="auto"/>
              <w:right w:val="single" w:sz="8" w:space="0" w:color="auto"/>
            </w:tcBorders>
            <w:shd w:val="clear" w:color="auto" w:fill="auto"/>
            <w:noWrap/>
            <w:vAlign w:val="bottom"/>
            <w:hideMark/>
          </w:tcPr>
          <w:p w14:paraId="5295ADC7" w14:textId="209C5DDC" w:rsidR="004447F6" w:rsidRPr="004447F6" w:rsidRDefault="004447F6" w:rsidP="00526139">
            <w:pPr>
              <w:spacing w:before="0" w:after="0"/>
              <w:jc w:val="center"/>
              <w:rPr>
                <w:rFonts w:ascii="Calibri" w:hAnsi="Calibri"/>
                <w:color w:val="000000"/>
                <w:sz w:val="20"/>
                <w:szCs w:val="20"/>
              </w:rPr>
            </w:pPr>
            <w:r w:rsidRPr="004447F6">
              <w:rPr>
                <w:rFonts w:ascii="Calibri" w:hAnsi="Calibri"/>
                <w:color w:val="000000"/>
                <w:sz w:val="20"/>
                <w:szCs w:val="20"/>
              </w:rPr>
              <w:t>33,995.19</w:t>
            </w:r>
          </w:p>
        </w:tc>
        <w:tc>
          <w:tcPr>
            <w:tcW w:w="773" w:type="pct"/>
            <w:tcBorders>
              <w:top w:val="nil"/>
              <w:left w:val="nil"/>
              <w:bottom w:val="single" w:sz="8" w:space="0" w:color="auto"/>
              <w:right w:val="single" w:sz="8" w:space="0" w:color="auto"/>
            </w:tcBorders>
            <w:shd w:val="clear" w:color="auto" w:fill="auto"/>
            <w:noWrap/>
            <w:vAlign w:val="bottom"/>
            <w:hideMark/>
          </w:tcPr>
          <w:p w14:paraId="53389CBC" w14:textId="73C45D18" w:rsidR="004447F6" w:rsidRPr="004447F6" w:rsidRDefault="004447F6" w:rsidP="00526139">
            <w:pPr>
              <w:spacing w:before="0" w:after="0"/>
              <w:jc w:val="center"/>
              <w:rPr>
                <w:rFonts w:ascii="Calibri" w:hAnsi="Calibri"/>
                <w:color w:val="000000"/>
                <w:sz w:val="20"/>
                <w:szCs w:val="20"/>
              </w:rPr>
            </w:pPr>
            <w:r w:rsidRPr="004447F6">
              <w:rPr>
                <w:rFonts w:ascii="Calibri" w:hAnsi="Calibri"/>
                <w:color w:val="000000"/>
                <w:sz w:val="20"/>
                <w:szCs w:val="20"/>
              </w:rPr>
              <w:t>43,695.72</w:t>
            </w:r>
          </w:p>
        </w:tc>
        <w:tc>
          <w:tcPr>
            <w:tcW w:w="914" w:type="pct"/>
            <w:tcBorders>
              <w:top w:val="nil"/>
              <w:left w:val="nil"/>
              <w:bottom w:val="single" w:sz="8" w:space="0" w:color="auto"/>
              <w:right w:val="single" w:sz="8" w:space="0" w:color="auto"/>
            </w:tcBorders>
            <w:shd w:val="clear" w:color="auto" w:fill="auto"/>
            <w:noWrap/>
            <w:vAlign w:val="bottom"/>
            <w:hideMark/>
          </w:tcPr>
          <w:p w14:paraId="3DE1B249" w14:textId="65DD1DD4" w:rsidR="004447F6" w:rsidRPr="004447F6" w:rsidRDefault="004447F6" w:rsidP="00526139">
            <w:pPr>
              <w:spacing w:before="0" w:after="0"/>
              <w:jc w:val="center"/>
              <w:rPr>
                <w:rFonts w:ascii="Calibri" w:hAnsi="Calibri"/>
                <w:color w:val="000000"/>
                <w:sz w:val="20"/>
                <w:szCs w:val="20"/>
              </w:rPr>
            </w:pPr>
            <w:r w:rsidRPr="004447F6">
              <w:rPr>
                <w:rFonts w:ascii="Calibri" w:hAnsi="Calibri"/>
                <w:color w:val="000000"/>
                <w:sz w:val="20"/>
                <w:szCs w:val="20"/>
              </w:rPr>
              <w:t>2.35</w:t>
            </w:r>
            <w:r w:rsidR="005B6B1A">
              <w:rPr>
                <w:rFonts w:ascii="Calibri" w:hAnsi="Calibri"/>
                <w:color w:val="000000"/>
                <w:sz w:val="20"/>
                <w:szCs w:val="20"/>
              </w:rPr>
              <w:t>%</w:t>
            </w:r>
          </w:p>
        </w:tc>
        <w:tc>
          <w:tcPr>
            <w:tcW w:w="1069" w:type="pct"/>
            <w:tcBorders>
              <w:top w:val="nil"/>
              <w:left w:val="nil"/>
              <w:bottom w:val="single" w:sz="8" w:space="0" w:color="auto"/>
              <w:right w:val="single" w:sz="8" w:space="0" w:color="auto"/>
            </w:tcBorders>
            <w:shd w:val="clear" w:color="auto" w:fill="auto"/>
            <w:noWrap/>
            <w:vAlign w:val="bottom"/>
            <w:hideMark/>
          </w:tcPr>
          <w:p w14:paraId="16817A22" w14:textId="55C86CFA" w:rsidR="004447F6" w:rsidRPr="004447F6" w:rsidRDefault="004447F6" w:rsidP="00526139">
            <w:pPr>
              <w:spacing w:before="0" w:after="0"/>
              <w:jc w:val="center"/>
              <w:rPr>
                <w:rFonts w:ascii="Calibri" w:hAnsi="Calibri"/>
                <w:color w:val="000000"/>
                <w:sz w:val="20"/>
                <w:szCs w:val="20"/>
              </w:rPr>
            </w:pPr>
            <w:r w:rsidRPr="004447F6">
              <w:rPr>
                <w:rFonts w:ascii="Calibri" w:hAnsi="Calibri"/>
                <w:color w:val="000000"/>
                <w:sz w:val="20"/>
                <w:szCs w:val="20"/>
              </w:rPr>
              <w:t>1.83</w:t>
            </w:r>
            <w:r w:rsidR="005B6B1A">
              <w:rPr>
                <w:rFonts w:ascii="Calibri" w:hAnsi="Calibri"/>
                <w:color w:val="000000"/>
                <w:sz w:val="20"/>
                <w:szCs w:val="20"/>
              </w:rPr>
              <w:t>%</w:t>
            </w:r>
          </w:p>
        </w:tc>
      </w:tr>
      <w:tr w:rsidR="004447F6" w:rsidRPr="004447F6" w14:paraId="2277AFD5" w14:textId="77777777" w:rsidTr="00CF3BD7">
        <w:trPr>
          <w:trHeight w:val="287"/>
        </w:trPr>
        <w:tc>
          <w:tcPr>
            <w:tcW w:w="628" w:type="pct"/>
            <w:tcBorders>
              <w:top w:val="nil"/>
              <w:left w:val="single" w:sz="8" w:space="0" w:color="auto"/>
              <w:bottom w:val="single" w:sz="8" w:space="0" w:color="auto"/>
              <w:right w:val="single" w:sz="8" w:space="0" w:color="auto"/>
            </w:tcBorders>
            <w:shd w:val="clear" w:color="auto" w:fill="auto"/>
            <w:noWrap/>
            <w:vAlign w:val="center"/>
            <w:hideMark/>
          </w:tcPr>
          <w:p w14:paraId="5C32AEB0" w14:textId="77777777" w:rsidR="004447F6" w:rsidRPr="004447F6" w:rsidRDefault="004447F6" w:rsidP="004447F6">
            <w:pPr>
              <w:spacing w:before="0" w:after="0"/>
              <w:jc w:val="center"/>
              <w:rPr>
                <w:rFonts w:ascii="Calibri" w:eastAsia="Times New Roman" w:hAnsi="Calibri" w:cs="Times New Roman"/>
                <w:color w:val="000000"/>
                <w:sz w:val="20"/>
                <w:szCs w:val="20"/>
                <w:lang w:eastAsia="es-MX"/>
              </w:rPr>
            </w:pPr>
            <w:r w:rsidRPr="004447F6">
              <w:rPr>
                <w:rFonts w:ascii="Calibri" w:eastAsia="Times New Roman" w:hAnsi="Calibri" w:cs="Times New Roman"/>
                <w:color w:val="000000"/>
                <w:sz w:val="20"/>
                <w:szCs w:val="20"/>
                <w:lang w:val="es-ES" w:eastAsia="es-MX"/>
              </w:rPr>
              <w:t>2017</w:t>
            </w:r>
          </w:p>
        </w:tc>
        <w:tc>
          <w:tcPr>
            <w:tcW w:w="703" w:type="pct"/>
            <w:tcBorders>
              <w:top w:val="nil"/>
              <w:left w:val="nil"/>
              <w:bottom w:val="single" w:sz="8" w:space="0" w:color="auto"/>
              <w:right w:val="single" w:sz="8" w:space="0" w:color="auto"/>
            </w:tcBorders>
            <w:shd w:val="clear" w:color="auto" w:fill="auto"/>
            <w:noWrap/>
            <w:vAlign w:val="bottom"/>
          </w:tcPr>
          <w:p w14:paraId="1F648104" w14:textId="5647441E" w:rsidR="004447F6" w:rsidRPr="004447F6" w:rsidRDefault="004447F6" w:rsidP="00526139">
            <w:pPr>
              <w:spacing w:before="0" w:after="0"/>
              <w:jc w:val="center"/>
              <w:rPr>
                <w:rFonts w:ascii="Calibri" w:hAnsi="Calibri"/>
                <w:color w:val="000000"/>
                <w:sz w:val="20"/>
                <w:szCs w:val="20"/>
              </w:rPr>
            </w:pPr>
            <w:r w:rsidRPr="004447F6">
              <w:rPr>
                <w:rFonts w:ascii="Calibri" w:hAnsi="Calibri"/>
                <w:color w:val="000000"/>
                <w:sz w:val="20"/>
                <w:szCs w:val="20"/>
              </w:rPr>
              <w:t>878.1</w:t>
            </w:r>
            <w:r w:rsidR="00B930E2">
              <w:rPr>
                <w:rFonts w:ascii="Calibri" w:hAnsi="Calibri"/>
                <w:color w:val="000000"/>
                <w:sz w:val="20"/>
                <w:szCs w:val="20"/>
              </w:rPr>
              <w:t>8</w:t>
            </w:r>
          </w:p>
        </w:tc>
        <w:tc>
          <w:tcPr>
            <w:tcW w:w="913" w:type="pct"/>
            <w:tcBorders>
              <w:top w:val="nil"/>
              <w:left w:val="nil"/>
              <w:bottom w:val="single" w:sz="8" w:space="0" w:color="auto"/>
              <w:right w:val="single" w:sz="8" w:space="0" w:color="auto"/>
            </w:tcBorders>
            <w:shd w:val="clear" w:color="auto" w:fill="auto"/>
            <w:noWrap/>
            <w:vAlign w:val="bottom"/>
            <w:hideMark/>
          </w:tcPr>
          <w:p w14:paraId="6DB6279B" w14:textId="29C99392" w:rsidR="004447F6" w:rsidRPr="004447F6" w:rsidRDefault="004447F6" w:rsidP="00526139">
            <w:pPr>
              <w:spacing w:before="0" w:after="0"/>
              <w:jc w:val="center"/>
              <w:rPr>
                <w:rFonts w:ascii="Calibri" w:hAnsi="Calibri"/>
                <w:color w:val="000000"/>
                <w:sz w:val="20"/>
                <w:szCs w:val="20"/>
              </w:rPr>
            </w:pPr>
            <w:r w:rsidRPr="004447F6">
              <w:rPr>
                <w:rFonts w:ascii="Calibri" w:hAnsi="Calibri"/>
                <w:color w:val="000000"/>
                <w:sz w:val="20"/>
                <w:szCs w:val="20"/>
              </w:rPr>
              <w:t>37,316.49</w:t>
            </w:r>
          </w:p>
        </w:tc>
        <w:tc>
          <w:tcPr>
            <w:tcW w:w="773" w:type="pct"/>
            <w:tcBorders>
              <w:top w:val="nil"/>
              <w:left w:val="nil"/>
              <w:bottom w:val="single" w:sz="8" w:space="0" w:color="auto"/>
              <w:right w:val="single" w:sz="8" w:space="0" w:color="auto"/>
            </w:tcBorders>
            <w:shd w:val="clear" w:color="auto" w:fill="auto"/>
            <w:noWrap/>
            <w:vAlign w:val="bottom"/>
            <w:hideMark/>
          </w:tcPr>
          <w:p w14:paraId="001A4525" w14:textId="4F34661E" w:rsidR="004447F6" w:rsidRPr="004447F6" w:rsidRDefault="004447F6" w:rsidP="00526139">
            <w:pPr>
              <w:spacing w:before="0" w:after="0"/>
              <w:jc w:val="center"/>
              <w:rPr>
                <w:rFonts w:ascii="Calibri" w:hAnsi="Calibri"/>
                <w:color w:val="000000"/>
                <w:sz w:val="20"/>
                <w:szCs w:val="20"/>
              </w:rPr>
            </w:pPr>
            <w:r w:rsidRPr="004447F6">
              <w:rPr>
                <w:rFonts w:ascii="Calibri" w:hAnsi="Calibri"/>
                <w:color w:val="000000"/>
                <w:sz w:val="20"/>
                <w:szCs w:val="20"/>
              </w:rPr>
              <w:t>44,355.02</w:t>
            </w:r>
          </w:p>
        </w:tc>
        <w:tc>
          <w:tcPr>
            <w:tcW w:w="914" w:type="pct"/>
            <w:tcBorders>
              <w:top w:val="nil"/>
              <w:left w:val="nil"/>
              <w:bottom w:val="single" w:sz="8" w:space="0" w:color="auto"/>
              <w:right w:val="single" w:sz="8" w:space="0" w:color="auto"/>
            </w:tcBorders>
            <w:shd w:val="clear" w:color="auto" w:fill="auto"/>
            <w:noWrap/>
            <w:vAlign w:val="bottom"/>
            <w:hideMark/>
          </w:tcPr>
          <w:p w14:paraId="0ADB5C35" w14:textId="78097523" w:rsidR="004447F6" w:rsidRPr="004447F6" w:rsidRDefault="004447F6" w:rsidP="00526139">
            <w:pPr>
              <w:spacing w:before="0" w:after="0"/>
              <w:jc w:val="center"/>
              <w:rPr>
                <w:rFonts w:ascii="Calibri" w:hAnsi="Calibri"/>
                <w:color w:val="000000"/>
                <w:sz w:val="20"/>
                <w:szCs w:val="20"/>
              </w:rPr>
            </w:pPr>
            <w:r w:rsidRPr="004447F6">
              <w:rPr>
                <w:rFonts w:ascii="Calibri" w:hAnsi="Calibri"/>
                <w:color w:val="000000"/>
                <w:sz w:val="20"/>
                <w:szCs w:val="20"/>
              </w:rPr>
              <w:t>2.35</w:t>
            </w:r>
            <w:r w:rsidR="005B6B1A">
              <w:rPr>
                <w:rFonts w:ascii="Calibri" w:hAnsi="Calibri"/>
                <w:color w:val="000000"/>
                <w:sz w:val="20"/>
                <w:szCs w:val="20"/>
              </w:rPr>
              <w:t>%</w:t>
            </w:r>
          </w:p>
        </w:tc>
        <w:tc>
          <w:tcPr>
            <w:tcW w:w="1069" w:type="pct"/>
            <w:tcBorders>
              <w:top w:val="nil"/>
              <w:left w:val="nil"/>
              <w:bottom w:val="single" w:sz="8" w:space="0" w:color="auto"/>
              <w:right w:val="single" w:sz="8" w:space="0" w:color="auto"/>
            </w:tcBorders>
            <w:shd w:val="clear" w:color="auto" w:fill="auto"/>
            <w:noWrap/>
            <w:vAlign w:val="bottom"/>
            <w:hideMark/>
          </w:tcPr>
          <w:p w14:paraId="1C6D26D6" w14:textId="6C9D42E2" w:rsidR="004447F6" w:rsidRPr="004447F6" w:rsidRDefault="004447F6" w:rsidP="00526139">
            <w:pPr>
              <w:spacing w:before="0" w:after="0"/>
              <w:jc w:val="center"/>
              <w:rPr>
                <w:rFonts w:ascii="Calibri" w:hAnsi="Calibri"/>
                <w:color w:val="000000"/>
                <w:sz w:val="20"/>
                <w:szCs w:val="20"/>
              </w:rPr>
            </w:pPr>
            <w:r w:rsidRPr="004447F6">
              <w:rPr>
                <w:rFonts w:ascii="Calibri" w:hAnsi="Calibri"/>
                <w:color w:val="000000"/>
                <w:sz w:val="20"/>
                <w:szCs w:val="20"/>
              </w:rPr>
              <w:t>1.98</w:t>
            </w:r>
            <w:r w:rsidR="005B6B1A">
              <w:rPr>
                <w:rFonts w:ascii="Calibri" w:hAnsi="Calibri"/>
                <w:color w:val="000000"/>
                <w:sz w:val="20"/>
                <w:szCs w:val="20"/>
              </w:rPr>
              <w:t>%</w:t>
            </w:r>
          </w:p>
        </w:tc>
      </w:tr>
      <w:tr w:rsidR="004447F6" w:rsidRPr="004447F6" w14:paraId="7C41C857" w14:textId="77777777" w:rsidTr="00CF3BD7">
        <w:trPr>
          <w:trHeight w:val="287"/>
        </w:trPr>
        <w:tc>
          <w:tcPr>
            <w:tcW w:w="628" w:type="pct"/>
            <w:tcBorders>
              <w:top w:val="nil"/>
              <w:left w:val="single" w:sz="8" w:space="0" w:color="auto"/>
              <w:bottom w:val="single" w:sz="8" w:space="0" w:color="auto"/>
              <w:right w:val="single" w:sz="8" w:space="0" w:color="auto"/>
            </w:tcBorders>
            <w:shd w:val="clear" w:color="auto" w:fill="auto"/>
            <w:noWrap/>
            <w:vAlign w:val="center"/>
            <w:hideMark/>
          </w:tcPr>
          <w:p w14:paraId="64A14FA3" w14:textId="77777777" w:rsidR="004447F6" w:rsidRPr="004447F6" w:rsidRDefault="004447F6" w:rsidP="004447F6">
            <w:pPr>
              <w:spacing w:before="0" w:after="0"/>
              <w:jc w:val="center"/>
              <w:rPr>
                <w:rFonts w:ascii="Calibri" w:eastAsia="Times New Roman" w:hAnsi="Calibri" w:cs="Times New Roman"/>
                <w:color w:val="000000"/>
                <w:sz w:val="20"/>
                <w:szCs w:val="20"/>
                <w:lang w:eastAsia="es-MX"/>
              </w:rPr>
            </w:pPr>
            <w:r w:rsidRPr="004447F6">
              <w:rPr>
                <w:rFonts w:ascii="Calibri" w:eastAsia="Times New Roman" w:hAnsi="Calibri" w:cs="Times New Roman"/>
                <w:color w:val="000000"/>
                <w:sz w:val="20"/>
                <w:szCs w:val="20"/>
                <w:lang w:val="es-ES" w:eastAsia="es-MX"/>
              </w:rPr>
              <w:t>2018</w:t>
            </w:r>
          </w:p>
        </w:tc>
        <w:tc>
          <w:tcPr>
            <w:tcW w:w="703" w:type="pct"/>
            <w:tcBorders>
              <w:top w:val="nil"/>
              <w:left w:val="nil"/>
              <w:bottom w:val="single" w:sz="8" w:space="0" w:color="auto"/>
              <w:right w:val="single" w:sz="8" w:space="0" w:color="auto"/>
            </w:tcBorders>
            <w:shd w:val="clear" w:color="auto" w:fill="auto"/>
            <w:noWrap/>
            <w:vAlign w:val="bottom"/>
          </w:tcPr>
          <w:p w14:paraId="1B790CD3" w14:textId="21E39D45" w:rsidR="004447F6" w:rsidRPr="004447F6" w:rsidRDefault="004447F6" w:rsidP="00526139">
            <w:pPr>
              <w:spacing w:before="0" w:after="0"/>
              <w:jc w:val="center"/>
              <w:rPr>
                <w:rFonts w:ascii="Calibri" w:hAnsi="Calibri"/>
                <w:color w:val="000000"/>
                <w:sz w:val="20"/>
                <w:szCs w:val="20"/>
              </w:rPr>
            </w:pPr>
            <w:r w:rsidRPr="004447F6">
              <w:rPr>
                <w:rFonts w:ascii="Calibri" w:hAnsi="Calibri"/>
                <w:color w:val="000000"/>
                <w:sz w:val="20"/>
                <w:szCs w:val="20"/>
              </w:rPr>
              <w:t>1,029.7</w:t>
            </w:r>
            <w:r w:rsidR="00B930E2">
              <w:rPr>
                <w:rFonts w:ascii="Calibri" w:hAnsi="Calibri"/>
                <w:color w:val="000000"/>
                <w:sz w:val="20"/>
                <w:szCs w:val="20"/>
              </w:rPr>
              <w:t>3</w:t>
            </w:r>
          </w:p>
        </w:tc>
        <w:tc>
          <w:tcPr>
            <w:tcW w:w="913" w:type="pct"/>
            <w:tcBorders>
              <w:top w:val="nil"/>
              <w:left w:val="nil"/>
              <w:bottom w:val="single" w:sz="8" w:space="0" w:color="auto"/>
              <w:right w:val="single" w:sz="8" w:space="0" w:color="auto"/>
            </w:tcBorders>
            <w:shd w:val="clear" w:color="auto" w:fill="auto"/>
            <w:noWrap/>
            <w:vAlign w:val="bottom"/>
            <w:hideMark/>
          </w:tcPr>
          <w:p w14:paraId="0DEDCC54" w14:textId="1E2085F2" w:rsidR="004447F6" w:rsidRPr="004447F6" w:rsidRDefault="004447F6" w:rsidP="00526139">
            <w:pPr>
              <w:spacing w:before="0" w:after="0"/>
              <w:jc w:val="center"/>
              <w:rPr>
                <w:rFonts w:ascii="Calibri" w:hAnsi="Calibri"/>
                <w:color w:val="000000"/>
                <w:sz w:val="20"/>
                <w:szCs w:val="20"/>
              </w:rPr>
            </w:pPr>
            <w:r w:rsidRPr="004447F6">
              <w:rPr>
                <w:rFonts w:ascii="Calibri" w:hAnsi="Calibri"/>
                <w:color w:val="000000"/>
                <w:sz w:val="20"/>
                <w:szCs w:val="20"/>
              </w:rPr>
              <w:t>40,638.1</w:t>
            </w:r>
            <w:r w:rsidR="00FB5EC8">
              <w:rPr>
                <w:rFonts w:ascii="Calibri" w:hAnsi="Calibri"/>
                <w:color w:val="000000"/>
                <w:sz w:val="20"/>
                <w:szCs w:val="20"/>
              </w:rPr>
              <w:t>1</w:t>
            </w:r>
          </w:p>
        </w:tc>
        <w:tc>
          <w:tcPr>
            <w:tcW w:w="773" w:type="pct"/>
            <w:tcBorders>
              <w:top w:val="nil"/>
              <w:left w:val="nil"/>
              <w:bottom w:val="single" w:sz="8" w:space="0" w:color="auto"/>
              <w:right w:val="single" w:sz="8" w:space="0" w:color="auto"/>
            </w:tcBorders>
            <w:shd w:val="clear" w:color="auto" w:fill="auto"/>
            <w:noWrap/>
            <w:vAlign w:val="bottom"/>
            <w:hideMark/>
          </w:tcPr>
          <w:p w14:paraId="76C4658A" w14:textId="283E653E" w:rsidR="004447F6" w:rsidRPr="004447F6" w:rsidRDefault="004447F6" w:rsidP="00526139">
            <w:pPr>
              <w:spacing w:before="0" w:after="0"/>
              <w:jc w:val="center"/>
              <w:rPr>
                <w:rFonts w:ascii="Calibri" w:hAnsi="Calibri"/>
                <w:color w:val="000000"/>
                <w:sz w:val="20"/>
                <w:szCs w:val="20"/>
              </w:rPr>
            </w:pPr>
            <w:r w:rsidRPr="004447F6">
              <w:rPr>
                <w:rFonts w:ascii="Calibri" w:hAnsi="Calibri"/>
                <w:color w:val="000000"/>
                <w:sz w:val="20"/>
                <w:szCs w:val="20"/>
              </w:rPr>
              <w:t>42,155.00</w:t>
            </w:r>
          </w:p>
        </w:tc>
        <w:tc>
          <w:tcPr>
            <w:tcW w:w="914" w:type="pct"/>
            <w:tcBorders>
              <w:top w:val="nil"/>
              <w:left w:val="nil"/>
              <w:bottom w:val="single" w:sz="8" w:space="0" w:color="auto"/>
              <w:right w:val="single" w:sz="8" w:space="0" w:color="auto"/>
            </w:tcBorders>
            <w:shd w:val="clear" w:color="auto" w:fill="auto"/>
            <w:noWrap/>
            <w:vAlign w:val="bottom"/>
            <w:hideMark/>
          </w:tcPr>
          <w:p w14:paraId="677853B8" w14:textId="1DDFC59D" w:rsidR="004447F6" w:rsidRPr="004447F6" w:rsidRDefault="004447F6" w:rsidP="00526139">
            <w:pPr>
              <w:spacing w:before="0" w:after="0"/>
              <w:jc w:val="center"/>
              <w:rPr>
                <w:rFonts w:ascii="Calibri" w:hAnsi="Calibri"/>
                <w:color w:val="000000"/>
                <w:sz w:val="20"/>
                <w:szCs w:val="20"/>
              </w:rPr>
            </w:pPr>
            <w:r w:rsidRPr="004447F6">
              <w:rPr>
                <w:rFonts w:ascii="Calibri" w:hAnsi="Calibri"/>
                <w:color w:val="000000"/>
                <w:sz w:val="20"/>
                <w:szCs w:val="20"/>
              </w:rPr>
              <w:t>2.53</w:t>
            </w:r>
            <w:r w:rsidR="005B6B1A">
              <w:rPr>
                <w:rFonts w:ascii="Calibri" w:hAnsi="Calibri"/>
                <w:color w:val="000000"/>
                <w:sz w:val="20"/>
                <w:szCs w:val="20"/>
              </w:rPr>
              <w:t>%</w:t>
            </w:r>
          </w:p>
        </w:tc>
        <w:tc>
          <w:tcPr>
            <w:tcW w:w="1069" w:type="pct"/>
            <w:tcBorders>
              <w:top w:val="nil"/>
              <w:left w:val="nil"/>
              <w:bottom w:val="single" w:sz="8" w:space="0" w:color="auto"/>
              <w:right w:val="single" w:sz="8" w:space="0" w:color="auto"/>
            </w:tcBorders>
            <w:shd w:val="clear" w:color="auto" w:fill="auto"/>
            <w:noWrap/>
            <w:vAlign w:val="bottom"/>
            <w:hideMark/>
          </w:tcPr>
          <w:p w14:paraId="0E30ABF7" w14:textId="5B1A35EB" w:rsidR="004447F6" w:rsidRPr="004447F6" w:rsidRDefault="004447F6" w:rsidP="00526139">
            <w:pPr>
              <w:spacing w:before="0" w:after="0"/>
              <w:jc w:val="center"/>
              <w:rPr>
                <w:rFonts w:ascii="Calibri" w:hAnsi="Calibri"/>
                <w:color w:val="000000"/>
                <w:sz w:val="20"/>
                <w:szCs w:val="20"/>
              </w:rPr>
            </w:pPr>
            <w:r w:rsidRPr="004447F6">
              <w:rPr>
                <w:rFonts w:ascii="Calibri" w:hAnsi="Calibri"/>
                <w:color w:val="000000"/>
                <w:sz w:val="20"/>
                <w:szCs w:val="20"/>
              </w:rPr>
              <w:t>2.44</w:t>
            </w:r>
            <w:r w:rsidR="005B6B1A">
              <w:rPr>
                <w:rFonts w:ascii="Calibri" w:hAnsi="Calibri"/>
                <w:color w:val="000000"/>
                <w:sz w:val="20"/>
                <w:szCs w:val="20"/>
              </w:rPr>
              <w:t>%</w:t>
            </w:r>
          </w:p>
        </w:tc>
      </w:tr>
      <w:tr w:rsidR="004447F6" w:rsidRPr="004447F6" w14:paraId="72879522" w14:textId="77777777" w:rsidTr="00CF3BD7">
        <w:trPr>
          <w:trHeight w:val="287"/>
        </w:trPr>
        <w:tc>
          <w:tcPr>
            <w:tcW w:w="628" w:type="pct"/>
            <w:tcBorders>
              <w:top w:val="nil"/>
              <w:left w:val="single" w:sz="8" w:space="0" w:color="auto"/>
              <w:bottom w:val="single" w:sz="8" w:space="0" w:color="auto"/>
              <w:right w:val="single" w:sz="8" w:space="0" w:color="auto"/>
            </w:tcBorders>
            <w:shd w:val="clear" w:color="auto" w:fill="auto"/>
            <w:noWrap/>
            <w:vAlign w:val="center"/>
            <w:hideMark/>
          </w:tcPr>
          <w:p w14:paraId="02AFB8DB" w14:textId="77777777" w:rsidR="004447F6" w:rsidRPr="004447F6" w:rsidRDefault="004447F6" w:rsidP="004447F6">
            <w:pPr>
              <w:spacing w:before="0" w:after="0"/>
              <w:jc w:val="center"/>
              <w:rPr>
                <w:rFonts w:ascii="Calibri" w:eastAsia="Times New Roman" w:hAnsi="Calibri" w:cs="Times New Roman"/>
                <w:color w:val="000000"/>
                <w:sz w:val="20"/>
                <w:szCs w:val="20"/>
                <w:lang w:eastAsia="es-MX"/>
              </w:rPr>
            </w:pPr>
            <w:r w:rsidRPr="004447F6">
              <w:rPr>
                <w:rFonts w:ascii="Calibri" w:eastAsia="Times New Roman" w:hAnsi="Calibri" w:cs="Times New Roman"/>
                <w:color w:val="000000"/>
                <w:sz w:val="20"/>
                <w:szCs w:val="20"/>
                <w:lang w:eastAsia="es-MX"/>
              </w:rPr>
              <w:t>2019</w:t>
            </w:r>
          </w:p>
        </w:tc>
        <w:tc>
          <w:tcPr>
            <w:tcW w:w="703" w:type="pct"/>
            <w:tcBorders>
              <w:top w:val="nil"/>
              <w:left w:val="nil"/>
              <w:bottom w:val="single" w:sz="8" w:space="0" w:color="auto"/>
              <w:right w:val="single" w:sz="8" w:space="0" w:color="auto"/>
            </w:tcBorders>
            <w:shd w:val="clear" w:color="auto" w:fill="auto"/>
            <w:noWrap/>
            <w:vAlign w:val="bottom"/>
          </w:tcPr>
          <w:p w14:paraId="2A5357CA" w14:textId="237F3A2A" w:rsidR="004447F6" w:rsidRPr="004447F6" w:rsidRDefault="004447F6" w:rsidP="00526139">
            <w:pPr>
              <w:spacing w:before="0" w:after="0"/>
              <w:jc w:val="center"/>
              <w:rPr>
                <w:rFonts w:ascii="Calibri" w:hAnsi="Calibri"/>
                <w:color w:val="000000"/>
                <w:sz w:val="20"/>
                <w:szCs w:val="20"/>
              </w:rPr>
            </w:pPr>
            <w:r w:rsidRPr="004447F6">
              <w:rPr>
                <w:rFonts w:ascii="Calibri" w:hAnsi="Calibri"/>
                <w:color w:val="000000"/>
                <w:sz w:val="20"/>
                <w:szCs w:val="20"/>
              </w:rPr>
              <w:t>1,153.074</w:t>
            </w:r>
          </w:p>
        </w:tc>
        <w:tc>
          <w:tcPr>
            <w:tcW w:w="913" w:type="pct"/>
            <w:tcBorders>
              <w:top w:val="nil"/>
              <w:left w:val="nil"/>
              <w:bottom w:val="single" w:sz="8" w:space="0" w:color="auto"/>
              <w:right w:val="single" w:sz="8" w:space="0" w:color="auto"/>
            </w:tcBorders>
            <w:shd w:val="clear" w:color="auto" w:fill="auto"/>
            <w:noWrap/>
            <w:vAlign w:val="bottom"/>
            <w:hideMark/>
          </w:tcPr>
          <w:p w14:paraId="5A5BBCFF" w14:textId="548550D5" w:rsidR="004447F6" w:rsidRPr="004447F6" w:rsidRDefault="004447F6" w:rsidP="00526139">
            <w:pPr>
              <w:spacing w:before="0" w:after="0"/>
              <w:jc w:val="center"/>
              <w:rPr>
                <w:rFonts w:ascii="Calibri" w:hAnsi="Calibri"/>
                <w:color w:val="000000"/>
                <w:sz w:val="20"/>
                <w:szCs w:val="20"/>
              </w:rPr>
            </w:pPr>
            <w:r w:rsidRPr="004447F6">
              <w:rPr>
                <w:rFonts w:ascii="Calibri" w:hAnsi="Calibri"/>
                <w:color w:val="000000"/>
                <w:sz w:val="20"/>
                <w:szCs w:val="20"/>
              </w:rPr>
              <w:t>46,040.2</w:t>
            </w:r>
            <w:r w:rsidR="00B930E2">
              <w:rPr>
                <w:rFonts w:ascii="Calibri" w:hAnsi="Calibri"/>
                <w:color w:val="000000"/>
                <w:sz w:val="20"/>
                <w:szCs w:val="20"/>
              </w:rPr>
              <w:t>7</w:t>
            </w:r>
          </w:p>
        </w:tc>
        <w:tc>
          <w:tcPr>
            <w:tcW w:w="773" w:type="pct"/>
            <w:tcBorders>
              <w:top w:val="nil"/>
              <w:left w:val="nil"/>
              <w:bottom w:val="single" w:sz="8" w:space="0" w:color="auto"/>
              <w:right w:val="single" w:sz="8" w:space="0" w:color="auto"/>
            </w:tcBorders>
            <w:shd w:val="clear" w:color="auto" w:fill="auto"/>
            <w:noWrap/>
            <w:vAlign w:val="bottom"/>
            <w:hideMark/>
          </w:tcPr>
          <w:p w14:paraId="0C6E609A" w14:textId="2779A150" w:rsidR="004447F6" w:rsidRPr="004447F6" w:rsidRDefault="004447F6" w:rsidP="00526139">
            <w:pPr>
              <w:spacing w:before="0" w:after="0"/>
              <w:jc w:val="center"/>
              <w:rPr>
                <w:rFonts w:ascii="Calibri" w:hAnsi="Calibri"/>
                <w:color w:val="000000"/>
                <w:sz w:val="20"/>
                <w:szCs w:val="20"/>
              </w:rPr>
            </w:pPr>
            <w:r w:rsidRPr="004447F6">
              <w:rPr>
                <w:rFonts w:ascii="Calibri" w:hAnsi="Calibri"/>
                <w:color w:val="000000"/>
                <w:sz w:val="20"/>
                <w:szCs w:val="20"/>
              </w:rPr>
              <w:t>46,271.7</w:t>
            </w:r>
            <w:r w:rsidR="00FB5EC8">
              <w:rPr>
                <w:rFonts w:ascii="Calibri" w:hAnsi="Calibri"/>
                <w:color w:val="000000"/>
                <w:sz w:val="20"/>
                <w:szCs w:val="20"/>
              </w:rPr>
              <w:t>4</w:t>
            </w:r>
          </w:p>
        </w:tc>
        <w:tc>
          <w:tcPr>
            <w:tcW w:w="914" w:type="pct"/>
            <w:tcBorders>
              <w:top w:val="nil"/>
              <w:left w:val="nil"/>
              <w:bottom w:val="single" w:sz="8" w:space="0" w:color="auto"/>
              <w:right w:val="single" w:sz="8" w:space="0" w:color="auto"/>
            </w:tcBorders>
            <w:shd w:val="clear" w:color="auto" w:fill="auto"/>
            <w:noWrap/>
            <w:vAlign w:val="bottom"/>
            <w:hideMark/>
          </w:tcPr>
          <w:p w14:paraId="017C9EE2" w14:textId="2CACE24A" w:rsidR="004447F6" w:rsidRPr="004447F6" w:rsidRDefault="004447F6" w:rsidP="00526139">
            <w:pPr>
              <w:spacing w:before="0" w:after="0"/>
              <w:jc w:val="center"/>
              <w:rPr>
                <w:rFonts w:ascii="Calibri" w:hAnsi="Calibri"/>
                <w:color w:val="000000"/>
                <w:sz w:val="20"/>
                <w:szCs w:val="20"/>
              </w:rPr>
            </w:pPr>
            <w:r w:rsidRPr="004447F6">
              <w:rPr>
                <w:rFonts w:ascii="Calibri" w:hAnsi="Calibri"/>
                <w:color w:val="000000"/>
                <w:sz w:val="20"/>
                <w:szCs w:val="20"/>
              </w:rPr>
              <w:t>2.50</w:t>
            </w:r>
            <w:r w:rsidR="005B6B1A">
              <w:rPr>
                <w:rFonts w:ascii="Calibri" w:hAnsi="Calibri"/>
                <w:color w:val="000000"/>
                <w:sz w:val="20"/>
                <w:szCs w:val="20"/>
              </w:rPr>
              <w:t>%</w:t>
            </w:r>
          </w:p>
        </w:tc>
        <w:tc>
          <w:tcPr>
            <w:tcW w:w="1069" w:type="pct"/>
            <w:tcBorders>
              <w:top w:val="nil"/>
              <w:left w:val="nil"/>
              <w:bottom w:val="single" w:sz="8" w:space="0" w:color="auto"/>
              <w:right w:val="single" w:sz="8" w:space="0" w:color="auto"/>
            </w:tcBorders>
            <w:shd w:val="clear" w:color="auto" w:fill="auto"/>
            <w:noWrap/>
            <w:vAlign w:val="bottom"/>
            <w:hideMark/>
          </w:tcPr>
          <w:p w14:paraId="24E7FAA7" w14:textId="1172B638" w:rsidR="004447F6" w:rsidRPr="004447F6" w:rsidRDefault="004447F6" w:rsidP="00526139">
            <w:pPr>
              <w:spacing w:before="0" w:after="0"/>
              <w:jc w:val="center"/>
              <w:rPr>
                <w:rFonts w:ascii="Calibri" w:hAnsi="Calibri"/>
                <w:color w:val="000000"/>
                <w:sz w:val="20"/>
                <w:szCs w:val="20"/>
              </w:rPr>
            </w:pPr>
            <w:r w:rsidRPr="004447F6">
              <w:rPr>
                <w:rFonts w:ascii="Calibri" w:hAnsi="Calibri"/>
                <w:color w:val="000000"/>
                <w:sz w:val="20"/>
                <w:szCs w:val="20"/>
              </w:rPr>
              <w:t>2.49</w:t>
            </w:r>
            <w:r w:rsidR="005B6B1A">
              <w:rPr>
                <w:rFonts w:ascii="Calibri" w:hAnsi="Calibri"/>
                <w:color w:val="000000"/>
                <w:sz w:val="20"/>
                <w:szCs w:val="20"/>
              </w:rPr>
              <w:t>%</w:t>
            </w:r>
          </w:p>
        </w:tc>
      </w:tr>
      <w:tr w:rsidR="004447F6" w:rsidRPr="004447F6" w14:paraId="334B7F60" w14:textId="77777777" w:rsidTr="00CF3BD7">
        <w:trPr>
          <w:trHeight w:val="287"/>
        </w:trPr>
        <w:tc>
          <w:tcPr>
            <w:tcW w:w="628" w:type="pct"/>
            <w:tcBorders>
              <w:top w:val="nil"/>
              <w:left w:val="single" w:sz="8" w:space="0" w:color="auto"/>
              <w:bottom w:val="single" w:sz="8" w:space="0" w:color="auto"/>
              <w:right w:val="single" w:sz="8" w:space="0" w:color="auto"/>
            </w:tcBorders>
            <w:shd w:val="clear" w:color="auto" w:fill="auto"/>
            <w:noWrap/>
            <w:vAlign w:val="center"/>
            <w:hideMark/>
          </w:tcPr>
          <w:p w14:paraId="56713518" w14:textId="77777777" w:rsidR="004447F6" w:rsidRPr="004447F6" w:rsidRDefault="004447F6" w:rsidP="004447F6">
            <w:pPr>
              <w:spacing w:before="0" w:after="0"/>
              <w:jc w:val="center"/>
              <w:rPr>
                <w:rFonts w:ascii="Calibri" w:eastAsia="Times New Roman" w:hAnsi="Calibri" w:cs="Times New Roman"/>
                <w:color w:val="000000"/>
                <w:sz w:val="20"/>
                <w:szCs w:val="20"/>
                <w:lang w:eastAsia="es-MX"/>
              </w:rPr>
            </w:pPr>
            <w:r w:rsidRPr="004447F6">
              <w:rPr>
                <w:rFonts w:ascii="Calibri" w:eastAsia="Times New Roman" w:hAnsi="Calibri" w:cs="Times New Roman"/>
                <w:color w:val="000000"/>
                <w:sz w:val="20"/>
                <w:szCs w:val="20"/>
                <w:lang w:eastAsia="es-MX"/>
              </w:rPr>
              <w:t>2020</w:t>
            </w:r>
          </w:p>
        </w:tc>
        <w:tc>
          <w:tcPr>
            <w:tcW w:w="703" w:type="pct"/>
            <w:tcBorders>
              <w:top w:val="nil"/>
              <w:left w:val="nil"/>
              <w:bottom w:val="single" w:sz="8" w:space="0" w:color="auto"/>
              <w:right w:val="single" w:sz="8" w:space="0" w:color="auto"/>
            </w:tcBorders>
            <w:shd w:val="clear" w:color="auto" w:fill="auto"/>
            <w:noWrap/>
            <w:vAlign w:val="bottom"/>
          </w:tcPr>
          <w:p w14:paraId="500EC5FD" w14:textId="34151651" w:rsidR="004447F6" w:rsidRPr="004447F6" w:rsidRDefault="004447F6" w:rsidP="00526139">
            <w:pPr>
              <w:spacing w:before="0" w:after="0"/>
              <w:jc w:val="center"/>
              <w:rPr>
                <w:rFonts w:ascii="Calibri" w:hAnsi="Calibri"/>
                <w:color w:val="000000"/>
                <w:sz w:val="20"/>
                <w:szCs w:val="20"/>
              </w:rPr>
            </w:pPr>
            <w:r w:rsidRPr="004447F6">
              <w:rPr>
                <w:rFonts w:ascii="Calibri" w:hAnsi="Calibri"/>
                <w:color w:val="000000"/>
                <w:sz w:val="20"/>
                <w:szCs w:val="20"/>
              </w:rPr>
              <w:t>1,176.39</w:t>
            </w:r>
          </w:p>
        </w:tc>
        <w:tc>
          <w:tcPr>
            <w:tcW w:w="913" w:type="pct"/>
            <w:tcBorders>
              <w:top w:val="nil"/>
              <w:left w:val="nil"/>
              <w:bottom w:val="single" w:sz="8" w:space="0" w:color="auto"/>
              <w:right w:val="single" w:sz="8" w:space="0" w:color="auto"/>
            </w:tcBorders>
            <w:shd w:val="clear" w:color="auto" w:fill="auto"/>
            <w:noWrap/>
            <w:vAlign w:val="bottom"/>
            <w:hideMark/>
          </w:tcPr>
          <w:p w14:paraId="61CE66CE" w14:textId="2805E862" w:rsidR="004447F6" w:rsidRPr="004447F6" w:rsidRDefault="004447F6" w:rsidP="00526139">
            <w:pPr>
              <w:spacing w:before="0" w:after="0"/>
              <w:jc w:val="center"/>
              <w:rPr>
                <w:rFonts w:ascii="Calibri" w:hAnsi="Calibri"/>
                <w:color w:val="000000"/>
                <w:sz w:val="20"/>
                <w:szCs w:val="20"/>
              </w:rPr>
            </w:pPr>
            <w:r w:rsidRPr="004447F6">
              <w:rPr>
                <w:rFonts w:ascii="Calibri" w:hAnsi="Calibri"/>
                <w:color w:val="000000"/>
                <w:sz w:val="20"/>
                <w:szCs w:val="20"/>
              </w:rPr>
              <w:t>47,519.31</w:t>
            </w:r>
          </w:p>
        </w:tc>
        <w:tc>
          <w:tcPr>
            <w:tcW w:w="773" w:type="pct"/>
            <w:tcBorders>
              <w:top w:val="nil"/>
              <w:left w:val="nil"/>
              <w:bottom w:val="single" w:sz="8" w:space="0" w:color="auto"/>
              <w:right w:val="single" w:sz="8" w:space="0" w:color="auto"/>
            </w:tcBorders>
            <w:shd w:val="clear" w:color="auto" w:fill="auto"/>
            <w:noWrap/>
            <w:vAlign w:val="bottom"/>
            <w:hideMark/>
          </w:tcPr>
          <w:p w14:paraId="464ADC41" w14:textId="2F42EDD2" w:rsidR="004447F6" w:rsidRPr="004447F6" w:rsidRDefault="004447F6" w:rsidP="00526139">
            <w:pPr>
              <w:spacing w:before="0" w:after="0"/>
              <w:jc w:val="center"/>
              <w:rPr>
                <w:rFonts w:ascii="Calibri" w:hAnsi="Calibri"/>
                <w:color w:val="000000"/>
                <w:sz w:val="20"/>
                <w:szCs w:val="20"/>
              </w:rPr>
            </w:pPr>
            <w:r w:rsidRPr="004447F6">
              <w:rPr>
                <w:rFonts w:ascii="Calibri" w:hAnsi="Calibri"/>
                <w:color w:val="000000"/>
                <w:sz w:val="20"/>
                <w:szCs w:val="20"/>
              </w:rPr>
              <w:t>50,202.3</w:t>
            </w:r>
            <w:r w:rsidR="00FB5EC8">
              <w:rPr>
                <w:rFonts w:ascii="Calibri" w:hAnsi="Calibri"/>
                <w:color w:val="000000"/>
                <w:sz w:val="20"/>
                <w:szCs w:val="20"/>
              </w:rPr>
              <w:t>1</w:t>
            </w:r>
          </w:p>
        </w:tc>
        <w:tc>
          <w:tcPr>
            <w:tcW w:w="914" w:type="pct"/>
            <w:tcBorders>
              <w:top w:val="nil"/>
              <w:left w:val="nil"/>
              <w:bottom w:val="single" w:sz="8" w:space="0" w:color="auto"/>
              <w:right w:val="single" w:sz="8" w:space="0" w:color="auto"/>
            </w:tcBorders>
            <w:shd w:val="clear" w:color="auto" w:fill="auto"/>
            <w:noWrap/>
            <w:vAlign w:val="bottom"/>
            <w:hideMark/>
          </w:tcPr>
          <w:p w14:paraId="40F08746" w14:textId="7F720AF1" w:rsidR="004447F6" w:rsidRPr="004447F6" w:rsidRDefault="004447F6" w:rsidP="00526139">
            <w:pPr>
              <w:spacing w:before="0" w:after="0"/>
              <w:jc w:val="center"/>
              <w:rPr>
                <w:rFonts w:ascii="Calibri" w:hAnsi="Calibri"/>
                <w:color w:val="000000"/>
                <w:sz w:val="20"/>
                <w:szCs w:val="20"/>
              </w:rPr>
            </w:pPr>
            <w:r w:rsidRPr="004447F6">
              <w:rPr>
                <w:rFonts w:ascii="Calibri" w:hAnsi="Calibri"/>
                <w:color w:val="000000"/>
                <w:sz w:val="20"/>
                <w:szCs w:val="20"/>
              </w:rPr>
              <w:t>2.48</w:t>
            </w:r>
            <w:r w:rsidR="005B6B1A">
              <w:rPr>
                <w:rFonts w:ascii="Calibri" w:hAnsi="Calibri"/>
                <w:color w:val="000000"/>
                <w:sz w:val="20"/>
                <w:szCs w:val="20"/>
              </w:rPr>
              <w:t>%</w:t>
            </w:r>
          </w:p>
        </w:tc>
        <w:tc>
          <w:tcPr>
            <w:tcW w:w="1069" w:type="pct"/>
            <w:tcBorders>
              <w:top w:val="nil"/>
              <w:left w:val="nil"/>
              <w:bottom w:val="single" w:sz="8" w:space="0" w:color="auto"/>
              <w:right w:val="single" w:sz="8" w:space="0" w:color="auto"/>
            </w:tcBorders>
            <w:shd w:val="clear" w:color="auto" w:fill="auto"/>
            <w:noWrap/>
            <w:vAlign w:val="bottom"/>
            <w:hideMark/>
          </w:tcPr>
          <w:p w14:paraId="66826437" w14:textId="1AE9A4FD" w:rsidR="004447F6" w:rsidRPr="004447F6" w:rsidRDefault="004447F6" w:rsidP="00526139">
            <w:pPr>
              <w:spacing w:before="0" w:after="0"/>
              <w:jc w:val="center"/>
              <w:rPr>
                <w:rFonts w:ascii="Calibri" w:hAnsi="Calibri"/>
                <w:color w:val="000000"/>
                <w:sz w:val="20"/>
                <w:szCs w:val="20"/>
              </w:rPr>
            </w:pPr>
            <w:r w:rsidRPr="004447F6">
              <w:rPr>
                <w:rFonts w:ascii="Calibri" w:hAnsi="Calibri"/>
                <w:color w:val="000000"/>
                <w:sz w:val="20"/>
                <w:szCs w:val="20"/>
              </w:rPr>
              <w:t>2.42</w:t>
            </w:r>
            <w:r w:rsidR="005B6B1A">
              <w:rPr>
                <w:rFonts w:ascii="Calibri" w:hAnsi="Calibri"/>
                <w:color w:val="000000"/>
                <w:sz w:val="20"/>
                <w:szCs w:val="20"/>
              </w:rPr>
              <w:t>%</w:t>
            </w:r>
          </w:p>
        </w:tc>
      </w:tr>
    </w:tbl>
    <w:p w14:paraId="4A0D2056" w14:textId="77777777" w:rsidR="000F4096" w:rsidRPr="00466813" w:rsidRDefault="000F4096" w:rsidP="000F4096">
      <w:pPr>
        <w:pStyle w:val="Textonotapie"/>
        <w:rPr>
          <w:lang w:eastAsia="ja-JP"/>
        </w:rPr>
      </w:pPr>
      <w:r w:rsidRPr="00466813">
        <w:rPr>
          <w:vertAlign w:val="superscript"/>
          <w:lang w:eastAsia="ja-JP"/>
        </w:rPr>
        <w:t>1</w:t>
      </w:r>
      <w:r w:rsidRPr="00466813">
        <w:rPr>
          <w:lang w:eastAsia="ja-JP"/>
        </w:rPr>
        <w:t>/</w:t>
      </w:r>
      <w:r>
        <w:rPr>
          <w:lang w:eastAsia="ja-JP"/>
        </w:rPr>
        <w:t>Mdp: M</w:t>
      </w:r>
      <w:r w:rsidRPr="00466813">
        <w:rPr>
          <w:lang w:eastAsia="ja-JP"/>
        </w:rPr>
        <w:t>illones de pesos.</w:t>
      </w:r>
    </w:p>
    <w:p w14:paraId="72626734" w14:textId="38AA5F66" w:rsidR="004447F6" w:rsidRPr="00DB72B7" w:rsidRDefault="004447F6" w:rsidP="000F4096">
      <w:pPr>
        <w:pStyle w:val="Textonotapie"/>
        <w:rPr>
          <w:sz w:val="20"/>
        </w:rPr>
      </w:pPr>
      <w:r w:rsidRPr="00DB72B7">
        <w:t>Fuente: Elaboración propia, con base en información del DOF</w:t>
      </w:r>
      <w:r w:rsidRPr="00DB72B7">
        <w:rPr>
          <w:vertAlign w:val="superscript"/>
        </w:rPr>
        <w:footnoteReference w:id="8"/>
      </w:r>
      <w:r w:rsidRPr="00DB72B7">
        <w:t>.</w:t>
      </w:r>
      <w:r w:rsidRPr="00DB72B7">
        <w:rPr>
          <w:sz w:val="20"/>
        </w:rPr>
        <w:t xml:space="preserve"> </w:t>
      </w:r>
    </w:p>
    <w:p w14:paraId="53205DC0" w14:textId="77777777" w:rsidR="004447F6" w:rsidRPr="00091B05" w:rsidRDefault="004447F6" w:rsidP="000F4096">
      <w:pPr>
        <w:widowControl w:val="0"/>
        <w:numPr>
          <w:ilvl w:val="0"/>
          <w:numId w:val="26"/>
        </w:numPr>
        <w:ind w:left="709" w:hanging="349"/>
        <w:rPr>
          <w:rFonts w:eastAsia="MS Mincho"/>
          <w:i/>
          <w:iCs/>
          <w:kern w:val="2"/>
          <w:lang w:eastAsia="ja-JP"/>
        </w:rPr>
      </w:pPr>
      <w:r w:rsidRPr="00091B05">
        <w:rPr>
          <w:rFonts w:eastAsia="MS Mincho"/>
          <w:i/>
          <w:iCs/>
          <w:kern w:val="2"/>
          <w:lang w:eastAsia="ja-JP"/>
        </w:rPr>
        <w:t>Porcentaje que la cantidad de recursos presupuestarios recibida por concepto del FAFEF ha representado respecto del presupuesto total de la entidad federativa de los últimos cinco ejercicios fiscales.</w:t>
      </w:r>
    </w:p>
    <w:p w14:paraId="41901DB5" w14:textId="13D1D8FB" w:rsidR="00081008" w:rsidRDefault="00081008" w:rsidP="00104F90">
      <w:r w:rsidRPr="00E861CC">
        <w:t xml:space="preserve">El presupuesto del FAFEF de Hidalgo correspondiente al ejercicio fiscal 2016 obtuvo un incremento nominal de </w:t>
      </w:r>
      <w:r w:rsidRPr="00050B38">
        <w:t>38</w:t>
      </w:r>
      <w:r w:rsidR="0066532F" w:rsidRPr="00050B38">
        <w:t>.</w:t>
      </w:r>
      <w:r w:rsidRPr="00050B38">
        <w:t>7</w:t>
      </w:r>
      <w:r w:rsidR="0066532F">
        <w:t xml:space="preserve"> mdp</w:t>
      </w:r>
      <w:r w:rsidRPr="00E861CC">
        <w:t xml:space="preserve">, mismo que representa un avance porcentual del 4.80% respecto al año 2015. </w:t>
      </w:r>
      <w:r w:rsidR="002A7464">
        <w:t>E</w:t>
      </w:r>
      <w:r w:rsidRPr="00E861CC">
        <w:t xml:space="preserve">l </w:t>
      </w:r>
      <w:r w:rsidR="002A7464">
        <w:t xml:space="preserve">presupuesto para el </w:t>
      </w:r>
      <w:r w:rsidRPr="00E861CC">
        <w:t>ejercicio 2017 en comparación al 2016 increment</w:t>
      </w:r>
      <w:r w:rsidR="00D84590">
        <w:t>ó</w:t>
      </w:r>
      <w:r w:rsidRPr="00E861CC">
        <w:t xml:space="preserve"> de forma considerable un total de</w:t>
      </w:r>
      <w:r w:rsidR="002A7464">
        <w:t xml:space="preserve"> 125.66 mdp</w:t>
      </w:r>
      <w:r w:rsidRPr="00E861CC">
        <w:t xml:space="preserve"> representando el 13.48% </w:t>
      </w:r>
      <w:r w:rsidR="002A7464">
        <w:t>de incremento</w:t>
      </w:r>
      <w:r w:rsidRPr="00E861CC">
        <w:t xml:space="preserve"> al</w:t>
      </w:r>
      <w:r w:rsidR="002A7464">
        <w:t xml:space="preserve"> respecto al</w:t>
      </w:r>
      <w:r w:rsidRPr="00E861CC">
        <w:t xml:space="preserve"> año anterior. Finalmente, para el 2018 el presupuesto del FAFEF se vio beneficiado con otro aumento de</w:t>
      </w:r>
      <w:r w:rsidR="00F345BF">
        <w:t xml:space="preserve"> 115.37 mdp</w:t>
      </w:r>
      <w:r w:rsidRPr="00E861CC">
        <w:t xml:space="preserve"> respecto al ejercicio anterior, que equivale </w:t>
      </w:r>
      <w:r w:rsidR="00AF3F92">
        <w:t>a un</w:t>
      </w:r>
      <w:r w:rsidRPr="00E861CC">
        <w:t xml:space="preserve"> crecimiento presupuestal de 11.01% con base al año fiscal 2017.</w:t>
      </w:r>
    </w:p>
    <w:p w14:paraId="06CEF0CD" w14:textId="70E0990B" w:rsidR="008043BF" w:rsidRDefault="007637DC" w:rsidP="008610A0">
      <w:r>
        <w:t>A continuación,</w:t>
      </w:r>
      <w:r w:rsidR="00081008">
        <w:t xml:space="preserve"> se presenta una infografía con la evolución presupuestal del FAFEF en la </w:t>
      </w:r>
      <w:r w:rsidR="00ED65F8">
        <w:t>e</w:t>
      </w:r>
      <w:r w:rsidR="00081008">
        <w:t>ntidad</w:t>
      </w:r>
      <w:r w:rsidR="00ED65F8">
        <w:t xml:space="preserve"> federativa</w:t>
      </w:r>
      <w:r w:rsidR="00081008">
        <w:t xml:space="preserve">, así como del porcentaje de recursos total del Fondo que recibe </w:t>
      </w:r>
      <w:r w:rsidR="00ED65F8">
        <w:t>Hidalgo</w:t>
      </w:r>
      <w:r w:rsidR="00081008">
        <w:t xml:space="preserve"> y el porcentaje de recursos que el Fondo representa en la entidad</w:t>
      </w:r>
      <w:r w:rsidR="00ED65F8">
        <w:t xml:space="preserve"> federativa</w:t>
      </w:r>
      <w:r w:rsidR="00081008">
        <w:t>, respecto a su presupuesto total</w:t>
      </w:r>
      <w:bookmarkStart w:id="21" w:name="_Toc47433410"/>
      <w:bookmarkStart w:id="22" w:name="_Toc47435939"/>
      <w:r w:rsidR="008C5975">
        <w:t>.</w:t>
      </w:r>
    </w:p>
    <w:p w14:paraId="050FCD76" w14:textId="77777777" w:rsidR="008043BF" w:rsidRDefault="008043BF">
      <w:pPr>
        <w:spacing w:before="0" w:after="160" w:line="259" w:lineRule="auto"/>
        <w:jc w:val="left"/>
      </w:pPr>
      <w:r>
        <w:br w:type="page"/>
      </w:r>
    </w:p>
    <w:p w14:paraId="10C5E791" w14:textId="77777777" w:rsidR="00EB56AB" w:rsidRDefault="00CF3BD7" w:rsidP="00F75223">
      <w:pPr>
        <w:pStyle w:val="Figura"/>
        <w:rPr>
          <w:bCs/>
        </w:rPr>
      </w:pPr>
      <w:bookmarkStart w:id="23" w:name="_Toc54208815"/>
      <w:r>
        <w:lastRenderedPageBreak/>
        <w:t>Infografía</w:t>
      </w:r>
      <w:bookmarkEnd w:id="21"/>
      <w:bookmarkEnd w:id="22"/>
      <w:bookmarkEnd w:id="23"/>
      <w:r w:rsidR="00620BF1" w:rsidRPr="0066783E">
        <w:rPr>
          <w:bCs/>
        </w:rPr>
        <w:t xml:space="preserve">. Porcentaje del presupuesto FAFEF en la entidad </w:t>
      </w:r>
      <w:r w:rsidR="00620BF1">
        <w:rPr>
          <w:bCs/>
        </w:rPr>
        <w:t xml:space="preserve">federativa </w:t>
      </w:r>
      <w:r w:rsidR="00620BF1" w:rsidRPr="0066783E">
        <w:rPr>
          <w:bCs/>
        </w:rPr>
        <w:t>respecto del presupuesto del FAFEF a nivel federal y del presupuesto total de la entidad federativa</w:t>
      </w:r>
      <w:r w:rsidR="00620BF1">
        <w:rPr>
          <w:bCs/>
        </w:rPr>
        <w:t xml:space="preserve"> (Mdp</w:t>
      </w:r>
      <w:r w:rsidR="00620BF1" w:rsidRPr="003E532E">
        <w:rPr>
          <w:bCs/>
          <w:vertAlign w:val="superscript"/>
        </w:rPr>
        <w:t>1</w:t>
      </w:r>
      <w:r w:rsidR="00620BF1">
        <w:rPr>
          <w:bCs/>
        </w:rPr>
        <w:t xml:space="preserve"> a</w:t>
      </w:r>
      <w:r w:rsidR="00620BF1" w:rsidRPr="000B6C71">
        <w:rPr>
          <w:bCs/>
        </w:rPr>
        <w:t xml:space="preserve"> precios corrientes</w:t>
      </w:r>
      <w:r w:rsidR="00620BF1">
        <w:rPr>
          <w:bCs/>
        </w:rPr>
        <w:t>)</w:t>
      </w:r>
    </w:p>
    <w:p w14:paraId="4CD0B7AD" w14:textId="56442ED8" w:rsidR="00E820D3" w:rsidRPr="00EB56AB" w:rsidRDefault="004E5D7B" w:rsidP="00F75223">
      <w:pPr>
        <w:pStyle w:val="Figura"/>
      </w:pPr>
      <w:r w:rsidRPr="00EB56AB">
        <w:rPr>
          <w:noProof/>
          <w:lang w:eastAsia="es-MX"/>
        </w:rPr>
        <w:drawing>
          <wp:inline distT="0" distB="0" distL="0" distR="0" wp14:anchorId="7DFA7E9A" wp14:editId="705BC5CB">
            <wp:extent cx="6357668" cy="4166208"/>
            <wp:effectExtent l="19050" t="19050" r="24130" b="25400"/>
            <wp:docPr id="225" name="Imagen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t="11636" b="9818"/>
                    <a:stretch/>
                  </pic:blipFill>
                  <pic:spPr bwMode="auto">
                    <a:xfrm>
                      <a:off x="0" y="0"/>
                      <a:ext cx="6394838" cy="4190566"/>
                    </a:xfrm>
                    <a:prstGeom prst="rect">
                      <a:avLst/>
                    </a:prstGeom>
                    <a:noFill/>
                    <a:ln w="12700">
                      <a:solidFill>
                        <a:schemeClr val="tx1"/>
                      </a:solidFill>
                    </a:ln>
                    <a:extLst>
                      <a:ext uri="{53640926-AAD7-44D8-BBD7-CCE9431645EC}">
                        <a14:shadowObscured xmlns:a14="http://schemas.microsoft.com/office/drawing/2010/main"/>
                      </a:ext>
                    </a:extLst>
                  </pic:spPr>
                </pic:pic>
              </a:graphicData>
            </a:graphic>
          </wp:inline>
        </w:drawing>
      </w:r>
    </w:p>
    <w:p w14:paraId="486CFFF5" w14:textId="77777777" w:rsidR="00D179E1" w:rsidRPr="00F75223" w:rsidRDefault="00D179E1" w:rsidP="00F75223">
      <w:pPr>
        <w:pStyle w:val="Textonotapie"/>
        <w:rPr>
          <w:rStyle w:val="Hipervnculo"/>
          <w:color w:val="auto"/>
          <w:u w:val="none"/>
        </w:rPr>
      </w:pPr>
      <w:r w:rsidRPr="00655A91">
        <w:rPr>
          <w:rStyle w:val="Hipervnculo"/>
          <w:color w:val="auto"/>
          <w:u w:val="none"/>
          <w:vertAlign w:val="superscript"/>
        </w:rPr>
        <w:t>1</w:t>
      </w:r>
      <w:r w:rsidRPr="00F75223">
        <w:rPr>
          <w:rStyle w:val="Hipervnculo"/>
          <w:color w:val="auto"/>
          <w:u w:val="none"/>
        </w:rPr>
        <w:t>/Mdp: Millones de pesos.</w:t>
      </w:r>
    </w:p>
    <w:p w14:paraId="223E837B" w14:textId="08554BB2" w:rsidR="008610A0" w:rsidRPr="00F75223" w:rsidRDefault="00104F90" w:rsidP="00F75223">
      <w:pPr>
        <w:pStyle w:val="Textonotapie"/>
      </w:pPr>
      <w:r w:rsidRPr="00F75223">
        <w:t>Fuente: Elaboración propia con base en información del DOF</w:t>
      </w:r>
      <w:r w:rsidR="008610A0" w:rsidRPr="00F75223">
        <w:t xml:space="preserve"> y en los decretos del presupuesto de egreso del Estado de Hidalgo 2014-2020</w:t>
      </w:r>
      <w:r w:rsidRPr="00F75223">
        <w:t xml:space="preserve">. </w:t>
      </w:r>
    </w:p>
    <w:p w14:paraId="31A72BA9" w14:textId="3205F8C0" w:rsidR="00104F90" w:rsidRDefault="00104F90" w:rsidP="008610A0">
      <w:pPr>
        <w:spacing w:before="0" w:after="240"/>
      </w:pPr>
      <w:r>
        <w:t xml:space="preserve">Cómo puede apreciarse en la figura anterior, el presupuesto del FAFEF en </w:t>
      </w:r>
      <w:r w:rsidR="00780D5C">
        <w:t>Hidalgo</w:t>
      </w:r>
      <w:r>
        <w:t xml:space="preserve"> ha presentado siempre un incremento anual, equivalente a una tasa de crecimiento anual de 7.93%, lo cual responde a la forma en que se calcula el monto del Fondo, tal </w:t>
      </w:r>
      <w:r w:rsidR="001C54EA">
        <w:t>como</w:t>
      </w:r>
      <w:r>
        <w:t xml:space="preserve"> se especifica en el Artículo 46 de la LCF.</w:t>
      </w:r>
    </w:p>
    <w:p w14:paraId="38C729BD" w14:textId="77777777" w:rsidR="00104F90" w:rsidRPr="008D286D" w:rsidRDefault="00104F90" w:rsidP="00515CAC">
      <w:pPr>
        <w:pStyle w:val="Prrafodelista"/>
        <w:numPr>
          <w:ilvl w:val="0"/>
          <w:numId w:val="2"/>
        </w:numPr>
        <w:spacing w:after="0"/>
        <w:rPr>
          <w:rFonts w:cstheme="minorHAnsi"/>
          <w:b/>
          <w:bCs/>
        </w:rPr>
      </w:pPr>
      <w:r w:rsidRPr="008D286D">
        <w:rPr>
          <w:rFonts w:cstheme="minorHAnsi"/>
          <w:b/>
          <w:bCs/>
        </w:rPr>
        <w:t>Descripción de las atribuciones, obligaciones y, en su caso, restricciones que tiene la entidad federativa para el ejercicio de los recursos del FAFEF.</w:t>
      </w:r>
    </w:p>
    <w:p w14:paraId="73A3E305" w14:textId="5DC5C747" w:rsidR="003B6139" w:rsidRDefault="003B6139" w:rsidP="003B6139">
      <w:pPr>
        <w:tabs>
          <w:tab w:val="left" w:pos="1418"/>
        </w:tabs>
      </w:pPr>
      <w:r>
        <w:t xml:space="preserve">Las atribuciones que tienen las Entidades Federativas están contenidas en la LCF en su Artículo 47 dónde se señala que podrán convenir entre ellas o con el Gobierno Federal, la aplicación de estos recursos, los que no podrán destinarse para erogaciones de gasto corriente o de operación, salvo en los casos previstos expresamente </w:t>
      </w:r>
      <w:r w:rsidR="00465A8A">
        <w:t>en la LCF</w:t>
      </w:r>
      <w:r>
        <w:t xml:space="preserve">. </w:t>
      </w:r>
    </w:p>
    <w:p w14:paraId="71492AF4" w14:textId="77777777" w:rsidR="003B6139" w:rsidRDefault="003B6139" w:rsidP="003B6139">
      <w:pPr>
        <w:tabs>
          <w:tab w:val="left" w:pos="1418"/>
        </w:tabs>
      </w:pPr>
      <w:r>
        <w:t xml:space="preserve">También, en el Artículo 49, se menciona que las aportaciones y sus accesorios que con cargo a los Fondos a que se refiere este Capítulo reciban las entidades y, en su caso, los municipios las alcaldías de la Ciudad de México, no serán embargables, ni los gobiernos correspondientes podrán, bajo ninguna circunstancia, gravarlas ni afectarlas en garantía o destinarse a mecanismos de fuente de pago, salvo por lo dispuesto en los artículos 50, 51 y 52 de esta Ley. Dichas aportaciones y sus accesorios, en ningún caso podrán destinarse a fines distintos a los expresamente previstos en los artículos 26, 29, 33, 37, 40, 42, 45, 47, así como lo dispuesto en el presente artículo de esta Ley. En el mismo Artículo se menciona que las aportaciones federales serán administradas y </w:t>
      </w:r>
      <w:r>
        <w:lastRenderedPageBreak/>
        <w:t xml:space="preserve">ejercidas por los gobiernos de las entidades federativas conforme a sus propias leyes en lo que no se contrapongan a la legislación federal. </w:t>
      </w:r>
    </w:p>
    <w:p w14:paraId="7AF0A6C7" w14:textId="3EE2E285" w:rsidR="003B6139" w:rsidRDefault="003B6139" w:rsidP="003B6139">
      <w:pPr>
        <w:tabs>
          <w:tab w:val="left" w:pos="1418"/>
        </w:tabs>
      </w:pPr>
      <w:r>
        <w:t>Las obligaciones que las Entidades Federativas tienen con la Federación se estipulan en el Artículo 48 de la LCF, dónde se menciona que los Estados y el Distrito Federal</w:t>
      </w:r>
      <w:r w:rsidR="00465A8A">
        <w:t xml:space="preserve"> (Ciudad de México)</w:t>
      </w:r>
      <w:r>
        <w:t xml:space="preserve"> reportarán tanto la información relativa a la Entidad Federativa, como aquélla de sus respectivos </w:t>
      </w:r>
      <w:r w:rsidR="00465A8A">
        <w:t>m</w:t>
      </w:r>
      <w:r>
        <w:t xml:space="preserve">unicipios o </w:t>
      </w:r>
      <w:r w:rsidR="00465A8A">
        <w:t>d</w:t>
      </w:r>
      <w:r>
        <w:t xml:space="preserve">emarcaciones </w:t>
      </w:r>
      <w:r w:rsidR="00465A8A">
        <w:t>t</w:t>
      </w:r>
      <w:r>
        <w:t>erritoriales para el caso del Distrito Federal, en los Fondos que correspondan, así como los resultados obtenidos; asimismo, remitirán la información consolidada a más tardar a los 20 días naturales posteriores a la terminación de cada trimestre del ejercicio fiscal</w:t>
      </w:r>
    </w:p>
    <w:p w14:paraId="408749D0" w14:textId="70A52185" w:rsidR="004447F6" w:rsidRDefault="00E3308E" w:rsidP="00B40A41">
      <w:pPr>
        <w:tabs>
          <w:tab w:val="left" w:pos="1418"/>
        </w:tabs>
      </w:pPr>
      <w:r>
        <w:t xml:space="preserve">A nivel estatal </w:t>
      </w:r>
      <w:r w:rsidR="0008648D">
        <w:t xml:space="preserve">el </w:t>
      </w:r>
      <w:r w:rsidR="00465A8A">
        <w:t>m</w:t>
      </w:r>
      <w:r w:rsidR="0008648D">
        <w:t>arco normativo que rige la ejecución de los recursos del FAFEF y en general de los recursos federales transferidos son la Ley de Coordinación Fiscal del Estado de Hidalgo</w:t>
      </w:r>
      <w:r w:rsidR="0008648D">
        <w:rPr>
          <w:rStyle w:val="Refdenotaalpie"/>
        </w:rPr>
        <w:footnoteReference w:id="9"/>
      </w:r>
      <w:r w:rsidR="0008648D">
        <w:t>, Ley de Presupuesto y Contabilidad Gubernamental del Estado de Hidalgo</w:t>
      </w:r>
      <w:r w:rsidR="00B12694">
        <w:t>, Ley de Planeación y Prospectiva del Estado de Hidalgo</w:t>
      </w:r>
      <w:r w:rsidR="00A90A18">
        <w:t xml:space="preserve">, </w:t>
      </w:r>
      <w:r w:rsidR="00BE114C">
        <w:t xml:space="preserve">Ley de Responsabilidades de los </w:t>
      </w:r>
      <w:r w:rsidR="00465A8A">
        <w:t>S</w:t>
      </w:r>
      <w:r w:rsidR="00BE114C">
        <w:t xml:space="preserve">ervidores </w:t>
      </w:r>
      <w:r w:rsidR="00465A8A">
        <w:t>P</w:t>
      </w:r>
      <w:r w:rsidR="00BE114C">
        <w:t>úblicos para el Estado de Hidalgo, Ley de Obras Púbicas y Servicios Relacionados con las mismas para el Estado de Hidalgo, Ley de Adquisiciones Arrendamientos y Servicios del Sector Público del Estado de Hidalgo, Ley de Transparencia y Acceso a la información Pública Gubernamental para el Estado de Hidalgo, Decreto de Presupuesto de Egresos del Estado de Hidalgo para cada ejercicio fiscal, Reglamento de la Ley de Obras Públicas del Estado de Hidalgo, Manuales de Normas y Lineamientos para el Ejercicio de los recursos, entre otras.</w:t>
      </w:r>
      <w:r w:rsidR="00A37ADA">
        <w:t xml:space="preserve"> </w:t>
      </w:r>
    </w:p>
    <w:p w14:paraId="1586A79F" w14:textId="77777777" w:rsidR="001E6F22" w:rsidRPr="001E6F22" w:rsidRDefault="001E6F22" w:rsidP="00515CAC">
      <w:pPr>
        <w:pStyle w:val="Prrafodelista"/>
        <w:numPr>
          <w:ilvl w:val="0"/>
          <w:numId w:val="2"/>
        </w:numPr>
        <w:spacing w:after="0"/>
        <w:rPr>
          <w:rFonts w:cstheme="minorHAnsi"/>
          <w:b/>
          <w:bCs/>
        </w:rPr>
      </w:pPr>
      <w:r w:rsidRPr="001E6F22">
        <w:rPr>
          <w:rFonts w:cstheme="minorHAnsi"/>
          <w:b/>
          <w:bCs/>
        </w:rPr>
        <w:t>Descripción del ejercicio de los recursos del FAFEF en la entidad federativa en la que se incluyan variables como rubro de gasto (Según la LCF), mecanismos de priorización de proyectos o destino del gasto, población objetivo, componentes, productos terminados o servicios proporcionados, indicadores o información que permita conocer la situación de la población objetivo del FAFEF en la entidad federativa en los últimos cinco ejercicios fiscales, de ser posible previa y, en su caso, posterior al ejercicio de los recursos por rubro de gasto, de acuerdo con lo determinado en la LCF para este Fondo, entre otras de interés</w:t>
      </w:r>
    </w:p>
    <w:p w14:paraId="03C0582D" w14:textId="70E1FD3A" w:rsidR="008A54F8" w:rsidRDefault="008A54F8" w:rsidP="00062D3F">
      <w:pPr>
        <w:rPr>
          <w:rFonts w:cstheme="minorHAnsi"/>
          <w:color w:val="000000" w:themeColor="text1"/>
        </w:rPr>
      </w:pPr>
      <w:r>
        <w:rPr>
          <w:rFonts w:cstheme="minorHAnsi"/>
          <w:color w:val="000000" w:themeColor="text1"/>
        </w:rPr>
        <w:t xml:space="preserve">Cómo se ha mencionado en párrafos anteriores </w:t>
      </w:r>
      <w:r>
        <w:t>en los ejercicios fiscales del 2013 al 2018, se ha considerado la atención prioritaria de 4 rubros de los 9 posibles permitidos en la LCF, es decir, a la inversión en infraestructura física, al saneamiento financiero, a la m</w:t>
      </w:r>
      <w:r w:rsidRPr="007C3D7C">
        <w:t>odernización de los registros públicos de la propiedad y del comercio locales</w:t>
      </w:r>
      <w:r>
        <w:t xml:space="preserve"> y</w:t>
      </w:r>
      <w:r w:rsidR="00E47B6A">
        <w:t>,</w:t>
      </w:r>
      <w:r>
        <w:t xml:space="preserve"> para apoyos a la educación pública.</w:t>
      </w:r>
    </w:p>
    <w:p w14:paraId="29CE6030" w14:textId="3F617E0F" w:rsidR="009F411B" w:rsidRDefault="0068317D" w:rsidP="00062D3F">
      <w:pPr>
        <w:rPr>
          <w:rFonts w:cstheme="minorHAnsi"/>
          <w:color w:val="000000" w:themeColor="text1"/>
        </w:rPr>
      </w:pPr>
      <w:r w:rsidRPr="0068317D">
        <w:rPr>
          <w:rFonts w:cstheme="minorHAnsi"/>
          <w:color w:val="000000" w:themeColor="text1"/>
        </w:rPr>
        <w:t xml:space="preserve">La </w:t>
      </w:r>
      <w:r w:rsidR="00D05E9B">
        <w:rPr>
          <w:rFonts w:cstheme="minorHAnsi"/>
          <w:color w:val="000000" w:themeColor="text1"/>
        </w:rPr>
        <w:t>asignación</w:t>
      </w:r>
      <w:r w:rsidRPr="0068317D">
        <w:rPr>
          <w:rFonts w:cstheme="minorHAnsi"/>
          <w:color w:val="000000" w:themeColor="text1"/>
        </w:rPr>
        <w:t xml:space="preserve"> </w:t>
      </w:r>
      <w:r w:rsidR="00D05E9B">
        <w:rPr>
          <w:rFonts w:cstheme="minorHAnsi"/>
          <w:color w:val="000000" w:themeColor="text1"/>
        </w:rPr>
        <w:t xml:space="preserve">de </w:t>
      </w:r>
      <w:r w:rsidRPr="0068317D">
        <w:rPr>
          <w:rFonts w:cstheme="minorHAnsi"/>
          <w:color w:val="000000" w:themeColor="text1"/>
        </w:rPr>
        <w:t>los recursos del FAFEF hacia áreas prioritarias</w:t>
      </w:r>
      <w:r>
        <w:rPr>
          <w:rFonts w:cstheme="minorHAnsi"/>
          <w:color w:val="000000" w:themeColor="text1"/>
        </w:rPr>
        <w:t xml:space="preserve"> en el Estado</w:t>
      </w:r>
      <w:r w:rsidRPr="0068317D">
        <w:rPr>
          <w:rFonts w:cstheme="minorHAnsi"/>
          <w:color w:val="000000" w:themeColor="text1"/>
        </w:rPr>
        <w:t>, parte del proceso de identificación de las necesidades</w:t>
      </w:r>
      <w:r w:rsidR="00D05E9B">
        <w:rPr>
          <w:rFonts w:cstheme="minorHAnsi"/>
          <w:color w:val="000000" w:themeColor="text1"/>
        </w:rPr>
        <w:t xml:space="preserve">, </w:t>
      </w:r>
      <w:r w:rsidRPr="0068317D">
        <w:rPr>
          <w:rFonts w:cstheme="minorHAnsi"/>
          <w:color w:val="000000" w:themeColor="text1"/>
        </w:rPr>
        <w:t>donde participan los Comités de Planeación y los Subcomités que coordinan las funciones sustantivas del Gobierno del Estado, mediante mesas de trabajo celebradas con las instancias ejecutoras de los proyectos de inversión, a partir de las cuales</w:t>
      </w:r>
      <w:r w:rsidR="00D05E9B">
        <w:rPr>
          <w:rFonts w:cstheme="minorHAnsi"/>
          <w:color w:val="000000" w:themeColor="text1"/>
        </w:rPr>
        <w:t xml:space="preserve">, </w:t>
      </w:r>
      <w:r w:rsidRPr="0068317D">
        <w:rPr>
          <w:rFonts w:cstheme="minorHAnsi"/>
          <w:color w:val="000000" w:themeColor="text1"/>
        </w:rPr>
        <w:t>la SFP integra el Proyecto de Presupuesto de Egresos del Estado generando una cartera de proyectos</w:t>
      </w:r>
      <w:r w:rsidR="00D05E9B">
        <w:rPr>
          <w:rFonts w:cstheme="minorHAnsi"/>
          <w:color w:val="000000" w:themeColor="text1"/>
        </w:rPr>
        <w:t>,</w:t>
      </w:r>
      <w:r w:rsidRPr="0068317D">
        <w:rPr>
          <w:rFonts w:cstheme="minorHAnsi"/>
          <w:color w:val="000000" w:themeColor="text1"/>
        </w:rPr>
        <w:t xml:space="preserve"> a partir de la cual se asignan los recursos del Fondo.</w:t>
      </w:r>
      <w:r>
        <w:rPr>
          <w:rFonts w:cstheme="minorHAnsi"/>
          <w:color w:val="000000" w:themeColor="text1"/>
        </w:rPr>
        <w:t xml:space="preserve"> En este proceso</w:t>
      </w:r>
      <w:r w:rsidRPr="00643272">
        <w:rPr>
          <w:rFonts w:cstheme="minorHAnsi"/>
          <w:color w:val="000000" w:themeColor="text1"/>
        </w:rPr>
        <w:t xml:space="preserve"> participan los sectores social y privado a través del Comité de Planeación para el Desarrollo del Estado de Hidalgo (COPLADEHI), en el cual operan los Comités de Planeación para el Desarrollo Regional (COPLADER) y los Comités de Planeación para el Desarrollo Municipal (COPLADEM)</w:t>
      </w:r>
      <w:r>
        <w:rPr>
          <w:rFonts w:cstheme="minorHAnsi"/>
          <w:color w:val="000000" w:themeColor="text1"/>
        </w:rPr>
        <w:t xml:space="preserve">. </w:t>
      </w:r>
    </w:p>
    <w:p w14:paraId="15F5B321" w14:textId="3D5EB5E1" w:rsidR="0068317D" w:rsidRPr="00B06322" w:rsidRDefault="0068317D" w:rsidP="00062D3F">
      <w:r w:rsidRPr="00B06322">
        <w:t>A partir del proceso de planeación anterior, a la Unidad de Planeación y Prospectiva de Hidalgo (UPLAPH) le corresponde definir el proceso de planeación y a la S</w:t>
      </w:r>
      <w:r w:rsidR="00D05E9B" w:rsidRPr="00B06322">
        <w:t>FP</w:t>
      </w:r>
      <w:r w:rsidRPr="00B06322">
        <w:t>, el proceso de programación, por medio de las cuales se ordenan los distintos programas</w:t>
      </w:r>
      <w:r w:rsidR="00FA6A1C">
        <w:t xml:space="preserve"> presupuestarios</w:t>
      </w:r>
      <w:r w:rsidRPr="00B06322">
        <w:t>, proyectos, obras y acciones para su orientación en función de las prioridades y estrategias que garanticen el bienestar social y el desarrollo económico de</w:t>
      </w:r>
      <w:r w:rsidR="00E85999" w:rsidRPr="00B06322">
        <w:t>l Estado de Hidalgo</w:t>
      </w:r>
      <w:r w:rsidRPr="00B06322">
        <w:t>.</w:t>
      </w:r>
    </w:p>
    <w:p w14:paraId="5A3C60F8" w14:textId="5CB8C00E" w:rsidR="0068317D" w:rsidRPr="00B06322" w:rsidRDefault="0068317D" w:rsidP="00062D3F">
      <w:pPr>
        <w:rPr>
          <w:rFonts w:cstheme="minorHAnsi"/>
          <w:color w:val="000000" w:themeColor="text1"/>
        </w:rPr>
      </w:pPr>
      <w:r w:rsidRPr="00B06322">
        <w:rPr>
          <w:rFonts w:cstheme="minorHAnsi"/>
          <w:color w:val="000000" w:themeColor="text1"/>
        </w:rPr>
        <w:t xml:space="preserve">Mediante este proceso, se limita la posibilidad de utilizar los recursos del Fondo para fines locales distintos a los objetivos definidos en el instrumento rector del Plan Estatal de Desarrollo, en el cual se elaboran y conducen las estrategias para el desarrollo en </w:t>
      </w:r>
      <w:r w:rsidR="00F40842" w:rsidRPr="00B06322">
        <w:rPr>
          <w:rFonts w:cstheme="minorHAnsi"/>
          <w:color w:val="000000" w:themeColor="text1"/>
        </w:rPr>
        <w:t xml:space="preserve">los </w:t>
      </w:r>
      <w:r w:rsidRPr="00B06322">
        <w:rPr>
          <w:rFonts w:cstheme="minorHAnsi"/>
          <w:color w:val="000000" w:themeColor="text1"/>
        </w:rPr>
        <w:t>ámbito</w:t>
      </w:r>
      <w:r w:rsidR="00F40842" w:rsidRPr="00B06322">
        <w:rPr>
          <w:rFonts w:cstheme="minorHAnsi"/>
          <w:color w:val="000000" w:themeColor="text1"/>
        </w:rPr>
        <w:t>s</w:t>
      </w:r>
      <w:r w:rsidRPr="00B06322">
        <w:rPr>
          <w:rFonts w:cstheme="minorHAnsi"/>
          <w:color w:val="000000" w:themeColor="text1"/>
        </w:rPr>
        <w:t xml:space="preserve"> </w:t>
      </w:r>
      <w:r w:rsidR="00F40842" w:rsidRPr="00B06322">
        <w:rPr>
          <w:rFonts w:cstheme="minorHAnsi"/>
          <w:color w:val="000000" w:themeColor="text1"/>
        </w:rPr>
        <w:t>e</w:t>
      </w:r>
      <w:r w:rsidRPr="00B06322">
        <w:rPr>
          <w:rFonts w:cstheme="minorHAnsi"/>
          <w:color w:val="000000" w:themeColor="text1"/>
        </w:rPr>
        <w:t xml:space="preserve">statal, </w:t>
      </w:r>
      <w:r w:rsidR="00F40842" w:rsidRPr="00B06322">
        <w:rPr>
          <w:rFonts w:cstheme="minorHAnsi"/>
          <w:color w:val="000000" w:themeColor="text1"/>
        </w:rPr>
        <w:t>r</w:t>
      </w:r>
      <w:r w:rsidRPr="00B06322">
        <w:rPr>
          <w:rFonts w:cstheme="minorHAnsi"/>
          <w:color w:val="000000" w:themeColor="text1"/>
        </w:rPr>
        <w:t xml:space="preserve">egional y </w:t>
      </w:r>
      <w:r w:rsidR="00F40842" w:rsidRPr="00B06322">
        <w:rPr>
          <w:rFonts w:cstheme="minorHAnsi"/>
          <w:color w:val="000000" w:themeColor="text1"/>
        </w:rPr>
        <w:t>m</w:t>
      </w:r>
      <w:r w:rsidRPr="00B06322">
        <w:rPr>
          <w:rFonts w:cstheme="minorHAnsi"/>
          <w:color w:val="000000" w:themeColor="text1"/>
        </w:rPr>
        <w:t>unicipal</w:t>
      </w:r>
      <w:r w:rsidR="00F31822" w:rsidRPr="00B06322">
        <w:rPr>
          <w:rFonts w:cstheme="minorHAnsi"/>
          <w:color w:val="000000" w:themeColor="text1"/>
        </w:rPr>
        <w:t>.</w:t>
      </w:r>
    </w:p>
    <w:p w14:paraId="3986AE62" w14:textId="323CB2DA" w:rsidR="00322487" w:rsidRDefault="00DB48E2" w:rsidP="00267753">
      <w:pPr>
        <w:rPr>
          <w:rFonts w:cstheme="minorHAnsi"/>
          <w:color w:val="000000" w:themeColor="text1"/>
        </w:rPr>
      </w:pPr>
      <w:r>
        <w:lastRenderedPageBreak/>
        <w:t xml:space="preserve">Previo al ejercicio 2016, en Hidalgo </w:t>
      </w:r>
      <w:r w:rsidRPr="00B06322">
        <w:t>no se contaba con la definición y cuantificación de las poblaciones potencial, objetivo y atendida, que permitiera conocer el avance de cobertura del Fondo en el Estado. Las definiciones de los tres tipos de población (potencial, objetivo y atendida), se propusieron al interior del Estado a finales del ejercicio fiscal 2016, para que entraran en vigor en el ejercicio 2017. En el plan de trabajo realizado para solventar las recomendaciones de la evaluación 2015 realizada al Fondo, se definió y cuantificó a la población potencial, objetivo y atendida como a la población total del Estado de Hidalgo. Dado que los tres tipos de población corresponden a la misma definición y cuantificación esta no permite visualizar el avance de la cobertura que han tenido los recursos del FAFEF en la población d</w:t>
      </w:r>
      <w:r>
        <w:t>e la entidad federativa</w:t>
      </w:r>
      <w:r w:rsidRPr="00B06322">
        <w:t>.</w:t>
      </w:r>
      <w:r w:rsidR="00912410">
        <w:t xml:space="preserve"> </w:t>
      </w:r>
      <w:r w:rsidRPr="00B06322">
        <w:t xml:space="preserve">Posteriormente, la Evaluación </w:t>
      </w:r>
      <w:r w:rsidRPr="00B06322">
        <w:rPr>
          <w:rFonts w:cstheme="minorHAnsi"/>
          <w:color w:val="000000" w:themeColor="text1"/>
        </w:rPr>
        <w:t xml:space="preserve">Específica de Desempeño realizada </w:t>
      </w:r>
      <w:r>
        <w:rPr>
          <w:rFonts w:cstheme="minorHAnsi"/>
          <w:color w:val="000000" w:themeColor="text1"/>
        </w:rPr>
        <w:t xml:space="preserve">en el estado </w:t>
      </w:r>
      <w:r w:rsidRPr="00B06322">
        <w:rPr>
          <w:rFonts w:cstheme="minorHAnsi"/>
          <w:color w:val="000000" w:themeColor="text1"/>
        </w:rPr>
        <w:t xml:space="preserve">al FAFEF en 2018 recomienda utilizar como </w:t>
      </w:r>
      <w:r w:rsidRPr="000A7C58">
        <w:rPr>
          <w:rFonts w:cstheme="minorHAnsi"/>
          <w:bCs/>
          <w:color w:val="000000" w:themeColor="text1"/>
        </w:rPr>
        <w:t>población potencial a todos los habitantes del Estado de Hidalgo</w:t>
      </w:r>
      <w:r w:rsidRPr="00B06322">
        <w:rPr>
          <w:rFonts w:cstheme="minorHAnsi"/>
          <w:color w:val="000000" w:themeColor="text1"/>
        </w:rPr>
        <w:t>; como la población objetivo a todo aquel municipio que haya solicitado cierta obra o acción perteneciente al Fondo; y finalmente, como población atendida a todos aquellos habitantes de los municipios que se hayan visto beneficiados con alguna obra y/o acción financiada con recursos del FAFEF.</w:t>
      </w:r>
      <w:r w:rsidR="00FD606E">
        <w:rPr>
          <w:rFonts w:cstheme="minorHAnsi"/>
          <w:color w:val="000000" w:themeColor="text1"/>
        </w:rPr>
        <w:t xml:space="preserve"> Sin embargo, estas definiciones</w:t>
      </w:r>
      <w:r w:rsidR="00FD606E" w:rsidRPr="00FD606E">
        <w:rPr>
          <w:rFonts w:cstheme="minorHAnsi"/>
          <w:color w:val="000000" w:themeColor="text1"/>
        </w:rPr>
        <w:t xml:space="preserve"> no cumple</w:t>
      </w:r>
      <w:r w:rsidR="00FD606E">
        <w:rPr>
          <w:rFonts w:cstheme="minorHAnsi"/>
          <w:color w:val="000000" w:themeColor="text1"/>
        </w:rPr>
        <w:t>n</w:t>
      </w:r>
      <w:r w:rsidR="00FD606E" w:rsidRPr="00FD606E">
        <w:rPr>
          <w:rFonts w:cstheme="minorHAnsi"/>
          <w:color w:val="000000" w:themeColor="text1"/>
        </w:rPr>
        <w:t xml:space="preserve"> con el objetivo de contar con una base poblacional para la planeación del ejercicio de los recursos</w:t>
      </w:r>
      <w:r w:rsidR="00DA162C">
        <w:rPr>
          <w:rFonts w:cstheme="minorHAnsi"/>
          <w:color w:val="000000" w:themeColor="text1"/>
        </w:rPr>
        <w:t>, ni permiten una adecuada medición de la cobertura del Fondo en la entidad.</w:t>
      </w:r>
    </w:p>
    <w:p w14:paraId="656A4014" w14:textId="69FEDAB6" w:rsidR="00267753" w:rsidRPr="000F3860" w:rsidRDefault="00912410" w:rsidP="00267753">
      <w:pPr>
        <w:rPr>
          <w:rFonts w:cstheme="minorHAnsi"/>
          <w:color w:val="000000" w:themeColor="text1"/>
        </w:rPr>
      </w:pPr>
      <w:r w:rsidRPr="005E1463">
        <w:rPr>
          <w:rFonts w:cstheme="minorHAnsi"/>
          <w:color w:val="000000" w:themeColor="text1"/>
        </w:rPr>
        <w:t>Cabe señalar que tanto la MIR estatal para el FAFEF como el diagnóstico del Fondo en la entidad federativa no disponen de una definición clara ni cuantificación de la población potencial y objetivo</w:t>
      </w:r>
      <w:r>
        <w:rPr>
          <w:rFonts w:cstheme="minorHAnsi"/>
          <w:color w:val="000000" w:themeColor="text1"/>
        </w:rPr>
        <w:t>,</w:t>
      </w:r>
      <w:r w:rsidRPr="005E1463">
        <w:rPr>
          <w:rFonts w:cstheme="minorHAnsi"/>
          <w:color w:val="000000" w:themeColor="text1"/>
        </w:rPr>
        <w:t xml:space="preserve"> </w:t>
      </w:r>
      <w:r w:rsidR="00322487" w:rsidRPr="00912410">
        <w:rPr>
          <w:rFonts w:cstheme="minorHAnsi"/>
          <w:color w:val="000000" w:themeColor="text1"/>
        </w:rPr>
        <w:t xml:space="preserve">por lo cual no se tienen datos de la cobertura. Tampoco se tiene registro de la </w:t>
      </w:r>
      <w:r w:rsidR="004440B2" w:rsidRPr="00912410">
        <w:rPr>
          <w:rFonts w:cstheme="minorHAnsi"/>
          <w:color w:val="000000" w:themeColor="text1"/>
        </w:rPr>
        <w:t>cuantificación</w:t>
      </w:r>
      <w:r w:rsidR="00322487" w:rsidRPr="00912410">
        <w:rPr>
          <w:rFonts w:cstheme="minorHAnsi"/>
          <w:color w:val="000000" w:themeColor="text1"/>
        </w:rPr>
        <w:t xml:space="preserve"> para los 17 Pp </w:t>
      </w:r>
      <w:r w:rsidR="004440B2" w:rsidRPr="00912410">
        <w:rPr>
          <w:rFonts w:cstheme="minorHAnsi"/>
          <w:color w:val="000000" w:themeColor="text1"/>
        </w:rPr>
        <w:t>financiados</w:t>
      </w:r>
      <w:r w:rsidR="00322487" w:rsidRPr="00912410">
        <w:rPr>
          <w:rFonts w:cstheme="minorHAnsi"/>
          <w:color w:val="000000" w:themeColor="text1"/>
        </w:rPr>
        <w:t xml:space="preserve"> con los recursos del Fondo.</w:t>
      </w:r>
      <w:r w:rsidR="00322487">
        <w:rPr>
          <w:rFonts w:cstheme="minorHAnsi"/>
          <w:color w:val="000000" w:themeColor="text1"/>
        </w:rPr>
        <w:t xml:space="preserve"> </w:t>
      </w:r>
    </w:p>
    <w:p w14:paraId="4D8A0F62" w14:textId="77777777" w:rsidR="00104F90" w:rsidRDefault="00104F90" w:rsidP="00515CAC">
      <w:pPr>
        <w:pStyle w:val="Prrafodelista"/>
        <w:numPr>
          <w:ilvl w:val="0"/>
          <w:numId w:val="2"/>
        </w:numPr>
        <w:spacing w:before="240" w:after="240"/>
        <w:contextualSpacing w:val="0"/>
        <w:rPr>
          <w:rFonts w:cstheme="minorHAnsi"/>
          <w:b/>
          <w:bCs/>
        </w:rPr>
      </w:pPr>
      <w:r w:rsidRPr="00666ABC">
        <w:rPr>
          <w:rFonts w:cstheme="minorHAnsi"/>
          <w:b/>
          <w:bCs/>
        </w:rPr>
        <w:t>Principales resultados y recomendaciones de evaluaciones realizadas al FAFEF en la entidad federativa.</w:t>
      </w:r>
    </w:p>
    <w:p w14:paraId="447CF446" w14:textId="63FC8F53" w:rsidR="00104F90" w:rsidRDefault="00104F90" w:rsidP="00104F90">
      <w:r w:rsidRPr="008523D9">
        <w:t xml:space="preserve">A partir de la creación de la </w:t>
      </w:r>
      <w:r w:rsidR="00A16BD2">
        <w:t>Unidad Técnica de Evaluación del Desempeño (</w:t>
      </w:r>
      <w:r w:rsidRPr="008523D9">
        <w:t>UTED</w:t>
      </w:r>
      <w:r w:rsidR="00A16BD2">
        <w:t>)</w:t>
      </w:r>
      <w:r w:rsidRPr="008523D9">
        <w:t xml:space="preserve"> </w:t>
      </w:r>
      <w:r>
        <w:t>en la entidad</w:t>
      </w:r>
      <w:r w:rsidR="00A2148E">
        <w:t xml:space="preserve"> federativa</w:t>
      </w:r>
      <w:r>
        <w:t xml:space="preserve">, </w:t>
      </w:r>
      <w:r w:rsidRPr="008523D9">
        <w:t>se han coordinado tres evaluaciones al FAFEF realizadas por instancias externas</w:t>
      </w:r>
      <w:r>
        <w:t xml:space="preserve">. Estos ejercicios de revisión han consistido en la realización de </w:t>
      </w:r>
      <w:r w:rsidR="00A2148E">
        <w:t>Evaluaciones Específicas de Desempeño</w:t>
      </w:r>
      <w:r>
        <w:t>,</w:t>
      </w:r>
      <w:r w:rsidRPr="008523D9">
        <w:t xml:space="preserve"> correspondiente </w:t>
      </w:r>
      <w:r>
        <w:t xml:space="preserve">a </w:t>
      </w:r>
      <w:r w:rsidRPr="008523D9">
        <w:t>l</w:t>
      </w:r>
      <w:r>
        <w:t>os</w:t>
      </w:r>
      <w:r w:rsidRPr="008523D9">
        <w:t xml:space="preserve"> ejercicio</w:t>
      </w:r>
      <w:r>
        <w:t>s</w:t>
      </w:r>
      <w:r w:rsidRPr="008523D9">
        <w:t xml:space="preserve"> fiscal</w:t>
      </w:r>
      <w:r>
        <w:t>es</w:t>
      </w:r>
      <w:r w:rsidRPr="008523D9">
        <w:t xml:space="preserve"> 2014</w:t>
      </w:r>
      <w:r>
        <w:t xml:space="preserve">, 2015 y </w:t>
      </w:r>
      <w:r w:rsidRPr="00F25CFE">
        <w:t>201</w:t>
      </w:r>
      <w:r w:rsidR="00DC3648">
        <w:t>8</w:t>
      </w:r>
      <w:r w:rsidRPr="00F25CFE">
        <w:t>.</w:t>
      </w:r>
    </w:p>
    <w:p w14:paraId="5E6679BE" w14:textId="4E41ACCD" w:rsidR="00267753" w:rsidRDefault="00104F90" w:rsidP="005E1463">
      <w:r>
        <w:t>En este sentido se revisaron los principales resultados y recomendaciones que han derivado de dichas evaluaciones (</w:t>
      </w:r>
      <w:r w:rsidR="00501159">
        <w:t xml:space="preserve">ejercicios </w:t>
      </w:r>
      <w:r>
        <w:t>201</w:t>
      </w:r>
      <w:r w:rsidR="00501159">
        <w:t>4</w:t>
      </w:r>
      <w:r>
        <w:t>, 201</w:t>
      </w:r>
      <w:r w:rsidR="00501159">
        <w:t>5</w:t>
      </w:r>
      <w:r>
        <w:t xml:space="preserve"> y 201</w:t>
      </w:r>
      <w:r w:rsidR="00501159">
        <w:t>8</w:t>
      </w:r>
      <w:r>
        <w:t>)</w:t>
      </w:r>
      <w:r>
        <w:rPr>
          <w:rStyle w:val="Refdenotaalpie"/>
        </w:rPr>
        <w:footnoteReference w:id="10"/>
      </w:r>
      <w:r>
        <w:t xml:space="preserve">, sintetizándose en las siguientes: </w:t>
      </w:r>
    </w:p>
    <w:p w14:paraId="7BAA1883" w14:textId="3246BCA6" w:rsidR="00104F90" w:rsidRPr="0096381B" w:rsidRDefault="00104F90" w:rsidP="0096381B">
      <w:pPr>
        <w:spacing w:before="60" w:after="60"/>
        <w:rPr>
          <w:b/>
          <w:bCs/>
          <w:i/>
          <w:iCs/>
        </w:rPr>
      </w:pPr>
      <w:r w:rsidRPr="0096381B">
        <w:rPr>
          <w:b/>
          <w:bCs/>
          <w:i/>
          <w:iCs/>
        </w:rPr>
        <w:t>Resultados:</w:t>
      </w:r>
    </w:p>
    <w:p w14:paraId="477B4BB5" w14:textId="1D317B68" w:rsidR="00104F90" w:rsidRPr="0096381B" w:rsidRDefault="00104F90" w:rsidP="00515CAC">
      <w:pPr>
        <w:pStyle w:val="Prrafodelista"/>
        <w:numPr>
          <w:ilvl w:val="0"/>
          <w:numId w:val="5"/>
        </w:numPr>
        <w:autoSpaceDE w:val="0"/>
        <w:autoSpaceDN w:val="0"/>
        <w:adjustRightInd w:val="0"/>
        <w:spacing w:before="60" w:after="60"/>
        <w:ind w:left="420" w:hanging="420"/>
        <w:contextualSpacing w:val="0"/>
        <w:rPr>
          <w:rFonts w:cs="ArialMT"/>
        </w:rPr>
      </w:pPr>
      <w:r w:rsidRPr="0096381B">
        <w:rPr>
          <w:rFonts w:cs="ArialMT"/>
        </w:rPr>
        <w:t xml:space="preserve">La </w:t>
      </w:r>
      <w:r w:rsidR="000066B3">
        <w:rPr>
          <w:rFonts w:cs="ArialMT"/>
        </w:rPr>
        <w:t>e</w:t>
      </w:r>
      <w:r w:rsidRPr="0096381B">
        <w:rPr>
          <w:rFonts w:cs="ArialMT"/>
        </w:rPr>
        <w:t>ntidad</w:t>
      </w:r>
      <w:r w:rsidR="000066B3">
        <w:rPr>
          <w:rFonts w:cs="ArialMT"/>
        </w:rPr>
        <w:t xml:space="preserve"> federativa</w:t>
      </w:r>
      <w:r w:rsidRPr="0096381B">
        <w:rPr>
          <w:rFonts w:cs="ArialMT"/>
        </w:rPr>
        <w:t xml:space="preserve"> direcciona el ejercicio del FAFEF al fortalecimiento de las prácticas en el manejo de las finanzas públicas incorporando mecanismos de planeación estratégica que permiten impulsar el financiamiento y el manejo responsable de la deuda pública.</w:t>
      </w:r>
    </w:p>
    <w:p w14:paraId="60142ACE" w14:textId="60C65804" w:rsidR="00104F90" w:rsidRPr="0096381B" w:rsidRDefault="00104F90" w:rsidP="00515CAC">
      <w:pPr>
        <w:pStyle w:val="Prrafodelista"/>
        <w:numPr>
          <w:ilvl w:val="0"/>
          <w:numId w:val="5"/>
        </w:numPr>
        <w:autoSpaceDE w:val="0"/>
        <w:autoSpaceDN w:val="0"/>
        <w:adjustRightInd w:val="0"/>
        <w:spacing w:before="60" w:after="60"/>
        <w:ind w:left="420" w:hanging="420"/>
        <w:contextualSpacing w:val="0"/>
        <w:rPr>
          <w:rFonts w:cs="ArialMT"/>
        </w:rPr>
      </w:pPr>
      <w:r w:rsidRPr="0096381B">
        <w:rPr>
          <w:rFonts w:cs="ArialMT"/>
        </w:rPr>
        <w:t>No es posible determinar un análisis de la cobertura del FAFEF, ya que la LCF solo condiciona el gasto y no define explícitamente alguna estrategia de cobertura para la población que benefici</w:t>
      </w:r>
      <w:r w:rsidR="00DC3648">
        <w:rPr>
          <w:rFonts w:cs="ArialMT"/>
        </w:rPr>
        <w:t>a</w:t>
      </w:r>
      <w:r w:rsidRPr="0096381B">
        <w:rPr>
          <w:rFonts w:cs="ArialMT"/>
        </w:rPr>
        <w:t xml:space="preserve"> el Fondo.</w:t>
      </w:r>
    </w:p>
    <w:p w14:paraId="00BB08B1" w14:textId="77777777" w:rsidR="00104F90" w:rsidRPr="0096381B" w:rsidRDefault="00104F90" w:rsidP="00515CAC">
      <w:pPr>
        <w:pStyle w:val="Prrafodelista"/>
        <w:numPr>
          <w:ilvl w:val="0"/>
          <w:numId w:val="5"/>
        </w:numPr>
        <w:autoSpaceDE w:val="0"/>
        <w:autoSpaceDN w:val="0"/>
        <w:adjustRightInd w:val="0"/>
        <w:spacing w:before="60" w:after="60"/>
        <w:ind w:left="420" w:hanging="420"/>
        <w:contextualSpacing w:val="0"/>
        <w:rPr>
          <w:rFonts w:cs="ArialMT"/>
        </w:rPr>
      </w:pPr>
      <w:r w:rsidRPr="0096381B">
        <w:rPr>
          <w:rFonts w:cs="ArialMT"/>
        </w:rPr>
        <w:t>El presupuesto del FAFEF ha venido en aumento desde el año 2015 al 2018.</w:t>
      </w:r>
    </w:p>
    <w:p w14:paraId="22491856" w14:textId="77777777" w:rsidR="00104F90" w:rsidRPr="0096381B" w:rsidRDefault="00104F90" w:rsidP="00515CAC">
      <w:pPr>
        <w:pStyle w:val="Prrafodelista"/>
        <w:numPr>
          <w:ilvl w:val="0"/>
          <w:numId w:val="5"/>
        </w:numPr>
        <w:autoSpaceDE w:val="0"/>
        <w:autoSpaceDN w:val="0"/>
        <w:adjustRightInd w:val="0"/>
        <w:spacing w:before="60" w:after="60"/>
        <w:ind w:left="420" w:hanging="420"/>
        <w:contextualSpacing w:val="0"/>
        <w:rPr>
          <w:rFonts w:cs="ArialMT"/>
        </w:rPr>
      </w:pPr>
      <w:r w:rsidRPr="0096381B">
        <w:rPr>
          <w:rFonts w:cs="ArialMT"/>
        </w:rPr>
        <w:t xml:space="preserve">Se identifica el objetivo principal del Fondo, y se encuentra alineado al Plan Estatal de Desarrollo Hidalgo 2016-2022. </w:t>
      </w:r>
    </w:p>
    <w:p w14:paraId="69377142" w14:textId="77777777" w:rsidR="00104F90" w:rsidRPr="0096381B" w:rsidRDefault="00104F90" w:rsidP="00515CAC">
      <w:pPr>
        <w:pStyle w:val="Prrafodelista"/>
        <w:numPr>
          <w:ilvl w:val="0"/>
          <w:numId w:val="5"/>
        </w:numPr>
        <w:autoSpaceDE w:val="0"/>
        <w:autoSpaceDN w:val="0"/>
        <w:adjustRightInd w:val="0"/>
        <w:spacing w:before="60" w:after="60"/>
        <w:ind w:left="420" w:hanging="420"/>
        <w:contextualSpacing w:val="0"/>
        <w:rPr>
          <w:rFonts w:cs="ArialMT"/>
        </w:rPr>
      </w:pPr>
      <w:r w:rsidRPr="0096381B">
        <w:rPr>
          <w:rFonts w:cs="ArialMT"/>
        </w:rPr>
        <w:t xml:space="preserve">FAFEF cuenta con dos MIR, una de orden federal y una estatal. </w:t>
      </w:r>
    </w:p>
    <w:p w14:paraId="0F00EA67" w14:textId="77777777" w:rsidR="00104F90" w:rsidRPr="0096381B" w:rsidRDefault="00104F90" w:rsidP="00515CAC">
      <w:pPr>
        <w:pStyle w:val="Prrafodelista"/>
        <w:numPr>
          <w:ilvl w:val="0"/>
          <w:numId w:val="5"/>
        </w:numPr>
        <w:autoSpaceDE w:val="0"/>
        <w:autoSpaceDN w:val="0"/>
        <w:adjustRightInd w:val="0"/>
        <w:spacing w:before="60" w:after="60"/>
        <w:ind w:left="420" w:hanging="420"/>
        <w:contextualSpacing w:val="0"/>
        <w:rPr>
          <w:rFonts w:cs="ArialMT"/>
        </w:rPr>
      </w:pPr>
      <w:r w:rsidRPr="0096381B">
        <w:rPr>
          <w:rFonts w:cs="ArialMT"/>
        </w:rPr>
        <w:t>La mayoría de los indicadores obtuvieron resultados positivos en sus respectivos reportes.</w:t>
      </w:r>
    </w:p>
    <w:p w14:paraId="312D1F20" w14:textId="77777777" w:rsidR="00104F90" w:rsidRPr="0096381B" w:rsidRDefault="00104F90" w:rsidP="00515CAC">
      <w:pPr>
        <w:pStyle w:val="Prrafodelista"/>
        <w:numPr>
          <w:ilvl w:val="0"/>
          <w:numId w:val="5"/>
        </w:numPr>
        <w:autoSpaceDE w:val="0"/>
        <w:autoSpaceDN w:val="0"/>
        <w:adjustRightInd w:val="0"/>
        <w:spacing w:before="60" w:after="60"/>
        <w:ind w:left="420" w:hanging="420"/>
        <w:contextualSpacing w:val="0"/>
        <w:rPr>
          <w:rFonts w:cs="ArialMT"/>
        </w:rPr>
      </w:pPr>
      <w:r w:rsidRPr="0096381B">
        <w:rPr>
          <w:rFonts w:cs="ArialMT"/>
        </w:rPr>
        <w:t>Los recursos del FAFEF se han orientado hacia cuatro áreas de atención prioritarias, es decir, a la inversión en infraestructura física, al saneamiento financiero (a la amortización de la deuda pública), a la modernización de los registros públicos de la propiedad y del comercio locales y al área de educación pública.</w:t>
      </w:r>
    </w:p>
    <w:p w14:paraId="2B0FE0D3" w14:textId="77777777" w:rsidR="00104F90" w:rsidRPr="0096381B" w:rsidRDefault="00104F90" w:rsidP="00515CAC">
      <w:pPr>
        <w:pStyle w:val="Prrafodelista"/>
        <w:numPr>
          <w:ilvl w:val="0"/>
          <w:numId w:val="5"/>
        </w:numPr>
        <w:autoSpaceDE w:val="0"/>
        <w:autoSpaceDN w:val="0"/>
        <w:adjustRightInd w:val="0"/>
        <w:spacing w:before="60" w:after="60"/>
        <w:ind w:left="420" w:hanging="420"/>
        <w:contextualSpacing w:val="0"/>
        <w:rPr>
          <w:rFonts w:cs="ArialMT"/>
        </w:rPr>
      </w:pPr>
      <w:r w:rsidRPr="0096381B">
        <w:rPr>
          <w:rFonts w:cs="ArialMT"/>
        </w:rPr>
        <w:lastRenderedPageBreak/>
        <w:t>El FAFEF en el Estado de Hidalgo, transfiere los recursos que le corresponden a 14 dependencias.</w:t>
      </w:r>
    </w:p>
    <w:p w14:paraId="1B30BC19" w14:textId="77777777" w:rsidR="00104F90" w:rsidRPr="0096381B" w:rsidRDefault="00104F90" w:rsidP="00515CAC">
      <w:pPr>
        <w:pStyle w:val="Prrafodelista"/>
        <w:numPr>
          <w:ilvl w:val="0"/>
          <w:numId w:val="5"/>
        </w:numPr>
        <w:autoSpaceDE w:val="0"/>
        <w:autoSpaceDN w:val="0"/>
        <w:adjustRightInd w:val="0"/>
        <w:spacing w:before="60" w:after="60"/>
        <w:ind w:left="420" w:hanging="420"/>
        <w:contextualSpacing w:val="0"/>
        <w:rPr>
          <w:rFonts w:cs="ArialMT"/>
        </w:rPr>
      </w:pPr>
      <w:r w:rsidRPr="0096381B">
        <w:rPr>
          <w:rFonts w:cs="ArialMT"/>
        </w:rPr>
        <w:t>Se identificó que el FAFEF en el Estado de Hidalgo, alcanzó las metas previstas en lo que respecta a la deuda, el gasto de inversión y fortalecimiento financiero.</w:t>
      </w:r>
    </w:p>
    <w:p w14:paraId="37ACBC76" w14:textId="6C7DE00B" w:rsidR="00104F90" w:rsidRPr="0096381B" w:rsidRDefault="00104F90" w:rsidP="00515CAC">
      <w:pPr>
        <w:pStyle w:val="Prrafodelista"/>
        <w:numPr>
          <w:ilvl w:val="0"/>
          <w:numId w:val="5"/>
        </w:numPr>
        <w:autoSpaceDE w:val="0"/>
        <w:autoSpaceDN w:val="0"/>
        <w:adjustRightInd w:val="0"/>
        <w:spacing w:before="60" w:after="60"/>
        <w:ind w:left="420" w:hanging="420"/>
        <w:contextualSpacing w:val="0"/>
        <w:rPr>
          <w:rFonts w:cs="ArialMT"/>
        </w:rPr>
      </w:pPr>
      <w:r w:rsidRPr="0096381B">
        <w:rPr>
          <w:rFonts w:cs="ArialMT"/>
        </w:rPr>
        <w:t>Las acciones del FAFEF en la entidad</w:t>
      </w:r>
      <w:r w:rsidR="000066B3">
        <w:rPr>
          <w:rFonts w:cs="ArialMT"/>
        </w:rPr>
        <w:t xml:space="preserve"> federativa</w:t>
      </w:r>
      <w:r w:rsidRPr="0096381B">
        <w:rPr>
          <w:rFonts w:cs="ArialMT"/>
        </w:rPr>
        <w:t>, están alineadas a la planeación nacional y estatal de desarrollo.</w:t>
      </w:r>
    </w:p>
    <w:p w14:paraId="78C6C93D" w14:textId="77777777" w:rsidR="00104F90" w:rsidRPr="0096381B" w:rsidRDefault="00104F90" w:rsidP="0096381B">
      <w:pPr>
        <w:spacing w:before="60" w:after="60"/>
        <w:rPr>
          <w:b/>
          <w:bCs/>
          <w:i/>
          <w:iCs/>
        </w:rPr>
      </w:pPr>
      <w:r w:rsidRPr="0096381B">
        <w:rPr>
          <w:b/>
          <w:bCs/>
          <w:i/>
          <w:iCs/>
        </w:rPr>
        <w:t>Recomendaciones:</w:t>
      </w:r>
    </w:p>
    <w:p w14:paraId="7D232936" w14:textId="2FA2DF06" w:rsidR="00104F90" w:rsidRPr="0096381B" w:rsidRDefault="00104F90" w:rsidP="00515CAC">
      <w:pPr>
        <w:pStyle w:val="Prrafodelista"/>
        <w:numPr>
          <w:ilvl w:val="0"/>
          <w:numId w:val="6"/>
        </w:numPr>
        <w:autoSpaceDE w:val="0"/>
        <w:autoSpaceDN w:val="0"/>
        <w:adjustRightInd w:val="0"/>
        <w:spacing w:before="60" w:after="60"/>
        <w:ind w:left="378" w:hanging="378"/>
        <w:contextualSpacing w:val="0"/>
        <w:rPr>
          <w:rFonts w:cs="ArialMT"/>
        </w:rPr>
      </w:pPr>
      <w:r w:rsidRPr="0096381B">
        <w:rPr>
          <w:rFonts w:cs="ArialMT"/>
        </w:rPr>
        <w:t>Se recomienda que la SEPLADERYM, quien es la dependencia que se encarga de la planeación del Estado, coordine a los ejecutores del Fondo en la entidad</w:t>
      </w:r>
      <w:r w:rsidR="000066B3">
        <w:rPr>
          <w:rFonts w:cs="ArialMT"/>
        </w:rPr>
        <w:t xml:space="preserve"> federativa</w:t>
      </w:r>
      <w:r w:rsidRPr="0096381B">
        <w:rPr>
          <w:rFonts w:cs="ArialMT"/>
        </w:rPr>
        <w:t xml:space="preserve"> e integre un documento metodológico en el cual defina y cuantifique a la población potencial y objetivo a nivel local. Lo cual contribuya a establecer un método de medición de la cobertura para poder realizar un análisis de la evolución de la cobertura del FAFEF.</w:t>
      </w:r>
    </w:p>
    <w:p w14:paraId="48F0E6CA" w14:textId="671994C8" w:rsidR="00104F90" w:rsidRPr="0096381B" w:rsidRDefault="00104F90" w:rsidP="00515CAC">
      <w:pPr>
        <w:pStyle w:val="Prrafodelista"/>
        <w:numPr>
          <w:ilvl w:val="0"/>
          <w:numId w:val="6"/>
        </w:numPr>
        <w:autoSpaceDE w:val="0"/>
        <w:autoSpaceDN w:val="0"/>
        <w:adjustRightInd w:val="0"/>
        <w:spacing w:before="60" w:after="60"/>
        <w:ind w:left="378" w:hanging="378"/>
        <w:contextualSpacing w:val="0"/>
        <w:rPr>
          <w:rFonts w:cs="ArialMT"/>
        </w:rPr>
      </w:pPr>
      <w:r w:rsidRPr="0096381B">
        <w:rPr>
          <w:rFonts w:cs="ArialMT"/>
        </w:rPr>
        <w:t>La entidad</w:t>
      </w:r>
      <w:r w:rsidR="002E1DD6">
        <w:rPr>
          <w:rFonts w:cs="ArialMT"/>
        </w:rPr>
        <w:t xml:space="preserve"> federativa</w:t>
      </w:r>
      <w:r w:rsidRPr="0096381B">
        <w:rPr>
          <w:rFonts w:cs="ArialMT"/>
        </w:rPr>
        <w:t xml:space="preserve"> debe considerar un mecanismo de transparencia de la información respecto a la definición de la línea base y las metas definidas, esto debido a que se realizó una investigación en los principales portales de internet y no se identificó dicha información.</w:t>
      </w:r>
    </w:p>
    <w:p w14:paraId="5CD2BC0E" w14:textId="1957A208" w:rsidR="00104F90" w:rsidRPr="0096381B" w:rsidRDefault="00104F90" w:rsidP="00515CAC">
      <w:pPr>
        <w:pStyle w:val="Prrafodelista"/>
        <w:numPr>
          <w:ilvl w:val="0"/>
          <w:numId w:val="6"/>
        </w:numPr>
        <w:autoSpaceDE w:val="0"/>
        <w:autoSpaceDN w:val="0"/>
        <w:adjustRightInd w:val="0"/>
        <w:spacing w:before="60" w:after="60"/>
        <w:ind w:left="378" w:hanging="378"/>
        <w:contextualSpacing w:val="0"/>
        <w:rPr>
          <w:rFonts w:cs="ArialMT"/>
        </w:rPr>
      </w:pPr>
      <w:r w:rsidRPr="0096381B">
        <w:rPr>
          <w:rFonts w:cs="ArialMT"/>
        </w:rPr>
        <w:t>Definir una unidad coordinadora que cumpla la función de unir a las instancias ejecutoras, coordinar la elaboración de reportes respecto a la ejecución de los recursos de FAFEF y a la formalización de información respecto a las acciones y ejecución de presupuesto de FAFEF en la entidad</w:t>
      </w:r>
      <w:r w:rsidR="002E1DD6">
        <w:rPr>
          <w:rFonts w:cs="ArialMT"/>
        </w:rPr>
        <w:t xml:space="preserve"> federativa</w:t>
      </w:r>
      <w:r w:rsidRPr="0096381B">
        <w:rPr>
          <w:rFonts w:cs="ArialMT"/>
        </w:rPr>
        <w:t>.</w:t>
      </w:r>
    </w:p>
    <w:p w14:paraId="1B855BC6" w14:textId="77777777" w:rsidR="00104F90" w:rsidRPr="0096381B" w:rsidRDefault="00104F90" w:rsidP="00515CAC">
      <w:pPr>
        <w:pStyle w:val="Prrafodelista"/>
        <w:numPr>
          <w:ilvl w:val="0"/>
          <w:numId w:val="6"/>
        </w:numPr>
        <w:autoSpaceDE w:val="0"/>
        <w:autoSpaceDN w:val="0"/>
        <w:adjustRightInd w:val="0"/>
        <w:spacing w:before="60" w:after="60"/>
        <w:ind w:left="378" w:hanging="378"/>
        <w:contextualSpacing w:val="0"/>
        <w:rPr>
          <w:rFonts w:cs="ArialMT"/>
        </w:rPr>
      </w:pPr>
      <w:r w:rsidRPr="0096381B">
        <w:rPr>
          <w:rFonts w:cs="ArialMT"/>
        </w:rPr>
        <w:t>Incluir fichas técnicas de los indicadores con datos sobre metas, medición y periodicidad.</w:t>
      </w:r>
    </w:p>
    <w:p w14:paraId="661E89FA" w14:textId="1AAAD791" w:rsidR="00104F90" w:rsidRPr="0096381B" w:rsidRDefault="00104F90" w:rsidP="00515CAC">
      <w:pPr>
        <w:pStyle w:val="Prrafodelista"/>
        <w:numPr>
          <w:ilvl w:val="0"/>
          <w:numId w:val="6"/>
        </w:numPr>
        <w:autoSpaceDE w:val="0"/>
        <w:autoSpaceDN w:val="0"/>
        <w:adjustRightInd w:val="0"/>
        <w:spacing w:before="60" w:after="60"/>
        <w:ind w:left="378" w:hanging="378"/>
        <w:contextualSpacing w:val="0"/>
        <w:rPr>
          <w:rFonts w:cs="ArialMT"/>
        </w:rPr>
      </w:pPr>
      <w:r w:rsidRPr="0096381B">
        <w:rPr>
          <w:rFonts w:cs="ArialMT"/>
        </w:rPr>
        <w:t>Elaborar Reglas de operación del Fondo en la entidad</w:t>
      </w:r>
      <w:r w:rsidR="002E1DD6">
        <w:rPr>
          <w:rFonts w:cs="ArialMT"/>
        </w:rPr>
        <w:t xml:space="preserve"> federativa</w:t>
      </w:r>
      <w:r w:rsidRPr="0096381B">
        <w:rPr>
          <w:rFonts w:cs="ArialMT"/>
        </w:rPr>
        <w:t>.</w:t>
      </w:r>
    </w:p>
    <w:p w14:paraId="3CA02DDD" w14:textId="77777777" w:rsidR="00104F90" w:rsidRPr="0096381B" w:rsidRDefault="00104F90" w:rsidP="00515CAC">
      <w:pPr>
        <w:pStyle w:val="Prrafodelista"/>
        <w:numPr>
          <w:ilvl w:val="0"/>
          <w:numId w:val="6"/>
        </w:numPr>
        <w:autoSpaceDE w:val="0"/>
        <w:autoSpaceDN w:val="0"/>
        <w:adjustRightInd w:val="0"/>
        <w:spacing w:before="60" w:after="60"/>
        <w:ind w:left="378" w:hanging="378"/>
        <w:contextualSpacing w:val="0"/>
        <w:rPr>
          <w:rFonts w:cs="ArialMT"/>
        </w:rPr>
      </w:pPr>
      <w:r w:rsidRPr="0096381B">
        <w:rPr>
          <w:rFonts w:cs="ArialMT"/>
        </w:rPr>
        <w:t>La definición de una Unidad Coordinadora que sea la encargada de presentar la información general de las Unidades Ejecutoras, en formatos homogéneos, previamente establecidos de conformidad con los ejecutores.</w:t>
      </w:r>
    </w:p>
    <w:p w14:paraId="680C3C4B" w14:textId="77777777" w:rsidR="00104F90" w:rsidRPr="0096381B" w:rsidRDefault="00104F90" w:rsidP="00515CAC">
      <w:pPr>
        <w:pStyle w:val="Prrafodelista"/>
        <w:numPr>
          <w:ilvl w:val="0"/>
          <w:numId w:val="6"/>
        </w:numPr>
        <w:autoSpaceDE w:val="0"/>
        <w:autoSpaceDN w:val="0"/>
        <w:adjustRightInd w:val="0"/>
        <w:spacing w:before="60" w:after="60"/>
        <w:ind w:left="378" w:hanging="378"/>
        <w:contextualSpacing w:val="0"/>
        <w:rPr>
          <w:rFonts w:cs="ArialMT"/>
        </w:rPr>
      </w:pPr>
      <w:r w:rsidRPr="0096381B">
        <w:rPr>
          <w:rFonts w:cs="ArialMT"/>
        </w:rPr>
        <w:t>Elaborar un diagnóstico del FAFEF en el Estado de Hidalgo.</w:t>
      </w:r>
    </w:p>
    <w:p w14:paraId="3871EE40" w14:textId="77777777" w:rsidR="00104F90" w:rsidRPr="0096381B" w:rsidRDefault="00104F90" w:rsidP="00515CAC">
      <w:pPr>
        <w:pStyle w:val="Prrafodelista"/>
        <w:numPr>
          <w:ilvl w:val="0"/>
          <w:numId w:val="6"/>
        </w:numPr>
        <w:autoSpaceDE w:val="0"/>
        <w:autoSpaceDN w:val="0"/>
        <w:adjustRightInd w:val="0"/>
        <w:spacing w:before="60" w:after="60"/>
        <w:ind w:left="378" w:hanging="378"/>
        <w:contextualSpacing w:val="0"/>
        <w:rPr>
          <w:rFonts w:cs="ArialMT"/>
        </w:rPr>
      </w:pPr>
      <w:r w:rsidRPr="0096381B">
        <w:rPr>
          <w:rFonts w:cs="ArialMT"/>
        </w:rPr>
        <w:t xml:space="preserve">Elaborar los Manuales de Organización y de Procedimientos para la operación del FAFEF. </w:t>
      </w:r>
    </w:p>
    <w:p w14:paraId="225489D5" w14:textId="77777777" w:rsidR="00B54C77" w:rsidRPr="0096381B" w:rsidRDefault="00104F90" w:rsidP="00515CAC">
      <w:pPr>
        <w:pStyle w:val="Prrafodelista"/>
        <w:numPr>
          <w:ilvl w:val="0"/>
          <w:numId w:val="6"/>
        </w:numPr>
        <w:autoSpaceDE w:val="0"/>
        <w:autoSpaceDN w:val="0"/>
        <w:adjustRightInd w:val="0"/>
        <w:spacing w:before="60" w:after="60"/>
        <w:ind w:left="378" w:hanging="378"/>
        <w:contextualSpacing w:val="0"/>
        <w:jc w:val="left"/>
        <w:rPr>
          <w:b/>
        </w:rPr>
      </w:pPr>
      <w:r w:rsidRPr="0096381B">
        <w:rPr>
          <w:rFonts w:cs="ArialMT"/>
        </w:rPr>
        <w:t xml:space="preserve">Crear una base de datos clara y precisa, que contenga todas las obras y acciones realizadas con los recursos del Fondo, por monto, momentos contables, beneficiarios y área ejecutora. </w:t>
      </w:r>
    </w:p>
    <w:p w14:paraId="54FB882C" w14:textId="09051072" w:rsidR="008724F8" w:rsidRPr="00B54C77" w:rsidRDefault="00104F90" w:rsidP="00515CAC">
      <w:pPr>
        <w:pStyle w:val="Prrafodelista"/>
        <w:numPr>
          <w:ilvl w:val="0"/>
          <w:numId w:val="6"/>
        </w:numPr>
        <w:autoSpaceDE w:val="0"/>
        <w:autoSpaceDN w:val="0"/>
        <w:adjustRightInd w:val="0"/>
        <w:spacing w:before="60" w:after="60"/>
        <w:ind w:left="378" w:hanging="378"/>
        <w:contextualSpacing w:val="0"/>
        <w:jc w:val="left"/>
        <w:rPr>
          <w:b/>
          <w:sz w:val="24"/>
          <w:szCs w:val="24"/>
        </w:rPr>
      </w:pPr>
      <w:r w:rsidRPr="0096381B">
        <w:rPr>
          <w:rFonts w:cs="ArialMT"/>
        </w:rPr>
        <w:t>Realizar una evaluación de consistencia y resultados al Fondo, que permita redefinir sus atributos, mejorar sus procesos y elevar su efectividad al interior del Estado</w:t>
      </w:r>
      <w:r>
        <w:t xml:space="preserve"> </w:t>
      </w:r>
      <w:r w:rsidR="008724F8">
        <w:br w:type="page"/>
      </w:r>
    </w:p>
    <w:p w14:paraId="5E59FC51" w14:textId="6E96ABAE" w:rsidR="00D472FE" w:rsidRPr="00D61DEB" w:rsidRDefault="00320A12" w:rsidP="00320A12">
      <w:pPr>
        <w:pStyle w:val="Ttulo2"/>
        <w:jc w:val="left"/>
        <w:rPr>
          <w:iCs/>
        </w:rPr>
      </w:pPr>
      <w:bookmarkStart w:id="25" w:name="_Toc56423701"/>
      <w:r>
        <w:rPr>
          <w:iCs/>
        </w:rPr>
        <w:lastRenderedPageBreak/>
        <w:t xml:space="preserve">1.2 </w:t>
      </w:r>
      <w:r w:rsidR="00D472FE" w:rsidRPr="00D61DEB">
        <w:rPr>
          <w:iCs/>
        </w:rPr>
        <w:t>Valoración de la contribución del FAFEF a la o las problemáticas de la entidad</w:t>
      </w:r>
      <w:r w:rsidR="00CB5E0F">
        <w:rPr>
          <w:iCs/>
        </w:rPr>
        <w:t xml:space="preserve"> federativa</w:t>
      </w:r>
      <w:bookmarkEnd w:id="25"/>
    </w:p>
    <w:p w14:paraId="4CBA9CD6" w14:textId="12DA5E22" w:rsidR="007461CA" w:rsidRPr="008724F8" w:rsidRDefault="008724F8" w:rsidP="00997712">
      <w:pPr>
        <w:pStyle w:val="Pregunta"/>
      </w:pPr>
      <w:r>
        <w:t xml:space="preserve">1. </w:t>
      </w:r>
      <w:r w:rsidR="007461CA" w:rsidRPr="008724F8">
        <w:t>La entidad federativa cuenta con un diagnóstico sobre la/las problemáticas a las que el FAFEF contribuye a atender y tiene las siguientes características:</w:t>
      </w:r>
    </w:p>
    <w:p w14:paraId="2E1F957C" w14:textId="77777777" w:rsidR="007461CA" w:rsidRPr="007461CA" w:rsidRDefault="007461CA" w:rsidP="00515CAC">
      <w:pPr>
        <w:pStyle w:val="Pregunta"/>
        <w:numPr>
          <w:ilvl w:val="0"/>
          <w:numId w:val="10"/>
        </w:numPr>
      </w:pPr>
      <w:r w:rsidRPr="007461CA">
        <w:t>Se identifica y describe el problema central dentro del entorno de política pública al que respondería el FAFEF en la entidad federativa;</w:t>
      </w:r>
    </w:p>
    <w:p w14:paraId="0CB6846D" w14:textId="77777777" w:rsidR="007461CA" w:rsidRPr="007461CA" w:rsidRDefault="007461CA" w:rsidP="00515CAC">
      <w:pPr>
        <w:pStyle w:val="Pregunta"/>
        <w:numPr>
          <w:ilvl w:val="0"/>
          <w:numId w:val="10"/>
        </w:numPr>
      </w:pPr>
      <w:r w:rsidRPr="007461CA">
        <w:t>Presenta un árbol de problemas sobre la o las problemáticas en la entidad;</w:t>
      </w:r>
    </w:p>
    <w:p w14:paraId="5102FCEC" w14:textId="77777777" w:rsidR="007461CA" w:rsidRPr="007461CA" w:rsidRDefault="007461CA" w:rsidP="00515CAC">
      <w:pPr>
        <w:pStyle w:val="Pregunta"/>
        <w:numPr>
          <w:ilvl w:val="0"/>
          <w:numId w:val="10"/>
        </w:numPr>
      </w:pPr>
      <w:r w:rsidRPr="007461CA">
        <w:t>Presenta un árbol de objetivos;</w:t>
      </w:r>
    </w:p>
    <w:p w14:paraId="7AADD3D4" w14:textId="77777777" w:rsidR="007461CA" w:rsidRPr="007461CA" w:rsidRDefault="007461CA" w:rsidP="00515CAC">
      <w:pPr>
        <w:pStyle w:val="Pregunta"/>
        <w:numPr>
          <w:ilvl w:val="0"/>
          <w:numId w:val="10"/>
        </w:numPr>
      </w:pPr>
      <w:r w:rsidRPr="007461CA">
        <w:t>Presenta una MIR;</w:t>
      </w:r>
    </w:p>
    <w:p w14:paraId="79A47402" w14:textId="4DB03A57" w:rsidR="007461CA" w:rsidRDefault="007461CA" w:rsidP="00515CAC">
      <w:pPr>
        <w:pStyle w:val="Pregunta"/>
        <w:numPr>
          <w:ilvl w:val="0"/>
          <w:numId w:val="10"/>
        </w:numPr>
        <w:spacing w:after="120"/>
        <w:ind w:left="714" w:hanging="357"/>
      </w:pPr>
      <w:r w:rsidRPr="007461CA">
        <w:t>Define un plazo para su revisión y actualización.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5"/>
        <w:gridCol w:w="763"/>
        <w:gridCol w:w="7854"/>
      </w:tblGrid>
      <w:tr w:rsidR="00104F90" w:rsidRPr="00997712" w14:paraId="6EC6FC38" w14:textId="77777777" w:rsidTr="00945DC0">
        <w:trPr>
          <w:trHeight w:val="260"/>
          <w:jc w:val="center"/>
        </w:trPr>
        <w:tc>
          <w:tcPr>
            <w:tcW w:w="675" w:type="pct"/>
            <w:shd w:val="clear" w:color="auto" w:fill="FFFFFF"/>
            <w:vAlign w:val="center"/>
          </w:tcPr>
          <w:p w14:paraId="1BE5A23D" w14:textId="77777777" w:rsidR="00104F90" w:rsidRPr="00997712" w:rsidRDefault="00104F90" w:rsidP="00945DC0">
            <w:pPr>
              <w:pBdr>
                <w:top w:val="nil"/>
                <w:left w:val="nil"/>
                <w:bottom w:val="nil"/>
                <w:right w:val="nil"/>
                <w:between w:val="nil"/>
              </w:pBdr>
              <w:spacing w:before="0" w:after="0"/>
              <w:ind w:left="12"/>
              <w:jc w:val="center"/>
              <w:rPr>
                <w:rFonts w:ascii="Calibri" w:eastAsia="Calibri" w:hAnsi="Calibri" w:cs="Calibri"/>
                <w:b/>
                <w:color w:val="000000"/>
                <w:sz w:val="20"/>
                <w:szCs w:val="20"/>
                <w:lang w:eastAsia="es-MX"/>
              </w:rPr>
            </w:pPr>
            <w:r w:rsidRPr="00997712">
              <w:rPr>
                <w:rFonts w:ascii="Calibri" w:eastAsia="Calibri" w:hAnsi="Calibri" w:cs="Calibri"/>
                <w:b/>
                <w:color w:val="000000"/>
                <w:sz w:val="20"/>
                <w:szCs w:val="20"/>
                <w:lang w:eastAsia="es-MX"/>
              </w:rPr>
              <w:t>Respuesta</w:t>
            </w:r>
          </w:p>
        </w:tc>
        <w:tc>
          <w:tcPr>
            <w:tcW w:w="383" w:type="pct"/>
            <w:shd w:val="clear" w:color="auto" w:fill="FFFFFF"/>
            <w:vAlign w:val="center"/>
          </w:tcPr>
          <w:p w14:paraId="538DC125" w14:textId="77777777" w:rsidR="00104F90" w:rsidRPr="00997712" w:rsidRDefault="00104F90" w:rsidP="00945DC0">
            <w:pPr>
              <w:pBdr>
                <w:top w:val="nil"/>
                <w:left w:val="nil"/>
                <w:bottom w:val="nil"/>
                <w:right w:val="nil"/>
                <w:between w:val="nil"/>
              </w:pBdr>
              <w:spacing w:before="0" w:after="0"/>
              <w:ind w:left="12"/>
              <w:jc w:val="center"/>
              <w:rPr>
                <w:rFonts w:ascii="Calibri" w:eastAsia="Calibri" w:hAnsi="Calibri" w:cs="Calibri"/>
                <w:b/>
                <w:color w:val="000000"/>
                <w:sz w:val="20"/>
                <w:szCs w:val="20"/>
                <w:lang w:eastAsia="es-MX"/>
              </w:rPr>
            </w:pPr>
            <w:r w:rsidRPr="00997712">
              <w:rPr>
                <w:rFonts w:ascii="Calibri" w:eastAsia="Calibri" w:hAnsi="Calibri" w:cs="Calibri"/>
                <w:b/>
                <w:color w:val="000000"/>
                <w:sz w:val="20"/>
                <w:szCs w:val="20"/>
                <w:lang w:eastAsia="es-MX"/>
              </w:rPr>
              <w:t>Nivel</w:t>
            </w:r>
          </w:p>
        </w:tc>
        <w:tc>
          <w:tcPr>
            <w:tcW w:w="3942" w:type="pct"/>
            <w:shd w:val="clear" w:color="auto" w:fill="FFFFFF"/>
            <w:vAlign w:val="center"/>
          </w:tcPr>
          <w:p w14:paraId="0037911F" w14:textId="77777777" w:rsidR="00104F90" w:rsidRPr="00997712" w:rsidRDefault="00104F90" w:rsidP="00945DC0">
            <w:pPr>
              <w:pBdr>
                <w:top w:val="nil"/>
                <w:left w:val="nil"/>
                <w:bottom w:val="nil"/>
                <w:right w:val="nil"/>
                <w:between w:val="nil"/>
              </w:pBdr>
              <w:spacing w:before="0" w:after="0"/>
              <w:ind w:firstLine="20"/>
              <w:jc w:val="center"/>
              <w:rPr>
                <w:rFonts w:ascii="Calibri" w:eastAsia="Calibri" w:hAnsi="Calibri" w:cs="Calibri"/>
                <w:b/>
                <w:color w:val="000000"/>
                <w:sz w:val="20"/>
                <w:szCs w:val="20"/>
                <w:lang w:eastAsia="es-MX"/>
              </w:rPr>
            </w:pPr>
            <w:r w:rsidRPr="00997712">
              <w:rPr>
                <w:rFonts w:ascii="Calibri" w:eastAsia="Calibri" w:hAnsi="Calibri" w:cs="Calibri"/>
                <w:b/>
                <w:color w:val="000000"/>
                <w:sz w:val="20"/>
                <w:szCs w:val="20"/>
                <w:lang w:eastAsia="es-MX"/>
              </w:rPr>
              <w:t>Criterios</w:t>
            </w:r>
          </w:p>
        </w:tc>
      </w:tr>
      <w:tr w:rsidR="00104F90" w:rsidRPr="00997712" w14:paraId="4B8A0609" w14:textId="77777777" w:rsidTr="00945DC0">
        <w:trPr>
          <w:trHeight w:val="400"/>
          <w:jc w:val="center"/>
        </w:trPr>
        <w:tc>
          <w:tcPr>
            <w:tcW w:w="675" w:type="pct"/>
            <w:shd w:val="clear" w:color="auto" w:fill="FFFFFF"/>
            <w:vAlign w:val="center"/>
          </w:tcPr>
          <w:p w14:paraId="62C6E5C2" w14:textId="77777777" w:rsidR="00104F90" w:rsidRPr="00997712" w:rsidRDefault="00104F90" w:rsidP="00945DC0">
            <w:pPr>
              <w:spacing w:before="0" w:after="0"/>
              <w:jc w:val="center"/>
              <w:rPr>
                <w:sz w:val="20"/>
                <w:szCs w:val="20"/>
                <w:lang w:eastAsia="es-MX"/>
              </w:rPr>
            </w:pPr>
            <w:r w:rsidRPr="00997712">
              <w:rPr>
                <w:sz w:val="20"/>
                <w:szCs w:val="20"/>
                <w:lang w:eastAsia="es-MX"/>
              </w:rPr>
              <w:t>Sí</w:t>
            </w:r>
          </w:p>
        </w:tc>
        <w:tc>
          <w:tcPr>
            <w:tcW w:w="383" w:type="pct"/>
            <w:shd w:val="clear" w:color="auto" w:fill="FFFFFF"/>
            <w:vAlign w:val="center"/>
          </w:tcPr>
          <w:p w14:paraId="03691D9F" w14:textId="7C2593DA" w:rsidR="00104F90" w:rsidRPr="00997712" w:rsidRDefault="00A54FBA" w:rsidP="00945DC0">
            <w:pPr>
              <w:spacing w:before="0" w:after="0"/>
              <w:jc w:val="center"/>
              <w:rPr>
                <w:sz w:val="20"/>
                <w:szCs w:val="20"/>
                <w:lang w:eastAsia="es-MX"/>
              </w:rPr>
            </w:pPr>
            <w:r>
              <w:rPr>
                <w:sz w:val="20"/>
                <w:szCs w:val="20"/>
                <w:lang w:eastAsia="es-MX"/>
              </w:rPr>
              <w:t>1</w:t>
            </w:r>
          </w:p>
        </w:tc>
        <w:tc>
          <w:tcPr>
            <w:tcW w:w="3942" w:type="pct"/>
            <w:shd w:val="clear" w:color="auto" w:fill="FFFFFF"/>
            <w:vAlign w:val="center"/>
          </w:tcPr>
          <w:p w14:paraId="72A1FD94" w14:textId="77777777" w:rsidR="00104F90" w:rsidRPr="00997712" w:rsidRDefault="00104F90" w:rsidP="00945DC0">
            <w:pPr>
              <w:spacing w:before="0" w:after="0"/>
              <w:rPr>
                <w:sz w:val="20"/>
                <w:szCs w:val="20"/>
                <w:lang w:eastAsia="es-MX"/>
              </w:rPr>
            </w:pPr>
            <w:r w:rsidRPr="00997712">
              <w:rPr>
                <w:sz w:val="20"/>
                <w:szCs w:val="20"/>
                <w:lang w:eastAsia="es-MX"/>
              </w:rPr>
              <w:t xml:space="preserve">El diagnóstico tiene </w:t>
            </w:r>
            <w:r w:rsidRPr="000F3860">
              <w:rPr>
                <w:b/>
                <w:bCs/>
                <w:sz w:val="20"/>
                <w:szCs w:val="20"/>
                <w:lang w:eastAsia="es-MX"/>
              </w:rPr>
              <w:t>una</w:t>
            </w:r>
            <w:r w:rsidRPr="00997712">
              <w:rPr>
                <w:b/>
                <w:sz w:val="20"/>
                <w:szCs w:val="20"/>
                <w:lang w:eastAsia="es-MX"/>
              </w:rPr>
              <w:t xml:space="preserve"> </w:t>
            </w:r>
            <w:r w:rsidRPr="00997712">
              <w:rPr>
                <w:sz w:val="20"/>
                <w:szCs w:val="20"/>
                <w:lang w:eastAsia="es-MX"/>
              </w:rPr>
              <w:t>de las características establecidas en la pregunta.</w:t>
            </w:r>
          </w:p>
        </w:tc>
      </w:tr>
    </w:tbl>
    <w:p w14:paraId="1F1EA990" w14:textId="0720B856" w:rsidR="00BF1E6F" w:rsidRPr="009248AC" w:rsidRDefault="009248AC" w:rsidP="009248AC">
      <w:pPr>
        <w:rPr>
          <w:color w:val="000000" w:themeColor="text1"/>
        </w:rPr>
      </w:pPr>
      <w:r>
        <w:rPr>
          <w:color w:val="000000" w:themeColor="text1"/>
        </w:rPr>
        <w:t xml:space="preserve">El </w:t>
      </w:r>
      <w:r w:rsidR="00D92D1B">
        <w:rPr>
          <w:color w:val="000000" w:themeColor="text1"/>
        </w:rPr>
        <w:t xml:space="preserve">Estado </w:t>
      </w:r>
      <w:r>
        <w:rPr>
          <w:color w:val="000000" w:themeColor="text1"/>
        </w:rPr>
        <w:t xml:space="preserve">de Hidalgo cuenta con un documento diagnóstico en el cual se identifica y describe las problemáticas que se atienden con el FAFEF. </w:t>
      </w:r>
      <w:r w:rsidR="00104F90" w:rsidRPr="009248AC">
        <w:rPr>
          <w:color w:val="000000" w:themeColor="text1"/>
        </w:rPr>
        <w:t>E</w:t>
      </w:r>
      <w:r>
        <w:rPr>
          <w:color w:val="000000" w:themeColor="text1"/>
        </w:rPr>
        <w:t>ste d</w:t>
      </w:r>
      <w:r w:rsidR="00104F90" w:rsidRPr="009248AC">
        <w:rPr>
          <w:color w:val="000000" w:themeColor="text1"/>
        </w:rPr>
        <w:t xml:space="preserve">ocumento de diagnóstico cuenta con un apartado llamado “identificación de la problemática” donde plasma que los recursos del FAFEF se destinan a atender las demandas en materia de infraestructura física, equipamiento, infraestructura física </w:t>
      </w:r>
      <w:r w:rsidRPr="009248AC">
        <w:rPr>
          <w:color w:val="000000" w:themeColor="text1"/>
        </w:rPr>
        <w:t>educativa, modernización</w:t>
      </w:r>
      <w:r w:rsidR="00104F90" w:rsidRPr="009248AC">
        <w:rPr>
          <w:color w:val="000000" w:themeColor="text1"/>
        </w:rPr>
        <w:t xml:space="preserve"> de registros públicos y catastro, saneamiento financiero y como aportación estatal para convenios celebrados con la federación, respecto del otorgamiento de becas de educación básica. </w:t>
      </w:r>
      <w:r w:rsidR="00BF1E6F" w:rsidRPr="009248AC">
        <w:rPr>
          <w:color w:val="000000" w:themeColor="text1"/>
        </w:rPr>
        <w:t>En el documento de diagnóstico se menciona y se constata</w:t>
      </w:r>
      <w:r w:rsidR="00B01735">
        <w:rPr>
          <w:color w:val="000000" w:themeColor="text1"/>
        </w:rPr>
        <w:t xml:space="preserve">, </w:t>
      </w:r>
      <w:r w:rsidR="00BF1E6F" w:rsidRPr="009248AC">
        <w:rPr>
          <w:color w:val="000000" w:themeColor="text1"/>
        </w:rPr>
        <w:t xml:space="preserve">que el FAFEF en </w:t>
      </w:r>
      <w:r w:rsidR="002E1DD6">
        <w:rPr>
          <w:color w:val="000000" w:themeColor="text1"/>
        </w:rPr>
        <w:t>Hidalgo</w:t>
      </w:r>
      <w:r w:rsidR="00BF1E6F" w:rsidRPr="009248AC">
        <w:rPr>
          <w:color w:val="000000" w:themeColor="text1"/>
        </w:rPr>
        <w:t xml:space="preserve"> cuenta con una </w:t>
      </w:r>
      <w:r w:rsidR="00B01735" w:rsidRPr="009248AC">
        <w:rPr>
          <w:color w:val="000000" w:themeColor="text1"/>
        </w:rPr>
        <w:t>MIR,</w:t>
      </w:r>
      <w:r w:rsidR="00B01735">
        <w:rPr>
          <w:color w:val="000000" w:themeColor="text1"/>
        </w:rPr>
        <w:t xml:space="preserve"> </w:t>
      </w:r>
      <w:r w:rsidR="00BF1E6F" w:rsidRPr="009248AC">
        <w:rPr>
          <w:color w:val="000000" w:themeColor="text1"/>
        </w:rPr>
        <w:t xml:space="preserve">cuyo Fin es “Contribuir al fortalecimiento del presupuesto ejercido en Hidalgo mediante la ejecución de proyectos de inversión pública viables con recursos del FAFEF” y su Propósito es “Municipios hidalguenses se fortalecen con la inversión en obras y proyectos financiados con recursos del FAFEF”. </w:t>
      </w:r>
    </w:p>
    <w:p w14:paraId="09165712" w14:textId="39F291FD" w:rsidR="00104F90" w:rsidRDefault="00104F90" w:rsidP="00104F90">
      <w:pPr>
        <w:rPr>
          <w:color w:val="000000" w:themeColor="text1"/>
        </w:rPr>
      </w:pPr>
      <w:r w:rsidRPr="00104F90">
        <w:rPr>
          <w:color w:val="000000" w:themeColor="text1"/>
        </w:rPr>
        <w:t>Aunque se cuenta con</w:t>
      </w:r>
      <w:r w:rsidR="007A3FB4">
        <w:rPr>
          <w:color w:val="000000" w:themeColor="text1"/>
        </w:rPr>
        <w:t xml:space="preserve"> una</w:t>
      </w:r>
      <w:r w:rsidRPr="00104F90">
        <w:rPr>
          <w:color w:val="000000" w:themeColor="text1"/>
        </w:rPr>
        <w:t xml:space="preserve"> MIR específica para el FAFEF en </w:t>
      </w:r>
      <w:r w:rsidR="002E1DD6">
        <w:rPr>
          <w:color w:val="000000" w:themeColor="text1"/>
        </w:rPr>
        <w:t>Hidalgo</w:t>
      </w:r>
      <w:r w:rsidRPr="00104F90">
        <w:rPr>
          <w:color w:val="000000" w:themeColor="text1"/>
        </w:rPr>
        <w:t>, no se visualiza que se haya seguido la metodología</w:t>
      </w:r>
      <w:r w:rsidR="00B01735">
        <w:rPr>
          <w:color w:val="000000" w:themeColor="text1"/>
        </w:rPr>
        <w:t xml:space="preserve"> propuesta por la</w:t>
      </w:r>
      <w:r w:rsidRPr="00104F90">
        <w:rPr>
          <w:color w:val="000000" w:themeColor="text1"/>
        </w:rPr>
        <w:t xml:space="preserve"> SHCP-CONEVAL</w:t>
      </w:r>
      <w:r w:rsidR="002E1DD6">
        <w:rPr>
          <w:color w:val="000000" w:themeColor="text1"/>
        </w:rPr>
        <w:t xml:space="preserve"> en su construcción,</w:t>
      </w:r>
      <w:r w:rsidRPr="00104F90">
        <w:rPr>
          <w:color w:val="000000" w:themeColor="text1"/>
        </w:rPr>
        <w:t xml:space="preserve"> en el sentido que en su documento diagnóstico no se estructura un árbol de problemas, por lo que no se identifica un problema central dentro del entorno de política pública al que respondería el FAFEF y tampoco se presenta un árbol de objetivos.</w:t>
      </w:r>
      <w:r w:rsidR="00BF1E6F">
        <w:rPr>
          <w:color w:val="000000" w:themeColor="text1"/>
        </w:rPr>
        <w:t xml:space="preserve"> </w:t>
      </w:r>
    </w:p>
    <w:p w14:paraId="4BC0540E" w14:textId="7D758573" w:rsidR="007A3FB4" w:rsidRPr="00530757" w:rsidRDefault="00BF1E6F" w:rsidP="00104F90">
      <w:r>
        <w:rPr>
          <w:color w:val="000000" w:themeColor="text1"/>
        </w:rPr>
        <w:t xml:space="preserve">En este documento tampoco se realiza un diagnóstico específico sobre las problemáticas que se atienden con los recursos del FAFEF, que considere un análisis detallado de la problemática para cada rubro </w:t>
      </w:r>
      <w:r w:rsidR="000D07AA">
        <w:rPr>
          <w:color w:val="000000" w:themeColor="text1"/>
        </w:rPr>
        <w:t>de gasto de</w:t>
      </w:r>
      <w:r>
        <w:rPr>
          <w:color w:val="000000" w:themeColor="text1"/>
        </w:rPr>
        <w:t xml:space="preserve"> la LCF.</w:t>
      </w:r>
      <w:r w:rsidR="00530757" w:rsidRPr="00530757">
        <w:t xml:space="preserve"> </w:t>
      </w:r>
      <w:r w:rsidR="00530757">
        <w:t xml:space="preserve">En el </w:t>
      </w:r>
      <w:r w:rsidR="00306BEB">
        <w:t>E</w:t>
      </w:r>
      <w:r w:rsidR="00530757">
        <w:t xml:space="preserve">stado de Hidalgo, los recursos del FAFEF se han destinado principalmente a 4 de los 9 rubros permitidos por la LCF, en promedio durante los ejercicios 2013-2018, </w:t>
      </w:r>
      <w:r w:rsidR="00530757" w:rsidRPr="006E1725">
        <w:t>se han destinado al rubro de infraestructura física 61.13% de los recursos, a saneamiento financiero 25.14%, modernización de los registros públicos de la propiedad y del comercio locales 2.12% y a educación un 11.62%</w:t>
      </w:r>
      <w:r w:rsidR="00530757">
        <w:t>.</w:t>
      </w:r>
      <w:r>
        <w:rPr>
          <w:color w:val="000000" w:themeColor="text1"/>
        </w:rPr>
        <w:t xml:space="preserve">En este sentido, la entidad </w:t>
      </w:r>
      <w:r w:rsidR="001E4511">
        <w:rPr>
          <w:color w:val="000000" w:themeColor="text1"/>
        </w:rPr>
        <w:t xml:space="preserve">federativa </w:t>
      </w:r>
      <w:r>
        <w:rPr>
          <w:color w:val="000000" w:themeColor="text1"/>
        </w:rPr>
        <w:t>debería contar, en su documento</w:t>
      </w:r>
      <w:r w:rsidR="00530757">
        <w:rPr>
          <w:color w:val="000000" w:themeColor="text1"/>
        </w:rPr>
        <w:t>,</w:t>
      </w:r>
      <w:r>
        <w:rPr>
          <w:color w:val="000000" w:themeColor="text1"/>
        </w:rPr>
        <w:t xml:space="preserve"> con un diagn</w:t>
      </w:r>
      <w:r w:rsidR="005A4598">
        <w:rPr>
          <w:color w:val="000000" w:themeColor="text1"/>
        </w:rPr>
        <w:t>ó</w:t>
      </w:r>
      <w:r>
        <w:rPr>
          <w:color w:val="000000" w:themeColor="text1"/>
        </w:rPr>
        <w:t xml:space="preserve">stico que justifique la utilización prioritaria de los recursos hacia </w:t>
      </w:r>
      <w:r w:rsidR="00530757">
        <w:rPr>
          <w:color w:val="000000" w:themeColor="text1"/>
        </w:rPr>
        <w:t>estos rubros</w:t>
      </w:r>
      <w:r>
        <w:rPr>
          <w:color w:val="000000" w:themeColor="text1"/>
        </w:rPr>
        <w:t>.</w:t>
      </w:r>
    </w:p>
    <w:p w14:paraId="45210A82" w14:textId="5AD9834B" w:rsidR="00104F90" w:rsidRDefault="00104F90" w:rsidP="00104F90">
      <w:pPr>
        <w:rPr>
          <w:color w:val="000000" w:themeColor="text1"/>
        </w:rPr>
      </w:pPr>
      <w:r w:rsidRPr="00104F90">
        <w:rPr>
          <w:color w:val="000000" w:themeColor="text1"/>
        </w:rPr>
        <w:t xml:space="preserve">Cabe señalar que en el </w:t>
      </w:r>
      <w:r w:rsidR="00B01BBD">
        <w:rPr>
          <w:color w:val="000000" w:themeColor="text1"/>
        </w:rPr>
        <w:t>PEDH</w:t>
      </w:r>
      <w:r w:rsidRPr="00104F90">
        <w:rPr>
          <w:color w:val="000000" w:themeColor="text1"/>
        </w:rPr>
        <w:t xml:space="preserve"> 2016-2022 se tienen identificadas mediante consensos a la ciudadanía, las principales necesidades de la población en materia de agua, alcantarillado y saneamiento, residuos sólidos, energía, vivienda, movilidad, infraestructura en salud, infraestructura educativa, infraestructura vial e infraestructura tecnológica. Asimismo, también están establecidos los objetivos y estrategias de mediano y largo plazo para la atención de las principales problemáticas. </w:t>
      </w:r>
      <w:r w:rsidR="007A3FB4">
        <w:rPr>
          <w:color w:val="000000" w:themeColor="text1"/>
        </w:rPr>
        <w:t xml:space="preserve">Asimismo, en </w:t>
      </w:r>
      <w:r w:rsidR="001E4511">
        <w:rPr>
          <w:color w:val="000000" w:themeColor="text1"/>
        </w:rPr>
        <w:t>Hidalgo</w:t>
      </w:r>
      <w:r w:rsidR="007A3FB4">
        <w:rPr>
          <w:color w:val="000000" w:themeColor="text1"/>
        </w:rPr>
        <w:t xml:space="preserve"> se cuenta con los Programas sectoriales sobre</w:t>
      </w:r>
      <w:r w:rsidR="00AC5826">
        <w:rPr>
          <w:color w:val="000000" w:themeColor="text1"/>
        </w:rPr>
        <w:t>: 1)</w:t>
      </w:r>
      <w:r w:rsidR="007A3FB4">
        <w:rPr>
          <w:color w:val="000000" w:themeColor="text1"/>
        </w:rPr>
        <w:t xml:space="preserve"> </w:t>
      </w:r>
      <w:r w:rsidR="00AC5826">
        <w:rPr>
          <w:color w:val="000000" w:themeColor="text1"/>
        </w:rPr>
        <w:t>O</w:t>
      </w:r>
      <w:r w:rsidR="007A3FB4">
        <w:rPr>
          <w:color w:val="000000" w:themeColor="text1"/>
        </w:rPr>
        <w:t>bras públicas y ordenamiento territorial</w:t>
      </w:r>
      <w:r w:rsidR="00AC5826">
        <w:rPr>
          <w:color w:val="000000" w:themeColor="text1"/>
        </w:rPr>
        <w:t>; 2) Finanzas públicas; 3) Gobernabilidad democrática y gobernanza, 4) Educación; 5) Medio ambiente y recursos naturales; 6) Salud; 7) Desarrollo Económico; 8) Desarrollo Social y 9) Turismo, los cuales por su enfoque tienen alguna relación con los rubros de gasto permitidos en la LCF. Estos programas sectoriales cuentan con un apartado sobre diagnóstico, análisis estratégico y enfoque prospectivo 2030, en el cual se identifican las principales problemáticas que aquejan a la entidad</w:t>
      </w:r>
      <w:r w:rsidR="001E4511">
        <w:rPr>
          <w:color w:val="000000" w:themeColor="text1"/>
        </w:rPr>
        <w:t xml:space="preserve"> federativa</w:t>
      </w:r>
      <w:r w:rsidR="00AC5826">
        <w:rPr>
          <w:color w:val="000000" w:themeColor="text1"/>
        </w:rPr>
        <w:t>, en sus respectivos campos.</w:t>
      </w:r>
    </w:p>
    <w:p w14:paraId="658EBC05" w14:textId="4666E5F1" w:rsidR="004C17BD" w:rsidRPr="00B06322" w:rsidRDefault="004C17BD" w:rsidP="00104F90">
      <w:pPr>
        <w:rPr>
          <w:color w:val="000000" w:themeColor="text1"/>
        </w:rPr>
      </w:pPr>
      <w:r w:rsidRPr="00B06322">
        <w:lastRenderedPageBreak/>
        <w:t>Asimismo, para la identificación de problemáticas a atender con los recursos del Fondo, se utilizan los Indicadores de Carencia Social (CONEVAL) , Índice de Desarrollo Humano (IDH) ,PEDH 2016-2022, Acta de Sesión del Comité de Planeación para el Desarrollo del Estado de Hidalgo (COPLADEHI), Actas de Sesión del Subcomité de Obras Públicas, Actas de Sesión de los Comités de Planeación para el Desarrollo Regional (COPLADER), Actas de Sesión de los Comités de Planeación para el Desarrollo Municipal (COPLADEM), Mesas de Trabajo relativas al Gasto de Inversión del Presupuesto de Egresos del Estado, Ley de Coordinación Fiscal (para determinar los conceptos susceptibles de ser financiados con el FAFEF). Cabe mencionar que, en la formulación del Plan Estatal de Desarrollo, particip</w:t>
      </w:r>
      <w:r w:rsidR="00B01735" w:rsidRPr="00B06322">
        <w:t>ó</w:t>
      </w:r>
      <w:r w:rsidRPr="00B06322">
        <w:t xml:space="preserve"> la ciudadanía mediante consultas, a través de plataformas tecnológicas y foros de consulta pública.</w:t>
      </w:r>
    </w:p>
    <w:p w14:paraId="3BA2B598" w14:textId="7853DAAC" w:rsidR="00FB38B8" w:rsidRPr="00B06322" w:rsidRDefault="007D70C0" w:rsidP="00104F90">
      <w:r w:rsidRPr="00B06322">
        <w:t xml:space="preserve">En este sentido, se recomienda mejorar el documento de </w:t>
      </w:r>
      <w:r w:rsidR="00E06EB4" w:rsidRPr="00B06322">
        <w:t>Diagnóstico, integrando</w:t>
      </w:r>
      <w:r w:rsidRPr="00B06322">
        <w:t xml:space="preserve"> en este las problemáticas detectadas </w:t>
      </w:r>
      <w:r w:rsidR="00C73F44" w:rsidRPr="00B06322">
        <w:t>para</w:t>
      </w:r>
      <w:r w:rsidRPr="00B06322">
        <w:t xml:space="preserve"> cada uno de los</w:t>
      </w:r>
      <w:r w:rsidR="00C73F44" w:rsidRPr="00B06322">
        <w:t xml:space="preserve"> 9</w:t>
      </w:r>
      <w:r w:rsidRPr="00B06322">
        <w:t xml:space="preserve"> rubros de gasto especificados en</w:t>
      </w:r>
      <w:r w:rsidR="00C73F44" w:rsidRPr="00B06322">
        <w:t xml:space="preserve"> el Artículo 47 de </w:t>
      </w:r>
      <w:r w:rsidRPr="00B06322">
        <w:t>la LCF</w:t>
      </w:r>
      <w:r w:rsidR="00C73F44" w:rsidRPr="00B06322">
        <w:t>;</w:t>
      </w:r>
      <w:r w:rsidRPr="00B06322">
        <w:t xml:space="preserve"> para este fin, es posible auxiliarse de </w:t>
      </w:r>
      <w:r w:rsidR="00104F90" w:rsidRPr="00B06322">
        <w:rPr>
          <w:color w:val="000000" w:themeColor="text1"/>
        </w:rPr>
        <w:t xml:space="preserve">las problemáticas ya detectadas en la planeación </w:t>
      </w:r>
      <w:r w:rsidR="00944CFC" w:rsidRPr="00B06322">
        <w:rPr>
          <w:color w:val="000000" w:themeColor="text1"/>
        </w:rPr>
        <w:t>estatal</w:t>
      </w:r>
      <w:r w:rsidR="00104F90" w:rsidRPr="00B06322">
        <w:rPr>
          <w:color w:val="000000" w:themeColor="text1"/>
        </w:rPr>
        <w:t xml:space="preserve"> como objetivo de gasto de los recursos del FAFEF. Un</w:t>
      </w:r>
      <w:r w:rsidR="00C73F44" w:rsidRPr="00B06322">
        <w:rPr>
          <w:color w:val="000000" w:themeColor="text1"/>
        </w:rPr>
        <w:t>a</w:t>
      </w:r>
      <w:r w:rsidR="00104F90" w:rsidRPr="00B06322">
        <w:rPr>
          <w:color w:val="000000" w:themeColor="text1"/>
        </w:rPr>
        <w:t xml:space="preserve"> de l</w:t>
      </w:r>
      <w:r w:rsidR="00C73F44" w:rsidRPr="00B06322">
        <w:rPr>
          <w:color w:val="000000" w:themeColor="text1"/>
        </w:rPr>
        <w:t>a</w:t>
      </w:r>
      <w:r w:rsidR="00104F90" w:rsidRPr="00B06322">
        <w:rPr>
          <w:color w:val="000000" w:themeColor="text1"/>
        </w:rPr>
        <w:t xml:space="preserve">s principales </w:t>
      </w:r>
      <w:r w:rsidR="00C73F44" w:rsidRPr="00B06322">
        <w:rPr>
          <w:color w:val="000000" w:themeColor="text1"/>
        </w:rPr>
        <w:t>razones</w:t>
      </w:r>
      <w:r w:rsidR="00104F90" w:rsidRPr="00B06322">
        <w:rPr>
          <w:color w:val="000000" w:themeColor="text1"/>
        </w:rPr>
        <w:t xml:space="preserve"> de contar con un documento de diagnóstico</w:t>
      </w:r>
      <w:r w:rsidR="00C73F44" w:rsidRPr="00B06322">
        <w:rPr>
          <w:color w:val="000000" w:themeColor="text1"/>
        </w:rPr>
        <w:t>,</w:t>
      </w:r>
      <w:r w:rsidR="00104F90" w:rsidRPr="00B06322">
        <w:rPr>
          <w:color w:val="000000" w:themeColor="text1"/>
        </w:rPr>
        <w:t xml:space="preserve"> es que en este se defina la </w:t>
      </w:r>
      <w:r w:rsidR="00B16D3D" w:rsidRPr="00B06322">
        <w:rPr>
          <w:color w:val="000000" w:themeColor="text1"/>
        </w:rPr>
        <w:t xml:space="preserve">o </w:t>
      </w:r>
      <w:r w:rsidR="00944CFC" w:rsidRPr="00B06322">
        <w:rPr>
          <w:color w:val="000000" w:themeColor="text1"/>
        </w:rPr>
        <w:t>las problemáticas</w:t>
      </w:r>
      <w:r w:rsidR="00104F90" w:rsidRPr="00B06322">
        <w:rPr>
          <w:color w:val="000000" w:themeColor="text1"/>
        </w:rPr>
        <w:t xml:space="preserve"> a atender</w:t>
      </w:r>
      <w:r w:rsidRPr="00B06322">
        <w:rPr>
          <w:color w:val="000000" w:themeColor="text1"/>
        </w:rPr>
        <w:t xml:space="preserve"> con la ejecución de los recursos del Fondo</w:t>
      </w:r>
      <w:r w:rsidR="00C73F44" w:rsidRPr="00B06322">
        <w:rPr>
          <w:color w:val="000000" w:themeColor="text1"/>
        </w:rPr>
        <w:t xml:space="preserve">; </w:t>
      </w:r>
      <w:r w:rsidR="00104F90" w:rsidRPr="00B06322">
        <w:rPr>
          <w:color w:val="000000" w:themeColor="text1"/>
        </w:rPr>
        <w:t>a través de la estructuración del árbol de problemas, se determinen los objetivos para atender dicha problemática y en esa lógica secuencial se elabor</w:t>
      </w:r>
      <w:r w:rsidR="00C73F44" w:rsidRPr="00B06322">
        <w:rPr>
          <w:color w:val="000000" w:themeColor="text1"/>
        </w:rPr>
        <w:t>e</w:t>
      </w:r>
      <w:r w:rsidR="00104F90" w:rsidRPr="00B06322">
        <w:rPr>
          <w:color w:val="000000" w:themeColor="text1"/>
        </w:rPr>
        <w:t xml:space="preserve"> la MIR, para poder dar seguimiento a la atención de la problemática. Asimismo, es necesaria la definición de la </w:t>
      </w:r>
      <w:r w:rsidR="00944CFC" w:rsidRPr="00B06322">
        <w:rPr>
          <w:color w:val="000000" w:themeColor="text1"/>
        </w:rPr>
        <w:t>p</w:t>
      </w:r>
      <w:r w:rsidR="00104F90" w:rsidRPr="00B06322">
        <w:rPr>
          <w:color w:val="000000" w:themeColor="text1"/>
        </w:rPr>
        <w:t xml:space="preserve">oblación </w:t>
      </w:r>
      <w:r w:rsidRPr="00B06322">
        <w:rPr>
          <w:color w:val="000000" w:themeColor="text1"/>
        </w:rPr>
        <w:t>p</w:t>
      </w:r>
      <w:r w:rsidR="00104F90" w:rsidRPr="00B06322">
        <w:rPr>
          <w:color w:val="000000" w:themeColor="text1"/>
        </w:rPr>
        <w:t>otencial</w:t>
      </w:r>
      <w:r w:rsidRPr="00B06322">
        <w:rPr>
          <w:color w:val="000000" w:themeColor="text1"/>
        </w:rPr>
        <w:t xml:space="preserve"> </w:t>
      </w:r>
      <w:r w:rsidR="00104F90" w:rsidRPr="00B06322">
        <w:rPr>
          <w:color w:val="000000" w:themeColor="text1"/>
        </w:rPr>
        <w:t xml:space="preserve">y </w:t>
      </w:r>
      <w:r w:rsidR="00944CFC" w:rsidRPr="00B06322">
        <w:rPr>
          <w:color w:val="000000" w:themeColor="text1"/>
        </w:rPr>
        <w:t>o</w:t>
      </w:r>
      <w:r w:rsidR="00104F90" w:rsidRPr="00B06322">
        <w:rPr>
          <w:color w:val="000000" w:themeColor="text1"/>
        </w:rPr>
        <w:t>bjetivo</w:t>
      </w:r>
      <w:r w:rsidR="00FB38B8" w:rsidRPr="00B06322">
        <w:rPr>
          <w:color w:val="000000" w:themeColor="text1"/>
        </w:rPr>
        <w:t xml:space="preserve">, para cada rubro de gasto </w:t>
      </w:r>
      <w:r w:rsidR="005347E8" w:rsidRPr="00B06322">
        <w:rPr>
          <w:color w:val="000000" w:themeColor="text1"/>
        </w:rPr>
        <w:t xml:space="preserve">programado </w:t>
      </w:r>
      <w:r w:rsidR="00FB38B8" w:rsidRPr="00B06322">
        <w:rPr>
          <w:color w:val="000000" w:themeColor="text1"/>
        </w:rPr>
        <w:t>en la entidad</w:t>
      </w:r>
      <w:r w:rsidR="006F3ABC" w:rsidRPr="00B06322">
        <w:rPr>
          <w:color w:val="000000" w:themeColor="text1"/>
        </w:rPr>
        <w:t xml:space="preserve"> federativa</w:t>
      </w:r>
      <w:r w:rsidR="00FB38B8" w:rsidRPr="00B06322">
        <w:rPr>
          <w:color w:val="000000" w:themeColor="text1"/>
        </w:rPr>
        <w:t>,</w:t>
      </w:r>
      <w:r w:rsidR="00104F90" w:rsidRPr="00B06322">
        <w:rPr>
          <w:color w:val="000000" w:themeColor="text1"/>
        </w:rPr>
        <w:t xml:space="preserve"> </w:t>
      </w:r>
      <w:r w:rsidRPr="00B06322">
        <w:rPr>
          <w:color w:val="000000" w:themeColor="text1"/>
        </w:rPr>
        <w:t xml:space="preserve">con la finalidad de identificar con claridad la contribución del FAFEF </w:t>
      </w:r>
      <w:r w:rsidR="00531377" w:rsidRPr="00B06322">
        <w:rPr>
          <w:color w:val="000000" w:themeColor="text1"/>
        </w:rPr>
        <w:t>en los</w:t>
      </w:r>
      <w:r w:rsidR="00104F90" w:rsidRPr="00B06322">
        <w:rPr>
          <w:color w:val="000000" w:themeColor="text1"/>
        </w:rPr>
        <w:t xml:space="preserve"> resultados de la ejecución </w:t>
      </w:r>
      <w:r w:rsidR="00FB38B8" w:rsidRPr="00B06322">
        <w:rPr>
          <w:color w:val="000000" w:themeColor="text1"/>
        </w:rPr>
        <w:t xml:space="preserve">de los programas y/o </w:t>
      </w:r>
      <w:r w:rsidR="00104F90" w:rsidRPr="00B06322">
        <w:rPr>
          <w:color w:val="000000" w:themeColor="text1"/>
        </w:rPr>
        <w:t>proyectos</w:t>
      </w:r>
      <w:r w:rsidR="00722B80" w:rsidRPr="00B06322">
        <w:rPr>
          <w:color w:val="000000" w:themeColor="text1"/>
        </w:rPr>
        <w:t xml:space="preserve"> que se financian con estos recursos</w:t>
      </w:r>
      <w:r w:rsidR="00923F2F" w:rsidRPr="00B06322">
        <w:t>.</w:t>
      </w:r>
    </w:p>
    <w:p w14:paraId="29E76D83" w14:textId="75E5611E" w:rsidR="00032E36" w:rsidRPr="00B06322" w:rsidRDefault="00FB38B8" w:rsidP="00104F90">
      <w:r w:rsidRPr="00B06322">
        <w:t>El diagnóstico deb</w:t>
      </w:r>
      <w:r w:rsidR="00032E36" w:rsidRPr="00B06322">
        <w:t>e</w:t>
      </w:r>
      <w:r w:rsidRPr="00B06322">
        <w:t xml:space="preserve"> atender los criterios metodológicos establecidos en los “</w:t>
      </w:r>
      <w:r w:rsidRPr="00850817">
        <w:rPr>
          <w:i/>
          <w:iCs/>
        </w:rPr>
        <w:t xml:space="preserve">Aspectos a considerar para la elaboración del diagnóstico de los </w:t>
      </w:r>
      <w:r w:rsidR="00FA6A1C" w:rsidRPr="00850817">
        <w:rPr>
          <w:i/>
          <w:iCs/>
        </w:rPr>
        <w:t>Pp</w:t>
      </w:r>
      <w:r w:rsidRPr="00850817">
        <w:rPr>
          <w:i/>
          <w:iCs/>
        </w:rPr>
        <w:t xml:space="preserve"> de nueva creación o con cambios sustanciales que se proponga incluir en la Estructura Programática del PEF</w:t>
      </w:r>
      <w:r w:rsidR="00850817">
        <w:t>”</w:t>
      </w:r>
      <w:r w:rsidRPr="00B06322">
        <w:t>, definidos por la SHCP y el CONEVAL publicados en 2019</w:t>
      </w:r>
      <w:r w:rsidRPr="00B06322">
        <w:rPr>
          <w:rStyle w:val="Refdenotaalpie"/>
        </w:rPr>
        <w:footnoteReference w:id="11"/>
      </w:r>
      <w:r w:rsidRPr="00B06322">
        <w:t xml:space="preserve">. Para su elaboración se sugiere los siguientes elementos mínimos: Identificación del problema, </w:t>
      </w:r>
      <w:r w:rsidR="007738CB" w:rsidRPr="00B06322">
        <w:t>es</w:t>
      </w:r>
      <w:r w:rsidRPr="00B06322">
        <w:t xml:space="preserve">tado actual del problema, evolución del </w:t>
      </w:r>
      <w:r w:rsidR="007738CB" w:rsidRPr="00B06322">
        <w:t>p</w:t>
      </w:r>
      <w:r w:rsidRPr="00B06322">
        <w:t>roblema, árbol del problema, árbol de objetivos, justificación teórica y empírica de la intervención, Matriz de Indicadores, presupuesto</w:t>
      </w:r>
      <w:r w:rsidR="00D139FF" w:rsidRPr="00B06322">
        <w:t xml:space="preserve"> requerido</w:t>
      </w:r>
      <w:r w:rsidRPr="00B06322">
        <w:t xml:space="preserve">, </w:t>
      </w:r>
      <w:r w:rsidR="00D139FF" w:rsidRPr="00B06322">
        <w:t xml:space="preserve">población potencial y objetivo, estrategias de cobertura, </w:t>
      </w:r>
      <w:r w:rsidRPr="00B06322">
        <w:t xml:space="preserve">entre otros. </w:t>
      </w:r>
    </w:p>
    <w:p w14:paraId="12CC2885" w14:textId="11B4109B" w:rsidR="00FB38B8" w:rsidRPr="00B06322" w:rsidRDefault="00FB38B8" w:rsidP="00104F90">
      <w:r w:rsidRPr="00B06322">
        <w:t>Adicionalmente</w:t>
      </w:r>
      <w:r w:rsidR="008C11C0" w:rsidRPr="00B06322">
        <w:t>,</w:t>
      </w:r>
      <w:r w:rsidRPr="00B06322">
        <w:t xml:space="preserve"> y considerando que actualmente existen en </w:t>
      </w:r>
      <w:r w:rsidR="005958BB" w:rsidRPr="00B06322">
        <w:t xml:space="preserve">Hidalgo </w:t>
      </w:r>
      <w:r w:rsidRPr="00B06322">
        <w:t>esfuerzos para la implementación de</w:t>
      </w:r>
      <w:r w:rsidR="00CF4351" w:rsidRPr="00B06322">
        <w:t xml:space="preserve"> la metodología del presupuesto basado en resultado</w:t>
      </w:r>
      <w:r w:rsidRPr="00B06322">
        <w:t xml:space="preserve"> </w:t>
      </w:r>
      <w:r w:rsidR="00CF4351" w:rsidRPr="00B06322">
        <w:t>(</w:t>
      </w:r>
      <w:r w:rsidRPr="00B06322">
        <w:t>PbR</w:t>
      </w:r>
      <w:r w:rsidR="00CF4351" w:rsidRPr="00B06322">
        <w:t>)</w:t>
      </w:r>
      <w:r w:rsidRPr="00B06322">
        <w:t xml:space="preserve"> y que se ha trabajado en la elaboración </w:t>
      </w:r>
      <w:r w:rsidR="00B50F06" w:rsidRPr="00B06322">
        <w:t>de una MIR específica para el Fondo en la entidad</w:t>
      </w:r>
      <w:r w:rsidRPr="00B06322">
        <w:t xml:space="preserve">, </w:t>
      </w:r>
      <w:r w:rsidRPr="00DD719D">
        <w:rPr>
          <w:highlight w:val="yellow"/>
        </w:rPr>
        <w:t xml:space="preserve">se recomienda </w:t>
      </w:r>
      <w:r w:rsidR="00B50F06" w:rsidRPr="00DD719D">
        <w:rPr>
          <w:highlight w:val="yellow"/>
        </w:rPr>
        <w:t xml:space="preserve">que la integración de las problemáticas que se atienden con los recursos del Fondo se </w:t>
      </w:r>
      <w:r w:rsidR="005B7E39" w:rsidRPr="00DD719D">
        <w:rPr>
          <w:highlight w:val="yellow"/>
        </w:rPr>
        <w:t>realice mediante el replanteamiento de la MIR estatal del Fondo, estableciendo la alineación de la misma con la MIR federal y a su vez, vinculando los indicadores con los principales destinos de gasto, según los rubros de LCF y con los indicadores de las MIR de los Pp que reciben financiamiento del FAFEF en la entidad federativa</w:t>
      </w:r>
      <w:r w:rsidR="005B7E39">
        <w:t xml:space="preserve">, </w:t>
      </w:r>
      <w:r w:rsidRPr="00B06322">
        <w:t>considerando la integralidad, y definiendo el árbol de problemas, el árbol de objetivos, la aportación del Fondo a los objetivos del PED</w:t>
      </w:r>
      <w:r w:rsidR="0065520F" w:rsidRPr="00B06322">
        <w:t>H</w:t>
      </w:r>
      <w:r w:rsidRPr="00B06322">
        <w:t xml:space="preserve"> 2016-2022, la identificación, caracterización y cuantificación de la población potencial y objetivo y su frecuencia de actualización,</w:t>
      </w:r>
      <w:r w:rsidR="00C9106C" w:rsidRPr="00B06322">
        <w:t xml:space="preserve"> </w:t>
      </w:r>
      <w:r w:rsidRPr="00B06322">
        <w:t>para cada uno de los rubros de gasto permitidos en la LCF que han sido y serán prioritarios en el Estado</w:t>
      </w:r>
      <w:r w:rsidR="00531377" w:rsidRPr="00B06322">
        <w:t>.</w:t>
      </w:r>
    </w:p>
    <w:p w14:paraId="26543A4B" w14:textId="26B32DBB" w:rsidR="004C17BD" w:rsidRPr="009A02A1" w:rsidRDefault="005A63C8" w:rsidP="004C17BD">
      <w:r>
        <w:br w:type="page"/>
      </w:r>
    </w:p>
    <w:p w14:paraId="71D20D4A" w14:textId="38E6D434" w:rsidR="00050989" w:rsidRPr="008724F8" w:rsidRDefault="008724F8" w:rsidP="00997712">
      <w:pPr>
        <w:pStyle w:val="Pregunta"/>
      </w:pPr>
      <w:r>
        <w:lastRenderedPageBreak/>
        <w:t xml:space="preserve">2. </w:t>
      </w:r>
      <w:r w:rsidR="00050989" w:rsidRPr="008724F8">
        <w:t xml:space="preserve">La entidad federativa cuenta con un documento de planeación estratégica acerca de la o las problemáticas a las que contribuye a atender el FAFEF, donde se defina lo siguiente: </w:t>
      </w:r>
    </w:p>
    <w:p w14:paraId="2254BE7B" w14:textId="1A2933D4" w:rsidR="00050989" w:rsidRPr="00997712" w:rsidRDefault="00050989" w:rsidP="00515CAC">
      <w:pPr>
        <w:pStyle w:val="Pregunta"/>
        <w:numPr>
          <w:ilvl w:val="0"/>
          <w:numId w:val="11"/>
        </w:numPr>
      </w:pPr>
      <w:r w:rsidRPr="00997712">
        <w:t>La magnitud o dimensión de la o las problemáticas a atender</w:t>
      </w:r>
    </w:p>
    <w:p w14:paraId="281C2C0F" w14:textId="77777777" w:rsidR="00050989" w:rsidRPr="00997712" w:rsidRDefault="00050989" w:rsidP="00515CAC">
      <w:pPr>
        <w:pStyle w:val="Pregunta"/>
        <w:numPr>
          <w:ilvl w:val="0"/>
          <w:numId w:val="11"/>
        </w:numPr>
      </w:pPr>
      <w:r w:rsidRPr="00997712">
        <w:t>Objetivos a alcanzar en el corto plazo (a dos años) de la o las problemáticas:</w:t>
      </w:r>
    </w:p>
    <w:p w14:paraId="5BD2F7D7" w14:textId="77777777" w:rsidR="00050989" w:rsidRPr="00997712" w:rsidRDefault="00050989" w:rsidP="00515CAC">
      <w:pPr>
        <w:pStyle w:val="Pregunta"/>
        <w:numPr>
          <w:ilvl w:val="0"/>
          <w:numId w:val="11"/>
        </w:numPr>
      </w:pPr>
      <w:r w:rsidRPr="00997712">
        <w:t>Objetivos a alcanzar en el mediano plazo (a seis años) de la o las problemáticas;</w:t>
      </w:r>
    </w:p>
    <w:p w14:paraId="477ADC61" w14:textId="77777777" w:rsidR="00050989" w:rsidRPr="00997712" w:rsidRDefault="00050989" w:rsidP="00515CAC">
      <w:pPr>
        <w:pStyle w:val="Pregunta"/>
        <w:numPr>
          <w:ilvl w:val="0"/>
          <w:numId w:val="11"/>
        </w:numPr>
      </w:pPr>
      <w:r w:rsidRPr="00997712">
        <w:t>Objetivos a alcanzar en el largo plazo (a más de 10 años) de la o las problemáticas;</w:t>
      </w:r>
    </w:p>
    <w:p w14:paraId="4F6556F2" w14:textId="77777777" w:rsidR="00050989" w:rsidRPr="00997712" w:rsidRDefault="00050989" w:rsidP="00515CAC">
      <w:pPr>
        <w:pStyle w:val="Pregunta"/>
        <w:numPr>
          <w:ilvl w:val="0"/>
          <w:numId w:val="11"/>
        </w:numPr>
      </w:pPr>
      <w:r w:rsidRPr="00997712">
        <w:t>Relación entre el presupuesto requerido para cada año y las metas de cobertura</w:t>
      </w:r>
    </w:p>
    <w:p w14:paraId="7DC5565B" w14:textId="77777777" w:rsidR="00050989" w:rsidRPr="00997712" w:rsidRDefault="00050989" w:rsidP="00515CAC">
      <w:pPr>
        <w:pStyle w:val="Pregunta"/>
        <w:numPr>
          <w:ilvl w:val="0"/>
          <w:numId w:val="11"/>
        </w:numPr>
      </w:pPr>
      <w:r w:rsidRPr="00997712">
        <w:t>Indicadores de Resultados para medir los avances:</w:t>
      </w:r>
    </w:p>
    <w:p w14:paraId="168ED619" w14:textId="77777777" w:rsidR="00050989" w:rsidRPr="00997712" w:rsidRDefault="00050989" w:rsidP="00515CAC">
      <w:pPr>
        <w:pStyle w:val="Pregunta"/>
        <w:numPr>
          <w:ilvl w:val="0"/>
          <w:numId w:val="11"/>
        </w:numPr>
      </w:pPr>
      <w:r w:rsidRPr="00997712">
        <w:t>Metas definidas para cada año congruentes con los objetivos de corto, mediano y largo plazos para la o las problemáticas;</w:t>
      </w:r>
    </w:p>
    <w:p w14:paraId="00B84C6F" w14:textId="77777777" w:rsidR="00050989" w:rsidRPr="00997712" w:rsidRDefault="00050989" w:rsidP="00515CAC">
      <w:pPr>
        <w:pStyle w:val="Pregunta"/>
        <w:numPr>
          <w:ilvl w:val="0"/>
          <w:numId w:val="11"/>
        </w:numPr>
      </w:pPr>
      <w:r w:rsidRPr="00997712">
        <w:t>Áreas identificadas donde el FAFEF fortalecerá el presupuesto de la entidad federativa</w:t>
      </w:r>
    </w:p>
    <w:p w14:paraId="3958FF83" w14:textId="12CA1493" w:rsidR="00050989" w:rsidRPr="00997712" w:rsidRDefault="00050989" w:rsidP="00515CAC">
      <w:pPr>
        <w:pStyle w:val="Pregunta"/>
        <w:numPr>
          <w:ilvl w:val="0"/>
          <w:numId w:val="11"/>
        </w:numPr>
        <w:spacing w:after="120"/>
        <w:ind w:left="714" w:hanging="357"/>
      </w:pPr>
      <w:r w:rsidRPr="00997712">
        <w:t>Porcentaje que se destinará del FAFEF en la entidad federativa a cada área identificada.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5"/>
        <w:gridCol w:w="763"/>
        <w:gridCol w:w="7854"/>
      </w:tblGrid>
      <w:tr w:rsidR="002005F7" w:rsidRPr="00997712" w14:paraId="4161F230" w14:textId="77777777" w:rsidTr="009F6379">
        <w:trPr>
          <w:trHeight w:val="260"/>
          <w:jc w:val="center"/>
        </w:trPr>
        <w:tc>
          <w:tcPr>
            <w:tcW w:w="675" w:type="pct"/>
            <w:shd w:val="clear" w:color="auto" w:fill="FFFFFF"/>
            <w:vAlign w:val="center"/>
          </w:tcPr>
          <w:p w14:paraId="1BDC8A43" w14:textId="77777777" w:rsidR="002005F7" w:rsidRPr="00997712" w:rsidRDefault="002005F7" w:rsidP="00945DC0">
            <w:pPr>
              <w:pBdr>
                <w:top w:val="nil"/>
                <w:left w:val="nil"/>
                <w:bottom w:val="nil"/>
                <w:right w:val="nil"/>
                <w:between w:val="nil"/>
              </w:pBdr>
              <w:spacing w:before="0" w:after="0"/>
              <w:ind w:left="12"/>
              <w:jc w:val="center"/>
              <w:rPr>
                <w:rFonts w:ascii="Calibri" w:eastAsia="Calibri" w:hAnsi="Calibri" w:cs="Calibri"/>
                <w:b/>
                <w:color w:val="000000"/>
                <w:sz w:val="20"/>
                <w:szCs w:val="20"/>
                <w:lang w:eastAsia="es-MX"/>
              </w:rPr>
            </w:pPr>
            <w:r w:rsidRPr="00997712">
              <w:rPr>
                <w:rFonts w:ascii="Calibri" w:eastAsia="Calibri" w:hAnsi="Calibri" w:cs="Calibri"/>
                <w:b/>
                <w:color w:val="000000"/>
                <w:sz w:val="20"/>
                <w:szCs w:val="20"/>
                <w:lang w:eastAsia="es-MX"/>
              </w:rPr>
              <w:t>Respuesta</w:t>
            </w:r>
          </w:p>
        </w:tc>
        <w:tc>
          <w:tcPr>
            <w:tcW w:w="383" w:type="pct"/>
            <w:shd w:val="clear" w:color="auto" w:fill="FFFFFF"/>
            <w:vAlign w:val="center"/>
          </w:tcPr>
          <w:p w14:paraId="76B0E74E" w14:textId="77777777" w:rsidR="002005F7" w:rsidRPr="00997712" w:rsidRDefault="002005F7" w:rsidP="00945DC0">
            <w:pPr>
              <w:pBdr>
                <w:top w:val="nil"/>
                <w:left w:val="nil"/>
                <w:bottom w:val="nil"/>
                <w:right w:val="nil"/>
                <w:between w:val="nil"/>
              </w:pBdr>
              <w:spacing w:before="0" w:after="0"/>
              <w:ind w:left="12"/>
              <w:jc w:val="center"/>
              <w:rPr>
                <w:rFonts w:ascii="Calibri" w:eastAsia="Calibri" w:hAnsi="Calibri" w:cs="Calibri"/>
                <w:b/>
                <w:color w:val="000000"/>
                <w:sz w:val="20"/>
                <w:szCs w:val="20"/>
                <w:lang w:eastAsia="es-MX"/>
              </w:rPr>
            </w:pPr>
            <w:r w:rsidRPr="00997712">
              <w:rPr>
                <w:rFonts w:ascii="Calibri" w:eastAsia="Calibri" w:hAnsi="Calibri" w:cs="Calibri"/>
                <w:b/>
                <w:color w:val="000000"/>
                <w:sz w:val="20"/>
                <w:szCs w:val="20"/>
                <w:lang w:eastAsia="es-MX"/>
              </w:rPr>
              <w:t>Nivel</w:t>
            </w:r>
          </w:p>
        </w:tc>
        <w:tc>
          <w:tcPr>
            <w:tcW w:w="3942" w:type="pct"/>
            <w:shd w:val="clear" w:color="auto" w:fill="FFFFFF"/>
            <w:vAlign w:val="center"/>
          </w:tcPr>
          <w:p w14:paraId="7BA699A9" w14:textId="77777777" w:rsidR="002005F7" w:rsidRPr="00997712" w:rsidRDefault="002005F7" w:rsidP="00945DC0">
            <w:pPr>
              <w:pBdr>
                <w:top w:val="nil"/>
                <w:left w:val="nil"/>
                <w:bottom w:val="nil"/>
                <w:right w:val="nil"/>
                <w:between w:val="nil"/>
              </w:pBdr>
              <w:spacing w:before="0" w:after="0"/>
              <w:ind w:firstLine="20"/>
              <w:jc w:val="center"/>
              <w:rPr>
                <w:rFonts w:ascii="Calibri" w:eastAsia="Calibri" w:hAnsi="Calibri" w:cs="Calibri"/>
                <w:b/>
                <w:color w:val="000000"/>
                <w:sz w:val="20"/>
                <w:szCs w:val="20"/>
                <w:lang w:eastAsia="es-MX"/>
              </w:rPr>
            </w:pPr>
            <w:r w:rsidRPr="00997712">
              <w:rPr>
                <w:rFonts w:ascii="Calibri" w:eastAsia="Calibri" w:hAnsi="Calibri" w:cs="Calibri"/>
                <w:b/>
                <w:color w:val="000000"/>
                <w:sz w:val="20"/>
                <w:szCs w:val="20"/>
                <w:lang w:eastAsia="es-MX"/>
              </w:rPr>
              <w:t>Criterios</w:t>
            </w:r>
          </w:p>
        </w:tc>
      </w:tr>
      <w:tr w:rsidR="002005F7" w:rsidRPr="00997712" w14:paraId="7690F20A" w14:textId="77777777" w:rsidTr="009F6379">
        <w:trPr>
          <w:trHeight w:val="400"/>
          <w:jc w:val="center"/>
        </w:trPr>
        <w:tc>
          <w:tcPr>
            <w:tcW w:w="675" w:type="pct"/>
            <w:shd w:val="clear" w:color="auto" w:fill="FFFFFF"/>
            <w:vAlign w:val="center"/>
          </w:tcPr>
          <w:p w14:paraId="6594F6C6" w14:textId="6D2569B0" w:rsidR="002005F7" w:rsidRPr="00997712" w:rsidRDefault="00923F2F" w:rsidP="00945DC0">
            <w:pPr>
              <w:pBdr>
                <w:top w:val="nil"/>
                <w:left w:val="nil"/>
                <w:bottom w:val="nil"/>
                <w:right w:val="nil"/>
                <w:between w:val="nil"/>
              </w:pBdr>
              <w:shd w:val="clear" w:color="auto" w:fill="FFFFFF"/>
              <w:spacing w:before="0" w:after="0"/>
              <w:ind w:firstLine="7"/>
              <w:jc w:val="center"/>
              <w:rPr>
                <w:rFonts w:eastAsia="Calibri" w:cs="Arial"/>
                <w:color w:val="000000"/>
                <w:sz w:val="20"/>
                <w:szCs w:val="20"/>
                <w:lang w:eastAsia="es-MX"/>
              </w:rPr>
            </w:pPr>
            <w:r>
              <w:rPr>
                <w:rFonts w:eastAsia="Calibri" w:cs="Arial"/>
                <w:color w:val="000000"/>
                <w:sz w:val="20"/>
                <w:szCs w:val="20"/>
                <w:lang w:eastAsia="es-MX"/>
              </w:rPr>
              <w:t>No</w:t>
            </w:r>
          </w:p>
        </w:tc>
        <w:tc>
          <w:tcPr>
            <w:tcW w:w="383" w:type="pct"/>
            <w:shd w:val="clear" w:color="auto" w:fill="FFFFFF"/>
            <w:vAlign w:val="center"/>
          </w:tcPr>
          <w:p w14:paraId="1ECBF3E1" w14:textId="1B13BB8A" w:rsidR="002005F7" w:rsidRPr="00997712" w:rsidRDefault="002005F7" w:rsidP="00945DC0">
            <w:pPr>
              <w:pBdr>
                <w:top w:val="nil"/>
                <w:left w:val="nil"/>
                <w:bottom w:val="nil"/>
                <w:right w:val="nil"/>
                <w:between w:val="nil"/>
              </w:pBdr>
              <w:shd w:val="clear" w:color="auto" w:fill="FFFFFF"/>
              <w:spacing w:before="0" w:after="0"/>
              <w:ind w:firstLine="7"/>
              <w:jc w:val="center"/>
              <w:rPr>
                <w:rFonts w:eastAsia="Calibri" w:cs="Arial"/>
                <w:color w:val="000000"/>
                <w:sz w:val="20"/>
                <w:szCs w:val="20"/>
                <w:lang w:eastAsia="es-MX"/>
              </w:rPr>
            </w:pPr>
          </w:p>
        </w:tc>
        <w:tc>
          <w:tcPr>
            <w:tcW w:w="3942" w:type="pct"/>
            <w:shd w:val="clear" w:color="auto" w:fill="FFFFFF"/>
            <w:vAlign w:val="center"/>
          </w:tcPr>
          <w:p w14:paraId="7130C20A" w14:textId="5C34C8DA" w:rsidR="002005F7" w:rsidRPr="00997712" w:rsidRDefault="002005F7" w:rsidP="00945DC0">
            <w:pPr>
              <w:tabs>
                <w:tab w:val="left" w:pos="256"/>
              </w:tabs>
              <w:spacing w:before="0" w:after="0"/>
              <w:jc w:val="left"/>
              <w:rPr>
                <w:rFonts w:eastAsia="Calibri" w:cs="Arial"/>
                <w:color w:val="000000"/>
                <w:sz w:val="20"/>
                <w:szCs w:val="20"/>
                <w:lang w:eastAsia="es-MX"/>
              </w:rPr>
            </w:pPr>
          </w:p>
        </w:tc>
      </w:tr>
    </w:tbl>
    <w:p w14:paraId="32F5A39D" w14:textId="368ED46C" w:rsidR="00A6166C" w:rsidRPr="00923F2F" w:rsidRDefault="00923F2F" w:rsidP="007A4E1F">
      <w:pPr>
        <w:rPr>
          <w:b/>
          <w:bCs/>
        </w:rPr>
      </w:pPr>
      <w:r>
        <w:t xml:space="preserve">El </w:t>
      </w:r>
      <w:r w:rsidR="00306BEB">
        <w:t>E</w:t>
      </w:r>
      <w:r>
        <w:t xml:space="preserve">stado de Hidalgo no cuenta con un documento de planeación estratégica </w:t>
      </w:r>
      <w:r w:rsidR="00377EE7">
        <w:t>específico</w:t>
      </w:r>
      <w:r>
        <w:t xml:space="preserve"> para el Fondo, el documento de planeación referido como rector para el ejercicio de los recursos del </w:t>
      </w:r>
      <w:r w:rsidR="007738CB">
        <w:t>FAFEF</w:t>
      </w:r>
      <w:r>
        <w:t xml:space="preserve"> en </w:t>
      </w:r>
      <w:r w:rsidR="005958BB">
        <w:t>Hidalgo</w:t>
      </w:r>
      <w:r w:rsidR="007A4E1F">
        <w:t xml:space="preserve"> es el PED</w:t>
      </w:r>
      <w:r w:rsidR="00FA04DA">
        <w:t>H</w:t>
      </w:r>
      <w:r w:rsidR="007A4E1F">
        <w:t xml:space="preserve"> 2016-2022. </w:t>
      </w:r>
      <w:r w:rsidR="001C1B04">
        <w:t xml:space="preserve">En </w:t>
      </w:r>
      <w:r w:rsidR="007A4E1F">
        <w:t>este</w:t>
      </w:r>
      <w:r w:rsidR="00A6166C">
        <w:t xml:space="preserve"> se establecen principios y análisis estratégicos con objetivos y líneas generales y los vincula a indicadores estratégicos con metas para el actual gobierno. </w:t>
      </w:r>
    </w:p>
    <w:p w14:paraId="149291BC" w14:textId="4EEB5E5E" w:rsidR="00A6166C" w:rsidRDefault="00A6166C" w:rsidP="00A6166C">
      <w:r>
        <w:t>Específicamente en el apartado III. Desarrollo de ejes y objetivos estratégicos, establece políticas transversales por cada problema que se describe en el documento, basándose en diagnósticos previamente realizados a través de instrumentos de</w:t>
      </w:r>
      <w:r w:rsidR="001C1B04">
        <w:t xml:space="preserve"> participación ciudadana</w:t>
      </w:r>
      <w:r w:rsidR="007738CB">
        <w:t>;</w:t>
      </w:r>
      <w:r>
        <w:t xml:space="preserve"> como ya se había mencionado anteriormente</w:t>
      </w:r>
      <w:r w:rsidR="0077046A">
        <w:t>,</w:t>
      </w:r>
      <w:r>
        <w:t xml:space="preserve"> mediante consensos a la población se ha</w:t>
      </w:r>
      <w:r w:rsidR="0077046A">
        <w:t>n</w:t>
      </w:r>
      <w:r>
        <w:t xml:space="preserve"> identificado problemáticas y también ha servido para establecer estrategias</w:t>
      </w:r>
      <w:r w:rsidR="00FA04DA">
        <w:t>.</w:t>
      </w:r>
    </w:p>
    <w:p w14:paraId="62DF8259" w14:textId="747DC21C" w:rsidR="00A6166C" w:rsidRDefault="00A6166C" w:rsidP="00A6166C">
      <w:r>
        <w:t xml:space="preserve">Cabe mencionar que el </w:t>
      </w:r>
      <w:r w:rsidR="00CB2658">
        <w:t>PEDH 2016-2022</w:t>
      </w:r>
      <w:r>
        <w:t xml:space="preserve"> se compone de 5 ejes</w:t>
      </w:r>
      <w:r w:rsidR="0077046A">
        <w:t>,</w:t>
      </w:r>
      <w:r>
        <w:t xml:space="preserve"> formulados con sus respectivos diagnósticos</w:t>
      </w:r>
      <w:r w:rsidR="0077046A">
        <w:t>,</w:t>
      </w:r>
      <w:r>
        <w:t xml:space="preserve"> donde describen con estadísticas</w:t>
      </w:r>
      <w:r w:rsidR="007738CB">
        <w:t>,</w:t>
      </w:r>
      <w:r>
        <w:t xml:space="preserve"> la problemática para realizar análisis estratégicos, cada uno de los ejes contiene una plataforma estratégica que incluye objetivos e indicadores estratégicos, objetivos generales, estrategias y líneas de acción.</w:t>
      </w:r>
      <w:r w:rsidR="00AC5225">
        <w:t xml:space="preserve"> </w:t>
      </w:r>
      <w:r>
        <w:t>Cada meta en cada eje posee un valor base de referencia con respecto al año 2015 y estimaciones al año 2022 y al año 2030, es decir metas a 7 y 15 años respectivamente.</w:t>
      </w:r>
      <w:r w:rsidR="007738CB">
        <w:t xml:space="preserve"> Sin embargo, n</w:t>
      </w:r>
      <w:r>
        <w:t xml:space="preserve">o se observó alguna descripción en el documento donde se señale específicamente el </w:t>
      </w:r>
      <w:r w:rsidR="001A1E50">
        <w:t>p</w:t>
      </w:r>
      <w:r>
        <w:t>orcentaje que se destinará del FAFEF en la entidad federativa a cada área identificada.</w:t>
      </w:r>
    </w:p>
    <w:p w14:paraId="7CE08301" w14:textId="5799B196" w:rsidR="00450CB3" w:rsidRDefault="00A6166C" w:rsidP="00450CB3">
      <w:pPr>
        <w:rPr>
          <w:rFonts w:cstheme="minorHAnsi"/>
          <w:bCs/>
        </w:rPr>
      </w:pPr>
      <w:r>
        <w:t>En el mismo tenor que la pregunta anterior, es necesaria la definición de un documento de planeación estratégica para el FAFEF</w:t>
      </w:r>
      <w:r w:rsidR="00910EF5">
        <w:t>, por parte del gobierno del Estado,</w:t>
      </w:r>
      <w:r w:rsidR="00E770C3">
        <w:t xml:space="preserve"> que </w:t>
      </w:r>
      <w:r w:rsidR="00E770C3">
        <w:rPr>
          <w:rFonts w:cstheme="minorHAnsi"/>
          <w:bCs/>
        </w:rPr>
        <w:t xml:space="preserve">aborde los 9 rubros de gasto establecidos en el artículo 47 de la LCF. Para cada uno de los rubros de gasto, </w:t>
      </w:r>
      <w:r>
        <w:t xml:space="preserve">se </w:t>
      </w:r>
      <w:r w:rsidR="00E770C3">
        <w:t xml:space="preserve">debe </w:t>
      </w:r>
      <w:r>
        <w:t>determin</w:t>
      </w:r>
      <w:r w:rsidR="00E770C3">
        <w:t>ar</w:t>
      </w:r>
      <w:r>
        <w:t xml:space="preserve"> la magnitud o dimensión de la problemática a atender, la contribución de la aplicación de los recursos del FAFEF en la resolución de dicha problemática, </w:t>
      </w:r>
      <w:r w:rsidR="0077046A">
        <w:t xml:space="preserve">y establecer </w:t>
      </w:r>
      <w:r>
        <w:t xml:space="preserve">objetivo y metas de corto, mediano y largo plazos. </w:t>
      </w:r>
      <w:r w:rsidR="00450CB3">
        <w:rPr>
          <w:rFonts w:cstheme="minorHAnsi"/>
          <w:bCs/>
        </w:rPr>
        <w:t>Los objetivos y sus metas deberán ser establecidos en un horizonte de dos años (corto plazo), seis años (mediano plazo) y largo plazo (más de 10 años).</w:t>
      </w:r>
      <w:r w:rsidR="00E770C3">
        <w:rPr>
          <w:rFonts w:cstheme="minorHAnsi"/>
          <w:bCs/>
        </w:rPr>
        <w:t xml:space="preserve"> </w:t>
      </w:r>
      <w:r w:rsidR="00450CB3">
        <w:rPr>
          <w:rFonts w:cstheme="minorHAnsi"/>
          <w:bCs/>
        </w:rPr>
        <w:t>El documento establecido deberá definir la población objetivo según sea el caso y establecer su cuantificación a nivel población potencial y objetivo. Lo anterior con la finalidad de dar seguimiento a la población atendida y su nivel de cobertura. El documento deber</w:t>
      </w:r>
      <w:r w:rsidR="00757C15">
        <w:rPr>
          <w:rFonts w:cstheme="minorHAnsi"/>
          <w:bCs/>
        </w:rPr>
        <w:t>á</w:t>
      </w:r>
      <w:r w:rsidR="00450CB3">
        <w:rPr>
          <w:rFonts w:cstheme="minorHAnsi"/>
          <w:bCs/>
        </w:rPr>
        <w:t xml:space="preserve"> establecer metas de cobertura </w:t>
      </w:r>
      <w:r w:rsidR="00910EF5">
        <w:rPr>
          <w:rFonts w:cstheme="minorHAnsi"/>
          <w:bCs/>
        </w:rPr>
        <w:t>a partir de</w:t>
      </w:r>
      <w:r w:rsidR="00450CB3">
        <w:rPr>
          <w:rFonts w:cstheme="minorHAnsi"/>
          <w:bCs/>
        </w:rPr>
        <w:t xml:space="preserve"> la línea base que </w:t>
      </w:r>
      <w:r w:rsidR="00910EF5">
        <w:rPr>
          <w:rFonts w:cstheme="minorHAnsi"/>
          <w:bCs/>
        </w:rPr>
        <w:t>se defina</w:t>
      </w:r>
      <w:r w:rsidR="00450CB3">
        <w:rPr>
          <w:rFonts w:cstheme="minorHAnsi"/>
          <w:bCs/>
        </w:rPr>
        <w:t xml:space="preserve"> a partir del diagnóstico recomendado en la pregunta anterior.</w:t>
      </w:r>
    </w:p>
    <w:p w14:paraId="4C0EB22D" w14:textId="4D40D047" w:rsidR="00450CB3" w:rsidRDefault="0077046A" w:rsidP="00450CB3">
      <w:pPr>
        <w:rPr>
          <w:rFonts w:cstheme="minorHAnsi"/>
          <w:bCs/>
        </w:rPr>
      </w:pPr>
      <w:r>
        <w:rPr>
          <w:rFonts w:cstheme="minorHAnsi"/>
          <w:bCs/>
        </w:rPr>
        <w:t xml:space="preserve">El </w:t>
      </w:r>
      <w:r w:rsidR="00450CB3">
        <w:rPr>
          <w:rFonts w:cstheme="minorHAnsi"/>
          <w:bCs/>
        </w:rPr>
        <w:t>documento estratégico deberá incluir indicadores de gestión y resultados con las características señaladas por la SHCP y CONEVAL en sus guías y manuales. Los indicadores deberán medir el desempeño en el ejercicio de los recursos del Fondo</w:t>
      </w:r>
      <w:r>
        <w:rPr>
          <w:rFonts w:cstheme="minorHAnsi"/>
          <w:bCs/>
        </w:rPr>
        <w:t xml:space="preserve"> y</w:t>
      </w:r>
      <w:r w:rsidR="00450CB3">
        <w:rPr>
          <w:rFonts w:cstheme="minorHAnsi"/>
          <w:bCs/>
        </w:rPr>
        <w:t xml:space="preserve"> dar cuenta de la medición del nivel de cumplimiento de metas y objetivos relacionados con la atención de la o las problemáticas para cada rubro de gasto del Fondo.</w:t>
      </w:r>
    </w:p>
    <w:p w14:paraId="6AD64914" w14:textId="413E6EFF" w:rsidR="00450CB3" w:rsidRDefault="00450CB3" w:rsidP="00450CB3">
      <w:pPr>
        <w:rPr>
          <w:rFonts w:cstheme="minorHAnsi"/>
          <w:bCs/>
        </w:rPr>
      </w:pPr>
      <w:r>
        <w:rPr>
          <w:rFonts w:cstheme="minorHAnsi"/>
          <w:bCs/>
        </w:rPr>
        <w:lastRenderedPageBreak/>
        <w:t>El documento deberá ser adicional a los instrumentos de planeación estatal como el PED</w:t>
      </w:r>
      <w:r w:rsidR="00910EF5">
        <w:rPr>
          <w:rFonts w:cstheme="minorHAnsi"/>
          <w:bCs/>
        </w:rPr>
        <w:t>H</w:t>
      </w:r>
      <w:r>
        <w:rPr>
          <w:rFonts w:cstheme="minorHAnsi"/>
          <w:bCs/>
        </w:rPr>
        <w:t xml:space="preserve"> y los programas sectoriales que apliquen en los distintos rubros de gasto. Lo anterior con la finalidad de que el documento guie al Estado en el uso de los recursos del FAFEF.</w:t>
      </w:r>
    </w:p>
    <w:p w14:paraId="7531FD62" w14:textId="3CE42038" w:rsidR="00E770C3" w:rsidRPr="005A63C8" w:rsidRDefault="00E770C3" w:rsidP="00E770C3">
      <w:r>
        <w:t xml:space="preserve">En relación con el presupuesto requerido, dada la fórmula de cálculo de los montos asignados a la entidad </w:t>
      </w:r>
      <w:r w:rsidR="001A1E50">
        <w:t xml:space="preserve">federativa </w:t>
      </w:r>
      <w:r>
        <w:t xml:space="preserve">por el FAFEF, es posible </w:t>
      </w:r>
      <w:r w:rsidR="00D03A6B">
        <w:t>realizar una estimación</w:t>
      </w:r>
      <w:r>
        <w:t xml:space="preserve"> </w:t>
      </w:r>
      <w:r w:rsidR="00D03A6B">
        <w:t>d</w:t>
      </w:r>
      <w:r>
        <w:t xml:space="preserve">el monto anual que recibe el </w:t>
      </w:r>
      <w:r w:rsidR="00306BEB">
        <w:t>E</w:t>
      </w:r>
      <w:r>
        <w:t xml:space="preserve">stado, por lo que será posible proyectar el presupuesto en la atención de la problemática y </w:t>
      </w:r>
      <w:r w:rsidR="0077046A">
        <w:t xml:space="preserve">por lo tanto </w:t>
      </w:r>
      <w:r>
        <w:t>las metas de cobertura.</w:t>
      </w:r>
    </w:p>
    <w:p w14:paraId="13350C9F" w14:textId="77777777" w:rsidR="00E770C3" w:rsidRDefault="00E770C3" w:rsidP="00450CB3">
      <w:pPr>
        <w:rPr>
          <w:rFonts w:cstheme="minorHAnsi"/>
          <w:bCs/>
        </w:rPr>
      </w:pPr>
    </w:p>
    <w:p w14:paraId="246A80CC" w14:textId="2EDD071E" w:rsidR="00121328" w:rsidRDefault="00121328" w:rsidP="00162100">
      <w:pPr>
        <w:rPr>
          <w:rFonts w:cstheme="minorHAnsi"/>
          <w:b/>
        </w:rPr>
      </w:pPr>
      <w:r>
        <w:rPr>
          <w:rFonts w:cstheme="minorHAnsi"/>
          <w:b/>
        </w:rPr>
        <w:br w:type="page"/>
      </w:r>
    </w:p>
    <w:p w14:paraId="5221D9CF" w14:textId="3574DDDB" w:rsidR="008F5DC1" w:rsidRPr="00147A15" w:rsidRDefault="003B5E62" w:rsidP="003B5E62">
      <w:pPr>
        <w:pStyle w:val="Ttulo1"/>
      </w:pPr>
      <w:bookmarkStart w:id="27" w:name="_Toc56423702"/>
      <w:r>
        <w:lastRenderedPageBreak/>
        <w:t xml:space="preserve">IV. </w:t>
      </w:r>
      <w:r w:rsidR="008F5DC1" w:rsidRPr="00147A15">
        <w:t>Módulo 2.</w:t>
      </w:r>
      <w:bookmarkStart w:id="28" w:name="_Hlk44233874"/>
      <w:r w:rsidR="008F5DC1" w:rsidRPr="00147A15">
        <w:t xml:space="preserve"> Matriz de Indicadores para Resultados (MIR)</w:t>
      </w:r>
      <w:bookmarkEnd w:id="27"/>
      <w:bookmarkEnd w:id="28"/>
    </w:p>
    <w:p w14:paraId="0122227E" w14:textId="7D3A4933" w:rsidR="00050989" w:rsidRPr="008724F8" w:rsidRDefault="008724F8" w:rsidP="008724F8">
      <w:pPr>
        <w:spacing w:before="0" w:after="0" w:line="259" w:lineRule="auto"/>
        <w:rPr>
          <w:rFonts w:cstheme="minorHAnsi"/>
          <w:b/>
        </w:rPr>
      </w:pPr>
      <w:r>
        <w:rPr>
          <w:rFonts w:cstheme="minorHAnsi"/>
          <w:b/>
        </w:rPr>
        <w:t xml:space="preserve">3. </w:t>
      </w:r>
      <w:r w:rsidR="00050989" w:rsidRPr="008724F8">
        <w:rPr>
          <w:rFonts w:cstheme="minorHAnsi"/>
          <w:b/>
        </w:rPr>
        <w:t>¿Cómo documenta la entidad federativa los resultados de las aportaciones del FAFEF?</w:t>
      </w:r>
    </w:p>
    <w:p w14:paraId="1591EA62" w14:textId="77777777" w:rsidR="00050989" w:rsidRPr="00997712" w:rsidRDefault="00050989" w:rsidP="00515CAC">
      <w:pPr>
        <w:pStyle w:val="Pregunta"/>
        <w:numPr>
          <w:ilvl w:val="0"/>
          <w:numId w:val="12"/>
        </w:numPr>
      </w:pPr>
      <w:r w:rsidRPr="00997712">
        <w:t>Indicadores de la MIR asociados al FAFEF</w:t>
      </w:r>
    </w:p>
    <w:p w14:paraId="19D96455" w14:textId="77777777" w:rsidR="00050989" w:rsidRPr="00997712" w:rsidRDefault="00050989" w:rsidP="00515CAC">
      <w:pPr>
        <w:pStyle w:val="Pregunta"/>
        <w:numPr>
          <w:ilvl w:val="0"/>
          <w:numId w:val="12"/>
        </w:numPr>
      </w:pPr>
      <w:r w:rsidRPr="00997712">
        <w:t>Indicadores asociados a la estructura programática estatal.</w:t>
      </w:r>
    </w:p>
    <w:p w14:paraId="43EACEBB" w14:textId="77777777" w:rsidR="00050989" w:rsidRPr="00997712" w:rsidRDefault="00050989" w:rsidP="00515CAC">
      <w:pPr>
        <w:pStyle w:val="Pregunta"/>
        <w:numPr>
          <w:ilvl w:val="0"/>
          <w:numId w:val="12"/>
        </w:numPr>
      </w:pPr>
      <w:r w:rsidRPr="00997712">
        <w:t xml:space="preserve">Evaluaciones </w:t>
      </w:r>
    </w:p>
    <w:p w14:paraId="2209C6D2" w14:textId="5512583D" w:rsidR="00050989" w:rsidRPr="00997712" w:rsidRDefault="00050989" w:rsidP="00515CAC">
      <w:pPr>
        <w:pStyle w:val="Pregunta"/>
        <w:numPr>
          <w:ilvl w:val="0"/>
          <w:numId w:val="12"/>
        </w:numPr>
        <w:spacing w:after="120"/>
        <w:ind w:left="714" w:hanging="357"/>
      </w:pPr>
      <w:r w:rsidRPr="00997712">
        <w:t>Otros mecanismos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5"/>
        <w:gridCol w:w="763"/>
        <w:gridCol w:w="7854"/>
      </w:tblGrid>
      <w:tr w:rsidR="002005F7" w:rsidRPr="009F6379" w14:paraId="19347343" w14:textId="77777777" w:rsidTr="00D02330">
        <w:trPr>
          <w:trHeight w:val="260"/>
          <w:jc w:val="center"/>
        </w:trPr>
        <w:tc>
          <w:tcPr>
            <w:tcW w:w="675" w:type="pct"/>
            <w:shd w:val="clear" w:color="auto" w:fill="FFFFFF"/>
            <w:vAlign w:val="center"/>
          </w:tcPr>
          <w:p w14:paraId="7B08C811" w14:textId="77777777" w:rsidR="002005F7" w:rsidRPr="009F6379" w:rsidRDefault="002005F7" w:rsidP="00945DC0">
            <w:pPr>
              <w:spacing w:before="0" w:after="0"/>
              <w:jc w:val="center"/>
              <w:rPr>
                <w:b/>
                <w:bCs/>
                <w:sz w:val="20"/>
                <w:szCs w:val="20"/>
                <w:lang w:eastAsia="es-MX"/>
              </w:rPr>
            </w:pPr>
            <w:r w:rsidRPr="009F6379">
              <w:rPr>
                <w:b/>
                <w:bCs/>
                <w:sz w:val="20"/>
                <w:szCs w:val="20"/>
                <w:lang w:eastAsia="es-MX"/>
              </w:rPr>
              <w:t>Respuesta</w:t>
            </w:r>
          </w:p>
        </w:tc>
        <w:tc>
          <w:tcPr>
            <w:tcW w:w="383" w:type="pct"/>
            <w:shd w:val="clear" w:color="auto" w:fill="FFFFFF"/>
            <w:vAlign w:val="center"/>
          </w:tcPr>
          <w:p w14:paraId="1AF0234D" w14:textId="77777777" w:rsidR="002005F7" w:rsidRPr="009F6379" w:rsidRDefault="002005F7" w:rsidP="00945DC0">
            <w:pPr>
              <w:spacing w:before="0" w:after="0"/>
              <w:jc w:val="center"/>
              <w:rPr>
                <w:b/>
                <w:bCs/>
                <w:sz w:val="20"/>
                <w:szCs w:val="20"/>
                <w:lang w:eastAsia="es-MX"/>
              </w:rPr>
            </w:pPr>
            <w:r w:rsidRPr="009F6379">
              <w:rPr>
                <w:b/>
                <w:bCs/>
                <w:sz w:val="20"/>
                <w:szCs w:val="20"/>
                <w:lang w:eastAsia="es-MX"/>
              </w:rPr>
              <w:t>Nivel</w:t>
            </w:r>
          </w:p>
        </w:tc>
        <w:tc>
          <w:tcPr>
            <w:tcW w:w="3942" w:type="pct"/>
            <w:shd w:val="clear" w:color="auto" w:fill="FFFFFF"/>
            <w:vAlign w:val="center"/>
          </w:tcPr>
          <w:p w14:paraId="0986F367" w14:textId="77777777" w:rsidR="002005F7" w:rsidRPr="009F6379" w:rsidRDefault="002005F7" w:rsidP="00945DC0">
            <w:pPr>
              <w:spacing w:before="0" w:after="0"/>
              <w:jc w:val="center"/>
              <w:rPr>
                <w:b/>
                <w:bCs/>
                <w:sz w:val="20"/>
                <w:szCs w:val="20"/>
                <w:lang w:eastAsia="es-MX"/>
              </w:rPr>
            </w:pPr>
            <w:r w:rsidRPr="009F6379">
              <w:rPr>
                <w:b/>
                <w:bCs/>
                <w:sz w:val="20"/>
                <w:szCs w:val="20"/>
                <w:lang w:eastAsia="es-MX"/>
              </w:rPr>
              <w:t>Criterios</w:t>
            </w:r>
          </w:p>
        </w:tc>
      </w:tr>
      <w:tr w:rsidR="002005F7" w:rsidRPr="009F6379" w14:paraId="293AD551" w14:textId="77777777" w:rsidTr="00D02330">
        <w:trPr>
          <w:trHeight w:val="400"/>
          <w:jc w:val="center"/>
        </w:trPr>
        <w:tc>
          <w:tcPr>
            <w:tcW w:w="675" w:type="pct"/>
            <w:shd w:val="clear" w:color="auto" w:fill="FFFFFF"/>
            <w:vAlign w:val="center"/>
          </w:tcPr>
          <w:p w14:paraId="0C3697B3" w14:textId="6FB31DFF" w:rsidR="002005F7" w:rsidRPr="009F6379" w:rsidRDefault="000A7998" w:rsidP="00945DC0">
            <w:pPr>
              <w:spacing w:before="0" w:after="0"/>
              <w:jc w:val="center"/>
              <w:rPr>
                <w:sz w:val="20"/>
                <w:szCs w:val="20"/>
                <w:lang w:eastAsia="es-MX"/>
              </w:rPr>
            </w:pPr>
            <w:r w:rsidRPr="009F6379">
              <w:rPr>
                <w:sz w:val="20"/>
                <w:szCs w:val="20"/>
                <w:lang w:eastAsia="es-MX"/>
              </w:rPr>
              <w:t>Sí</w:t>
            </w:r>
          </w:p>
        </w:tc>
        <w:tc>
          <w:tcPr>
            <w:tcW w:w="383" w:type="pct"/>
            <w:shd w:val="clear" w:color="auto" w:fill="FFFFFF"/>
            <w:vAlign w:val="center"/>
          </w:tcPr>
          <w:p w14:paraId="25667702" w14:textId="46AD1958" w:rsidR="002005F7" w:rsidRPr="009F6379" w:rsidRDefault="00E8348D" w:rsidP="00945DC0">
            <w:pPr>
              <w:spacing w:before="0" w:after="0"/>
              <w:jc w:val="center"/>
              <w:rPr>
                <w:sz w:val="20"/>
                <w:szCs w:val="20"/>
                <w:lang w:eastAsia="es-MX"/>
              </w:rPr>
            </w:pPr>
            <w:r w:rsidRPr="009F6379">
              <w:rPr>
                <w:sz w:val="20"/>
                <w:szCs w:val="20"/>
                <w:lang w:eastAsia="es-MX"/>
              </w:rPr>
              <w:t>3</w:t>
            </w:r>
          </w:p>
        </w:tc>
        <w:tc>
          <w:tcPr>
            <w:tcW w:w="3942" w:type="pct"/>
            <w:shd w:val="clear" w:color="auto" w:fill="FFFFFF"/>
            <w:vAlign w:val="center"/>
          </w:tcPr>
          <w:p w14:paraId="2E630EC8" w14:textId="39273D3D" w:rsidR="002005F7" w:rsidRPr="009F6379" w:rsidRDefault="000A7998" w:rsidP="00B847AF">
            <w:pPr>
              <w:spacing w:before="0" w:after="0"/>
              <w:rPr>
                <w:sz w:val="20"/>
                <w:szCs w:val="20"/>
                <w:lang w:eastAsia="es-MX"/>
              </w:rPr>
            </w:pPr>
            <w:r w:rsidRPr="009F6379">
              <w:rPr>
                <w:rFonts w:cs="Arial"/>
                <w:sz w:val="20"/>
                <w:szCs w:val="20"/>
                <w:lang w:eastAsia="es-MX"/>
              </w:rPr>
              <w:t xml:space="preserve">La entidad federativa documenta información mediante </w:t>
            </w:r>
            <w:r w:rsidR="00C87216" w:rsidRPr="000F3860">
              <w:rPr>
                <w:rFonts w:cs="Arial"/>
                <w:b/>
                <w:bCs/>
                <w:sz w:val="20"/>
                <w:szCs w:val="20"/>
                <w:lang w:eastAsia="es-MX"/>
              </w:rPr>
              <w:t>tres</w:t>
            </w:r>
            <w:r w:rsidRPr="009F6379">
              <w:rPr>
                <w:rFonts w:cs="Arial"/>
                <w:sz w:val="20"/>
                <w:szCs w:val="20"/>
                <w:lang w:eastAsia="es-MX"/>
              </w:rPr>
              <w:t xml:space="preserve"> de las características establecida</w:t>
            </w:r>
            <w:r w:rsidR="00912D8D" w:rsidRPr="009F6379">
              <w:rPr>
                <w:rFonts w:cs="Arial"/>
                <w:sz w:val="20"/>
                <w:szCs w:val="20"/>
                <w:lang w:eastAsia="es-MX"/>
              </w:rPr>
              <w:t>s</w:t>
            </w:r>
          </w:p>
        </w:tc>
      </w:tr>
    </w:tbl>
    <w:p w14:paraId="5C093A89" w14:textId="5124652C" w:rsidR="009C1E34" w:rsidRPr="009C1E34" w:rsidRDefault="009C1E34" w:rsidP="009C1E34">
      <w:r w:rsidRPr="009C1E34">
        <w:t xml:space="preserve">Los resultados de las Aportaciones del FAFEF en </w:t>
      </w:r>
      <w:r>
        <w:t>Hidalgo</w:t>
      </w:r>
      <w:r w:rsidRPr="009C1E34">
        <w:t xml:space="preserve"> se documentan a través </w:t>
      </w:r>
      <w:r w:rsidR="00527AE1">
        <w:t>de tres</w:t>
      </w:r>
      <w:r w:rsidRPr="009C1E34">
        <w:t xml:space="preserve"> fuentes de información; la primera, se refiere a los indicadores de la MIR Federal asociados al FAFEF, </w:t>
      </w:r>
      <w:r>
        <w:t>reportados mediante</w:t>
      </w:r>
      <w:r w:rsidRPr="009C1E34">
        <w:t xml:space="preserve"> el</w:t>
      </w:r>
      <w:r w:rsidR="00AA7BF6">
        <w:t xml:space="preserve"> Sistema de Recursos Federales Transferidos</w:t>
      </w:r>
      <w:r w:rsidRPr="009C1E34">
        <w:t xml:space="preserve"> </w:t>
      </w:r>
      <w:r w:rsidR="00AA7BF6">
        <w:t>(</w:t>
      </w:r>
      <w:r w:rsidRPr="009C1E34">
        <w:t>SRFT</w:t>
      </w:r>
      <w:r w:rsidR="00AA7BF6">
        <w:t>)</w:t>
      </w:r>
      <w:r w:rsidR="00303734">
        <w:t xml:space="preserve">; </w:t>
      </w:r>
      <w:r w:rsidR="005967D7">
        <w:t>la segunda a l</w:t>
      </w:r>
      <w:r w:rsidR="00F56700">
        <w:t>os indicadores de la</w:t>
      </w:r>
      <w:r w:rsidR="005967D7">
        <w:t xml:space="preserve"> MIR estatal específica para el FAFEF</w:t>
      </w:r>
      <w:r w:rsidR="00F56700">
        <w:t xml:space="preserve"> e indicadores de los Pp que reciben financiamiento del Fondo; y la tercera a los resultados de las evaluaciones externas</w:t>
      </w:r>
      <w:r w:rsidR="005967D7">
        <w:t>.</w:t>
      </w:r>
      <w:r w:rsidR="00050449">
        <w:t xml:space="preserve"> </w:t>
      </w:r>
    </w:p>
    <w:p w14:paraId="64AF8965" w14:textId="7F14D57B" w:rsidR="005977CB" w:rsidRDefault="005977CB" w:rsidP="001D2D41">
      <w:pPr>
        <w:pStyle w:val="Prrafodelista"/>
        <w:numPr>
          <w:ilvl w:val="0"/>
          <w:numId w:val="36"/>
        </w:numPr>
        <w:ind w:left="714" w:hanging="357"/>
        <w:contextualSpacing w:val="0"/>
      </w:pPr>
      <w:r>
        <w:t xml:space="preserve">El FAFEF cuenta con una Matriz de Indicadores para Resultados (MIR) determinada por la Federación a través de la SHCP y sus indicadores contribuyen a mostrar de manera agregada el efecto del Fondo a nivel nacional, esta información da cuenta de los resultados en términos de avance de recursos ejercidos, avance de metas, gasto de inversión, fortalecimiento financiero e impacto de la deuda de la </w:t>
      </w:r>
      <w:r w:rsidR="001F2BF0">
        <w:t>e</w:t>
      </w:r>
      <w:r>
        <w:t>ntidad</w:t>
      </w:r>
      <w:r w:rsidR="001F2BF0">
        <w:t xml:space="preserve"> federativa</w:t>
      </w:r>
      <w:r>
        <w:t>. Sin embargo, los resultados obtenidos a través de esos indicadores no son de mucha utilidad para su uso específico en el Estado, ya que no permiten identificar</w:t>
      </w:r>
      <w:r w:rsidR="003627FD">
        <w:t>,</w:t>
      </w:r>
      <w:r>
        <w:t xml:space="preserve"> de manera particular</w:t>
      </w:r>
      <w:r w:rsidR="003627FD">
        <w:t>,</w:t>
      </w:r>
      <w:r>
        <w:t xml:space="preserve"> los efectos del Fondo en la población beneficiaria. </w:t>
      </w:r>
      <w:bookmarkStart w:id="29" w:name="_Hlk54255000"/>
      <w:r>
        <w:t>Mediante estos indicadores</w:t>
      </w:r>
      <w:r w:rsidR="007738CB">
        <w:t>,</w:t>
      </w:r>
      <w:r>
        <w:t xml:space="preserve"> el Gobierno del Estado de Hidalgo informa a la SHCP de manera trimestral y de forma pormenorizada el ejercicio y destino de los recursos del FAFEF, por medio de los formatos disponibles en el </w:t>
      </w:r>
      <w:r w:rsidR="003627FD">
        <w:t>Sistema de Formato Único (</w:t>
      </w:r>
      <w:r>
        <w:t>SFU</w:t>
      </w:r>
      <w:r w:rsidR="003627FD">
        <w:t>)</w:t>
      </w:r>
      <w:r>
        <w:t xml:space="preserve"> y SRFT, los Informes sobre la Situación Económica, las Finanzas Públicas y la Deuda Pública, divididos en Nivel Financiero, Gestión de Proyectos y Ficha Técnica de Indicadores, las cuales fueron publicados en el Periódico Oficial del Estado y se hicieron del conocimiento de la sociedad a través de su página de Internet en el portal de transparencia</w:t>
      </w:r>
      <w:bookmarkEnd w:id="29"/>
      <w:r>
        <w:rPr>
          <w:rStyle w:val="Refdenotaalpie"/>
        </w:rPr>
        <w:footnoteReference w:id="12"/>
      </w:r>
      <w:r w:rsidR="009A1A69">
        <w:t xml:space="preserve">, </w:t>
      </w:r>
      <w:bookmarkStart w:id="30" w:name="_Hlk53059416"/>
      <w:r w:rsidR="009A1A69" w:rsidRPr="007065D3">
        <w:t xml:space="preserve">dando de esta manera cumplimiento a </w:t>
      </w:r>
      <w:r w:rsidR="00A44999" w:rsidRPr="00A44999">
        <w:t xml:space="preserve">lo dispuesto en los Artículos 85, fracción II de la LFPRH, 49 de la LCF y 72 de la LGCG; así como con el proceso de revisión y validación establecido en los </w:t>
      </w:r>
      <w:r w:rsidR="007738CB">
        <w:t>l</w:t>
      </w:r>
      <w:r w:rsidR="00A44999" w:rsidRPr="00A44999">
        <w:t xml:space="preserve">ineamientos del SRFT </w:t>
      </w:r>
      <w:r w:rsidR="00A44999">
        <w:t>.</w:t>
      </w:r>
      <w:r w:rsidR="009A1A69" w:rsidRPr="001E1258">
        <w:rPr>
          <w:vertAlign w:val="superscript"/>
        </w:rPr>
        <w:footnoteReference w:id="13"/>
      </w:r>
      <w:bookmarkEnd w:id="30"/>
      <w:r>
        <w:t>.</w:t>
      </w:r>
    </w:p>
    <w:p w14:paraId="7B7CC88D" w14:textId="77777777" w:rsidR="00F22044" w:rsidRDefault="00053A55" w:rsidP="00F22044">
      <w:pPr>
        <w:pStyle w:val="Prrafodelista"/>
        <w:contextualSpacing w:val="0"/>
      </w:pPr>
      <w:r w:rsidRPr="00A44999">
        <w:t xml:space="preserve">Se considera que la información cumple con los pilares de la calidad de información </w:t>
      </w:r>
      <w:r>
        <w:t>referentes</w:t>
      </w:r>
      <w:r w:rsidR="007738CB">
        <w:t xml:space="preserve"> a</w:t>
      </w:r>
      <w:r>
        <w:t xml:space="preserve"> confiabilidad y actualización, </w:t>
      </w:r>
      <w:r w:rsidRPr="00A44999">
        <w:t xml:space="preserve">señalados en la Guía de Criterios para el Reporte del Ejercicio, Destino y Resultados de los Recursos Federales Transferidos. </w:t>
      </w:r>
      <w:r>
        <w:t>Dado que,</w:t>
      </w:r>
      <w:r w:rsidRPr="00A44999">
        <w:t xml:space="preserve"> cumple con los criterios de los momentos contables y la </w:t>
      </w:r>
      <w:r>
        <w:t>información es validada tanto por la SFP de Hidalgo como por la propia SHCP y los reportes se presentan de manera trimestral. Sin embargo, una de las observaciones de la ASF en 2018 es que las cifras reportadas en los Informes sobre la Situación Económica, las Finanzas Públicas y la Deuda Pública en Nivel Financiero reportados a la SHCP, no presentaron calidad ni congruencia contra las cifras del cierre del ejercicio</w:t>
      </w:r>
      <w:r w:rsidR="003D1514">
        <w:t xml:space="preserve">. </w:t>
      </w:r>
    </w:p>
    <w:p w14:paraId="6D8B44EF" w14:textId="7E3198E1" w:rsidR="00411A64" w:rsidRPr="00F22044" w:rsidRDefault="00263E36" w:rsidP="001D2D41">
      <w:pPr>
        <w:pStyle w:val="Prrafodelista"/>
        <w:numPr>
          <w:ilvl w:val="0"/>
          <w:numId w:val="36"/>
        </w:numPr>
        <w:ind w:left="714" w:hanging="357"/>
        <w:contextualSpacing w:val="0"/>
      </w:pPr>
      <w:r w:rsidRPr="00F22044">
        <w:t xml:space="preserve">En el ámbito estatal se cuenta con una MIR específica para el Fondo, para los resultados del </w:t>
      </w:r>
      <w:r w:rsidR="007738CB" w:rsidRPr="00F22044">
        <w:t>e</w:t>
      </w:r>
      <w:r w:rsidRPr="00F22044">
        <w:t xml:space="preserve">jercicio </w:t>
      </w:r>
      <w:r w:rsidR="007738CB" w:rsidRPr="00F22044">
        <w:t>f</w:t>
      </w:r>
      <w:r w:rsidRPr="00F22044">
        <w:t xml:space="preserve">iscal 2018, es decir hay </w:t>
      </w:r>
      <w:r w:rsidR="007738CB" w:rsidRPr="00F22044">
        <w:t>i</w:t>
      </w:r>
      <w:r w:rsidRPr="00F22044">
        <w:t>ndicadores asociados a la estructura programática estatal. A nivel Fin y Propósito se menciona que existe</w:t>
      </w:r>
      <w:r w:rsidRPr="005A63C8">
        <w:t xml:space="preserve"> un reporte de inversión pública realizada con recursos </w:t>
      </w:r>
      <w:r>
        <w:t>del FAFEF</w:t>
      </w:r>
      <w:r w:rsidRPr="005A63C8">
        <w:t xml:space="preserve"> generado y ubicado en la Subsecretaria de Programación de la SF</w:t>
      </w:r>
      <w:r w:rsidR="007738CB">
        <w:t>P</w:t>
      </w:r>
      <w:r>
        <w:t>. Adicionalmente, se realizan reuniones de seguimiento de manera coordinada entre las SF</w:t>
      </w:r>
      <w:r w:rsidR="007738CB">
        <w:t>P y l</w:t>
      </w:r>
      <w:r>
        <w:t xml:space="preserve">a Secretaría de Contraloría con instancias ejecutoras </w:t>
      </w:r>
      <w:r>
        <w:lastRenderedPageBreak/>
        <w:t>del</w:t>
      </w:r>
      <w:r w:rsidR="00050416">
        <w:t xml:space="preserve"> </w:t>
      </w:r>
      <w:r>
        <w:t>gasto para revisión del avance físico y financiero de cada obra y acción autorizada con recursos del FAFEF</w:t>
      </w:r>
      <w:r w:rsidR="004E474E">
        <w:t>.</w:t>
      </w:r>
      <w:r w:rsidR="00F56700">
        <w:t xml:space="preserve"> Cabe mencionar </w:t>
      </w:r>
      <w:r w:rsidR="003627FD">
        <w:t>que,</w:t>
      </w:r>
      <w:r w:rsidR="00F56700">
        <w:t xml:space="preserve"> en la MIR estatal diseñada para el Fondo</w:t>
      </w:r>
      <w:r w:rsidR="003627FD">
        <w:t>,</w:t>
      </w:r>
      <w:r w:rsidR="00F56700">
        <w:t xml:space="preserve"> cada un</w:t>
      </w:r>
      <w:r w:rsidR="003627FD">
        <w:t>o</w:t>
      </w:r>
      <w:r w:rsidR="00F56700">
        <w:t xml:space="preserve"> de los proyectos que reciben financiamiento de éste, están planteados como un Componente</w:t>
      </w:r>
      <w:r w:rsidR="003627FD">
        <w:t xml:space="preserve">, </w:t>
      </w:r>
      <w:r w:rsidR="00F56700">
        <w:t xml:space="preserve">por lo que es posible revisar sus avances en los resultados que se reportan en el </w:t>
      </w:r>
      <w:r w:rsidR="00F56700" w:rsidRPr="00F56700">
        <w:t>Sistema Integrador de Ingresos, Programación, Presupuesto y Evaluación del Desempeño</w:t>
      </w:r>
      <w:r w:rsidR="00F56700">
        <w:t>, estatal (</w:t>
      </w:r>
      <w:r w:rsidR="00F56700" w:rsidRPr="00F63D1F">
        <w:t>SIIPPED</w:t>
      </w:r>
      <w:r w:rsidR="00F56700">
        <w:t>)</w:t>
      </w:r>
      <w:r w:rsidR="00850F6E">
        <w:t xml:space="preserve"> </w:t>
      </w:r>
      <w:r w:rsidR="00850F6E" w:rsidRPr="004B6FFD">
        <w:t xml:space="preserve">que es la herramienta tecnológica mediante la cual se lleva a cabo el monitoreo de indicadores del desempeño </w:t>
      </w:r>
      <w:r w:rsidR="00850F6E">
        <w:t>de</w:t>
      </w:r>
      <w:r w:rsidR="00850F6E" w:rsidRPr="004B6FFD">
        <w:t xml:space="preserve"> las Dependencias y Entidades del Poder Ejecutivo</w:t>
      </w:r>
      <w:r w:rsidR="00850F6E">
        <w:t xml:space="preserve"> Estatal.</w:t>
      </w:r>
      <w:r w:rsidR="00F56700">
        <w:t xml:space="preserve"> </w:t>
      </w:r>
      <w:r w:rsidR="00411A64">
        <w:t xml:space="preserve">En relación con los Pp, el monitoreo de indicadores </w:t>
      </w:r>
      <w:r w:rsidR="00B847AF">
        <w:t>estatales</w:t>
      </w:r>
      <w:r w:rsidR="00411A64">
        <w:t xml:space="preserve"> es el medio para dar seguimiento al cumplimiento de las metas establecidas para cada Pp, una vez autorizado el recurso, éste se liga con los objetivos, indicadores y metas establecidos en cada </w:t>
      </w:r>
      <w:r w:rsidR="00FA6A1C">
        <w:t>Pp</w:t>
      </w:r>
      <w:r w:rsidR="00411A64">
        <w:t xml:space="preserve"> y en sus MIR, a los cuales se da seguimiento mensual a su avance y los resultados son publicados trimestralmente en la página de la SFP</w:t>
      </w:r>
      <w:r w:rsidR="00411A64">
        <w:rPr>
          <w:rStyle w:val="Refdenotaalpie"/>
        </w:rPr>
        <w:footnoteReference w:id="14"/>
      </w:r>
      <w:r w:rsidR="00411A64">
        <w:t xml:space="preserve"> . Este proceso de seguimiento a los </w:t>
      </w:r>
      <w:r w:rsidR="00B847AF">
        <w:t>resultados</w:t>
      </w:r>
      <w:r w:rsidR="00411A64">
        <w:t xml:space="preserve"> permite identificar las acciones que, en materia de planeación, se deberán emprender para atender las problemáticas de cada </w:t>
      </w:r>
      <w:r w:rsidR="00F62B09">
        <w:t>Pp</w:t>
      </w:r>
      <w:r w:rsidR="00411A64" w:rsidRPr="00F22044">
        <w:t>.</w:t>
      </w:r>
      <w:r w:rsidR="00053A55" w:rsidRPr="00F22044">
        <w:t xml:space="preserve"> </w:t>
      </w:r>
      <w:r w:rsidR="007738CB" w:rsidRPr="00F22044">
        <w:t>E</w:t>
      </w:r>
      <w:r w:rsidR="00053A55" w:rsidRPr="00F22044">
        <w:t>n concordancia con la respuesta a la pregunta 1, en la</w:t>
      </w:r>
      <w:r w:rsidR="007738CB" w:rsidRPr="00F22044">
        <w:t xml:space="preserve"> construcción de la</w:t>
      </w:r>
      <w:r w:rsidR="00053A55" w:rsidRPr="00F22044">
        <w:t xml:space="preserve"> MIR estatal para el FAFEF </w:t>
      </w:r>
      <w:r w:rsidR="00053A55" w:rsidRPr="00F22044">
        <w:rPr>
          <w:color w:val="000000" w:themeColor="text1"/>
        </w:rPr>
        <w:t>no se visualiza que se haya seguido la metodología SHCP-CONEVAL,</w:t>
      </w:r>
      <w:r w:rsidR="000870B6" w:rsidRPr="00F22044">
        <w:rPr>
          <w:color w:val="000000" w:themeColor="text1"/>
        </w:rPr>
        <w:t xml:space="preserve"> </w:t>
      </w:r>
      <w:r w:rsidR="000870B6" w:rsidRPr="00DD719D">
        <w:rPr>
          <w:color w:val="000000" w:themeColor="text1"/>
          <w:highlight w:val="yellow"/>
        </w:rPr>
        <w:t>por lo que</w:t>
      </w:r>
      <w:r w:rsidR="00053A55" w:rsidRPr="00DD719D">
        <w:rPr>
          <w:color w:val="000000" w:themeColor="text1"/>
          <w:highlight w:val="yellow"/>
        </w:rPr>
        <w:t xml:space="preserve"> se recomienda</w:t>
      </w:r>
      <w:r w:rsidR="00DD719D" w:rsidRPr="00DD719D">
        <w:rPr>
          <w:color w:val="000000" w:themeColor="text1"/>
          <w:highlight w:val="yellow"/>
        </w:rPr>
        <w:t xml:space="preserve"> replantear el diseño de la MIR estatal de Fondo, estableciendo la alineación de la misma con la MIR federal y a su vez, vinculando los indicadores con los principales destinos de gasto, según los rubros de LCF y con los indicadores de las MIR de los Pp que reciben financiamiento del FAFEF</w:t>
      </w:r>
      <w:r w:rsidR="004D45D6" w:rsidRPr="00F22044">
        <w:t>.</w:t>
      </w:r>
      <w:r w:rsidR="00FB0F4B" w:rsidRPr="00F22044">
        <w:t xml:space="preserve"> Mediante este mecanismo se podrá tener información clara de los resultados del ejercicio de los recursos del Fondo derivada de los Pp</w:t>
      </w:r>
      <w:r w:rsidR="008E4EF8" w:rsidRPr="00F22044">
        <w:t xml:space="preserve"> que ejercen recursos del mismo,</w:t>
      </w:r>
      <w:r w:rsidR="00FB0F4B" w:rsidRPr="00F22044">
        <w:t xml:space="preserve"> que a su vez permitan alimentar indicadores de la MIR estatal del Fondo y a la MIR federal a través del SRFT.</w:t>
      </w:r>
    </w:p>
    <w:p w14:paraId="4117FFAB" w14:textId="72E6B9FD" w:rsidR="00263E36" w:rsidRDefault="00FA6BDE" w:rsidP="001D2D41">
      <w:pPr>
        <w:pStyle w:val="Prrafodelista"/>
        <w:numPr>
          <w:ilvl w:val="0"/>
          <w:numId w:val="36"/>
        </w:numPr>
        <w:contextualSpacing w:val="0"/>
      </w:pPr>
      <w:r>
        <w:t xml:space="preserve">Otro de los mecanismos a través de los cuales la entidad federativa documenta los resultados de la ejecución del FAFEF son las evaluaciones externas, en este sentido se han realizado al </w:t>
      </w:r>
      <w:r w:rsidRPr="00A6074D">
        <w:rPr>
          <w:highlight w:val="yellow"/>
        </w:rPr>
        <w:t>FA</w:t>
      </w:r>
      <w:r w:rsidR="00A6074D" w:rsidRPr="00A6074D">
        <w:rPr>
          <w:highlight w:val="yellow"/>
        </w:rPr>
        <w:t>F</w:t>
      </w:r>
      <w:r w:rsidRPr="00A6074D">
        <w:rPr>
          <w:highlight w:val="yellow"/>
        </w:rPr>
        <w:t>EF</w:t>
      </w:r>
      <w:r>
        <w:t xml:space="preserve"> tres evaluaciones específicas de desempeño en los ejercicios 2014, 2015 y 2018</w:t>
      </w:r>
      <w:r w:rsidR="00411A64">
        <w:t>.</w:t>
      </w:r>
      <w:r w:rsidR="00844B0A">
        <w:t xml:space="preserve"> </w:t>
      </w:r>
      <w:r w:rsidR="00CF56F6" w:rsidRPr="00CF56F6">
        <w:t xml:space="preserve">No obstante que se han llevado a cabo </w:t>
      </w:r>
      <w:r w:rsidR="00CF56F6">
        <w:t xml:space="preserve">estos </w:t>
      </w:r>
      <w:r w:rsidR="00CF56F6" w:rsidRPr="00CF56F6">
        <w:t>ejercicios de evaluaciones externas al FAFEF, aún se hace necesario que éstas abunden más en el desempeño y resultados obtenidos por el Fondo, ya que todas las evaluaciones practicadas</w:t>
      </w:r>
      <w:r w:rsidR="00CF56F6">
        <w:t xml:space="preserve"> se han enfocado en valorar el desempeño del FAFEF en la entidad mediante la medición de los indicadores de la MIR federal</w:t>
      </w:r>
      <w:r w:rsidR="00DE0459">
        <w:t xml:space="preserve">, sin profundizar en el análisis </w:t>
      </w:r>
      <w:r w:rsidR="00FD6A42">
        <w:t>de los indicadores de la MIR estatal, ni de los indicadores de los Pp que se financian con recursos del Fondo, por lo que es necesario retomar las recomendaciones vertidas en la pregunta 29</w:t>
      </w:r>
      <w:r w:rsidR="003627FD">
        <w:t xml:space="preserve"> sobre el enfoque de las evaluaciones al Fondo</w:t>
      </w:r>
      <w:r w:rsidR="00FD6A42">
        <w:t>.</w:t>
      </w:r>
    </w:p>
    <w:p w14:paraId="3CDCC4EA" w14:textId="01D253A2" w:rsidR="005A63C8" w:rsidRDefault="005A63C8">
      <w:pPr>
        <w:spacing w:before="0" w:after="160" w:line="259" w:lineRule="auto"/>
        <w:jc w:val="left"/>
      </w:pPr>
      <w:r>
        <w:br w:type="page"/>
      </w:r>
    </w:p>
    <w:p w14:paraId="1E0F174E" w14:textId="2EF4A038" w:rsidR="00FD4842" w:rsidRDefault="008724F8" w:rsidP="00997712">
      <w:pPr>
        <w:pStyle w:val="Pregunta"/>
        <w:spacing w:after="120"/>
      </w:pPr>
      <w:r>
        <w:lastRenderedPageBreak/>
        <w:t xml:space="preserve">4. </w:t>
      </w:r>
      <w:r w:rsidR="008F5DC1" w:rsidRPr="004371F7">
        <w:t>¿Cómo fueron definidos los indicadores y las metas con las que la entidad federativa reporta los resultados de la aplicación de los recursos del FAFEF?</w:t>
      </w:r>
    </w:p>
    <w:p w14:paraId="26778800" w14:textId="77777777" w:rsidR="00C07884" w:rsidRPr="00997712" w:rsidRDefault="00C07884" w:rsidP="00AE25DD">
      <w:pPr>
        <w:rPr>
          <w:b/>
          <w:bCs/>
        </w:rPr>
      </w:pPr>
      <w:r w:rsidRPr="00997712">
        <w:rPr>
          <w:b/>
          <w:bCs/>
        </w:rPr>
        <w:t>No procede valoración cuantitativa.</w:t>
      </w:r>
    </w:p>
    <w:p w14:paraId="6D78257F" w14:textId="0052D4BD" w:rsidR="00E23D65" w:rsidRDefault="00690A6C" w:rsidP="00E23D65">
      <w:r>
        <w:t xml:space="preserve">En el ámbito federal, es decir, los indicadores registrados en el </w:t>
      </w:r>
      <w:r w:rsidR="00B847AF">
        <w:t>SRFT</w:t>
      </w:r>
      <w:r>
        <w:t xml:space="preserve"> están preestablecidos por la SHCP, a través de la MIR y la determinación de indicadores y metas se realiza conforme a los </w:t>
      </w:r>
      <w:r w:rsidR="00D816C0">
        <w:t>Li</w:t>
      </w:r>
      <w:r>
        <w:t>neamientos</w:t>
      </w:r>
      <w:r w:rsidRPr="00D3784F">
        <w:rPr>
          <w:rFonts w:cs="Times New Roman"/>
        </w:rPr>
        <w:t xml:space="preserve"> </w:t>
      </w:r>
      <w:r w:rsidRPr="00D8504E">
        <w:rPr>
          <w:rFonts w:cs="Times New Roman"/>
        </w:rPr>
        <w:t>para informar sobre los recursos federales transferidos a las entidades federativas, municipios y demarcaciones territoriales del Distrito Federal, y de operación de los recursos del Ramo General 33</w:t>
      </w:r>
      <w:r>
        <w:t xml:space="preserve">. La entidad definió los indicadores de común acuerdo con la </w:t>
      </w:r>
      <w:r w:rsidR="003627FD">
        <w:t>d</w:t>
      </w:r>
      <w:r>
        <w:t xml:space="preserve">ependencia </w:t>
      </w:r>
      <w:r w:rsidR="003627FD">
        <w:t>c</w:t>
      </w:r>
      <w:r>
        <w:t xml:space="preserve">oordinadora del FAFEF, en el marco de los esquemas de coordinación intergubernamental a los que hace referencia el </w:t>
      </w:r>
      <w:r w:rsidR="003627FD">
        <w:t>L</w:t>
      </w:r>
      <w:r>
        <w:t xml:space="preserve">ineamiento </w:t>
      </w:r>
      <w:r w:rsidR="003627FD">
        <w:t>D</w:t>
      </w:r>
      <w:r>
        <w:t>écimo Cuarto, Facción Primera. El establecimiento de l</w:t>
      </w:r>
      <w:r w:rsidR="00401521">
        <w:t xml:space="preserve">as metas, específicamente recaen en la entidad federativa, en este </w:t>
      </w:r>
      <w:r>
        <w:t xml:space="preserve">caso se establecen de manera coordinada entre </w:t>
      </w:r>
      <w:r w:rsidR="00401521" w:rsidRPr="00BA7EBD">
        <w:t>la SF</w:t>
      </w:r>
      <w:r>
        <w:t>P</w:t>
      </w:r>
      <w:r w:rsidR="00401521">
        <w:t xml:space="preserve"> </w:t>
      </w:r>
      <w:r w:rsidR="00401521" w:rsidRPr="00BA7EBD">
        <w:t xml:space="preserve">y el apoyo de las </w:t>
      </w:r>
      <w:r>
        <w:t xml:space="preserve">distintas </w:t>
      </w:r>
      <w:r w:rsidR="00401521" w:rsidRPr="00BA7EBD">
        <w:t>instancias ejecutoras</w:t>
      </w:r>
      <w:r>
        <w:t xml:space="preserve"> de los recursos</w:t>
      </w:r>
      <w:r w:rsidR="00401521" w:rsidRPr="00BA7EBD">
        <w:t>.</w:t>
      </w:r>
      <w:r w:rsidR="00E23D65">
        <w:t xml:space="preserve"> De acuerdo con la información disponible, la definición de las metas responde al objetivo que pretende alcanzar el indicador en el periodo reportado, sin embargo, no se contó con información en la que se puede verificar </w:t>
      </w:r>
      <w:r w:rsidR="00804ED8">
        <w:t>los criterios para el establecimiento de las misma</w:t>
      </w:r>
      <w:r w:rsidR="006D45F3">
        <w:t>s</w:t>
      </w:r>
      <w:r w:rsidR="00E23D65">
        <w:t xml:space="preserve">. </w:t>
      </w:r>
      <w:r w:rsidR="006D45F3">
        <w:t>Al respecto los reportes de resultados de indicadores del SRFT demuestran que las metas para los ejercicios 2016-2018 no han tenido un comportamiento ascendente y en ningún caso se justifica la razón para la disminución de la misma</w:t>
      </w:r>
      <w:r w:rsidR="00345254">
        <w:t>, en estos reportes tampoco se establece una línea base para la</w:t>
      </w:r>
      <w:r w:rsidR="003627FD">
        <w:t>s</w:t>
      </w:r>
      <w:r w:rsidR="00345254">
        <w:t xml:space="preserve"> metas de los indicadores</w:t>
      </w:r>
      <w:r w:rsidR="006D45F3">
        <w:t>.</w:t>
      </w:r>
    </w:p>
    <w:p w14:paraId="35B51423" w14:textId="24FBFFDA" w:rsidR="00E23D65" w:rsidRDefault="00E23D65" w:rsidP="00E23D65">
      <w:r w:rsidRPr="001D392E">
        <w:t>Al respecto, s</w:t>
      </w:r>
      <w:r w:rsidRPr="001D392E">
        <w:rPr>
          <w:rFonts w:cstheme="minorHAnsi"/>
        </w:rPr>
        <w:t xml:space="preserve">e recomienda que sea </w:t>
      </w:r>
      <w:r w:rsidR="005203E8" w:rsidRPr="001D392E">
        <w:rPr>
          <w:rFonts w:cstheme="minorHAnsi"/>
        </w:rPr>
        <w:t>la SFP en coordinación con las instancias ejecutoras</w:t>
      </w:r>
      <w:r w:rsidRPr="001D392E">
        <w:rPr>
          <w:rFonts w:cstheme="minorHAnsi"/>
        </w:rPr>
        <w:t xml:space="preserve"> qu</w:t>
      </w:r>
      <w:r w:rsidR="005203E8" w:rsidRPr="001D392E">
        <w:rPr>
          <w:rFonts w:cstheme="minorHAnsi"/>
        </w:rPr>
        <w:t>ienes</w:t>
      </w:r>
      <w:r w:rsidRPr="001D392E">
        <w:rPr>
          <w:rFonts w:cstheme="minorHAnsi"/>
        </w:rPr>
        <w:t xml:space="preserve"> plantee</w:t>
      </w:r>
      <w:r w:rsidR="005203E8" w:rsidRPr="001D392E">
        <w:rPr>
          <w:rFonts w:cstheme="minorHAnsi"/>
        </w:rPr>
        <w:t>n</w:t>
      </w:r>
      <w:r w:rsidRPr="001D392E">
        <w:rPr>
          <w:rFonts w:cstheme="minorHAnsi"/>
        </w:rPr>
        <w:t xml:space="preserve"> las metas para cada indicador de la MIR Federal del Fondo, ya que su definición es un trabajo de planeación estratégica debe</w:t>
      </w:r>
      <w:r w:rsidR="00482261" w:rsidRPr="001D392E">
        <w:rPr>
          <w:rFonts w:cstheme="minorHAnsi"/>
        </w:rPr>
        <w:t>n</w:t>
      </w:r>
      <w:r w:rsidRPr="001D392E">
        <w:rPr>
          <w:rFonts w:cstheme="minorHAnsi"/>
        </w:rPr>
        <w:t xml:space="preserve"> estar a cargo de los ejecutores de los </w:t>
      </w:r>
      <w:r w:rsidR="00835C33" w:rsidRPr="001D392E">
        <w:rPr>
          <w:rFonts w:cstheme="minorHAnsi"/>
        </w:rPr>
        <w:t>Pp</w:t>
      </w:r>
      <w:r w:rsidRPr="001D392E">
        <w:rPr>
          <w:rFonts w:cstheme="minorHAnsi"/>
        </w:rPr>
        <w:t xml:space="preserve"> y del área de planeación. Asimismo, tener en cuenta que, para establecer metas se debe asegurar que sean cuantificables y que estén directamente relacionadas con el objetivo; además, que deben estar orientadas a mejorar los resultados del desempeño, es decir debe ser retadora y ser factible de alcanzar. Cuando los recursos se destinen a un rubro de gasto con ejercicio en años anteriores se deberá considerar el nivel alcanzado en las metas de dichos rubros.</w:t>
      </w:r>
      <w:r>
        <w:rPr>
          <w:rFonts w:cstheme="minorHAnsi"/>
        </w:rPr>
        <w:t xml:space="preserve"> </w:t>
      </w:r>
    </w:p>
    <w:p w14:paraId="767E941B" w14:textId="562F430C" w:rsidR="006D45F3" w:rsidRDefault="0070369D" w:rsidP="006D45F3">
      <w:r>
        <w:t xml:space="preserve">El Estado de Hidalgo cuenta con el diseño de una </w:t>
      </w:r>
      <w:r w:rsidR="001C1B04">
        <w:t xml:space="preserve">MIR </w:t>
      </w:r>
      <w:r w:rsidR="00C57784">
        <w:t xml:space="preserve">estatal </w:t>
      </w:r>
      <w:r w:rsidR="001C1B04">
        <w:t>para el</w:t>
      </w:r>
      <w:r>
        <w:t xml:space="preserve"> FAFEF con objetivos, indicadores y metas establecidas para su monitoreo y seguimiento</w:t>
      </w:r>
      <w:r w:rsidR="001C1B04">
        <w:t xml:space="preserve">. </w:t>
      </w:r>
      <w:bookmarkStart w:id="31" w:name="_Hlk54255133"/>
      <w:r w:rsidR="001C1B04">
        <w:t>S</w:t>
      </w:r>
      <w:r>
        <w:t>e da seguimiento a las metas programadas de sus indicadores, mediante el</w:t>
      </w:r>
      <w:r w:rsidR="007B6558" w:rsidRPr="007B6558">
        <w:t xml:space="preserve"> </w:t>
      </w:r>
      <w:r>
        <w:t>SIIPPED.</w:t>
      </w:r>
      <w:r w:rsidR="000E13BC">
        <w:t xml:space="preserve"> </w:t>
      </w:r>
      <w:r>
        <w:t xml:space="preserve">De acuerdo con lo anterior, en la MIR del FAFEF </w:t>
      </w:r>
      <w:r w:rsidR="00BD5625">
        <w:t>estatal</w:t>
      </w:r>
      <w:r>
        <w:t xml:space="preserve"> se puede observar el indicador definido para el Fin, Propósito, así como para cada Componente y Actividad establecidos en este instrumento de planeación.</w:t>
      </w:r>
      <w:r w:rsidR="000D443A">
        <w:t xml:space="preserve"> </w:t>
      </w:r>
      <w:r>
        <w:t>Asimismo, en la ficha técnica del indicador, aparece definida la determinación de metas y su semaforización para determinar su nivel de cumplimiento.</w:t>
      </w:r>
      <w:r w:rsidR="00771353">
        <w:t xml:space="preserve">  </w:t>
      </w:r>
      <w:r w:rsidR="006D45F3">
        <w:t xml:space="preserve">La información para generar los indicadores es validada por los ejecutores de gasto que la integran en una ficha técnica del indicador considerando los elementos establecidos en Manual para el Diseño y la Construcción de Indicadores de CONEVAL; dichos indicadores se alinean con los objetivos del Fondo. </w:t>
      </w:r>
    </w:p>
    <w:bookmarkEnd w:id="31"/>
    <w:p w14:paraId="349E6511" w14:textId="5C48FD9B" w:rsidR="00D8792E" w:rsidRDefault="00D8792E" w:rsidP="0070369D">
      <w:r>
        <w:t>Adicionalmente, la entidad federativa cuenta con un Manual para la Construcción de Indicadores de Desempeño</w:t>
      </w:r>
      <w:r>
        <w:rPr>
          <w:rStyle w:val="Refdenotaalpie"/>
        </w:rPr>
        <w:footnoteReference w:id="15"/>
      </w:r>
      <w:r>
        <w:t xml:space="preserve"> el cual especifica que las metas deben ser cuantificables, orientadas a mejorar en forma significativa los resultados e impactos del desempeño institucional y estar directamente relacionadas con el objetivo, a su vez deben ser factibles de alcanzar tomando en cuenta los recursos y limitantes de plazos y de recursos tanto sociales como económicos.</w:t>
      </w:r>
    </w:p>
    <w:p w14:paraId="7BBF7603" w14:textId="2842D94B" w:rsidR="00B66CBA" w:rsidRDefault="0070369D" w:rsidP="0070369D">
      <w:r>
        <w:t xml:space="preserve">Mediante la atención de los ASM, se generó un apartado dentro del SIIPPED, que permite integrar </w:t>
      </w:r>
      <w:r w:rsidR="00CF4351">
        <w:t>la</w:t>
      </w:r>
      <w:r>
        <w:t xml:space="preserve"> MIR del FAFEF y las Fichas Técnicas de los Indicadores, identificando y concentrando los </w:t>
      </w:r>
      <w:r w:rsidR="00A70A52">
        <w:t>C</w:t>
      </w:r>
      <w:r>
        <w:t xml:space="preserve">omponentes y </w:t>
      </w:r>
      <w:r w:rsidR="00A70A52">
        <w:t>A</w:t>
      </w:r>
      <w:r>
        <w:t>ctividades de diversos P</w:t>
      </w:r>
      <w:r w:rsidR="00CF4351">
        <w:t>p que</w:t>
      </w:r>
      <w:r>
        <w:t xml:space="preserve"> son financiados con recursos del FAFEF. Lo anterior, ha contribuido a la toma de decisiones respecto a la definición de metas, </w:t>
      </w:r>
      <w:r w:rsidR="00CF4351">
        <w:t xml:space="preserve">y </w:t>
      </w:r>
      <w:r>
        <w:t>asignación de recursos</w:t>
      </w:r>
      <w:r w:rsidR="00D07E1B">
        <w:t>.</w:t>
      </w:r>
      <w:r w:rsidR="007D7895">
        <w:t xml:space="preserve"> Para este caso, la entidad federativa cuenta con una </w:t>
      </w:r>
      <w:r w:rsidR="007D7895">
        <w:lastRenderedPageBreak/>
        <w:t>“</w:t>
      </w:r>
      <w:r w:rsidR="001D392E">
        <w:t>G</w:t>
      </w:r>
      <w:r w:rsidR="007D7895">
        <w:t>uía para el ingreso y reporte de metas de indicadores de desempeño”</w:t>
      </w:r>
      <w:r w:rsidR="007D7895">
        <w:rPr>
          <w:rStyle w:val="Refdenotaalpie"/>
        </w:rPr>
        <w:footnoteReference w:id="16"/>
      </w:r>
      <w:r w:rsidR="00D8792E">
        <w:t xml:space="preserve">, el cual establece que para los tipos de medición parcial y acumulativo el sistema asignará de manera automática la meta, </w:t>
      </w:r>
      <w:r w:rsidR="00CF4351">
        <w:t xml:space="preserve">cuando existen mediciones parciales (trimestral o semestral) </w:t>
      </w:r>
      <w:r w:rsidR="00D8792E">
        <w:t>la meta anual será igual a la suma de los 4 periodos programados, para las metas acumulativas el sistema asignará como meta anual el valor del cuarto trimestre. Sin embrago, no se especifican los criterios que este sistema considera en el establecimiento de las m</w:t>
      </w:r>
      <w:r w:rsidR="00CF4351">
        <w:t>ismas</w:t>
      </w:r>
      <w:r w:rsidR="00D8792E">
        <w:t>.</w:t>
      </w:r>
    </w:p>
    <w:p w14:paraId="0B0ED7F4" w14:textId="732587EA" w:rsidR="002B3310" w:rsidRDefault="002B3310" w:rsidP="0070369D">
      <w:r w:rsidRPr="002B3310">
        <w:t>Cabe señalar que</w:t>
      </w:r>
      <w:r w:rsidR="00EC3D25">
        <w:t>,</w:t>
      </w:r>
      <w:r w:rsidRPr="002B3310">
        <w:t xml:space="preserve"> </w:t>
      </w:r>
      <w:r w:rsidR="004C17BD">
        <w:t>de acuerdo</w:t>
      </w:r>
      <w:r w:rsidRPr="002B3310">
        <w:t xml:space="preserve"> con lo valorado en la Evaluación Especifica de Desempeño 2018, los indicadores a nivel de Fin y Propósito </w:t>
      </w:r>
      <w:r w:rsidR="00401521">
        <w:t xml:space="preserve">de la MIR estatal para el FAFEF, </w:t>
      </w:r>
      <w:r w:rsidRPr="002B3310">
        <w:t>son adecuados y se vinculan con los indicadores de la MIR federal, sin embargo, a nivel de Componentes y Actividades lo que se ha planteado en la MIR son actividades que están directamente relacionadas a los proyectos en cuanto a su definición sobre la mejora de la infraestructura; así como, el apoyo a los municipios con obras y servicios que conlleven a la construcción, rehabilitación y ampliación de las mismas. Este modelo no sólo es repetitivo en cuanto a su definición, sino también en cuanto a sus supuestos, valores y metas</w:t>
      </w:r>
      <w:r>
        <w:t>. En este sentido y en concordancia con la respuesta a la pregunta uno, se recomienda replantear el diseño de la MIR estatal de Fondo</w:t>
      </w:r>
      <w:r w:rsidR="00C27743">
        <w:t>,</w:t>
      </w:r>
      <w:r w:rsidR="00C72EB8">
        <w:t xml:space="preserve"> </w:t>
      </w:r>
      <w:r w:rsidR="00C72EB8" w:rsidRPr="00AA74BA">
        <w:rPr>
          <w:rFonts w:eastAsia="Calibri" w:cstheme="minorHAnsi"/>
          <w:bCs/>
        </w:rPr>
        <w:t>diseñ</w:t>
      </w:r>
      <w:r w:rsidR="00C72EB8">
        <w:rPr>
          <w:rFonts w:eastAsia="Calibri" w:cstheme="minorHAnsi"/>
          <w:bCs/>
        </w:rPr>
        <w:t xml:space="preserve">ando </w:t>
      </w:r>
      <w:r w:rsidR="00C72EB8" w:rsidRPr="00AA74BA">
        <w:rPr>
          <w:rFonts w:eastAsia="Calibri" w:cstheme="minorHAnsi"/>
          <w:bCs/>
        </w:rPr>
        <w:t xml:space="preserve">indicadores que </w:t>
      </w:r>
      <w:r w:rsidR="00B8503A">
        <w:rPr>
          <w:rFonts w:eastAsia="Calibri" w:cstheme="minorHAnsi"/>
          <w:bCs/>
        </w:rPr>
        <w:t xml:space="preserve">se </w:t>
      </w:r>
      <w:r w:rsidR="00C72EB8" w:rsidRPr="00AA74BA">
        <w:rPr>
          <w:rFonts w:eastAsia="Calibri" w:cstheme="minorHAnsi"/>
          <w:bCs/>
        </w:rPr>
        <w:t xml:space="preserve">vinculen </w:t>
      </w:r>
      <w:r w:rsidR="00B8503A">
        <w:rPr>
          <w:rFonts w:eastAsia="Calibri" w:cstheme="minorHAnsi"/>
          <w:bCs/>
        </w:rPr>
        <w:t xml:space="preserve">con </w:t>
      </w:r>
      <w:r w:rsidR="00C72EB8" w:rsidRPr="00AA74BA">
        <w:rPr>
          <w:rFonts w:eastAsia="Calibri" w:cstheme="minorHAnsi"/>
          <w:bCs/>
        </w:rPr>
        <w:t xml:space="preserve">los indicadores de los Pp </w:t>
      </w:r>
      <w:r w:rsidR="00B8503A">
        <w:rPr>
          <w:rFonts w:eastAsia="Calibri" w:cstheme="minorHAnsi"/>
          <w:bCs/>
        </w:rPr>
        <w:t>que ejercen recursos del Fondo</w:t>
      </w:r>
      <w:r w:rsidR="00C72EB8">
        <w:rPr>
          <w:rFonts w:eastAsia="Calibri" w:cstheme="minorHAnsi"/>
          <w:bCs/>
        </w:rPr>
        <w:t xml:space="preserve"> y con la MIR</w:t>
      </w:r>
      <w:r w:rsidR="00C72EB8" w:rsidRPr="00AA74BA">
        <w:rPr>
          <w:rFonts w:eastAsia="Calibri" w:cstheme="minorHAnsi"/>
          <w:bCs/>
        </w:rPr>
        <w:t xml:space="preserve"> federal del FAFEF e identifiquen el nivel de contribución de los recursos</w:t>
      </w:r>
      <w:r w:rsidR="00CF4351">
        <w:rPr>
          <w:rFonts w:eastAsia="Calibri" w:cstheme="minorHAnsi"/>
          <w:bCs/>
        </w:rPr>
        <w:t xml:space="preserve"> e</w:t>
      </w:r>
      <w:r w:rsidR="00B8503A">
        <w:rPr>
          <w:rFonts w:eastAsia="Calibri" w:cstheme="minorHAnsi"/>
          <w:bCs/>
        </w:rPr>
        <w:t xml:space="preserve">n el logro de objetivos de los Pp y </w:t>
      </w:r>
      <w:r w:rsidR="00C72EB8" w:rsidRPr="00AA74BA">
        <w:rPr>
          <w:rFonts w:eastAsia="Calibri" w:cstheme="minorHAnsi"/>
          <w:bCs/>
        </w:rPr>
        <w:t xml:space="preserve">permitan dar cuenta de los resultados de la aplicación de los recursos del Fondo en las políticas y </w:t>
      </w:r>
      <w:r w:rsidR="00835C33">
        <w:rPr>
          <w:rFonts w:eastAsia="Calibri" w:cstheme="minorHAnsi"/>
          <w:bCs/>
        </w:rPr>
        <w:t>Pp</w:t>
      </w:r>
      <w:r w:rsidR="00C72EB8" w:rsidRPr="00AA74BA">
        <w:rPr>
          <w:rFonts w:eastAsia="Calibri" w:cstheme="minorHAnsi"/>
          <w:bCs/>
        </w:rPr>
        <w:t xml:space="preserve"> implementados en el gobierno estatal, los cuales deben ser congruentes con los rubros de gasto de la LCF, lo anterior a fin de medir los efectos que se generan con dichos recursos.</w:t>
      </w:r>
      <w:r w:rsidR="00C27743">
        <w:t xml:space="preserve"> </w:t>
      </w:r>
      <w:r w:rsidR="00C72EB8">
        <w:t xml:space="preserve">A su vez se deberán establecer </w:t>
      </w:r>
      <w:r w:rsidR="00401521">
        <w:t>metas objetivas, cuantificables y orientadas a mejorar los resultados e impacto de la ejecución de los recursos del Fondo</w:t>
      </w:r>
      <w:r w:rsidR="00C27743">
        <w:t xml:space="preserve">. </w:t>
      </w:r>
    </w:p>
    <w:p w14:paraId="48D9A05B" w14:textId="3AB63963" w:rsidR="00D70712" w:rsidRDefault="00D70712" w:rsidP="00AE25DD">
      <w:r>
        <w:br w:type="page"/>
      </w:r>
    </w:p>
    <w:p w14:paraId="092E69E0" w14:textId="7CFFDB49" w:rsidR="00D70712" w:rsidRPr="00147A15" w:rsidRDefault="003B5E62" w:rsidP="003B5E62">
      <w:pPr>
        <w:pStyle w:val="Ttulo1"/>
      </w:pPr>
      <w:bookmarkStart w:id="33" w:name="_Toc56423703"/>
      <w:r>
        <w:lastRenderedPageBreak/>
        <w:t xml:space="preserve">V. </w:t>
      </w:r>
      <w:r w:rsidR="00D70712" w:rsidRPr="00147A15">
        <w:t xml:space="preserve">Módulo 3. </w:t>
      </w:r>
      <w:bookmarkStart w:id="34" w:name="_Hlk44235170"/>
      <w:r w:rsidR="00D70712" w:rsidRPr="00147A15">
        <w:t>Consistencia entre los elementos del diseño</w:t>
      </w:r>
      <w:bookmarkEnd w:id="33"/>
      <w:bookmarkEnd w:id="34"/>
    </w:p>
    <w:p w14:paraId="5FE9A391" w14:textId="54D2FA96" w:rsidR="00D70712" w:rsidRPr="00BC05EE" w:rsidRDefault="00D70712" w:rsidP="00D70712">
      <w:pPr>
        <w:spacing w:before="0" w:after="0" w:line="259" w:lineRule="auto"/>
        <w:rPr>
          <w:rFonts w:cstheme="minorHAnsi"/>
          <w:b/>
        </w:rPr>
      </w:pPr>
      <w:r>
        <w:rPr>
          <w:rFonts w:cstheme="minorHAnsi"/>
          <w:b/>
        </w:rPr>
        <w:t xml:space="preserve">5. </w:t>
      </w:r>
      <w:r w:rsidRPr="00BC05EE">
        <w:rPr>
          <w:rFonts w:cstheme="minorHAnsi"/>
          <w:b/>
        </w:rPr>
        <w:t>Para la operación del Fondo en la entidad federativa, ¿ésta utiliza información derivada de análisis externos (evaluaciones, auditorías al desempeño, informes de organizaciones independientes u otros relevantes) …</w:t>
      </w:r>
    </w:p>
    <w:p w14:paraId="2134C9B8" w14:textId="77777777" w:rsidR="00D70712" w:rsidRPr="00997712" w:rsidRDefault="00D70712" w:rsidP="00515CAC">
      <w:pPr>
        <w:pStyle w:val="Pregunta"/>
        <w:numPr>
          <w:ilvl w:val="0"/>
          <w:numId w:val="13"/>
        </w:numPr>
      </w:pPr>
      <w:r w:rsidRPr="00997712">
        <w:t>De manera regular, es decir, se consideran como uno de los elementos para la toma de decisiones sobre la operación del FAFEF en la entidad federativa;</w:t>
      </w:r>
    </w:p>
    <w:p w14:paraId="012B5BBC" w14:textId="77777777" w:rsidR="00D70712" w:rsidRPr="00997712" w:rsidRDefault="00D70712" w:rsidP="00515CAC">
      <w:pPr>
        <w:pStyle w:val="Pregunta"/>
        <w:numPr>
          <w:ilvl w:val="0"/>
          <w:numId w:val="13"/>
        </w:numPr>
      </w:pPr>
      <w:r w:rsidRPr="00997712">
        <w:t>De manera institucionalizada, es decir, sigue un procedimiento establecido en un documento oficial;</w:t>
      </w:r>
    </w:p>
    <w:p w14:paraId="776ADE23" w14:textId="77777777" w:rsidR="00D70712" w:rsidRPr="00997712" w:rsidRDefault="00D70712" w:rsidP="00515CAC">
      <w:pPr>
        <w:pStyle w:val="Pregunta"/>
        <w:numPr>
          <w:ilvl w:val="0"/>
          <w:numId w:val="13"/>
        </w:numPr>
      </w:pPr>
      <w:r w:rsidRPr="00997712">
        <w:t>Para definir acciones y actividades que contribuyan a mejorar su gestión o sus resultados;</w:t>
      </w:r>
    </w:p>
    <w:p w14:paraId="59D8D050" w14:textId="6430AE6F" w:rsidR="00D70712" w:rsidRPr="00997712" w:rsidRDefault="00D70712" w:rsidP="00515CAC">
      <w:pPr>
        <w:pStyle w:val="Pregunta"/>
        <w:numPr>
          <w:ilvl w:val="0"/>
          <w:numId w:val="13"/>
        </w:numPr>
        <w:spacing w:after="120"/>
        <w:ind w:left="714" w:hanging="357"/>
      </w:pPr>
      <w:r w:rsidRPr="00997712">
        <w:t xml:space="preserve">De manera participativa: </w:t>
      </w:r>
      <w:r w:rsidR="0090474F" w:rsidRPr="00997712">
        <w:t>¿participan operadores, gerentes y personal de las instancias ejecutoras del Fondo en la entidad federativa?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5"/>
        <w:gridCol w:w="763"/>
        <w:gridCol w:w="7854"/>
      </w:tblGrid>
      <w:tr w:rsidR="00D70712" w:rsidRPr="00997712" w14:paraId="4CE905FD" w14:textId="77777777" w:rsidTr="003D4725">
        <w:trPr>
          <w:trHeight w:val="260"/>
          <w:jc w:val="center"/>
        </w:trPr>
        <w:tc>
          <w:tcPr>
            <w:tcW w:w="675" w:type="pct"/>
            <w:shd w:val="clear" w:color="auto" w:fill="FFFFFF"/>
          </w:tcPr>
          <w:p w14:paraId="708DB489" w14:textId="77777777" w:rsidR="00D70712" w:rsidRPr="00997712" w:rsidRDefault="00D70712" w:rsidP="00945DC0">
            <w:pPr>
              <w:pBdr>
                <w:top w:val="nil"/>
                <w:left w:val="nil"/>
                <w:bottom w:val="nil"/>
                <w:right w:val="nil"/>
                <w:between w:val="nil"/>
              </w:pBdr>
              <w:spacing w:before="0" w:after="0"/>
              <w:ind w:left="12"/>
              <w:jc w:val="center"/>
              <w:rPr>
                <w:rFonts w:ascii="Calibri" w:eastAsia="Calibri" w:hAnsi="Calibri" w:cs="Calibri"/>
                <w:b/>
                <w:color w:val="000000"/>
                <w:sz w:val="20"/>
                <w:szCs w:val="20"/>
                <w:lang w:eastAsia="es-MX"/>
              </w:rPr>
            </w:pPr>
            <w:r w:rsidRPr="00997712">
              <w:rPr>
                <w:rFonts w:ascii="Calibri" w:eastAsia="Calibri" w:hAnsi="Calibri" w:cs="Calibri"/>
                <w:b/>
                <w:color w:val="000000"/>
                <w:sz w:val="20"/>
                <w:szCs w:val="20"/>
                <w:lang w:eastAsia="es-MX"/>
              </w:rPr>
              <w:t>Respuesta</w:t>
            </w:r>
          </w:p>
        </w:tc>
        <w:tc>
          <w:tcPr>
            <w:tcW w:w="383" w:type="pct"/>
            <w:shd w:val="clear" w:color="auto" w:fill="FFFFFF"/>
            <w:vAlign w:val="center"/>
          </w:tcPr>
          <w:p w14:paraId="0753D798" w14:textId="77777777" w:rsidR="00D70712" w:rsidRPr="00997712" w:rsidRDefault="00D70712" w:rsidP="00945DC0">
            <w:pPr>
              <w:pBdr>
                <w:top w:val="nil"/>
                <w:left w:val="nil"/>
                <w:bottom w:val="nil"/>
                <w:right w:val="nil"/>
                <w:between w:val="nil"/>
              </w:pBdr>
              <w:spacing w:before="0" w:after="0"/>
              <w:ind w:left="12"/>
              <w:jc w:val="center"/>
              <w:rPr>
                <w:rFonts w:ascii="Calibri" w:eastAsia="Calibri" w:hAnsi="Calibri" w:cs="Calibri"/>
                <w:b/>
                <w:color w:val="000000"/>
                <w:sz w:val="20"/>
                <w:szCs w:val="20"/>
                <w:lang w:eastAsia="es-MX"/>
              </w:rPr>
            </w:pPr>
            <w:r w:rsidRPr="00997712">
              <w:rPr>
                <w:rFonts w:ascii="Calibri" w:eastAsia="Calibri" w:hAnsi="Calibri" w:cs="Calibri"/>
                <w:b/>
                <w:color w:val="000000"/>
                <w:sz w:val="20"/>
                <w:szCs w:val="20"/>
                <w:lang w:eastAsia="es-MX"/>
              </w:rPr>
              <w:t>Nivel</w:t>
            </w:r>
          </w:p>
        </w:tc>
        <w:tc>
          <w:tcPr>
            <w:tcW w:w="3942" w:type="pct"/>
            <w:shd w:val="clear" w:color="auto" w:fill="FFFFFF"/>
            <w:vAlign w:val="center"/>
          </w:tcPr>
          <w:p w14:paraId="3682A462" w14:textId="77777777" w:rsidR="00D70712" w:rsidRPr="00997712" w:rsidRDefault="00D70712" w:rsidP="00945DC0">
            <w:pPr>
              <w:pBdr>
                <w:top w:val="nil"/>
                <w:left w:val="nil"/>
                <w:bottom w:val="nil"/>
                <w:right w:val="nil"/>
                <w:between w:val="nil"/>
              </w:pBdr>
              <w:spacing w:before="0" w:after="0"/>
              <w:ind w:firstLine="20"/>
              <w:jc w:val="center"/>
              <w:rPr>
                <w:rFonts w:ascii="Calibri" w:eastAsia="Calibri" w:hAnsi="Calibri" w:cs="Calibri"/>
                <w:b/>
                <w:color w:val="000000"/>
                <w:sz w:val="20"/>
                <w:szCs w:val="20"/>
                <w:lang w:eastAsia="es-MX"/>
              </w:rPr>
            </w:pPr>
            <w:r w:rsidRPr="00997712">
              <w:rPr>
                <w:rFonts w:ascii="Calibri" w:eastAsia="Calibri" w:hAnsi="Calibri" w:cs="Calibri"/>
                <w:b/>
                <w:color w:val="000000"/>
                <w:sz w:val="20"/>
                <w:szCs w:val="20"/>
                <w:lang w:eastAsia="es-MX"/>
              </w:rPr>
              <w:t>Criterios</w:t>
            </w:r>
          </w:p>
        </w:tc>
      </w:tr>
      <w:tr w:rsidR="00D70712" w:rsidRPr="00997712" w14:paraId="7191650D" w14:textId="77777777" w:rsidTr="003D4725">
        <w:trPr>
          <w:trHeight w:val="400"/>
          <w:jc w:val="center"/>
        </w:trPr>
        <w:tc>
          <w:tcPr>
            <w:tcW w:w="675" w:type="pct"/>
            <w:shd w:val="clear" w:color="auto" w:fill="FFFFFF"/>
            <w:vAlign w:val="center"/>
          </w:tcPr>
          <w:p w14:paraId="22979234" w14:textId="08E3B995" w:rsidR="00D70712" w:rsidRPr="00997712" w:rsidRDefault="0017438F" w:rsidP="00945DC0">
            <w:pPr>
              <w:pBdr>
                <w:top w:val="nil"/>
                <w:left w:val="nil"/>
                <w:bottom w:val="nil"/>
                <w:right w:val="nil"/>
                <w:between w:val="nil"/>
              </w:pBdr>
              <w:shd w:val="clear" w:color="auto" w:fill="FFFFFF"/>
              <w:spacing w:before="0" w:after="0"/>
              <w:ind w:firstLine="7"/>
              <w:jc w:val="center"/>
              <w:rPr>
                <w:rFonts w:ascii="Calibri" w:eastAsia="Calibri" w:hAnsi="Calibri" w:cs="Calibri"/>
                <w:color w:val="000000"/>
                <w:sz w:val="20"/>
                <w:szCs w:val="20"/>
                <w:lang w:eastAsia="es-MX"/>
              </w:rPr>
            </w:pPr>
            <w:r>
              <w:rPr>
                <w:rFonts w:ascii="Calibri" w:eastAsia="Calibri" w:hAnsi="Calibri" w:cs="Calibri"/>
                <w:color w:val="000000"/>
                <w:sz w:val="20"/>
                <w:szCs w:val="20"/>
                <w:lang w:eastAsia="es-MX"/>
              </w:rPr>
              <w:t>Sí</w:t>
            </w:r>
          </w:p>
        </w:tc>
        <w:tc>
          <w:tcPr>
            <w:tcW w:w="383" w:type="pct"/>
            <w:shd w:val="clear" w:color="auto" w:fill="FFFFFF"/>
            <w:vAlign w:val="center"/>
          </w:tcPr>
          <w:p w14:paraId="2BD09FD2" w14:textId="20E274D7" w:rsidR="00D70712" w:rsidRPr="00997712" w:rsidRDefault="0017438F" w:rsidP="00945DC0">
            <w:pPr>
              <w:pBdr>
                <w:top w:val="nil"/>
                <w:left w:val="nil"/>
                <w:bottom w:val="nil"/>
                <w:right w:val="nil"/>
                <w:between w:val="nil"/>
              </w:pBdr>
              <w:shd w:val="clear" w:color="auto" w:fill="FFFFFF"/>
              <w:spacing w:before="0" w:after="0"/>
              <w:ind w:firstLine="7"/>
              <w:jc w:val="center"/>
              <w:rPr>
                <w:rFonts w:ascii="Calibri" w:eastAsia="Calibri" w:hAnsi="Calibri" w:cs="Calibri"/>
                <w:color w:val="000000"/>
                <w:sz w:val="20"/>
                <w:szCs w:val="20"/>
                <w:lang w:eastAsia="es-MX"/>
              </w:rPr>
            </w:pPr>
            <w:r>
              <w:rPr>
                <w:rFonts w:ascii="Calibri" w:eastAsia="Calibri" w:hAnsi="Calibri" w:cs="Calibri"/>
                <w:color w:val="000000"/>
                <w:sz w:val="20"/>
                <w:szCs w:val="20"/>
                <w:lang w:eastAsia="es-MX"/>
              </w:rPr>
              <w:t>4</w:t>
            </w:r>
          </w:p>
        </w:tc>
        <w:tc>
          <w:tcPr>
            <w:tcW w:w="3942" w:type="pct"/>
            <w:shd w:val="clear" w:color="auto" w:fill="FFFFFF"/>
          </w:tcPr>
          <w:p w14:paraId="19767C75" w14:textId="59643876" w:rsidR="00D70712" w:rsidRPr="00997712" w:rsidRDefault="001A5953" w:rsidP="00945DC0">
            <w:pPr>
              <w:tabs>
                <w:tab w:val="left" w:pos="256"/>
              </w:tabs>
              <w:spacing w:before="0" w:after="0"/>
              <w:rPr>
                <w:rFonts w:ascii="Calibri" w:eastAsia="Calibri" w:hAnsi="Calibri" w:cs="Calibri"/>
                <w:color w:val="000000"/>
                <w:sz w:val="20"/>
                <w:szCs w:val="20"/>
                <w:lang w:eastAsia="es-MX"/>
              </w:rPr>
            </w:pPr>
            <w:r w:rsidRPr="00997712">
              <w:rPr>
                <w:rFonts w:ascii="Calibri" w:eastAsia="Calibri" w:hAnsi="Calibri" w:cs="Calibri"/>
                <w:color w:val="000000"/>
                <w:sz w:val="20"/>
                <w:szCs w:val="20"/>
                <w:lang w:eastAsia="es-MX"/>
              </w:rPr>
              <w:t xml:space="preserve">Para la operación del Fondo en la entidad federativa, ésta utiliza informes de evaluaciones externas y cumple con </w:t>
            </w:r>
            <w:r w:rsidRPr="000F3860">
              <w:rPr>
                <w:rFonts w:ascii="Calibri" w:eastAsia="Calibri" w:hAnsi="Calibri" w:cs="Calibri"/>
                <w:b/>
                <w:bCs/>
                <w:color w:val="000000"/>
                <w:sz w:val="20"/>
                <w:szCs w:val="20"/>
                <w:lang w:eastAsia="es-MX"/>
              </w:rPr>
              <w:t>todas</w:t>
            </w:r>
            <w:r w:rsidRPr="00997712">
              <w:rPr>
                <w:rFonts w:ascii="Calibri" w:eastAsia="Calibri" w:hAnsi="Calibri" w:cs="Calibri"/>
                <w:color w:val="000000"/>
                <w:sz w:val="20"/>
                <w:szCs w:val="20"/>
                <w:lang w:eastAsia="es-MX"/>
              </w:rPr>
              <w:t xml:space="preserve"> de las características establecidas en la pregunta.</w:t>
            </w:r>
          </w:p>
        </w:tc>
      </w:tr>
    </w:tbl>
    <w:p w14:paraId="1514A82C" w14:textId="4E51C8FA" w:rsidR="00B876E8" w:rsidRDefault="00B81C5E" w:rsidP="001D2D41">
      <w:pPr>
        <w:pStyle w:val="Prrafodelista"/>
        <w:numPr>
          <w:ilvl w:val="0"/>
          <w:numId w:val="37"/>
        </w:numPr>
        <w:ind w:left="714" w:hanging="357"/>
        <w:contextualSpacing w:val="0"/>
      </w:pPr>
      <w:bookmarkStart w:id="35" w:name="_Hlk54255698"/>
      <w:r>
        <w:t>En el marco de</w:t>
      </w:r>
      <w:r w:rsidR="00CF4351">
        <w:t xml:space="preserve"> la metodología del </w:t>
      </w:r>
      <w:r w:rsidR="00595A94">
        <w:t>Pb</w:t>
      </w:r>
      <w:r>
        <w:t>R-S</w:t>
      </w:r>
      <w:r w:rsidR="00D7083F">
        <w:t>istema de Evaluación del Desempeño (S</w:t>
      </w:r>
      <w:r>
        <w:t>ED</w:t>
      </w:r>
      <w:r w:rsidR="00D7083F">
        <w:t>)</w:t>
      </w:r>
      <w:r>
        <w:t xml:space="preserve"> en el </w:t>
      </w:r>
      <w:r w:rsidR="00644705">
        <w:t>E</w:t>
      </w:r>
      <w:r>
        <w:t xml:space="preserve">stado de Hidalgo </w:t>
      </w:r>
      <w:bookmarkStart w:id="36" w:name="_Hlk54094765"/>
      <w:r>
        <w:t xml:space="preserve">se han realizado al </w:t>
      </w:r>
      <w:r w:rsidRPr="00965A5A">
        <w:rPr>
          <w:highlight w:val="yellow"/>
        </w:rPr>
        <w:t>FA</w:t>
      </w:r>
      <w:r w:rsidR="00965A5A" w:rsidRPr="00965A5A">
        <w:rPr>
          <w:highlight w:val="yellow"/>
        </w:rPr>
        <w:t>F</w:t>
      </w:r>
      <w:r w:rsidRPr="00965A5A">
        <w:rPr>
          <w:highlight w:val="yellow"/>
        </w:rPr>
        <w:t>EF</w:t>
      </w:r>
      <w:r>
        <w:t xml:space="preserve"> tres evaluaciones específicas de desempeño </w:t>
      </w:r>
      <w:r w:rsidR="006C3A8F">
        <w:t>en los ejercicios 2014, 2015 y 2018, las cuales han derivado en ASM</w:t>
      </w:r>
      <w:bookmarkEnd w:id="35"/>
      <w:r w:rsidR="004D7AEC">
        <w:t xml:space="preserve">; </w:t>
      </w:r>
      <w:r w:rsidR="001B5AF3">
        <w:t>de la evaluación 2014 derivaron las siguientes</w:t>
      </w:r>
      <w:r w:rsidR="001546C3">
        <w:t xml:space="preserve">: 1) </w:t>
      </w:r>
      <w:r w:rsidR="001B5AF3">
        <w:t>Realizar un documento metodológico que defina las poblaciones a nivel local, para determinar una estrategia de cobertura que permita monitorear de una manera más adecuada los alcances y objetivos del fondo; 2)</w:t>
      </w:r>
      <w:r w:rsidR="001B5AF3" w:rsidRPr="001B5AF3">
        <w:t xml:space="preserve"> </w:t>
      </w:r>
      <w:r w:rsidR="001B5AF3">
        <w:t>Realizar un documento metodológico que defina las poblaciones a nivel local, para determinar una estrategia de cobertura que permita monitorear de una manera más adecuada los alcances y objetivos del fondo; 3) Reportar las metas de cada uno de los indicadores obligatorios del FAFEF. La</w:t>
      </w:r>
      <w:r w:rsidR="00823476">
        <w:t xml:space="preserve">s recomendaciones de la </w:t>
      </w:r>
      <w:r w:rsidR="001B5AF3">
        <w:t>evaluación 2015</w:t>
      </w:r>
      <w:r w:rsidR="00823476">
        <w:t xml:space="preserve">, derivan los siguientes ASM: 1) Definir un responsable de administrar el Fondo, 2) Integrar MIR, 3) Integrar </w:t>
      </w:r>
      <w:r w:rsidR="001278AC">
        <w:t>fichas técnicas de indicadores, 4) Definir la</w:t>
      </w:r>
      <w:r w:rsidR="00D7083F">
        <w:t xml:space="preserve"> población potencial, objetivo y atendida</w:t>
      </w:r>
      <w:r w:rsidR="001278AC">
        <w:t xml:space="preserve"> por el Fondo para cada instancia y definir los métodos de cálculo, y 5) Cuantificar la </w:t>
      </w:r>
      <w:r w:rsidR="00D7083F">
        <w:t>población potencial, objetivo y atendida</w:t>
      </w:r>
      <w:r w:rsidR="001278AC">
        <w:t>, por el Fondo en cada instancia y definir los métodos de cálculo.</w:t>
      </w:r>
      <w:r w:rsidR="00B876E8">
        <w:t xml:space="preserve"> Para las recomendaciones emitidas por la evaluación realizada al FAFEF en 2018, no se identificó un documento de seguimiento a ASM, sin </w:t>
      </w:r>
      <w:r w:rsidR="008B4551">
        <w:t>embargo,</w:t>
      </w:r>
      <w:r w:rsidR="00B876E8">
        <w:t xml:space="preserve"> </w:t>
      </w:r>
      <w:r w:rsidR="008B4551">
        <w:t xml:space="preserve">mediante </w:t>
      </w:r>
      <w:r w:rsidR="00B876E8">
        <w:t>el documento de posicionamiento institucional</w:t>
      </w:r>
      <w:r w:rsidR="008B4551">
        <w:t xml:space="preserve">, la SFP y la Subsecretaría de Programación se comprometen a dar seguimiento a todas las recomendaciones </w:t>
      </w:r>
      <w:r w:rsidR="0019706F">
        <w:t xml:space="preserve">las cuales son: 1) Elaborar un diagnóstico del FAFEF en Hidalgo que justifique la operación del Fondo y que contenga los elementos mínimos señalados por el CONEVAL; 2) Elaborar un mecanismo </w:t>
      </w:r>
      <w:r w:rsidR="0017438F">
        <w:t>que permita que permita dar a conocer el procedimiento para la autorización y ejercicio del Fondo; 3) Realizar una base de datos clara y precisa que contenga todas las obras y acciones realizadas con los recursos del Fondo, por monto, momentos contables, beneficiarios y área ejecutora</w:t>
      </w:r>
      <w:bookmarkEnd w:id="36"/>
      <w:r w:rsidR="0017438F">
        <w:t>.</w:t>
      </w:r>
    </w:p>
    <w:p w14:paraId="210943F7" w14:textId="39D6E571" w:rsidR="006C0A5C" w:rsidRPr="0060754F" w:rsidRDefault="00B664D9" w:rsidP="00B664D9">
      <w:pPr>
        <w:pStyle w:val="Prrafodelista"/>
        <w:ind w:left="709" w:hanging="567"/>
        <w:contextualSpacing w:val="0"/>
      </w:pPr>
      <w:bookmarkStart w:id="37" w:name="_Hlk54255762"/>
      <w:r>
        <w:t xml:space="preserve">b y d) </w:t>
      </w:r>
      <w:r w:rsidR="006C0A5C">
        <w:t>Lo anterior se institucionaliza a través de</w:t>
      </w:r>
      <w:r w:rsidR="004A3EC8">
        <w:t>l</w:t>
      </w:r>
      <w:r w:rsidR="006C0A5C">
        <w:t xml:space="preserve"> Plan de Trabajo para Atender los ASM, mismo que surge de una minuta de reunión de trabajo en la que participan la SF</w:t>
      </w:r>
      <w:r w:rsidR="00D7083F">
        <w:t>P</w:t>
      </w:r>
      <w:r w:rsidR="006C0A5C">
        <w:t>, UTED, la Secretaría de Contraloría y Transparencia Gubernamental, Dirección General de Vinculación y Desarrollo Institucional, Departamento de Información Financiera y Municipal, Coordinación de Planeación Financiera,</w:t>
      </w:r>
      <w:r w:rsidR="00E368C3">
        <w:t xml:space="preserve"> COPLADEHI, COPLADER, COPLADEM</w:t>
      </w:r>
      <w:r w:rsidR="006C0A5C">
        <w:t xml:space="preserve"> y titulares o representantes de las distintas dependencias ejecutoras</w:t>
      </w:r>
      <w:r w:rsidR="00E537CF">
        <w:t xml:space="preserve">, </w:t>
      </w:r>
      <w:r w:rsidR="00E537CF" w:rsidRPr="0060754F">
        <w:t>p</w:t>
      </w:r>
      <w:r w:rsidR="0097618E" w:rsidRPr="0060754F">
        <w:t>or lo que, en este sentido también se cumple con el criterio d) de realizarse de manera participativa.</w:t>
      </w:r>
    </w:p>
    <w:p w14:paraId="08E03A11" w14:textId="31BE4B3E" w:rsidR="00154C61" w:rsidRDefault="00B72DFF" w:rsidP="001D2D41">
      <w:pPr>
        <w:pStyle w:val="Prrafodelista"/>
        <w:numPr>
          <w:ilvl w:val="0"/>
          <w:numId w:val="41"/>
        </w:numPr>
      </w:pPr>
      <w:r>
        <w:t>Considerando que los ASM derivan de evaluaciones externas que han analizado la consistencia y resultados y el desempeño del FAFEF en la entidad</w:t>
      </w:r>
      <w:r w:rsidR="003D48A0">
        <w:t xml:space="preserve"> federativa</w:t>
      </w:r>
      <w:r>
        <w:t>, se puede afirmar que su atención ha contribuido a la mejora de su gestión o resultados.</w:t>
      </w:r>
    </w:p>
    <w:bookmarkEnd w:id="37"/>
    <w:p w14:paraId="75CB80C5" w14:textId="704143F4" w:rsidR="00D9001E" w:rsidRPr="009A02A1" w:rsidRDefault="00B72DFF" w:rsidP="00D9001E">
      <w:r>
        <w:t xml:space="preserve">Adicionalmente, en </w:t>
      </w:r>
      <w:r w:rsidR="00FD640D">
        <w:t>Hidalgo</w:t>
      </w:r>
      <w:r>
        <w:t>, l</w:t>
      </w:r>
      <w:r w:rsidR="00D9001E" w:rsidRPr="009A02A1">
        <w:t xml:space="preserve">os recursos del FAFEF se destinan </w:t>
      </w:r>
      <w:r>
        <w:t xml:space="preserve">en una buena proporción </w:t>
      </w:r>
      <w:r w:rsidR="00D9001E" w:rsidRPr="009A02A1">
        <w:t>a proyectos de inversión</w:t>
      </w:r>
      <w:r w:rsidR="000013A0">
        <w:t xml:space="preserve">. </w:t>
      </w:r>
      <w:r w:rsidR="00D7083F">
        <w:t>Para la autorización y asignación de recursos a estos proyectos se consideran</w:t>
      </w:r>
      <w:r w:rsidR="00D9001E" w:rsidRPr="009A02A1">
        <w:t xml:space="preserve"> dos</w:t>
      </w:r>
      <w:r w:rsidR="00D7083F">
        <w:t xml:space="preserve"> tipos de</w:t>
      </w:r>
      <w:r w:rsidR="00D9001E" w:rsidRPr="009A02A1">
        <w:t xml:space="preserve"> </w:t>
      </w:r>
      <w:r w:rsidR="00D9001E" w:rsidRPr="009A02A1">
        <w:lastRenderedPageBreak/>
        <w:t>evaluaciones: Evaluación Socioeconómica, generada con base en los Lineamientos para la elaboración y presentación de los análisis costo y beneficio de los programas y proyectos de inversión; a partir de este elemento se favorece a aquellos proyectos con una mayor rentabilidad social</w:t>
      </w:r>
      <w:r w:rsidR="000013A0">
        <w:t>; y una</w:t>
      </w:r>
      <w:r w:rsidR="00D9001E" w:rsidRPr="009A02A1">
        <w:t xml:space="preserve"> </w:t>
      </w:r>
      <w:r w:rsidR="000E3592" w:rsidRPr="009A02A1">
        <w:t>evaluación técnica</w:t>
      </w:r>
      <w:r w:rsidR="00D9001E" w:rsidRPr="009A02A1">
        <w:t xml:space="preserve">, con base en la Ley de Obras Públicas y </w:t>
      </w:r>
      <w:r w:rsidR="004C17BD">
        <w:t>S</w:t>
      </w:r>
      <w:r w:rsidR="00D9001E" w:rsidRPr="009A02A1">
        <w:t>ervicios Relacionados con las mismas para el Estado de Hidalgo, normatividad en materia de títulos de propiedad, impacto ambiental y demás ordenamientos federales y estatales.</w:t>
      </w:r>
      <w:r w:rsidR="004C17BD">
        <w:t xml:space="preserve"> </w:t>
      </w:r>
    </w:p>
    <w:p w14:paraId="617B3B00" w14:textId="77777777" w:rsidR="00AE25DD" w:rsidRDefault="00AE25DD">
      <w:pPr>
        <w:spacing w:before="0" w:after="160" w:line="259" w:lineRule="auto"/>
        <w:jc w:val="left"/>
      </w:pPr>
      <w:r>
        <w:br w:type="page"/>
      </w:r>
    </w:p>
    <w:p w14:paraId="52F31FD8" w14:textId="77777777" w:rsidR="00D67EE2" w:rsidRPr="00D67EE2" w:rsidRDefault="00D67EE2" w:rsidP="00091E29">
      <w:pPr>
        <w:spacing w:before="0" w:after="0"/>
        <w:contextualSpacing/>
        <w:rPr>
          <w:rFonts w:cstheme="minorHAnsi"/>
          <w:b/>
        </w:rPr>
      </w:pPr>
      <w:r w:rsidRPr="00D67EE2">
        <w:rPr>
          <w:rFonts w:cstheme="minorHAnsi"/>
          <w:b/>
        </w:rPr>
        <w:lastRenderedPageBreak/>
        <w:t>6. ¿Se considera la información del diagnóstico o de los resultados de la aplicación de los recursos del FAFEF durante el año anterior, en la planeación anual de la entidad federativa…</w:t>
      </w:r>
    </w:p>
    <w:p w14:paraId="5419868C" w14:textId="77777777" w:rsidR="00D67EE2" w:rsidRPr="00091E29" w:rsidRDefault="00D67EE2" w:rsidP="00515CAC">
      <w:pPr>
        <w:pStyle w:val="Pregunta"/>
        <w:numPr>
          <w:ilvl w:val="0"/>
          <w:numId w:val="14"/>
        </w:numPr>
      </w:pPr>
      <w:r w:rsidRPr="00091E29">
        <w:t>Para el establecimiento de metas;</w:t>
      </w:r>
    </w:p>
    <w:p w14:paraId="724B83F8" w14:textId="77777777" w:rsidR="00D67EE2" w:rsidRPr="00091E29" w:rsidRDefault="00D67EE2" w:rsidP="00515CAC">
      <w:pPr>
        <w:pStyle w:val="Pregunta"/>
        <w:numPr>
          <w:ilvl w:val="0"/>
          <w:numId w:val="14"/>
        </w:numPr>
      </w:pPr>
      <w:r w:rsidRPr="00091E29">
        <w:t xml:space="preserve">Para la asignación de recursos; </w:t>
      </w:r>
    </w:p>
    <w:p w14:paraId="5612BC80" w14:textId="77777777" w:rsidR="00D67EE2" w:rsidRPr="00091E29" w:rsidRDefault="00D67EE2" w:rsidP="00515CAC">
      <w:pPr>
        <w:pStyle w:val="Pregunta"/>
        <w:numPr>
          <w:ilvl w:val="0"/>
          <w:numId w:val="14"/>
        </w:numPr>
      </w:pPr>
      <w:r w:rsidRPr="00091E29">
        <w:t>Para la distribución de actividades;</w:t>
      </w:r>
    </w:p>
    <w:p w14:paraId="27D65AA3" w14:textId="77777777" w:rsidR="00D67EE2" w:rsidRPr="00091E29" w:rsidRDefault="00D67EE2" w:rsidP="00515CAC">
      <w:pPr>
        <w:pStyle w:val="Pregunta"/>
        <w:numPr>
          <w:ilvl w:val="0"/>
          <w:numId w:val="14"/>
        </w:numPr>
      </w:pPr>
      <w:r w:rsidRPr="00091E29">
        <w:t>Para la selección geográfica de población o área a atenderse</w:t>
      </w:r>
    </w:p>
    <w:p w14:paraId="4D59A4B8" w14:textId="081F894C" w:rsidR="00D67EE2" w:rsidRPr="00091E29" w:rsidRDefault="00D67EE2" w:rsidP="00D67EE2">
      <w:pPr>
        <w:rPr>
          <w:b/>
          <w:bCs/>
          <w:color w:val="000000" w:themeColor="text1"/>
        </w:rPr>
      </w:pPr>
      <w:r w:rsidRPr="00091E29">
        <w:rPr>
          <w:b/>
          <w:bCs/>
          <w:color w:val="000000" w:themeColor="text1"/>
        </w:rPr>
        <w:t>No procede valoración cuantitativa.</w:t>
      </w:r>
    </w:p>
    <w:p w14:paraId="3CC8E264" w14:textId="2E6B2E2B" w:rsidR="005F3DC3" w:rsidRPr="009A02A1" w:rsidRDefault="005F3DC3" w:rsidP="005F3DC3">
      <w:pPr>
        <w:rPr>
          <w:color w:val="000000" w:themeColor="text1"/>
        </w:rPr>
      </w:pPr>
      <w:r w:rsidRPr="009A02A1">
        <w:rPr>
          <w:color w:val="000000" w:themeColor="text1"/>
        </w:rPr>
        <w:t xml:space="preserve">El Estado cuenta con un documento “diagnóstico” para el ejercicio del FAFEF, sin embargo, éste solo muestra información muy general respecto a la identificación de problema, la población potencial y objetivo, indicadores de desempeño y </w:t>
      </w:r>
      <w:r w:rsidR="00A70A52">
        <w:rPr>
          <w:color w:val="000000" w:themeColor="text1"/>
        </w:rPr>
        <w:t>C</w:t>
      </w:r>
      <w:r w:rsidRPr="009A02A1">
        <w:rPr>
          <w:color w:val="000000" w:themeColor="text1"/>
        </w:rPr>
        <w:t xml:space="preserve">omponentes (bienes y servicios), limitando su utilidad como instrumento de planeación anual para la operación del Fondo en </w:t>
      </w:r>
      <w:r w:rsidR="008534AE">
        <w:rPr>
          <w:color w:val="000000" w:themeColor="text1"/>
        </w:rPr>
        <w:t>Hidalgo</w:t>
      </w:r>
      <w:r w:rsidRPr="009A02A1">
        <w:rPr>
          <w:color w:val="000000" w:themeColor="text1"/>
        </w:rPr>
        <w:t>.</w:t>
      </w:r>
      <w:r w:rsidR="005A30B5">
        <w:rPr>
          <w:color w:val="000000" w:themeColor="text1"/>
        </w:rPr>
        <w:t xml:space="preserve"> En este sentido, el diagnóstico no presenta información útil para el establecimiento de metas, asignación de recursos, distribución de actividades y selección geográfica de la</w:t>
      </w:r>
      <w:r w:rsidR="000B0974">
        <w:rPr>
          <w:color w:val="000000" w:themeColor="text1"/>
        </w:rPr>
        <w:t xml:space="preserve"> población a atenderse.</w:t>
      </w:r>
    </w:p>
    <w:p w14:paraId="52A957EE" w14:textId="2E9A9DDF" w:rsidR="00B66CBA" w:rsidRDefault="000B0974" w:rsidP="005F3DC3">
      <w:pPr>
        <w:rPr>
          <w:color w:val="000000" w:themeColor="text1"/>
        </w:rPr>
      </w:pPr>
      <w:r>
        <w:rPr>
          <w:color w:val="000000" w:themeColor="text1"/>
        </w:rPr>
        <w:t>Adicionalmente, e</w:t>
      </w:r>
      <w:r w:rsidR="005F3DC3" w:rsidRPr="009A02A1">
        <w:rPr>
          <w:color w:val="000000" w:themeColor="text1"/>
        </w:rPr>
        <w:t xml:space="preserve">l Estado desarrolló las Fichas Ejecutivas de Desempeño que constituyen un instrumento que consolida y sintetiza la información de desempeño de los </w:t>
      </w:r>
      <w:r w:rsidR="00F12B80">
        <w:rPr>
          <w:color w:val="000000" w:themeColor="text1"/>
        </w:rPr>
        <w:t>Pp</w:t>
      </w:r>
      <w:r w:rsidR="005F3DC3" w:rsidRPr="009A02A1">
        <w:rPr>
          <w:color w:val="000000" w:themeColor="text1"/>
        </w:rPr>
        <w:t xml:space="preserve">; de igual manera, cada uno de éstos debe contar con una MIR, en la cual se identifican los objetivos, indicadores, metas y factores externos que se deberán considerar para su cumplimiento, con el fin de promover sus resultados a los ejecutores de gasto, las áreas de planeación y las áreas </w:t>
      </w:r>
      <w:r w:rsidR="00707449">
        <w:rPr>
          <w:color w:val="000000" w:themeColor="text1"/>
        </w:rPr>
        <w:t>que presupuestan</w:t>
      </w:r>
      <w:r w:rsidR="005F3DC3" w:rsidRPr="009A02A1">
        <w:rPr>
          <w:color w:val="000000" w:themeColor="text1"/>
        </w:rPr>
        <w:t xml:space="preserve">, </w:t>
      </w:r>
      <w:bookmarkStart w:id="38" w:name="_Hlk53750103"/>
      <w:r w:rsidR="005F3DC3" w:rsidRPr="009A02A1">
        <w:rPr>
          <w:color w:val="000000" w:themeColor="text1"/>
        </w:rPr>
        <w:t>para la toma de decisiones respecto a las metas y asignación de recursos a los proyectos de inversión susceptibles de ser financiados con el FAFEF, de tal manera que son priorizados aquellos proyectos que generan un mayor impacto social y que son susceptibles de ser orientados al Proyecto de Presupuesto de Egresos del Estado</w:t>
      </w:r>
      <w:r w:rsidR="007C3D7C" w:rsidRPr="009A02A1">
        <w:rPr>
          <w:color w:val="000000" w:themeColor="text1"/>
        </w:rPr>
        <w:t>.</w:t>
      </w:r>
    </w:p>
    <w:p w14:paraId="48934FBE" w14:textId="2BC760DB" w:rsidR="00927662" w:rsidRPr="006E749B" w:rsidRDefault="00927662" w:rsidP="00927662">
      <w:pPr>
        <w:rPr>
          <w:color w:val="000000" w:themeColor="text1"/>
        </w:rPr>
      </w:pPr>
      <w:bookmarkStart w:id="39" w:name="_Hlk48524678"/>
      <w:r w:rsidRPr="006E749B">
        <w:rPr>
          <w:color w:val="000000" w:themeColor="text1"/>
        </w:rPr>
        <w:t xml:space="preserve">Al respecto, aunque se evidencia que en la entidad </w:t>
      </w:r>
      <w:r w:rsidR="00EE2E79">
        <w:rPr>
          <w:color w:val="000000" w:themeColor="text1"/>
        </w:rPr>
        <w:t xml:space="preserve">federativa </w:t>
      </w:r>
      <w:r w:rsidRPr="006E749B">
        <w:rPr>
          <w:color w:val="000000" w:themeColor="text1"/>
        </w:rPr>
        <w:t>se utilizan elementos de diagnóstico y resultados previos del FAFEF para asignar los recursos en el siguiente ejercicio fiscal, establecer metas y distribuir actividades, estas se enmarcan en una planeación global de acciones de la entidad</w:t>
      </w:r>
      <w:r w:rsidR="001C7E6D">
        <w:rPr>
          <w:color w:val="000000" w:themeColor="text1"/>
        </w:rPr>
        <w:t xml:space="preserve"> federativa</w:t>
      </w:r>
      <w:r w:rsidRPr="006E749B">
        <w:rPr>
          <w:color w:val="000000" w:themeColor="text1"/>
        </w:rPr>
        <w:t xml:space="preserve"> y no de manera específica considerando los alcances y rubros específicos del Fondo. </w:t>
      </w:r>
    </w:p>
    <w:p w14:paraId="3DBDA793" w14:textId="5A5ADE6C" w:rsidR="00927662" w:rsidRPr="006E749B" w:rsidRDefault="00927662" w:rsidP="00927662">
      <w:pPr>
        <w:rPr>
          <w:color w:val="000000" w:themeColor="text1"/>
        </w:rPr>
      </w:pPr>
      <w:r w:rsidRPr="006E749B">
        <w:rPr>
          <w:color w:val="000000" w:themeColor="text1"/>
        </w:rPr>
        <w:t xml:space="preserve">Tomando estas </w:t>
      </w:r>
      <w:r w:rsidR="00EA1833" w:rsidRPr="006E749B">
        <w:rPr>
          <w:color w:val="000000" w:themeColor="text1"/>
        </w:rPr>
        <w:t>consideraciones,</w:t>
      </w:r>
      <w:r w:rsidR="00EA1833">
        <w:rPr>
          <w:color w:val="000000" w:themeColor="text1"/>
        </w:rPr>
        <w:t xml:space="preserve"> y en concordancia con la respuesta a la pregunta dos,</w:t>
      </w:r>
      <w:r w:rsidRPr="006E749B">
        <w:rPr>
          <w:color w:val="000000" w:themeColor="text1"/>
        </w:rPr>
        <w:t xml:space="preserve"> se recomienda a la entidad</w:t>
      </w:r>
      <w:r w:rsidR="004F5AB8">
        <w:rPr>
          <w:color w:val="000000" w:themeColor="text1"/>
        </w:rPr>
        <w:t xml:space="preserve"> federativa</w:t>
      </w:r>
      <w:r w:rsidRPr="006E749B">
        <w:rPr>
          <w:color w:val="000000" w:themeColor="text1"/>
        </w:rPr>
        <w:t xml:space="preserve"> elaborar un documento en el que se consideren elementos para la toma de decisiones respecto al establecimiento de metas, la asignación de recursos y la ejecución del Fondo, tales como: antecedentes, identificación, definición y descripción de la o las problemáticas que podrían atenderse con recursos del FAFEF, </w:t>
      </w:r>
      <w:r w:rsidR="00573DE1">
        <w:rPr>
          <w:color w:val="000000" w:themeColor="text1"/>
        </w:rPr>
        <w:t xml:space="preserve">en el marco de los rubros establecidos en </w:t>
      </w:r>
      <w:r w:rsidR="003640CF">
        <w:rPr>
          <w:color w:val="000000" w:themeColor="text1"/>
        </w:rPr>
        <w:t>la LCF</w:t>
      </w:r>
      <w:r w:rsidRPr="006E749B">
        <w:rPr>
          <w:color w:val="000000" w:themeColor="text1"/>
        </w:rPr>
        <w:t>,</w:t>
      </w:r>
      <w:r w:rsidR="003640CF">
        <w:rPr>
          <w:color w:val="000000" w:themeColor="text1"/>
        </w:rPr>
        <w:t xml:space="preserve"> alineación de los </w:t>
      </w:r>
      <w:r w:rsidR="00F12B80">
        <w:rPr>
          <w:color w:val="000000" w:themeColor="text1"/>
        </w:rPr>
        <w:t>Pp</w:t>
      </w:r>
      <w:r w:rsidR="003640CF">
        <w:rPr>
          <w:color w:val="000000" w:themeColor="text1"/>
        </w:rPr>
        <w:t xml:space="preserve"> a través de los cuales se dará cauce al ejercicio de los recursos,</w:t>
      </w:r>
      <w:r w:rsidR="00C9106C">
        <w:rPr>
          <w:color w:val="000000" w:themeColor="text1"/>
        </w:rPr>
        <w:t xml:space="preserve"> </w:t>
      </w:r>
      <w:r w:rsidRPr="006E749B">
        <w:rPr>
          <w:color w:val="000000" w:themeColor="text1"/>
        </w:rPr>
        <w:t>árbol del problema</w:t>
      </w:r>
      <w:r w:rsidR="003640CF">
        <w:rPr>
          <w:color w:val="000000" w:themeColor="text1"/>
        </w:rPr>
        <w:t>s</w:t>
      </w:r>
      <w:r w:rsidRPr="006E749B">
        <w:rPr>
          <w:color w:val="000000" w:themeColor="text1"/>
        </w:rPr>
        <w:t>, árbol del objetivo</w:t>
      </w:r>
      <w:r w:rsidR="003640CF">
        <w:rPr>
          <w:color w:val="000000" w:themeColor="text1"/>
        </w:rPr>
        <w:t>s</w:t>
      </w:r>
      <w:r w:rsidRPr="006E749B">
        <w:rPr>
          <w:color w:val="000000" w:themeColor="text1"/>
        </w:rPr>
        <w:t>, determinación de los objetivos de</w:t>
      </w:r>
      <w:r w:rsidR="003640CF">
        <w:rPr>
          <w:color w:val="000000" w:themeColor="text1"/>
        </w:rPr>
        <w:t xml:space="preserve"> los </w:t>
      </w:r>
      <w:r w:rsidR="00F12B80">
        <w:rPr>
          <w:color w:val="000000" w:themeColor="text1"/>
        </w:rPr>
        <w:t>Pp</w:t>
      </w:r>
      <w:r w:rsidR="003640CF">
        <w:rPr>
          <w:color w:val="000000" w:themeColor="text1"/>
        </w:rPr>
        <w:t xml:space="preserve"> </w:t>
      </w:r>
      <w:r w:rsidRPr="006E749B">
        <w:rPr>
          <w:color w:val="000000" w:themeColor="text1"/>
        </w:rPr>
        <w:t>, aportaciones del Programa a los objetivos del Plan Nacional de Desarrollo, Plan Estatal de Desarrollo y Plan de la institución, cobertura, análisis de alternativas, diseño del Programa propuesto (padrón de beneficiarios y MIR), análisis de similitudes o complementariedades y presupuesto</w:t>
      </w:r>
      <w:r w:rsidRPr="003640CF">
        <w:rPr>
          <w:color w:val="000000" w:themeColor="text1"/>
          <w:vertAlign w:val="superscript"/>
        </w:rPr>
        <w:footnoteReference w:id="17"/>
      </w:r>
      <w:r w:rsidRPr="003640CF">
        <w:rPr>
          <w:color w:val="000000" w:themeColor="text1"/>
          <w:vertAlign w:val="superscript"/>
        </w:rPr>
        <w:t>.</w:t>
      </w:r>
      <w:r w:rsidRPr="006E749B">
        <w:rPr>
          <w:color w:val="000000" w:themeColor="text1"/>
        </w:rPr>
        <w:t xml:space="preserve"> Lo anterior, le permitirá contar con un instrumento de corto y mediano plazo para planear o justificar de mejor manera la distribución de los recursos del Fondo a las problemáticas con mayor impacto en la entidad</w:t>
      </w:r>
      <w:r w:rsidR="00585631">
        <w:rPr>
          <w:color w:val="000000" w:themeColor="text1"/>
        </w:rPr>
        <w:t xml:space="preserve"> federativa</w:t>
      </w:r>
      <w:r w:rsidRPr="006E749B">
        <w:rPr>
          <w:color w:val="000000" w:themeColor="text1"/>
        </w:rPr>
        <w:t>.</w:t>
      </w:r>
    </w:p>
    <w:p w14:paraId="4958C0F5" w14:textId="77777777" w:rsidR="00927662" w:rsidRDefault="00927662" w:rsidP="00927662">
      <w:pPr>
        <w:contextualSpacing/>
      </w:pPr>
    </w:p>
    <w:bookmarkEnd w:id="38"/>
    <w:bookmarkEnd w:id="39"/>
    <w:p w14:paraId="5E3CFB24" w14:textId="75943B06" w:rsidR="000B6755" w:rsidRDefault="007F7AA3" w:rsidP="00AE25DD">
      <w:r>
        <w:t>.</w:t>
      </w:r>
      <w:r w:rsidR="000B6755">
        <w:br w:type="page"/>
      </w:r>
    </w:p>
    <w:p w14:paraId="53EDFD55" w14:textId="77777777" w:rsidR="000B6755" w:rsidRPr="000B6755" w:rsidRDefault="000B6755" w:rsidP="000B6755">
      <w:pPr>
        <w:spacing w:before="0" w:after="0" w:line="259" w:lineRule="auto"/>
        <w:contextualSpacing/>
        <w:rPr>
          <w:rFonts w:cstheme="minorHAnsi"/>
          <w:b/>
        </w:rPr>
      </w:pPr>
      <w:r w:rsidRPr="000B6755">
        <w:rPr>
          <w:rFonts w:cstheme="minorHAnsi"/>
          <w:b/>
        </w:rPr>
        <w:lastRenderedPageBreak/>
        <w:t>7. ¿Se considera la información del desempeño del FAFEF en la entidad federativa para la toma de decisiones…</w:t>
      </w:r>
    </w:p>
    <w:p w14:paraId="6C1C76A6" w14:textId="77777777" w:rsidR="000B6755" w:rsidRPr="00012693" w:rsidRDefault="000B6755" w:rsidP="00515CAC">
      <w:pPr>
        <w:pStyle w:val="Pregunta"/>
        <w:numPr>
          <w:ilvl w:val="0"/>
          <w:numId w:val="15"/>
        </w:numPr>
      </w:pPr>
      <w:r w:rsidRPr="00012693">
        <w:t>En el establecimiento de metas;</w:t>
      </w:r>
    </w:p>
    <w:p w14:paraId="1B00B72B" w14:textId="77777777" w:rsidR="000B6755" w:rsidRPr="00012693" w:rsidRDefault="000B6755" w:rsidP="00515CAC">
      <w:pPr>
        <w:pStyle w:val="Pregunta"/>
        <w:numPr>
          <w:ilvl w:val="0"/>
          <w:numId w:val="15"/>
        </w:numPr>
      </w:pPr>
      <w:r w:rsidRPr="00012693">
        <w:t xml:space="preserve">En la asignación de recursos; </w:t>
      </w:r>
    </w:p>
    <w:p w14:paraId="057F9FA7" w14:textId="77777777" w:rsidR="000B6755" w:rsidRPr="00012693" w:rsidRDefault="000B6755" w:rsidP="00515CAC">
      <w:pPr>
        <w:pStyle w:val="Pregunta"/>
        <w:numPr>
          <w:ilvl w:val="0"/>
          <w:numId w:val="15"/>
        </w:numPr>
      </w:pPr>
      <w:r w:rsidRPr="00012693">
        <w:t>En la distribución de actividades;</w:t>
      </w:r>
    </w:p>
    <w:p w14:paraId="0C1C7189" w14:textId="719D441E" w:rsidR="000B6755" w:rsidRPr="00012693" w:rsidRDefault="000B6755" w:rsidP="00515CAC">
      <w:pPr>
        <w:pStyle w:val="Pregunta"/>
        <w:numPr>
          <w:ilvl w:val="0"/>
          <w:numId w:val="15"/>
        </w:numPr>
      </w:pPr>
      <w:r w:rsidRPr="00012693">
        <w:t>En la selección geográfica de población o área a atenderse</w:t>
      </w:r>
      <w:r w:rsidR="00807946" w:rsidRPr="00012693">
        <w:t>.</w:t>
      </w:r>
    </w:p>
    <w:p w14:paraId="7AF1F8EA" w14:textId="4AC97926" w:rsidR="000B6755" w:rsidRPr="00012693" w:rsidRDefault="000B6755" w:rsidP="00012693">
      <w:pPr>
        <w:rPr>
          <w:b/>
          <w:bCs/>
          <w:color w:val="000000" w:themeColor="text1"/>
        </w:rPr>
      </w:pPr>
      <w:r w:rsidRPr="00012693">
        <w:rPr>
          <w:b/>
          <w:bCs/>
          <w:color w:val="000000" w:themeColor="text1"/>
        </w:rPr>
        <w:t>No procede valoración cuantitativa.</w:t>
      </w:r>
    </w:p>
    <w:p w14:paraId="2B63C7EE" w14:textId="772E0429" w:rsidR="0013779A" w:rsidRDefault="0013779A" w:rsidP="0013779A">
      <w:bookmarkStart w:id="40" w:name="_Hlk45204382"/>
      <w:r>
        <w:t xml:space="preserve">No se identificó evidencia que sustente la consideración de la información de desempeño del FAFEF para la toma de decisiones relacionada con el establecimiento de metas, la asignación de recursos, la distribución de actividades o la selección geográfica de población o área a atenderse. </w:t>
      </w:r>
      <w:r w:rsidR="00A52ACC">
        <w:t xml:space="preserve">Los ASM derivados de las evaluaciones se han centrado sobre todo en mejorar la operación del FAFEF en </w:t>
      </w:r>
      <w:r w:rsidR="00CD7204">
        <w:t>el Estado</w:t>
      </w:r>
      <w:r w:rsidR="00A52ACC">
        <w:t>, lo que limita su uso para los criterios especificados en la pregunta.</w:t>
      </w:r>
    </w:p>
    <w:p w14:paraId="2CDF83EB" w14:textId="04AD1846" w:rsidR="005F3DC3" w:rsidRPr="009A02A1" w:rsidRDefault="00B70C0A" w:rsidP="005F3DC3">
      <w:pPr>
        <w:rPr>
          <w:color w:val="000000" w:themeColor="text1"/>
        </w:rPr>
      </w:pPr>
      <w:r w:rsidRPr="009A02A1">
        <w:rPr>
          <w:color w:val="000000" w:themeColor="text1"/>
        </w:rPr>
        <w:t xml:space="preserve">A partir de la creación de la </w:t>
      </w:r>
      <w:r w:rsidR="00D67BBC">
        <w:rPr>
          <w:color w:val="000000" w:themeColor="text1"/>
        </w:rPr>
        <w:t>UTED</w:t>
      </w:r>
      <w:r w:rsidR="00DA3CB6">
        <w:rPr>
          <w:color w:val="000000" w:themeColor="text1"/>
        </w:rPr>
        <w:t>, dependiente de la SFP de Hidalgo,</w:t>
      </w:r>
      <w:r w:rsidRPr="009A02A1">
        <w:rPr>
          <w:color w:val="000000" w:themeColor="text1"/>
        </w:rPr>
        <w:t xml:space="preserve"> se han coordinado tres evaluaciones al FAFEF, realizadas por instancias externas. Estos ejercicios de revisión han consistido en la realización de una Evaluación Específica de Desempeño, correspondiente a los ejercicios fiscales 2014, 2015 y 201</w:t>
      </w:r>
      <w:bookmarkEnd w:id="40"/>
      <w:r w:rsidR="00D67BBC">
        <w:rPr>
          <w:color w:val="000000" w:themeColor="text1"/>
        </w:rPr>
        <w:t>8</w:t>
      </w:r>
      <w:r w:rsidRPr="009A02A1">
        <w:rPr>
          <w:color w:val="000000" w:themeColor="text1"/>
        </w:rPr>
        <w:t>, así como una y Auditoría Combinada de Cumplimiento y Desempeño.</w:t>
      </w:r>
      <w:r>
        <w:rPr>
          <w:color w:val="000000" w:themeColor="text1"/>
        </w:rPr>
        <w:t xml:space="preserve"> Las evaluaciones han sido l</w:t>
      </w:r>
      <w:r w:rsidR="005F3DC3" w:rsidRPr="009A02A1">
        <w:rPr>
          <w:color w:val="000000" w:themeColor="text1"/>
        </w:rPr>
        <w:t>a principal fuente de información del desempeño</w:t>
      </w:r>
      <w:r>
        <w:rPr>
          <w:color w:val="000000" w:themeColor="text1"/>
        </w:rPr>
        <w:t>,</w:t>
      </w:r>
      <w:r w:rsidR="005F3DC3" w:rsidRPr="009A02A1">
        <w:rPr>
          <w:color w:val="000000" w:themeColor="text1"/>
        </w:rPr>
        <w:t xml:space="preserve"> a través de las cuales se identifican</w:t>
      </w:r>
      <w:r w:rsidR="007C3D7C" w:rsidRPr="009A02A1">
        <w:rPr>
          <w:color w:val="000000" w:themeColor="text1"/>
        </w:rPr>
        <w:t xml:space="preserve"> </w:t>
      </w:r>
      <w:r w:rsidR="005F3DC3" w:rsidRPr="009A02A1">
        <w:rPr>
          <w:color w:val="000000" w:themeColor="text1"/>
        </w:rPr>
        <w:t>Aspectos Susceptibles de Mejoras (ASM) en el manejo y aplicación de los recursos del FAFEF</w:t>
      </w:r>
      <w:r>
        <w:rPr>
          <w:color w:val="000000" w:themeColor="text1"/>
        </w:rPr>
        <w:t xml:space="preserve">. </w:t>
      </w:r>
    </w:p>
    <w:p w14:paraId="17DBED19" w14:textId="44FA078F" w:rsidR="005F3DC3" w:rsidRDefault="00B70C0A" w:rsidP="005F3DC3">
      <w:pPr>
        <w:rPr>
          <w:color w:val="000000" w:themeColor="text1"/>
        </w:rPr>
      </w:pPr>
      <w:r>
        <w:rPr>
          <w:color w:val="000000" w:themeColor="text1"/>
        </w:rPr>
        <w:t xml:space="preserve">Derivado </w:t>
      </w:r>
      <w:r w:rsidR="005F3DC3" w:rsidRPr="009A02A1">
        <w:rPr>
          <w:color w:val="000000" w:themeColor="text1"/>
        </w:rPr>
        <w:t xml:space="preserve">de los </w:t>
      </w:r>
      <w:r w:rsidR="00C95E76">
        <w:rPr>
          <w:color w:val="000000" w:themeColor="text1"/>
        </w:rPr>
        <w:t>ASM</w:t>
      </w:r>
      <w:r w:rsidR="00D67BBC">
        <w:rPr>
          <w:color w:val="000000" w:themeColor="text1"/>
        </w:rPr>
        <w:t>,</w:t>
      </w:r>
      <w:r w:rsidR="005F3DC3" w:rsidRPr="009A02A1">
        <w:rPr>
          <w:color w:val="000000" w:themeColor="text1"/>
        </w:rPr>
        <w:t xml:space="preserve"> identificados mediante los ejercicios de evaluación, se generaron acciones orientadas a </w:t>
      </w:r>
      <w:r w:rsidR="00D67BBC">
        <w:rPr>
          <w:color w:val="000000" w:themeColor="text1"/>
        </w:rPr>
        <w:t>la</w:t>
      </w:r>
      <w:r w:rsidR="005F3DC3" w:rsidRPr="009A02A1">
        <w:rPr>
          <w:color w:val="000000" w:themeColor="text1"/>
        </w:rPr>
        <w:t xml:space="preserve"> atención</w:t>
      </w:r>
      <w:r w:rsidR="00D67BBC">
        <w:rPr>
          <w:color w:val="000000" w:themeColor="text1"/>
        </w:rPr>
        <w:t xml:space="preserve"> de los hallazgos detectados</w:t>
      </w:r>
      <w:r w:rsidR="005F3DC3" w:rsidRPr="009A02A1">
        <w:rPr>
          <w:color w:val="000000" w:themeColor="text1"/>
        </w:rPr>
        <w:t xml:space="preserve">, las cuales han permitido mejorar </w:t>
      </w:r>
      <w:r>
        <w:rPr>
          <w:color w:val="000000" w:themeColor="text1"/>
        </w:rPr>
        <w:t xml:space="preserve">de manera general la operación del FAFEF en </w:t>
      </w:r>
      <w:r w:rsidR="00944FAC">
        <w:rPr>
          <w:color w:val="000000" w:themeColor="text1"/>
        </w:rPr>
        <w:t>Hidalgo</w:t>
      </w:r>
      <w:r>
        <w:rPr>
          <w:color w:val="000000" w:themeColor="text1"/>
        </w:rPr>
        <w:t>, por ejemplo la construcción de la MIR específica del Fondo, que si bien</w:t>
      </w:r>
      <w:r w:rsidR="0013779A">
        <w:rPr>
          <w:color w:val="000000" w:themeColor="text1"/>
        </w:rPr>
        <w:t>,</w:t>
      </w:r>
      <w:r>
        <w:rPr>
          <w:color w:val="000000" w:themeColor="text1"/>
        </w:rPr>
        <w:t xml:space="preserve"> como se ha hecho </w:t>
      </w:r>
      <w:r w:rsidR="007C6C5E">
        <w:rPr>
          <w:color w:val="000000" w:themeColor="text1"/>
        </w:rPr>
        <w:t>explícito</w:t>
      </w:r>
      <w:r>
        <w:rPr>
          <w:color w:val="000000" w:themeColor="text1"/>
        </w:rPr>
        <w:t xml:space="preserve"> en la respuesta a las preguntas 1 y 2, presenta amplias áreas de mejora, también constituye un mecanismo que ha permitido concentrar la información sobre los proyectos financiados con recursos del Fondo en </w:t>
      </w:r>
      <w:r w:rsidR="00693E33">
        <w:rPr>
          <w:color w:val="000000" w:themeColor="text1"/>
        </w:rPr>
        <w:t>Hidalgo</w:t>
      </w:r>
      <w:r>
        <w:rPr>
          <w:color w:val="000000" w:themeColor="text1"/>
        </w:rPr>
        <w:t xml:space="preserve"> y a su vez da pauta a que en la planeación y programación de los recursos en </w:t>
      </w:r>
      <w:r w:rsidR="00D67BBC">
        <w:rPr>
          <w:color w:val="000000" w:themeColor="text1"/>
        </w:rPr>
        <w:t xml:space="preserve">el </w:t>
      </w:r>
      <w:r>
        <w:rPr>
          <w:color w:val="000000" w:themeColor="text1"/>
        </w:rPr>
        <w:t>presupuesto de egresos</w:t>
      </w:r>
      <w:r w:rsidR="00D67BBC">
        <w:rPr>
          <w:color w:val="000000" w:themeColor="text1"/>
        </w:rPr>
        <w:t xml:space="preserve"> estatal</w:t>
      </w:r>
      <w:r>
        <w:rPr>
          <w:color w:val="000000" w:themeColor="text1"/>
        </w:rPr>
        <w:t>, sea posible identificar posibles proyectos a financiarse, así como continuar en rubros como saneamiento financiero</w:t>
      </w:r>
      <w:r w:rsidR="00A63303">
        <w:rPr>
          <w:color w:val="000000" w:themeColor="text1"/>
        </w:rPr>
        <w:t xml:space="preserve">, inversión en infraestructura física </w:t>
      </w:r>
      <w:r>
        <w:rPr>
          <w:color w:val="000000" w:themeColor="text1"/>
        </w:rPr>
        <w:t xml:space="preserve">o apoyos a la educación. </w:t>
      </w:r>
    </w:p>
    <w:p w14:paraId="670B0B10" w14:textId="2FB3E7D4" w:rsidR="007F7AA3" w:rsidRDefault="00B70C0A" w:rsidP="005F3DC3">
      <w:pPr>
        <w:rPr>
          <w:color w:val="000000" w:themeColor="text1"/>
        </w:rPr>
      </w:pPr>
      <w:r>
        <w:rPr>
          <w:color w:val="000000" w:themeColor="text1"/>
        </w:rPr>
        <w:t>Adicionalmente, m</w:t>
      </w:r>
      <w:r w:rsidR="005F3DC3" w:rsidRPr="009A02A1">
        <w:rPr>
          <w:color w:val="000000" w:themeColor="text1"/>
        </w:rPr>
        <w:t xml:space="preserve">ediante la atención de los ASM, se generó un apartado dentro del SIIPPED, que permitió integrar una MIR del FAFEF y las Fichas Técnicas de los Indicadores, identificando y concentrando los </w:t>
      </w:r>
      <w:r w:rsidR="00A70A52">
        <w:rPr>
          <w:color w:val="000000" w:themeColor="text1"/>
        </w:rPr>
        <w:t>C</w:t>
      </w:r>
      <w:r w:rsidR="005F3DC3" w:rsidRPr="009A02A1">
        <w:rPr>
          <w:color w:val="000000" w:themeColor="text1"/>
        </w:rPr>
        <w:t xml:space="preserve">omponentes y </w:t>
      </w:r>
      <w:r w:rsidR="00A70A52">
        <w:rPr>
          <w:color w:val="000000" w:themeColor="text1"/>
        </w:rPr>
        <w:t>A</w:t>
      </w:r>
      <w:r w:rsidR="005F3DC3" w:rsidRPr="009A02A1">
        <w:rPr>
          <w:color w:val="000000" w:themeColor="text1"/>
        </w:rPr>
        <w:t xml:space="preserve">ctividades de diversos </w:t>
      </w:r>
      <w:r w:rsidR="0000702F">
        <w:rPr>
          <w:color w:val="000000" w:themeColor="text1"/>
        </w:rPr>
        <w:t>Pp</w:t>
      </w:r>
      <w:r w:rsidR="005F3DC3" w:rsidRPr="009A02A1">
        <w:rPr>
          <w:color w:val="000000" w:themeColor="text1"/>
        </w:rPr>
        <w:t xml:space="preserve"> que son financiados con recursos del F</w:t>
      </w:r>
      <w:r w:rsidR="00A63303">
        <w:rPr>
          <w:color w:val="000000" w:themeColor="text1"/>
        </w:rPr>
        <w:t>ondo</w:t>
      </w:r>
      <w:r w:rsidR="005F3DC3" w:rsidRPr="009A02A1">
        <w:rPr>
          <w:color w:val="000000" w:themeColor="text1"/>
        </w:rPr>
        <w:t xml:space="preserve">. </w:t>
      </w:r>
    </w:p>
    <w:p w14:paraId="41C1AB77" w14:textId="1B633503" w:rsidR="00A52ACC" w:rsidRPr="00A52ACC" w:rsidRDefault="00A52ACC" w:rsidP="00A52ACC">
      <w:pPr>
        <w:rPr>
          <w:color w:val="000000" w:themeColor="text1"/>
        </w:rPr>
      </w:pPr>
      <w:r w:rsidRPr="00A52ACC">
        <w:rPr>
          <w:color w:val="000000" w:themeColor="text1"/>
        </w:rPr>
        <w:t>En este sentido se recomienda que las evaluaciones externas del FAFEF incluyan información sobre metas físicas y su cumplimiento, así como de población beneficiada con las obras y proyectos financiados con el Fondo, no obstante, esta sea de manera indirecta al tratarse</w:t>
      </w:r>
      <w:r w:rsidR="00DA3CB6">
        <w:rPr>
          <w:color w:val="000000" w:themeColor="text1"/>
        </w:rPr>
        <w:t>,</w:t>
      </w:r>
      <w:r w:rsidRPr="00A52ACC">
        <w:rPr>
          <w:color w:val="000000" w:themeColor="text1"/>
        </w:rPr>
        <w:t xml:space="preserve"> en varios casos</w:t>
      </w:r>
      <w:r w:rsidR="00DA3CB6">
        <w:rPr>
          <w:color w:val="000000" w:themeColor="text1"/>
        </w:rPr>
        <w:t>,</w:t>
      </w:r>
      <w:r w:rsidRPr="00A52ACC">
        <w:rPr>
          <w:color w:val="000000" w:themeColor="text1"/>
        </w:rPr>
        <w:t xml:space="preserve"> de obras de beneficio común.</w:t>
      </w:r>
      <w:r>
        <w:rPr>
          <w:color w:val="000000" w:themeColor="text1"/>
        </w:rPr>
        <w:t xml:space="preserve"> La información que se obtiene de la MIR estatal del Fondo</w:t>
      </w:r>
      <w:r w:rsidR="00DE2AB4">
        <w:rPr>
          <w:color w:val="000000" w:themeColor="text1"/>
        </w:rPr>
        <w:t xml:space="preserve"> en relación con la ejecución de los proyectos financiados con recursos del Fondo (Componentes y </w:t>
      </w:r>
      <w:r w:rsidR="00C95E76">
        <w:rPr>
          <w:color w:val="000000" w:themeColor="text1"/>
        </w:rPr>
        <w:t>A</w:t>
      </w:r>
      <w:r w:rsidR="00DE2AB4">
        <w:rPr>
          <w:color w:val="000000" w:themeColor="text1"/>
        </w:rPr>
        <w:t>ctividades) puede ser un buen insumo para valorar el cumplimiento de metas de estos indicadores.</w:t>
      </w:r>
    </w:p>
    <w:p w14:paraId="220CA54B" w14:textId="3D65C1D5" w:rsidR="002726F7" w:rsidRDefault="002726F7" w:rsidP="00AE25DD">
      <w:r>
        <w:br w:type="page"/>
      </w:r>
    </w:p>
    <w:p w14:paraId="3C6A93F8" w14:textId="105B47D9" w:rsidR="002726F7" w:rsidRPr="002726F7" w:rsidRDefault="002726F7" w:rsidP="002726F7">
      <w:pPr>
        <w:spacing w:before="0" w:after="0" w:line="259" w:lineRule="auto"/>
        <w:contextualSpacing/>
        <w:rPr>
          <w:rFonts w:cstheme="minorHAnsi"/>
          <w:b/>
        </w:rPr>
      </w:pPr>
      <w:r w:rsidRPr="002726F7">
        <w:rPr>
          <w:rFonts w:cstheme="minorHAnsi"/>
          <w:b/>
        </w:rPr>
        <w:lastRenderedPageBreak/>
        <w:t>8.</w:t>
      </w:r>
      <w:r w:rsidR="00012693">
        <w:rPr>
          <w:rFonts w:cstheme="minorHAnsi"/>
          <w:b/>
        </w:rPr>
        <w:t xml:space="preserve"> </w:t>
      </w:r>
      <w:r w:rsidRPr="002726F7">
        <w:rPr>
          <w:rFonts w:cstheme="minorHAnsi"/>
          <w:b/>
        </w:rPr>
        <w:t>¿Existe un plan estratégico para el FAFEF en la entidad federativa que cumpla con las siguientes características:</w:t>
      </w:r>
    </w:p>
    <w:p w14:paraId="5FBB75A5" w14:textId="31B31B90" w:rsidR="002726F7" w:rsidRPr="00012693" w:rsidRDefault="002726F7" w:rsidP="00515CAC">
      <w:pPr>
        <w:pStyle w:val="Pregunta"/>
        <w:numPr>
          <w:ilvl w:val="0"/>
          <w:numId w:val="16"/>
        </w:numPr>
      </w:pPr>
      <w:r w:rsidRPr="00012693">
        <w:t>Es producto de ejercicios de planeación institucionalizados, es decir, sigue un procedimiento establecido en un documento oficial;</w:t>
      </w:r>
    </w:p>
    <w:p w14:paraId="359D3201" w14:textId="68B4B06B" w:rsidR="002726F7" w:rsidRPr="00012693" w:rsidRDefault="002726F7" w:rsidP="00515CAC">
      <w:pPr>
        <w:pStyle w:val="Pregunta"/>
        <w:numPr>
          <w:ilvl w:val="0"/>
          <w:numId w:val="16"/>
        </w:numPr>
      </w:pPr>
      <w:r w:rsidRPr="00012693">
        <w:t>Abarca un horizonte de al menos cinco años;</w:t>
      </w:r>
    </w:p>
    <w:p w14:paraId="6A941BE4" w14:textId="6B37E77E" w:rsidR="002726F7" w:rsidRPr="00012693" w:rsidRDefault="002726F7" w:rsidP="00515CAC">
      <w:pPr>
        <w:pStyle w:val="Pregunta"/>
        <w:numPr>
          <w:ilvl w:val="0"/>
          <w:numId w:val="16"/>
        </w:numPr>
      </w:pPr>
      <w:r w:rsidRPr="00012693">
        <w:t>Establece los resultados que se pretenden alcanzar con la ejecución del Fondo y son consistentes con lo establecido en el Fin y el Propósito de su MIR vigente local;</w:t>
      </w:r>
    </w:p>
    <w:p w14:paraId="4EFED743" w14:textId="026B0353" w:rsidR="002726F7" w:rsidRPr="00012693" w:rsidRDefault="002726F7" w:rsidP="00515CAC">
      <w:pPr>
        <w:pStyle w:val="Pregunta"/>
        <w:numPr>
          <w:ilvl w:val="0"/>
          <w:numId w:val="16"/>
        </w:numPr>
      </w:pPr>
      <w:r w:rsidRPr="00012693">
        <w:t>Cuenta con indicadores para medir los avances en el logro de sus objetivos consistentes con lo establecido en su MIR vigente?</w:t>
      </w:r>
    </w:p>
    <w:p w14:paraId="21951296" w14:textId="5E96E09F" w:rsidR="002726F7" w:rsidRPr="00012693" w:rsidRDefault="005F3DC3" w:rsidP="00012693">
      <w:pPr>
        <w:rPr>
          <w:b/>
          <w:bCs/>
          <w:color w:val="000000" w:themeColor="text1"/>
        </w:rPr>
      </w:pPr>
      <w:r w:rsidRPr="00012693">
        <w:rPr>
          <w:b/>
          <w:bCs/>
          <w:color w:val="000000" w:themeColor="text1"/>
        </w:rPr>
        <w:t>No procede valoración cuantitativa</w:t>
      </w:r>
      <w:r w:rsidR="00213657">
        <w:rPr>
          <w:b/>
          <w:bCs/>
          <w:color w:val="000000" w:themeColor="text1"/>
        </w:rPr>
        <w:t>.</w:t>
      </w:r>
    </w:p>
    <w:p w14:paraId="3AF907D3" w14:textId="0771ABBA" w:rsidR="00DE2AB4" w:rsidRDefault="00DE2AB4" w:rsidP="00DE2AB4">
      <w:r w:rsidRPr="00753EAF">
        <w:t xml:space="preserve">No </w:t>
      </w:r>
      <w:r>
        <w:t xml:space="preserve">se encontró evidencia documental de la definición de </w:t>
      </w:r>
      <w:r w:rsidRPr="00753EAF">
        <w:t>un plan estratégico para el FAFEF en la entidad</w:t>
      </w:r>
      <w:r w:rsidR="002C191B">
        <w:t xml:space="preserve"> federativa</w:t>
      </w:r>
      <w:r w:rsidRPr="00753EAF">
        <w:t>, que cumpla con las características expresadas</w:t>
      </w:r>
      <w:r>
        <w:t xml:space="preserve"> en la pregunta</w:t>
      </w:r>
      <w:r w:rsidRPr="00753EAF">
        <w:t>.</w:t>
      </w:r>
    </w:p>
    <w:p w14:paraId="21358973" w14:textId="195F00B3" w:rsidR="006F1349" w:rsidRDefault="00DE2AB4" w:rsidP="006F1349">
      <w:r>
        <w:t>Actualmente los documentos</w:t>
      </w:r>
      <w:r w:rsidR="005F3DC3">
        <w:t xml:space="preserve"> de planeación en los que se apoya la operación del FAFEF en </w:t>
      </w:r>
      <w:r w:rsidR="002C191B">
        <w:t>Hidalgo</w:t>
      </w:r>
      <w:r w:rsidR="005F3DC3">
        <w:t>, consisten en:</w:t>
      </w:r>
      <w:r w:rsidR="00B3205D">
        <w:t xml:space="preserve"> </w:t>
      </w:r>
    </w:p>
    <w:p w14:paraId="01DFD797" w14:textId="1B349F5A" w:rsidR="00AF7742" w:rsidRPr="008D7252" w:rsidRDefault="005F3DC3" w:rsidP="001D2D41">
      <w:pPr>
        <w:pStyle w:val="Prrafodelista"/>
        <w:numPr>
          <w:ilvl w:val="0"/>
          <w:numId w:val="38"/>
        </w:numPr>
        <w:ind w:left="714" w:hanging="357"/>
        <w:contextualSpacing w:val="0"/>
        <w:rPr>
          <w:color w:val="000000" w:themeColor="text1"/>
        </w:rPr>
      </w:pPr>
      <w:r w:rsidRPr="00DF079F">
        <w:t>Plan Estatal de Desarrollo del Estado de Hidalgo</w:t>
      </w:r>
      <w:r>
        <w:t xml:space="preserve">, ya que el proceso de planeación se sujeta en primera instancia </w:t>
      </w:r>
      <w:r w:rsidR="00CB6AF2">
        <w:t xml:space="preserve">a </w:t>
      </w:r>
      <w:r>
        <w:t xml:space="preserve">este instrumento, en el </w:t>
      </w:r>
      <w:r w:rsidRPr="00DF079F">
        <w:t xml:space="preserve">cual se elaboran y conducen las estrategias para el desarrollo en </w:t>
      </w:r>
      <w:r w:rsidR="00CB6AF2">
        <w:t>los</w:t>
      </w:r>
      <w:r w:rsidRPr="00DF079F">
        <w:t xml:space="preserve"> ámbito</w:t>
      </w:r>
      <w:r w:rsidR="00CB6AF2">
        <w:t>s</w:t>
      </w:r>
      <w:r w:rsidRPr="00DF079F">
        <w:t xml:space="preserve"> </w:t>
      </w:r>
      <w:r w:rsidR="00CB6AF2">
        <w:t>e</w:t>
      </w:r>
      <w:r w:rsidRPr="00DF079F">
        <w:t xml:space="preserve">statal, </w:t>
      </w:r>
      <w:r w:rsidR="00CB6AF2">
        <w:t>r</w:t>
      </w:r>
      <w:r w:rsidRPr="00DF079F">
        <w:t xml:space="preserve">egional y </w:t>
      </w:r>
      <w:r w:rsidR="00CB6AF2">
        <w:t>m</w:t>
      </w:r>
      <w:r w:rsidRPr="00DF079F">
        <w:t>unicipal.</w:t>
      </w:r>
      <w:r w:rsidR="00BC0EB7">
        <w:t xml:space="preserve"> En el PEDH 2016-2022, </w:t>
      </w:r>
      <w:r w:rsidR="00BC0EB7" w:rsidRPr="008D7252">
        <w:rPr>
          <w:color w:val="000000" w:themeColor="text1"/>
        </w:rPr>
        <w:t xml:space="preserve">están establecidos los objetivos y estrategias de mediano y largo plazo para la atención de las principales problemáticas. Asimismo, </w:t>
      </w:r>
      <w:r w:rsidR="002C191B">
        <w:rPr>
          <w:color w:val="000000" w:themeColor="text1"/>
        </w:rPr>
        <w:t>el Estado</w:t>
      </w:r>
      <w:r w:rsidR="00BC0EB7" w:rsidRPr="008D7252">
        <w:rPr>
          <w:color w:val="000000" w:themeColor="text1"/>
        </w:rPr>
        <w:t xml:space="preserve"> cuenta con los Programas sectoriales sobre: 1) Obras públicas y ordenamiento territorial; 2) Finanzas públicas; 3) Gobernabilidad democrática y gobernanza, 4) Educación; 5) Medio ambiente y recursos naturales; 6) Salud; 7) Desarrollo Económico; 8) Desarrollo Social y 9) Turismo, los cuales por su enfoque tienen alguna relación con los rubros de gasto permitidos en la LCF. Estos programas sectoriales cuentan con un apartado sobre diagnóstico, análisis estratégico y enfoque prospectivo 2030, en el cual se identifican las principales problemáticas que aquejan a la entidad</w:t>
      </w:r>
      <w:r w:rsidR="006A4112">
        <w:rPr>
          <w:color w:val="000000" w:themeColor="text1"/>
        </w:rPr>
        <w:t xml:space="preserve"> federativa</w:t>
      </w:r>
      <w:r w:rsidR="00BC0EB7" w:rsidRPr="008D7252">
        <w:rPr>
          <w:color w:val="000000" w:themeColor="text1"/>
        </w:rPr>
        <w:t>, en sus respectivos campos.</w:t>
      </w:r>
    </w:p>
    <w:p w14:paraId="1946E645" w14:textId="4CD21171" w:rsidR="00BC0EB7" w:rsidRPr="008D7252" w:rsidRDefault="00BC0EB7" w:rsidP="001D2D41">
      <w:pPr>
        <w:pStyle w:val="Prrafodelista"/>
        <w:numPr>
          <w:ilvl w:val="0"/>
          <w:numId w:val="38"/>
        </w:numPr>
        <w:rPr>
          <w:color w:val="000000" w:themeColor="text1"/>
        </w:rPr>
      </w:pPr>
      <w:r w:rsidRPr="008D7252">
        <w:rPr>
          <w:color w:val="000000" w:themeColor="text1"/>
        </w:rPr>
        <w:t>Actas de sesiones de los Comités de Planeación Estatal, Regional y Municipal</w:t>
      </w:r>
      <w:r w:rsidR="008D7252" w:rsidRPr="008D7252">
        <w:rPr>
          <w:color w:val="000000" w:themeColor="text1"/>
        </w:rPr>
        <w:t xml:space="preserve"> (COPLADEHI, COPLADER y COPLADEM) a los cuales, </w:t>
      </w:r>
      <w:r w:rsidR="008D7252">
        <w:t xml:space="preserve">les corresponde la planeación, consulta, concertación y coordinación de acciones, cuya meta es el promover la participación activa, interdisciplinaria y comprometida de los sectores público, social y privado en el desarrollo sostenible del </w:t>
      </w:r>
      <w:r w:rsidR="006A4112">
        <w:t>E</w:t>
      </w:r>
      <w:r w:rsidR="008D7252">
        <w:t>stado, las macro y microrregiones y los municipios, teniendo a su cargo los asuntos que mandata la Ley de Planeación y Prospectiva del Estado de Hidalgo.</w:t>
      </w:r>
    </w:p>
    <w:p w14:paraId="02E198C0" w14:textId="4E04E684" w:rsidR="00450419" w:rsidRPr="00850817" w:rsidRDefault="0024450E" w:rsidP="00AF7742">
      <w:pPr>
        <w:rPr>
          <w:bCs/>
        </w:rPr>
      </w:pPr>
      <w:r>
        <w:rPr>
          <w:bCs/>
        </w:rPr>
        <w:t>En este tenor, s</w:t>
      </w:r>
      <w:r w:rsidR="00450419" w:rsidRPr="00414D73">
        <w:rPr>
          <w:bCs/>
        </w:rPr>
        <w:t xml:space="preserve">e sugiere la elaboración de un </w:t>
      </w:r>
      <w:r w:rsidR="000746CE">
        <w:rPr>
          <w:bCs/>
        </w:rPr>
        <w:t>p</w:t>
      </w:r>
      <w:r w:rsidR="00450419" w:rsidRPr="00414D73">
        <w:rPr>
          <w:bCs/>
        </w:rPr>
        <w:t xml:space="preserve">lan </w:t>
      </w:r>
      <w:r w:rsidR="000746CE">
        <w:rPr>
          <w:bCs/>
        </w:rPr>
        <w:t>e</w:t>
      </w:r>
      <w:r w:rsidR="00450419" w:rsidRPr="00414D73">
        <w:rPr>
          <w:bCs/>
        </w:rPr>
        <w:t>stratégico para el Fondo, en el que se justifique que, dada la complejidad y tamaño del problema atendido, se deben contemplar aquellos rubros de gasto que podrían ser considerados en la Entidad, en apego a lo establecido en el Artículo 47 de la LCF. Asimismo, este documento debe incluir instrumentos de monitoreo y evaluación para su seguimiento, por ejemplo, una MIR, indicadores para cada rubro de gasto y su vinculación con otros instrumentos del Estado.</w:t>
      </w:r>
    </w:p>
    <w:p w14:paraId="1C508001" w14:textId="23D18E47" w:rsidR="002C3C0C" w:rsidRDefault="00450419" w:rsidP="00AE25DD">
      <w:r>
        <w:rPr>
          <w:color w:val="000000" w:themeColor="text1"/>
        </w:rPr>
        <w:t>El</w:t>
      </w:r>
      <w:r w:rsidR="00AF7742" w:rsidRPr="00AF7742">
        <w:rPr>
          <w:color w:val="000000" w:themeColor="text1"/>
        </w:rPr>
        <w:t xml:space="preserve"> plan de mediano plazo (5 años) </w:t>
      </w:r>
      <w:r>
        <w:rPr>
          <w:color w:val="000000" w:themeColor="text1"/>
        </w:rPr>
        <w:t xml:space="preserve">debe </w:t>
      </w:r>
      <w:r w:rsidR="00EC3D25">
        <w:rPr>
          <w:color w:val="000000" w:themeColor="text1"/>
        </w:rPr>
        <w:t xml:space="preserve">ser </w:t>
      </w:r>
      <w:r w:rsidR="00EC3D25" w:rsidRPr="00AF7742">
        <w:rPr>
          <w:color w:val="000000" w:themeColor="text1"/>
        </w:rPr>
        <w:t>producto</w:t>
      </w:r>
      <w:r w:rsidR="00AF7742" w:rsidRPr="00AF7742">
        <w:rPr>
          <w:color w:val="000000" w:themeColor="text1"/>
        </w:rPr>
        <w:t xml:space="preserve"> de ejercicios institucionalizados, que contemple la participación de las instancias ejecutoras y que en su diseño se definan los resultados que se pretenden alcanzar con la ejecución del Fondo en la entidad</w:t>
      </w:r>
      <w:r w:rsidR="00F25D8C">
        <w:rPr>
          <w:color w:val="000000" w:themeColor="text1"/>
        </w:rPr>
        <w:t xml:space="preserve"> federativa</w:t>
      </w:r>
      <w:r w:rsidR="00AF7742" w:rsidRPr="00AF7742">
        <w:rPr>
          <w:color w:val="000000" w:themeColor="text1"/>
        </w:rPr>
        <w:t xml:space="preserve">, observando la congruencia y consistencia con lo establecido en el Fin, Propósito e indicadores de la MIR vigente construida y validada por el Estado. </w:t>
      </w:r>
      <w:r w:rsidR="00AF7742" w:rsidRPr="00AF7742">
        <w:rPr>
          <w:bCs/>
          <w:color w:val="000000" w:themeColor="text1"/>
        </w:rPr>
        <w:t>De manera general, el Plan Estratégico debe contener como mínimo los antecedentes, el marco jurídico, la estructura organizacional, la alineación con el PEDH y al PND vigentes, la metodología para la planeación estratégica y los objetivos y metas de mediano y/o largo plazo de la planeación, que le permita orientar sus acciones hacia resultados, sobre todo a nivel de Fin y Propósito del Fondo.</w:t>
      </w:r>
      <w:r w:rsidR="002C3C0C">
        <w:br w:type="page"/>
      </w:r>
    </w:p>
    <w:p w14:paraId="2A7A902A" w14:textId="60F6A30F" w:rsidR="002C3C0C" w:rsidRPr="002C3C0C" w:rsidRDefault="002C3C0C" w:rsidP="002C3C0C">
      <w:pPr>
        <w:spacing w:before="0" w:after="0" w:line="259" w:lineRule="auto"/>
        <w:contextualSpacing/>
        <w:rPr>
          <w:rFonts w:cstheme="minorHAnsi"/>
          <w:b/>
        </w:rPr>
      </w:pPr>
      <w:r w:rsidRPr="002C3C0C">
        <w:rPr>
          <w:rFonts w:cstheme="minorHAnsi"/>
          <w:b/>
        </w:rPr>
        <w:lastRenderedPageBreak/>
        <w:t>9.</w:t>
      </w:r>
      <w:r w:rsidR="00012693">
        <w:rPr>
          <w:rFonts w:cstheme="minorHAnsi"/>
          <w:b/>
        </w:rPr>
        <w:t xml:space="preserve"> </w:t>
      </w:r>
      <w:r w:rsidRPr="002C3C0C">
        <w:rPr>
          <w:rFonts w:cstheme="minorHAnsi"/>
          <w:b/>
        </w:rPr>
        <w:t>¿El PAT del FAFEF en la entidad federativa cumple con las siguientes características:</w:t>
      </w:r>
    </w:p>
    <w:p w14:paraId="3AF97027" w14:textId="30D296C8" w:rsidR="002C3C0C" w:rsidRPr="00012693" w:rsidRDefault="002C3C0C" w:rsidP="00515CAC">
      <w:pPr>
        <w:pStyle w:val="Pregunta"/>
        <w:numPr>
          <w:ilvl w:val="0"/>
          <w:numId w:val="17"/>
        </w:numPr>
      </w:pPr>
      <w:r w:rsidRPr="00012693">
        <w:t>Es producto de ejercicios de planeación institucionalizados, es decir, siguen un procedimiento establecido en un documento oficial;</w:t>
      </w:r>
    </w:p>
    <w:p w14:paraId="0E505A4B" w14:textId="3FF9E439" w:rsidR="002C3C0C" w:rsidRPr="00012693" w:rsidRDefault="002C3C0C" w:rsidP="00515CAC">
      <w:pPr>
        <w:pStyle w:val="Pregunta"/>
        <w:numPr>
          <w:ilvl w:val="0"/>
          <w:numId w:val="17"/>
        </w:numPr>
      </w:pPr>
      <w:r w:rsidRPr="00012693">
        <w:t>Se consideran los entregables o componentes que se producen con el presupuesto del FAFEF;</w:t>
      </w:r>
    </w:p>
    <w:p w14:paraId="3BA4A5B8" w14:textId="09A8A4F3" w:rsidR="002C3C0C" w:rsidRPr="00012693" w:rsidRDefault="002C3C0C" w:rsidP="00515CAC">
      <w:pPr>
        <w:pStyle w:val="Pregunta"/>
        <w:numPr>
          <w:ilvl w:val="0"/>
          <w:numId w:val="17"/>
        </w:numPr>
      </w:pPr>
      <w:r w:rsidRPr="00012693">
        <w:t>Establece metas u objetivos que contribuyan al logro del propósito del FAFEF, a través de la entrega o generación de sus componentes;</w:t>
      </w:r>
    </w:p>
    <w:p w14:paraId="36765FB5" w14:textId="41C72609" w:rsidR="002C3C0C" w:rsidRPr="00012693" w:rsidRDefault="002C3C0C" w:rsidP="00515CAC">
      <w:pPr>
        <w:pStyle w:val="Pregunta"/>
        <w:numPr>
          <w:ilvl w:val="0"/>
          <w:numId w:val="17"/>
        </w:numPr>
      </w:pPr>
      <w:r w:rsidRPr="00012693">
        <w:t>Se revisa y actualiza periódicamente;</w:t>
      </w:r>
    </w:p>
    <w:p w14:paraId="764270C0" w14:textId="0F71FEF9" w:rsidR="002C3C0C" w:rsidRDefault="002C3C0C" w:rsidP="00515CAC">
      <w:pPr>
        <w:pStyle w:val="Pregunta"/>
        <w:numPr>
          <w:ilvl w:val="0"/>
          <w:numId w:val="17"/>
        </w:numPr>
        <w:spacing w:after="120"/>
        <w:ind w:left="714" w:hanging="357"/>
      </w:pPr>
      <w:r w:rsidRPr="00012693">
        <w:t>Considera la participación de las instancias ejecutoras que ejercen recursos para su elaboración?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5"/>
        <w:gridCol w:w="763"/>
        <w:gridCol w:w="7854"/>
      </w:tblGrid>
      <w:tr w:rsidR="009F3C1A" w:rsidRPr="00700D46" w14:paraId="7D7C7E24" w14:textId="77777777" w:rsidTr="009F6379">
        <w:trPr>
          <w:trHeight w:val="260"/>
          <w:jc w:val="center"/>
        </w:trPr>
        <w:tc>
          <w:tcPr>
            <w:tcW w:w="675" w:type="pct"/>
            <w:shd w:val="clear" w:color="auto" w:fill="FFFFFF"/>
            <w:vAlign w:val="center"/>
          </w:tcPr>
          <w:p w14:paraId="0897497D" w14:textId="77777777" w:rsidR="009F3C1A" w:rsidRPr="00700D46" w:rsidRDefault="009F3C1A" w:rsidP="00945DC0">
            <w:pPr>
              <w:pBdr>
                <w:top w:val="nil"/>
                <w:left w:val="nil"/>
                <w:bottom w:val="nil"/>
                <w:right w:val="nil"/>
                <w:between w:val="nil"/>
              </w:pBdr>
              <w:spacing w:before="0" w:after="0"/>
              <w:ind w:left="12"/>
              <w:jc w:val="center"/>
              <w:rPr>
                <w:rFonts w:ascii="Calibri" w:eastAsia="Calibri" w:hAnsi="Calibri" w:cs="Calibri"/>
                <w:b/>
                <w:color w:val="000000"/>
                <w:sz w:val="20"/>
                <w:szCs w:val="20"/>
                <w:lang w:eastAsia="es-MX"/>
              </w:rPr>
            </w:pPr>
            <w:r w:rsidRPr="00700D46">
              <w:rPr>
                <w:rFonts w:ascii="Calibri" w:eastAsia="Calibri" w:hAnsi="Calibri" w:cs="Calibri"/>
                <w:b/>
                <w:color w:val="000000"/>
                <w:sz w:val="20"/>
                <w:szCs w:val="20"/>
                <w:lang w:eastAsia="es-MX"/>
              </w:rPr>
              <w:t>Respuesta</w:t>
            </w:r>
          </w:p>
        </w:tc>
        <w:tc>
          <w:tcPr>
            <w:tcW w:w="383" w:type="pct"/>
            <w:shd w:val="clear" w:color="auto" w:fill="FFFFFF"/>
            <w:vAlign w:val="center"/>
          </w:tcPr>
          <w:p w14:paraId="2EEB039F" w14:textId="77777777" w:rsidR="009F3C1A" w:rsidRPr="00700D46" w:rsidRDefault="009F3C1A" w:rsidP="00945DC0">
            <w:pPr>
              <w:pBdr>
                <w:top w:val="nil"/>
                <w:left w:val="nil"/>
                <w:bottom w:val="nil"/>
                <w:right w:val="nil"/>
                <w:between w:val="nil"/>
              </w:pBdr>
              <w:spacing w:before="0" w:after="0"/>
              <w:ind w:left="12"/>
              <w:jc w:val="center"/>
              <w:rPr>
                <w:rFonts w:ascii="Calibri" w:eastAsia="Calibri" w:hAnsi="Calibri" w:cs="Calibri"/>
                <w:b/>
                <w:color w:val="000000"/>
                <w:sz w:val="20"/>
                <w:szCs w:val="20"/>
                <w:lang w:eastAsia="es-MX"/>
              </w:rPr>
            </w:pPr>
            <w:r w:rsidRPr="00700D46">
              <w:rPr>
                <w:rFonts w:ascii="Calibri" w:eastAsia="Calibri" w:hAnsi="Calibri" w:cs="Calibri"/>
                <w:b/>
                <w:color w:val="000000"/>
                <w:sz w:val="20"/>
                <w:szCs w:val="20"/>
                <w:lang w:eastAsia="es-MX"/>
              </w:rPr>
              <w:t>Nivel</w:t>
            </w:r>
          </w:p>
        </w:tc>
        <w:tc>
          <w:tcPr>
            <w:tcW w:w="3942" w:type="pct"/>
            <w:shd w:val="clear" w:color="auto" w:fill="FFFFFF"/>
            <w:vAlign w:val="center"/>
          </w:tcPr>
          <w:p w14:paraId="08F6C1FB" w14:textId="77777777" w:rsidR="009F3C1A" w:rsidRPr="00700D46" w:rsidRDefault="009F3C1A" w:rsidP="00945DC0">
            <w:pPr>
              <w:pBdr>
                <w:top w:val="nil"/>
                <w:left w:val="nil"/>
                <w:bottom w:val="nil"/>
                <w:right w:val="nil"/>
                <w:between w:val="nil"/>
              </w:pBdr>
              <w:spacing w:before="0" w:after="0"/>
              <w:ind w:firstLine="20"/>
              <w:jc w:val="center"/>
              <w:rPr>
                <w:rFonts w:ascii="Calibri" w:eastAsia="Calibri" w:hAnsi="Calibri" w:cs="Calibri"/>
                <w:b/>
                <w:color w:val="000000"/>
                <w:sz w:val="20"/>
                <w:szCs w:val="20"/>
                <w:lang w:eastAsia="es-MX"/>
              </w:rPr>
            </w:pPr>
            <w:r w:rsidRPr="00700D46">
              <w:rPr>
                <w:rFonts w:ascii="Calibri" w:eastAsia="Calibri" w:hAnsi="Calibri" w:cs="Calibri"/>
                <w:b/>
                <w:color w:val="000000"/>
                <w:sz w:val="20"/>
                <w:szCs w:val="20"/>
                <w:lang w:eastAsia="es-MX"/>
              </w:rPr>
              <w:t>Criterios</w:t>
            </w:r>
          </w:p>
        </w:tc>
      </w:tr>
      <w:tr w:rsidR="009F3C1A" w:rsidRPr="00700D46" w14:paraId="136EBDA2" w14:textId="77777777" w:rsidTr="009F6379">
        <w:trPr>
          <w:trHeight w:val="400"/>
          <w:jc w:val="center"/>
        </w:trPr>
        <w:tc>
          <w:tcPr>
            <w:tcW w:w="675" w:type="pct"/>
            <w:shd w:val="clear" w:color="auto" w:fill="FFFFFF"/>
            <w:vAlign w:val="center"/>
          </w:tcPr>
          <w:p w14:paraId="2C00219E" w14:textId="77777777" w:rsidR="009F3C1A" w:rsidRPr="00700D46" w:rsidRDefault="009F3C1A" w:rsidP="00945DC0">
            <w:pPr>
              <w:pBdr>
                <w:top w:val="nil"/>
                <w:left w:val="nil"/>
                <w:bottom w:val="nil"/>
                <w:right w:val="nil"/>
                <w:between w:val="nil"/>
              </w:pBdr>
              <w:shd w:val="clear" w:color="auto" w:fill="FFFFFF"/>
              <w:spacing w:before="0" w:after="0"/>
              <w:ind w:firstLine="7"/>
              <w:jc w:val="center"/>
              <w:rPr>
                <w:rFonts w:ascii="Calibri" w:eastAsia="Calibri" w:hAnsi="Calibri" w:cs="Calibri"/>
                <w:color w:val="000000"/>
                <w:sz w:val="20"/>
                <w:szCs w:val="20"/>
                <w:lang w:eastAsia="es-MX"/>
              </w:rPr>
            </w:pPr>
            <w:r w:rsidRPr="00700D46">
              <w:rPr>
                <w:rFonts w:ascii="Calibri" w:eastAsia="Calibri" w:hAnsi="Calibri" w:cs="Calibri"/>
                <w:color w:val="000000"/>
                <w:sz w:val="20"/>
                <w:szCs w:val="20"/>
                <w:lang w:eastAsia="es-MX"/>
              </w:rPr>
              <w:t>No</w:t>
            </w:r>
          </w:p>
        </w:tc>
        <w:tc>
          <w:tcPr>
            <w:tcW w:w="383" w:type="pct"/>
            <w:shd w:val="clear" w:color="auto" w:fill="FFFFFF"/>
            <w:vAlign w:val="center"/>
          </w:tcPr>
          <w:p w14:paraId="1C166BAA" w14:textId="1AF7D3A8" w:rsidR="009F3C1A" w:rsidRPr="00700D46" w:rsidRDefault="009F3C1A" w:rsidP="00945DC0">
            <w:pPr>
              <w:pBdr>
                <w:top w:val="nil"/>
                <w:left w:val="nil"/>
                <w:bottom w:val="nil"/>
                <w:right w:val="nil"/>
                <w:between w:val="nil"/>
              </w:pBdr>
              <w:shd w:val="clear" w:color="auto" w:fill="FFFFFF"/>
              <w:spacing w:before="0" w:after="0"/>
              <w:ind w:firstLine="7"/>
              <w:jc w:val="center"/>
              <w:rPr>
                <w:rFonts w:ascii="Calibri" w:eastAsia="Calibri" w:hAnsi="Calibri" w:cs="Calibri"/>
                <w:color w:val="000000"/>
                <w:sz w:val="20"/>
                <w:szCs w:val="20"/>
                <w:lang w:eastAsia="es-MX"/>
              </w:rPr>
            </w:pPr>
          </w:p>
        </w:tc>
        <w:tc>
          <w:tcPr>
            <w:tcW w:w="3942" w:type="pct"/>
            <w:shd w:val="clear" w:color="auto" w:fill="FFFFFF"/>
            <w:vAlign w:val="center"/>
          </w:tcPr>
          <w:p w14:paraId="232D1441" w14:textId="77777777" w:rsidR="009F3C1A" w:rsidRPr="00700D46" w:rsidRDefault="009F3C1A" w:rsidP="00945DC0">
            <w:pPr>
              <w:tabs>
                <w:tab w:val="left" w:pos="256"/>
              </w:tabs>
              <w:spacing w:before="0" w:after="0"/>
              <w:contextualSpacing/>
              <w:rPr>
                <w:rFonts w:ascii="Calibri" w:eastAsia="Calibri" w:hAnsi="Calibri" w:cs="Calibri"/>
                <w:color w:val="000000"/>
                <w:sz w:val="20"/>
                <w:szCs w:val="20"/>
                <w:lang w:eastAsia="es-MX"/>
              </w:rPr>
            </w:pPr>
          </w:p>
        </w:tc>
      </w:tr>
    </w:tbl>
    <w:p w14:paraId="4372817A" w14:textId="28041F00" w:rsidR="003457C5" w:rsidRDefault="00B3205D" w:rsidP="00BA1A4F">
      <w:pPr>
        <w:spacing w:after="0"/>
      </w:pPr>
      <w:bookmarkStart w:id="41" w:name="_Hlk53072955"/>
      <w:r w:rsidRPr="00187BCC">
        <w:t xml:space="preserve">El </w:t>
      </w:r>
      <w:r w:rsidR="00DA4793">
        <w:t xml:space="preserve">Estado </w:t>
      </w:r>
      <w:r w:rsidRPr="00187BCC">
        <w:t>no cuenta con un Plan Anual de Trabajo (PAT) que integre al menos una de las características establecidas</w:t>
      </w:r>
      <w:r w:rsidR="00912410">
        <w:t>.</w:t>
      </w:r>
      <w:r w:rsidR="00647061">
        <w:t xml:space="preserve"> </w:t>
      </w:r>
    </w:p>
    <w:p w14:paraId="1C865253" w14:textId="6D839D68" w:rsidR="003457C5" w:rsidRPr="002F454D" w:rsidRDefault="003457C5" w:rsidP="005E1463">
      <w:pPr>
        <w:rPr>
          <w:rFonts w:ascii="Calibri" w:eastAsia="Times New Roman" w:hAnsi="Calibri" w:cs="Calibri"/>
          <w:color w:val="000000"/>
          <w:lang w:eastAsia="es-MX"/>
        </w:rPr>
      </w:pPr>
      <w:r w:rsidRPr="002F454D">
        <w:rPr>
          <w:rFonts w:cstheme="minorHAnsi"/>
          <w:color w:val="000000" w:themeColor="text1"/>
        </w:rPr>
        <w:t xml:space="preserve">Actualmente </w:t>
      </w:r>
      <w:r>
        <w:rPr>
          <w:rFonts w:cstheme="minorHAnsi"/>
          <w:color w:val="000000" w:themeColor="text1"/>
        </w:rPr>
        <w:t>l</w:t>
      </w:r>
      <w:r w:rsidRPr="002F454D">
        <w:rPr>
          <w:rFonts w:cstheme="minorHAnsi"/>
          <w:color w:val="000000" w:themeColor="text1"/>
        </w:rPr>
        <w:t>os Programas Operativos Anuales (POA) son establecidos por las dependencias ejecutoras del Estado</w:t>
      </w:r>
      <w:r>
        <w:rPr>
          <w:rFonts w:cstheme="minorHAnsi"/>
          <w:color w:val="000000" w:themeColor="text1"/>
        </w:rPr>
        <w:t xml:space="preserve">. </w:t>
      </w:r>
      <w:r w:rsidRPr="002F454D">
        <w:rPr>
          <w:rFonts w:cstheme="minorHAnsi"/>
          <w:color w:val="000000" w:themeColor="text1"/>
        </w:rPr>
        <w:t xml:space="preserve">El FAFEF representa una de las fuentes de financiamiento con las que se operan dichos planes. En este sentido </w:t>
      </w:r>
      <w:r>
        <w:rPr>
          <w:rFonts w:cstheme="minorHAnsi"/>
          <w:color w:val="000000" w:themeColor="text1"/>
        </w:rPr>
        <w:t xml:space="preserve">en </w:t>
      </w:r>
      <w:r w:rsidRPr="002F454D">
        <w:rPr>
          <w:rFonts w:cstheme="minorHAnsi"/>
          <w:color w:val="000000" w:themeColor="text1"/>
        </w:rPr>
        <w:t>los POA para los distintos ejecutores de gasto (</w:t>
      </w:r>
      <w:r w:rsidRPr="002F454D">
        <w:rPr>
          <w:rFonts w:ascii="Calibri" w:eastAsia="Times New Roman" w:hAnsi="Calibri" w:cs="Calibri"/>
          <w:color w:val="000000"/>
          <w:lang w:eastAsia="es-MX"/>
        </w:rPr>
        <w:t>SOPOT, SFP, SEDESO, SEPH, Secretaría de Turismo, SEDAGRO, etc.), se plasma el presupuesto anual, objetivos, metas institucionales</w:t>
      </w:r>
      <w:r>
        <w:rPr>
          <w:rFonts w:ascii="Calibri" w:eastAsia="Times New Roman" w:hAnsi="Calibri" w:cs="Calibri"/>
          <w:color w:val="000000"/>
          <w:lang w:eastAsia="es-MX"/>
        </w:rPr>
        <w:t xml:space="preserve">, </w:t>
      </w:r>
      <w:r w:rsidRPr="002F454D">
        <w:rPr>
          <w:rFonts w:ascii="Calibri" w:eastAsia="Times New Roman" w:hAnsi="Calibri" w:cs="Calibri"/>
          <w:color w:val="000000"/>
          <w:lang w:eastAsia="es-MX"/>
        </w:rPr>
        <w:t>avances programáticos y resultados esperados</w:t>
      </w:r>
      <w:r>
        <w:rPr>
          <w:rStyle w:val="Refdenotaalpie"/>
          <w:rFonts w:cstheme="minorHAnsi"/>
          <w:color w:val="000000" w:themeColor="text1"/>
        </w:rPr>
        <w:footnoteReference w:id="18"/>
      </w:r>
      <w:r>
        <w:rPr>
          <w:rFonts w:ascii="Calibri" w:eastAsia="Times New Roman" w:hAnsi="Calibri" w:cs="Calibri"/>
          <w:color w:val="000000"/>
          <w:lang w:eastAsia="es-MX"/>
        </w:rPr>
        <w:t xml:space="preserve">. El avance de la ejecución de los POA se reporta trimestralmente a través de la página de transparencia del gobierno del </w:t>
      </w:r>
      <w:r w:rsidR="00644705">
        <w:rPr>
          <w:rFonts w:ascii="Calibri" w:eastAsia="Times New Roman" w:hAnsi="Calibri" w:cs="Calibri"/>
          <w:color w:val="000000"/>
          <w:lang w:eastAsia="es-MX"/>
        </w:rPr>
        <w:t>E</w:t>
      </w:r>
      <w:r>
        <w:rPr>
          <w:rFonts w:ascii="Calibri" w:eastAsia="Times New Roman" w:hAnsi="Calibri" w:cs="Calibri"/>
          <w:color w:val="000000"/>
          <w:lang w:eastAsia="es-MX"/>
        </w:rPr>
        <w:t>stado de Hidalgo. Es importante señalar que en estos POA no es posible identificar la planeación anual de los recursos del FAFEF, ya que no se desglosan por fuentes de financiamiento ni por Pp o proyecto de inversión.</w:t>
      </w:r>
    </w:p>
    <w:p w14:paraId="6C94460A" w14:textId="5DDF8C31" w:rsidR="00B3205D" w:rsidRDefault="008043BF" w:rsidP="000A7C58">
      <w:r>
        <w:t>En este sentido, s</w:t>
      </w:r>
      <w:r w:rsidR="00B3205D" w:rsidRPr="00A13805">
        <w:t xml:space="preserve">e </w:t>
      </w:r>
      <w:r w:rsidR="00912410" w:rsidRPr="005E1463">
        <w:t xml:space="preserve">recomienda </w:t>
      </w:r>
      <w:r w:rsidR="0024450E" w:rsidRPr="005E1463">
        <w:t xml:space="preserve">la </w:t>
      </w:r>
      <w:r w:rsidR="00772428" w:rsidRPr="005E1463">
        <w:t>elaboración</w:t>
      </w:r>
      <w:r w:rsidR="00A13805" w:rsidRPr="005E1463">
        <w:t xml:space="preserve"> de</w:t>
      </w:r>
      <w:r w:rsidR="00772428" w:rsidRPr="005E1463">
        <w:t xml:space="preserve"> un </w:t>
      </w:r>
      <w:r w:rsidR="00A13805" w:rsidRPr="005E1463">
        <w:t>PAT</w:t>
      </w:r>
      <w:r w:rsidR="00654DE9">
        <w:t xml:space="preserve"> específico para el FAFEF en la entidad federativa, </w:t>
      </w:r>
      <w:r w:rsidR="00912410" w:rsidRPr="005E1463">
        <w:t xml:space="preserve">que sea </w:t>
      </w:r>
      <w:r w:rsidR="00B3205D" w:rsidRPr="00A13805">
        <w:rPr>
          <w:rFonts w:cstheme="minorHAnsi"/>
        </w:rPr>
        <w:t>producto de ejercicios de planeación institucionalizados</w:t>
      </w:r>
      <w:r w:rsidR="00B3205D" w:rsidRPr="00A13805">
        <w:t>, que contenga las necesidades prioritarias definidas en el diagnóstico específico del FAFEF</w:t>
      </w:r>
      <w:r w:rsidR="005C152E" w:rsidRPr="00A13805">
        <w:t>,</w:t>
      </w:r>
      <w:r w:rsidR="00B3205D" w:rsidRPr="00A13805">
        <w:t xml:space="preserve"> los entregables o </w:t>
      </w:r>
      <w:r w:rsidR="00A70A52">
        <w:t>C</w:t>
      </w:r>
      <w:r w:rsidR="00B3205D" w:rsidRPr="00A13805">
        <w:t>omponentes producidos con el presupuesto del Fondo, los objetivos y propósitos del trabajo anual, actualizados y coherentes con los recursos viables a realizarse en un año, dimensionar los objetivos que se pretenden alcanzar al cabo de un año, las estrategias para lograr los objetivos y metas, las actividades y acciones que se desarrollarán, las instancias que participarán y, por último, la metodología para evaluar lo programado, de tal manera que se garantice el adecuado ejercicio del Fondo en la entidad</w:t>
      </w:r>
      <w:r w:rsidR="005C152E" w:rsidRPr="00A13805">
        <w:t xml:space="preserve"> federativa</w:t>
      </w:r>
      <w:r w:rsidR="00B3205D" w:rsidRPr="00A13805">
        <w:t>.</w:t>
      </w:r>
    </w:p>
    <w:bookmarkEnd w:id="41"/>
    <w:p w14:paraId="747B225C" w14:textId="69D16C3D" w:rsidR="0057513E" w:rsidRDefault="0057513E" w:rsidP="00AE25DD">
      <w:r>
        <w:br w:type="page"/>
      </w:r>
    </w:p>
    <w:p w14:paraId="7B8442F2" w14:textId="2E934F09" w:rsidR="0057513E" w:rsidRPr="006E4F5B" w:rsidRDefault="00213657" w:rsidP="00213657">
      <w:pPr>
        <w:spacing w:before="0" w:after="0"/>
        <w:contextualSpacing/>
        <w:rPr>
          <w:rFonts w:cstheme="minorHAnsi"/>
          <w:b/>
        </w:rPr>
      </w:pPr>
      <w:r>
        <w:rPr>
          <w:rFonts w:cstheme="minorHAnsi"/>
          <w:b/>
        </w:rPr>
        <w:lastRenderedPageBreak/>
        <w:t xml:space="preserve">10. </w:t>
      </w:r>
      <w:r w:rsidR="0057513E" w:rsidRPr="006E4F5B">
        <w:rPr>
          <w:rFonts w:cstheme="minorHAnsi"/>
          <w:b/>
        </w:rPr>
        <w:t>Si con los recursos del FAFEF se realizan acciones o se otorgan apoyos que benefician directamente a personas u hogares, ¿la entidad federativa cuenta con lineamientos para su ejecución y éstos contemplan que se recolecte información socioeconómica de estos beneficiarios?</w:t>
      </w:r>
    </w:p>
    <w:p w14:paraId="1DDE79C3" w14:textId="755D218E" w:rsidR="000B6755" w:rsidRPr="006E4F5B" w:rsidRDefault="00147A15" w:rsidP="006E4F5B">
      <w:pPr>
        <w:rPr>
          <w:b/>
          <w:bCs/>
          <w:color w:val="000000" w:themeColor="text1"/>
        </w:rPr>
      </w:pPr>
      <w:r w:rsidRPr="006E4F5B">
        <w:rPr>
          <w:b/>
          <w:bCs/>
          <w:color w:val="000000" w:themeColor="text1"/>
        </w:rPr>
        <w:t>No procede valoración cuantitativa.</w:t>
      </w:r>
    </w:p>
    <w:p w14:paraId="740F4713" w14:textId="14231E32" w:rsidR="00963F04" w:rsidRDefault="00963F04" w:rsidP="00963F04">
      <w:r>
        <w:t xml:space="preserve">En el ejercicio 2018 los recursos del FAFEF se destinaron al </w:t>
      </w:r>
      <w:r w:rsidR="00AC0C89">
        <w:t>s</w:t>
      </w:r>
      <w:r>
        <w:t xml:space="preserve">aneamiento financiero, a la </w:t>
      </w:r>
      <w:r w:rsidR="00AC0C89">
        <w:t>i</w:t>
      </w:r>
      <w:r>
        <w:t xml:space="preserve">nversión en infraestructura física, a la </w:t>
      </w:r>
      <w:r w:rsidR="00AC0C89">
        <w:t>m</w:t>
      </w:r>
      <w:r>
        <w:t xml:space="preserve">odernización de los registros públicos de la propiedad y del comercio locales, así como </w:t>
      </w:r>
      <w:r w:rsidR="00E161E3">
        <w:t>para apoyos a la</w:t>
      </w:r>
      <w:r>
        <w:t xml:space="preserve"> educación pública, sin embargo, </w:t>
      </w:r>
      <w:r w:rsidRPr="00753EAF">
        <w:t>no se han emitido lineamientos específicos para la operación del FAFEF</w:t>
      </w:r>
      <w:r>
        <w:t xml:space="preserve"> de manera integral</w:t>
      </w:r>
      <w:r w:rsidRPr="00753EAF">
        <w:t xml:space="preserve">, </w:t>
      </w:r>
      <w:r>
        <w:t>en los que se señale, por rubro de gasto, cómo debería ser la operación de los mismos.</w:t>
      </w:r>
    </w:p>
    <w:p w14:paraId="759B432B" w14:textId="523F3C96" w:rsidR="008328B3" w:rsidRDefault="00221E39" w:rsidP="0070369D">
      <w:pPr>
        <w:autoSpaceDE w:val="0"/>
        <w:autoSpaceDN w:val="0"/>
        <w:adjustRightInd w:val="0"/>
      </w:pPr>
      <w:r>
        <w:rPr>
          <w:rFonts w:cstheme="minorHAnsi"/>
          <w:color w:val="000000" w:themeColor="text1"/>
        </w:rPr>
        <w:t xml:space="preserve">La operación de FAFEF en la entidad </w:t>
      </w:r>
      <w:r w:rsidR="001246A3">
        <w:rPr>
          <w:rFonts w:cstheme="minorHAnsi"/>
          <w:color w:val="000000" w:themeColor="text1"/>
        </w:rPr>
        <w:t xml:space="preserve">federativa </w:t>
      </w:r>
      <w:r>
        <w:rPr>
          <w:rFonts w:cstheme="minorHAnsi"/>
          <w:color w:val="000000" w:themeColor="text1"/>
        </w:rPr>
        <w:t xml:space="preserve">no cuenta con </w:t>
      </w:r>
      <w:r w:rsidRPr="00C03F65">
        <w:rPr>
          <w:rFonts w:cstheme="minorHAnsi"/>
          <w:color w:val="000000" w:themeColor="text1"/>
        </w:rPr>
        <w:t>lineamientos en los</w:t>
      </w:r>
      <w:r>
        <w:rPr>
          <w:rFonts w:cstheme="minorHAnsi"/>
          <w:color w:val="000000" w:themeColor="text1"/>
        </w:rPr>
        <w:t xml:space="preserve"> </w:t>
      </w:r>
      <w:r w:rsidRPr="00C03F65">
        <w:rPr>
          <w:rFonts w:cstheme="minorHAnsi"/>
          <w:color w:val="000000" w:themeColor="text1"/>
        </w:rPr>
        <w:t>cuales se establezca la obligatoriedad de recabar información socioeconómica de los posibles beneficiarios, como parte del proceso de selección de los proyectos de inversión a los que se les destinar</w:t>
      </w:r>
      <w:r>
        <w:rPr>
          <w:rFonts w:cstheme="minorHAnsi"/>
          <w:color w:val="000000" w:themeColor="text1"/>
        </w:rPr>
        <w:t>á</w:t>
      </w:r>
      <w:r w:rsidRPr="00C03F65">
        <w:rPr>
          <w:rFonts w:cstheme="minorHAnsi"/>
          <w:color w:val="000000" w:themeColor="text1"/>
        </w:rPr>
        <w:t>n recursos del Fondo.</w:t>
      </w:r>
      <w:r w:rsidR="00606551">
        <w:rPr>
          <w:rFonts w:cstheme="minorHAnsi"/>
          <w:color w:val="000000" w:themeColor="text1"/>
        </w:rPr>
        <w:t xml:space="preserve"> </w:t>
      </w:r>
      <w:r w:rsidR="0070369D" w:rsidRPr="0071285D">
        <w:rPr>
          <w:rFonts w:cstheme="minorHAnsi"/>
          <w:color w:val="000000" w:themeColor="text1"/>
        </w:rPr>
        <w:t xml:space="preserve">Los recursos del FAFEF </w:t>
      </w:r>
      <w:r w:rsidR="0070369D">
        <w:t xml:space="preserve">no fueron planeados sobre la base del beneficio y cobertura poblacional. </w:t>
      </w:r>
    </w:p>
    <w:p w14:paraId="7241D845" w14:textId="5F041C49" w:rsidR="0070369D" w:rsidRDefault="008328B3" w:rsidP="0070369D">
      <w:pPr>
        <w:autoSpaceDE w:val="0"/>
        <w:autoSpaceDN w:val="0"/>
        <w:adjustRightInd w:val="0"/>
        <w:rPr>
          <w:rFonts w:cstheme="minorHAnsi"/>
          <w:color w:val="000000" w:themeColor="text1"/>
        </w:rPr>
      </w:pPr>
      <w:r>
        <w:t>En el caso del rubro de inversión en infraestructura física s</w:t>
      </w:r>
      <w:r w:rsidR="0070369D">
        <w:t xml:space="preserve">u asignación fue directamente al </w:t>
      </w:r>
      <w:r w:rsidR="0070369D" w:rsidRPr="0071285D">
        <w:rPr>
          <w:rFonts w:cstheme="minorHAnsi"/>
          <w:color w:val="000000" w:themeColor="text1"/>
        </w:rPr>
        <w:t>desarrollo de proyectos de inversión que cumplen con un</w:t>
      </w:r>
      <w:r w:rsidR="0070369D">
        <w:rPr>
          <w:rFonts w:cstheme="minorHAnsi"/>
          <w:color w:val="000000" w:themeColor="text1"/>
        </w:rPr>
        <w:t xml:space="preserve"> </w:t>
      </w:r>
      <w:r w:rsidR="0070369D" w:rsidRPr="0071285D">
        <w:rPr>
          <w:rFonts w:cstheme="minorHAnsi"/>
          <w:color w:val="000000" w:themeColor="text1"/>
        </w:rPr>
        <w:t>dictamen favorable respecto de su factibilidad, a partir de dos vertientes:</w:t>
      </w:r>
    </w:p>
    <w:p w14:paraId="6312B185" w14:textId="561BF297" w:rsidR="0070369D" w:rsidRPr="001D370B" w:rsidRDefault="0070369D" w:rsidP="00515CAC">
      <w:pPr>
        <w:pStyle w:val="Prrafodelista"/>
        <w:numPr>
          <w:ilvl w:val="0"/>
          <w:numId w:val="27"/>
        </w:numPr>
        <w:autoSpaceDE w:val="0"/>
        <w:autoSpaceDN w:val="0"/>
        <w:adjustRightInd w:val="0"/>
        <w:rPr>
          <w:rFonts w:cstheme="minorHAnsi"/>
          <w:color w:val="000000" w:themeColor="text1"/>
        </w:rPr>
      </w:pPr>
      <w:r w:rsidRPr="001D370B">
        <w:rPr>
          <w:rFonts w:cstheme="minorHAnsi"/>
          <w:color w:val="000000" w:themeColor="text1"/>
        </w:rPr>
        <w:t>Evaluación Socioeconómica, generada con base en los Lineamientos para la elaboración y presentación de los análisis costo y beneficio de los programas y proyectos de inversión; a partir de este elemento se favorece a aquellos proyectos con una mayor rentabilidad social, es decir, que impacten a un mayor número de beneficiarios.</w:t>
      </w:r>
    </w:p>
    <w:p w14:paraId="5F312F3B" w14:textId="4A3A2AF4" w:rsidR="0070369D" w:rsidRPr="001D370B" w:rsidRDefault="0070369D" w:rsidP="00515CAC">
      <w:pPr>
        <w:pStyle w:val="Prrafodelista"/>
        <w:numPr>
          <w:ilvl w:val="0"/>
          <w:numId w:val="27"/>
        </w:numPr>
        <w:autoSpaceDE w:val="0"/>
        <w:autoSpaceDN w:val="0"/>
        <w:adjustRightInd w:val="0"/>
        <w:rPr>
          <w:rFonts w:cstheme="minorHAnsi"/>
          <w:color w:val="000000" w:themeColor="text1"/>
        </w:rPr>
      </w:pPr>
      <w:r w:rsidRPr="001D370B">
        <w:rPr>
          <w:rFonts w:cstheme="minorHAnsi"/>
          <w:color w:val="000000" w:themeColor="text1"/>
        </w:rPr>
        <w:t>Evaluación Técnica, con base en la Ley de Obras Públicas y Servicios Relacionados con las mismas para el Estado de Hidalgo, normatividad en materia de títulos de propiedad, impacto ambiental y demás ordenamientos federales y estatales.</w:t>
      </w:r>
    </w:p>
    <w:p w14:paraId="1DCC9C6D" w14:textId="76BF29C5" w:rsidR="002D4E0A" w:rsidRDefault="008328B3" w:rsidP="002D4E0A">
      <w:pPr>
        <w:rPr>
          <w:color w:val="000000" w:themeColor="text1"/>
        </w:rPr>
      </w:pPr>
      <w:r>
        <w:t>D</w:t>
      </w:r>
      <w:r w:rsidR="0031282E">
        <w:t xml:space="preserve">e </w:t>
      </w:r>
      <w:r w:rsidR="002D4E0A">
        <w:t>manera general</w:t>
      </w:r>
      <w:r w:rsidR="008043BF">
        <w:t>,</w:t>
      </w:r>
      <w:r w:rsidR="002D4E0A">
        <w:t xml:space="preserve"> para </w:t>
      </w:r>
      <w:r w:rsidR="0031282E">
        <w:t>este</w:t>
      </w:r>
      <w:r w:rsidR="002D4E0A">
        <w:t xml:space="preserve"> tipos de proyecto</w:t>
      </w:r>
      <w:r w:rsidR="007F772D">
        <w:t xml:space="preserve">s </w:t>
      </w:r>
      <w:r w:rsidR="002D4E0A">
        <w:t>con financiamiento del FAFEF en 2018</w:t>
      </w:r>
      <w:r w:rsidR="00223687">
        <w:t xml:space="preserve">: 1) </w:t>
      </w:r>
      <w:r w:rsidR="00223687" w:rsidRPr="00015F6A">
        <w:rPr>
          <w:color w:val="000000" w:themeColor="text1"/>
        </w:rPr>
        <w:t>proyectos de inversión destinados a infraestructura educativa</w:t>
      </w:r>
      <w:r w:rsidR="00223687">
        <w:rPr>
          <w:color w:val="000000" w:themeColor="text1"/>
        </w:rPr>
        <w:t xml:space="preserve">, 2) </w:t>
      </w:r>
      <w:r w:rsidR="00223687" w:rsidRPr="00015F6A">
        <w:rPr>
          <w:color w:val="000000" w:themeColor="text1"/>
        </w:rPr>
        <w:t>infraestructura de atención gerontológica</w:t>
      </w:r>
      <w:r w:rsidR="00223687">
        <w:rPr>
          <w:color w:val="000000" w:themeColor="text1"/>
        </w:rPr>
        <w:t>, 3) d</w:t>
      </w:r>
      <w:r w:rsidR="00223687" w:rsidRPr="00015F6A">
        <w:rPr>
          <w:color w:val="000000" w:themeColor="text1"/>
        </w:rPr>
        <w:t>esarrollo y mejoramiento de vialidades urbanas</w:t>
      </w:r>
      <w:r w:rsidR="00223687">
        <w:rPr>
          <w:color w:val="000000" w:themeColor="text1"/>
        </w:rPr>
        <w:t>, 4) m</w:t>
      </w:r>
      <w:r w:rsidR="00223687" w:rsidRPr="00771D80">
        <w:rPr>
          <w:color w:val="000000" w:themeColor="text1"/>
        </w:rPr>
        <w:t>ejoramiento de la imagen urbana</w:t>
      </w:r>
      <w:r w:rsidR="00223687">
        <w:rPr>
          <w:color w:val="000000" w:themeColor="text1"/>
        </w:rPr>
        <w:t>, 5) d</w:t>
      </w:r>
      <w:r w:rsidR="00223687" w:rsidRPr="00771D80">
        <w:rPr>
          <w:color w:val="000000" w:themeColor="text1"/>
        </w:rPr>
        <w:t>estinados al desarrollo de infraestructura y servicios de salud</w:t>
      </w:r>
      <w:r w:rsidR="00223687">
        <w:rPr>
          <w:color w:val="000000" w:themeColor="text1"/>
        </w:rPr>
        <w:t>, 6) d</w:t>
      </w:r>
      <w:r w:rsidR="00223687" w:rsidRPr="00963F04">
        <w:rPr>
          <w:color w:val="000000" w:themeColor="text1"/>
        </w:rPr>
        <w:t>esarrollo de infraestructura en servicios básicos</w:t>
      </w:r>
      <w:r w:rsidR="00223687">
        <w:rPr>
          <w:color w:val="000000" w:themeColor="text1"/>
        </w:rPr>
        <w:t>, 7) d</w:t>
      </w:r>
      <w:r w:rsidR="00223687" w:rsidRPr="00963F04">
        <w:rPr>
          <w:color w:val="000000" w:themeColor="text1"/>
        </w:rPr>
        <w:t>esarrollo de infraestructura de transporte terrestre</w:t>
      </w:r>
      <w:r w:rsidR="00223687">
        <w:rPr>
          <w:color w:val="000000" w:themeColor="text1"/>
        </w:rPr>
        <w:t xml:space="preserve">, dado que en general pudieran tener un impacto territorial localizado </w:t>
      </w:r>
      <w:r w:rsidR="002D4E0A">
        <w:rPr>
          <w:color w:val="000000" w:themeColor="text1"/>
        </w:rPr>
        <w:t>puede ser posible, sino la recolección de información socioeconómica individual, sí de las localidades donde estos proyectos se ejecutan</w:t>
      </w:r>
      <w:r w:rsidR="00915317">
        <w:rPr>
          <w:color w:val="000000" w:themeColor="text1"/>
        </w:rPr>
        <w:t xml:space="preserve">, </w:t>
      </w:r>
      <w:bookmarkStart w:id="42" w:name="_Hlk54256797"/>
      <w:r w:rsidR="00915317">
        <w:rPr>
          <w:color w:val="000000" w:themeColor="text1"/>
        </w:rPr>
        <w:t>así como un estimado general del número de personas que se benefician con las obras</w:t>
      </w:r>
      <w:r w:rsidR="002D4E0A" w:rsidRPr="00963F04">
        <w:rPr>
          <w:color w:val="000000" w:themeColor="text1"/>
        </w:rPr>
        <w:t>.</w:t>
      </w:r>
      <w:bookmarkEnd w:id="42"/>
    </w:p>
    <w:p w14:paraId="0F2EDEE7" w14:textId="4722F2DA" w:rsidR="00452818" w:rsidRDefault="00452818" w:rsidP="00452818">
      <w:pPr>
        <w:autoSpaceDE w:val="0"/>
        <w:autoSpaceDN w:val="0"/>
        <w:adjustRightInd w:val="0"/>
        <w:rPr>
          <w:rFonts w:cstheme="minorHAnsi"/>
          <w:color w:val="000000" w:themeColor="text1"/>
        </w:rPr>
      </w:pPr>
      <w:r w:rsidRPr="00E203D2">
        <w:rPr>
          <w:rFonts w:cstheme="minorHAnsi"/>
          <w:color w:val="000000" w:themeColor="text1"/>
        </w:rPr>
        <w:t xml:space="preserve">El </w:t>
      </w:r>
      <w:r w:rsidR="00606551">
        <w:rPr>
          <w:rFonts w:cstheme="minorHAnsi"/>
          <w:color w:val="000000" w:themeColor="text1"/>
        </w:rPr>
        <w:t>rubro</w:t>
      </w:r>
      <w:r w:rsidRPr="00E203D2">
        <w:rPr>
          <w:rFonts w:cstheme="minorHAnsi"/>
          <w:color w:val="000000" w:themeColor="text1"/>
        </w:rPr>
        <w:t xml:space="preserve"> de gasto de saneamiento financiero no registra como beneficiarios a personas físicas, sino que su función es fortalecer las finanzas públicas de la </w:t>
      </w:r>
      <w:r>
        <w:rPr>
          <w:rFonts w:cstheme="minorHAnsi"/>
          <w:color w:val="000000" w:themeColor="text1"/>
        </w:rPr>
        <w:t>e</w:t>
      </w:r>
      <w:r w:rsidRPr="00E203D2">
        <w:rPr>
          <w:rFonts w:cstheme="minorHAnsi"/>
          <w:color w:val="000000" w:themeColor="text1"/>
        </w:rPr>
        <w:t xml:space="preserve">ntidad </w:t>
      </w:r>
      <w:r>
        <w:rPr>
          <w:rFonts w:cstheme="minorHAnsi"/>
          <w:color w:val="000000" w:themeColor="text1"/>
        </w:rPr>
        <w:t xml:space="preserve">federativa </w:t>
      </w:r>
      <w:r w:rsidRPr="00E203D2">
        <w:rPr>
          <w:rFonts w:cstheme="minorHAnsi"/>
          <w:color w:val="000000" w:themeColor="text1"/>
        </w:rPr>
        <w:t>por medio de la amortización de la deuda pública, en este sentido no es posible la identificación de una población beneficiaria específica.</w:t>
      </w:r>
    </w:p>
    <w:p w14:paraId="6C2F7D44" w14:textId="50397329" w:rsidR="008328B3" w:rsidRPr="000B7129" w:rsidRDefault="008328B3" w:rsidP="00452818">
      <w:pPr>
        <w:autoSpaceDE w:val="0"/>
        <w:autoSpaceDN w:val="0"/>
        <w:adjustRightInd w:val="0"/>
        <w:rPr>
          <w:rFonts w:cstheme="minorHAnsi"/>
          <w:color w:val="000000" w:themeColor="text1"/>
        </w:rPr>
      </w:pPr>
      <w:r>
        <w:t xml:space="preserve">El </w:t>
      </w:r>
      <w:r w:rsidRPr="00171748">
        <w:t>rubro de modernización de los regi</w:t>
      </w:r>
      <w:r w:rsidR="00365607">
        <w:t xml:space="preserve">stros públicos de la propiedad tampoco cuenta con un registro </w:t>
      </w:r>
      <w:r w:rsidR="00A82DA8">
        <w:t>de beneficiarios</w:t>
      </w:r>
      <w:r w:rsidR="00365607">
        <w:t xml:space="preserve"> ya que en </w:t>
      </w:r>
      <w:r w:rsidRPr="00171748">
        <w:t xml:space="preserve">Hidalgo los recursos se han utilizado para la actualización y adquisición de equipos, </w:t>
      </w:r>
      <w:r w:rsidRPr="000B7129">
        <w:t>software y tecnologías de la información.</w:t>
      </w:r>
    </w:p>
    <w:p w14:paraId="2ACDCC80" w14:textId="224D1620" w:rsidR="00A276A9" w:rsidRDefault="00452818" w:rsidP="002D4E0A">
      <w:r w:rsidRPr="000B7129">
        <w:rPr>
          <w:color w:val="000000" w:themeColor="text1"/>
        </w:rPr>
        <w:t>El rubro d</w:t>
      </w:r>
      <w:r w:rsidR="00223687" w:rsidRPr="000B7129">
        <w:rPr>
          <w:color w:val="000000" w:themeColor="text1"/>
        </w:rPr>
        <w:t>e apoyo a la educación pública</w:t>
      </w:r>
      <w:r w:rsidR="00B3415E" w:rsidRPr="000B7129">
        <w:rPr>
          <w:color w:val="000000" w:themeColor="text1"/>
        </w:rPr>
        <w:t>, corresponde a</w:t>
      </w:r>
      <w:r w:rsidR="00223687" w:rsidRPr="000B7129">
        <w:rPr>
          <w:color w:val="000000" w:themeColor="text1"/>
        </w:rPr>
        <w:t xml:space="preserve">l Pp de </w:t>
      </w:r>
      <w:r w:rsidR="00B3415E" w:rsidRPr="000B7129">
        <w:rPr>
          <w:color w:val="000000" w:themeColor="text1"/>
        </w:rPr>
        <w:t>entrega de becas a estudiantes del Sistema E</w:t>
      </w:r>
      <w:r w:rsidR="00223687" w:rsidRPr="000B7129">
        <w:rPr>
          <w:color w:val="000000" w:themeColor="text1"/>
        </w:rPr>
        <w:t xml:space="preserve">ducativo Estatal, por lo que </w:t>
      </w:r>
      <w:r w:rsidR="00B3415E" w:rsidRPr="000B7129">
        <w:rPr>
          <w:color w:val="000000" w:themeColor="text1"/>
        </w:rPr>
        <w:t xml:space="preserve">se beneficia de manera directa a los estudiantes, </w:t>
      </w:r>
      <w:r w:rsidR="00223687" w:rsidRPr="000B7129">
        <w:rPr>
          <w:color w:val="000000" w:themeColor="text1"/>
        </w:rPr>
        <w:t xml:space="preserve">sin embargo, no se detectaron datos </w:t>
      </w:r>
      <w:r w:rsidR="000B7129">
        <w:rPr>
          <w:color w:val="000000" w:themeColor="text1"/>
        </w:rPr>
        <w:t xml:space="preserve">de beneficiarios </w:t>
      </w:r>
      <w:r w:rsidR="00223687" w:rsidRPr="000B7129">
        <w:rPr>
          <w:color w:val="000000" w:themeColor="text1"/>
        </w:rPr>
        <w:t>al respecto. E</w:t>
      </w:r>
      <w:r w:rsidR="00B3415E" w:rsidRPr="000B7129">
        <w:rPr>
          <w:color w:val="000000" w:themeColor="text1"/>
        </w:rPr>
        <w:t xml:space="preserve">n este sentido y considerando que en los últimos 5 ejercicios fiscales se han destinado recursos del FAFEF a este Pp, es importante contar con </w:t>
      </w:r>
      <w:r w:rsidR="00B3415E" w:rsidRPr="000B7129">
        <w:rPr>
          <w:rFonts w:cstheme="minorHAnsi"/>
          <w:color w:val="000000" w:themeColor="text1"/>
        </w:rPr>
        <w:t>información socioeconómica de los estudiantes que reciben las becas.</w:t>
      </w:r>
    </w:p>
    <w:p w14:paraId="72EDCCEF" w14:textId="246FDAF1" w:rsidR="00E203D2" w:rsidRDefault="00E203D2" w:rsidP="00814238">
      <w:pPr>
        <w:spacing w:before="0" w:after="0"/>
        <w:rPr>
          <w:rFonts w:cstheme="minorHAnsi"/>
          <w:color w:val="000000" w:themeColor="text1"/>
        </w:rPr>
      </w:pPr>
      <w:r>
        <w:rPr>
          <w:rFonts w:cstheme="minorHAnsi"/>
          <w:color w:val="000000" w:themeColor="text1"/>
        </w:rPr>
        <w:t xml:space="preserve">Cabe mencionar que la Evaluación Específica de Desempeño al FAFEF 2018, menciona que </w:t>
      </w:r>
      <w:r w:rsidR="006056E6">
        <w:rPr>
          <w:rFonts w:cstheme="minorHAnsi"/>
          <w:color w:val="000000" w:themeColor="text1"/>
        </w:rPr>
        <w:t>a</w:t>
      </w:r>
      <w:r w:rsidR="006056E6" w:rsidRPr="00E203D2">
        <w:rPr>
          <w:rFonts w:cstheme="minorHAnsi"/>
          <w:color w:val="000000" w:themeColor="text1"/>
        </w:rPr>
        <w:t>unque</w:t>
      </w:r>
      <w:r w:rsidRPr="00E203D2">
        <w:rPr>
          <w:rFonts w:cstheme="minorHAnsi"/>
          <w:color w:val="000000" w:themeColor="text1"/>
        </w:rPr>
        <w:t>, las obras y acciones implementadas con los recursos del Fondo están orientadas al desarrollo</w:t>
      </w:r>
      <w:r>
        <w:rPr>
          <w:rFonts w:cstheme="minorHAnsi"/>
          <w:color w:val="000000" w:themeColor="text1"/>
        </w:rPr>
        <w:t xml:space="preserve"> </w:t>
      </w:r>
      <w:r w:rsidRPr="00E203D2">
        <w:rPr>
          <w:rFonts w:cstheme="minorHAnsi"/>
          <w:color w:val="000000" w:themeColor="text1"/>
        </w:rPr>
        <w:t>de infraestructura física o en su c</w:t>
      </w:r>
      <w:r w:rsidRPr="00FD446B">
        <w:rPr>
          <w:rFonts w:cstheme="minorHAnsi"/>
          <w:color w:val="000000" w:themeColor="text1"/>
        </w:rPr>
        <w:t>aso al pago de deuda pública, el cuerpo Consultor</w:t>
      </w:r>
      <w:r w:rsidR="00572874" w:rsidRPr="00FD446B">
        <w:rPr>
          <w:rFonts w:cstheme="minorHAnsi"/>
          <w:color w:val="000000" w:themeColor="text1"/>
        </w:rPr>
        <w:t xml:space="preserve"> que realizó dicha evaluación</w:t>
      </w:r>
      <w:r w:rsidRPr="00FD446B">
        <w:rPr>
          <w:rFonts w:cstheme="minorHAnsi"/>
          <w:color w:val="000000" w:themeColor="text1"/>
        </w:rPr>
        <w:t xml:space="preserve"> sugiere qué, se considere </w:t>
      </w:r>
      <w:r w:rsidRPr="00FD446B">
        <w:rPr>
          <w:rFonts w:cstheme="minorHAnsi"/>
          <w:color w:val="000000" w:themeColor="text1"/>
        </w:rPr>
        <w:lastRenderedPageBreak/>
        <w:t xml:space="preserve">para </w:t>
      </w:r>
      <w:r w:rsidRPr="005E1463">
        <w:rPr>
          <w:rFonts w:cstheme="minorHAnsi"/>
          <w:color w:val="000000" w:themeColor="text1"/>
        </w:rPr>
        <w:t>fines de es</w:t>
      </w:r>
      <w:r w:rsidR="003521C7" w:rsidRPr="005E1463">
        <w:rPr>
          <w:rFonts w:cstheme="minorHAnsi"/>
          <w:color w:val="000000" w:themeColor="text1"/>
        </w:rPr>
        <w:t>a</w:t>
      </w:r>
      <w:r w:rsidRPr="00FD446B">
        <w:rPr>
          <w:rFonts w:cstheme="minorHAnsi"/>
          <w:color w:val="000000" w:themeColor="text1"/>
        </w:rPr>
        <w:t xml:space="preserve"> evaluación como </w:t>
      </w:r>
      <w:r w:rsidR="00D95E5F" w:rsidRPr="00FD446B">
        <w:rPr>
          <w:rFonts w:cstheme="minorHAnsi"/>
          <w:color w:val="000000" w:themeColor="text1"/>
        </w:rPr>
        <w:t>p</w:t>
      </w:r>
      <w:r w:rsidRPr="00FD446B">
        <w:rPr>
          <w:rFonts w:cstheme="minorHAnsi"/>
          <w:color w:val="000000" w:themeColor="text1"/>
        </w:rPr>
        <w:t xml:space="preserve">oblación </w:t>
      </w:r>
      <w:r w:rsidR="00D95E5F" w:rsidRPr="00FD446B">
        <w:rPr>
          <w:rFonts w:cstheme="minorHAnsi"/>
          <w:color w:val="000000" w:themeColor="text1"/>
        </w:rPr>
        <w:t>p</w:t>
      </w:r>
      <w:r w:rsidRPr="00FD446B">
        <w:rPr>
          <w:rFonts w:cstheme="minorHAnsi"/>
          <w:color w:val="000000" w:themeColor="text1"/>
        </w:rPr>
        <w:t xml:space="preserve">otencial a todos los habitantes del Estado; para la </w:t>
      </w:r>
      <w:r w:rsidR="00F76C94" w:rsidRPr="00FD446B">
        <w:rPr>
          <w:rFonts w:cstheme="minorHAnsi"/>
          <w:color w:val="000000" w:themeColor="text1"/>
        </w:rPr>
        <w:t>p</w:t>
      </w:r>
      <w:r w:rsidRPr="00FD446B">
        <w:rPr>
          <w:rFonts w:cstheme="minorHAnsi"/>
          <w:color w:val="000000" w:themeColor="text1"/>
        </w:rPr>
        <w:t xml:space="preserve">oblación </w:t>
      </w:r>
      <w:r w:rsidR="00F76C94" w:rsidRPr="00FD446B">
        <w:rPr>
          <w:rFonts w:cstheme="minorHAnsi"/>
          <w:color w:val="000000" w:themeColor="text1"/>
        </w:rPr>
        <w:t>o</w:t>
      </w:r>
      <w:r w:rsidRPr="00FD446B">
        <w:rPr>
          <w:rFonts w:cstheme="minorHAnsi"/>
          <w:color w:val="000000" w:themeColor="text1"/>
        </w:rPr>
        <w:t xml:space="preserve">bjetivo a todo aquel municipio que haya solicitado cierta obra o acción perteneciente al Fondo; y finalmente, para </w:t>
      </w:r>
      <w:r w:rsidR="00F76C94" w:rsidRPr="00FD446B">
        <w:rPr>
          <w:rFonts w:cstheme="minorHAnsi"/>
          <w:color w:val="000000" w:themeColor="text1"/>
        </w:rPr>
        <w:t>p</w:t>
      </w:r>
      <w:r w:rsidRPr="00FD446B">
        <w:rPr>
          <w:rFonts w:cstheme="minorHAnsi"/>
          <w:color w:val="000000" w:themeColor="text1"/>
        </w:rPr>
        <w:t xml:space="preserve">oblación </w:t>
      </w:r>
      <w:r w:rsidR="00F76C94" w:rsidRPr="00FD446B">
        <w:rPr>
          <w:rFonts w:cstheme="minorHAnsi"/>
          <w:color w:val="000000" w:themeColor="text1"/>
        </w:rPr>
        <w:t>a</w:t>
      </w:r>
      <w:r w:rsidRPr="00FD446B">
        <w:rPr>
          <w:rFonts w:cstheme="minorHAnsi"/>
          <w:color w:val="000000" w:themeColor="text1"/>
        </w:rPr>
        <w:t>tendida a todos aquellos habitantes de los municipios que se hayan visto beneficiados con alguna obra y/o acción financiada con recursos del FAFEF.</w:t>
      </w:r>
      <w:r w:rsidR="003521C7" w:rsidRPr="00FD446B">
        <w:rPr>
          <w:rFonts w:cstheme="minorHAnsi"/>
          <w:color w:val="000000" w:themeColor="text1"/>
        </w:rPr>
        <w:t xml:space="preserve"> </w:t>
      </w:r>
      <w:r w:rsidR="00223687">
        <w:rPr>
          <w:rFonts w:cstheme="minorHAnsi"/>
          <w:color w:val="000000" w:themeColor="text1"/>
        </w:rPr>
        <w:t xml:space="preserve">Cabe mencionar que </w:t>
      </w:r>
      <w:r w:rsidR="003521C7" w:rsidRPr="005E1463">
        <w:rPr>
          <w:rFonts w:cstheme="minorHAnsi"/>
          <w:color w:val="000000" w:themeColor="text1"/>
        </w:rPr>
        <w:t xml:space="preserve">está definición no cumple con el objetivo de contar con una base poblacional para la planeación del ejercicio de los recursos, por lo que se recomienda que </w:t>
      </w:r>
      <w:r w:rsidR="008328B3">
        <w:rPr>
          <w:rFonts w:cstheme="minorHAnsi"/>
          <w:color w:val="000000" w:themeColor="text1"/>
        </w:rPr>
        <w:t xml:space="preserve">en </w:t>
      </w:r>
      <w:r w:rsidR="003521C7" w:rsidRPr="005E1463">
        <w:rPr>
          <w:rFonts w:cstheme="minorHAnsi"/>
          <w:color w:val="000000" w:themeColor="text1"/>
        </w:rPr>
        <w:t xml:space="preserve">el diagnóstico </w:t>
      </w:r>
      <w:r w:rsidR="008328B3">
        <w:rPr>
          <w:rFonts w:cstheme="minorHAnsi"/>
          <w:color w:val="000000" w:themeColor="text1"/>
        </w:rPr>
        <w:t xml:space="preserve">de </w:t>
      </w:r>
      <w:r w:rsidR="003521C7" w:rsidRPr="005E1463">
        <w:rPr>
          <w:rFonts w:cstheme="minorHAnsi"/>
          <w:color w:val="000000" w:themeColor="text1"/>
        </w:rPr>
        <w:t xml:space="preserve">la o las problemáticas </w:t>
      </w:r>
      <w:r w:rsidR="008328B3">
        <w:rPr>
          <w:rFonts w:cstheme="minorHAnsi"/>
          <w:color w:val="000000" w:themeColor="text1"/>
        </w:rPr>
        <w:t xml:space="preserve">que se atienden en la entidad con recursos del Fondo </w:t>
      </w:r>
      <w:r w:rsidR="003521C7" w:rsidRPr="005E1463">
        <w:rPr>
          <w:rFonts w:cstheme="minorHAnsi"/>
          <w:color w:val="000000" w:themeColor="text1"/>
        </w:rPr>
        <w:t xml:space="preserve">sea definida </w:t>
      </w:r>
      <w:r w:rsidR="008328B3">
        <w:rPr>
          <w:rFonts w:cstheme="minorHAnsi"/>
          <w:color w:val="000000" w:themeColor="text1"/>
        </w:rPr>
        <w:t xml:space="preserve">la población potencial y objetivo, </w:t>
      </w:r>
      <w:r w:rsidR="003521C7" w:rsidRPr="005E1463">
        <w:rPr>
          <w:rFonts w:cstheme="minorHAnsi"/>
          <w:color w:val="000000" w:themeColor="text1"/>
        </w:rPr>
        <w:t xml:space="preserve">para cada uno de los posibles rubros de atención, de acuerdo con la LCF, </w:t>
      </w:r>
      <w:r w:rsidR="00A10936" w:rsidRPr="005E1463">
        <w:rPr>
          <w:rFonts w:cstheme="minorHAnsi"/>
          <w:color w:val="000000" w:themeColor="text1"/>
        </w:rPr>
        <w:t>tal como se detalló en la respuesta a la pregunta uno.</w:t>
      </w:r>
    </w:p>
    <w:p w14:paraId="06228AF4" w14:textId="77777777" w:rsidR="00B3415E" w:rsidRDefault="00B3415E" w:rsidP="00814238">
      <w:pPr>
        <w:spacing w:before="0" w:after="0"/>
        <w:rPr>
          <w:rFonts w:cstheme="minorHAnsi"/>
          <w:color w:val="000000" w:themeColor="text1"/>
        </w:rPr>
      </w:pPr>
    </w:p>
    <w:p w14:paraId="0A8EB739" w14:textId="11C889C4" w:rsidR="00762C65" w:rsidRDefault="00762C65" w:rsidP="00AE25DD">
      <w:r>
        <w:br w:type="page"/>
      </w:r>
    </w:p>
    <w:p w14:paraId="08752768" w14:textId="1680726C" w:rsidR="00212F23" w:rsidRPr="006E4F5B" w:rsidRDefault="00213657" w:rsidP="00213657">
      <w:pPr>
        <w:spacing w:before="0" w:after="0"/>
        <w:contextualSpacing/>
        <w:rPr>
          <w:rFonts w:cstheme="minorHAnsi"/>
          <w:b/>
        </w:rPr>
      </w:pPr>
      <w:r>
        <w:rPr>
          <w:rFonts w:cstheme="minorHAnsi"/>
          <w:b/>
        </w:rPr>
        <w:lastRenderedPageBreak/>
        <w:t xml:space="preserve">11. </w:t>
      </w:r>
      <w:r w:rsidR="00212F23" w:rsidRPr="006E4F5B">
        <w:rPr>
          <w:rFonts w:cstheme="minorHAnsi"/>
          <w:b/>
        </w:rPr>
        <w:t>A partir de las definiciones de la población, potencial, objetivo y atendida, ¿cuál ha sido la cobertura del FAFEF en la entidad federativa en los últimos cinco ejercicios fiscales?</w:t>
      </w:r>
    </w:p>
    <w:p w14:paraId="22771859" w14:textId="6E0F5E05" w:rsidR="00147A15" w:rsidRPr="006E4F5B" w:rsidRDefault="00147A15" w:rsidP="006E4F5B">
      <w:pPr>
        <w:rPr>
          <w:b/>
          <w:bCs/>
          <w:color w:val="000000" w:themeColor="text1"/>
        </w:rPr>
      </w:pPr>
      <w:r w:rsidRPr="006E4F5B">
        <w:rPr>
          <w:b/>
          <w:bCs/>
          <w:color w:val="000000" w:themeColor="text1"/>
        </w:rPr>
        <w:t>No procede valoración cuantitativa</w:t>
      </w:r>
      <w:r w:rsidR="00213657">
        <w:rPr>
          <w:b/>
          <w:bCs/>
          <w:color w:val="000000" w:themeColor="text1"/>
        </w:rPr>
        <w:t>.</w:t>
      </w:r>
    </w:p>
    <w:p w14:paraId="1CED0922" w14:textId="141386DE" w:rsidR="0083509B" w:rsidRDefault="0070369D" w:rsidP="0070369D">
      <w:pPr>
        <w:autoSpaceDE w:val="0"/>
        <w:autoSpaceDN w:val="0"/>
        <w:adjustRightInd w:val="0"/>
        <w:rPr>
          <w:rFonts w:cstheme="minorHAnsi"/>
          <w:color w:val="000000" w:themeColor="text1"/>
        </w:rPr>
      </w:pPr>
      <w:bookmarkStart w:id="43" w:name="_Hlk56151180"/>
      <w:r w:rsidRPr="007C3D7C">
        <w:rPr>
          <w:rFonts w:cstheme="minorHAnsi"/>
          <w:color w:val="000000" w:themeColor="text1"/>
        </w:rPr>
        <w:t>En la entidad</w:t>
      </w:r>
      <w:r w:rsidR="004B376F">
        <w:rPr>
          <w:rFonts w:cstheme="minorHAnsi"/>
          <w:color w:val="000000" w:themeColor="text1"/>
        </w:rPr>
        <w:t xml:space="preserve"> federativa</w:t>
      </w:r>
      <w:r w:rsidRPr="007C3D7C">
        <w:rPr>
          <w:rFonts w:cstheme="minorHAnsi"/>
          <w:color w:val="000000" w:themeColor="text1"/>
        </w:rPr>
        <w:t>, no se dispone de una definición precisa de la población</w:t>
      </w:r>
      <w:r w:rsidR="00CC2242">
        <w:rPr>
          <w:rFonts w:cstheme="minorHAnsi"/>
          <w:color w:val="000000" w:themeColor="text1"/>
        </w:rPr>
        <w:t xml:space="preserve"> potencial, objetivo y</w:t>
      </w:r>
      <w:r w:rsidRPr="007C3D7C">
        <w:rPr>
          <w:rFonts w:cstheme="minorHAnsi"/>
          <w:color w:val="000000" w:themeColor="text1"/>
        </w:rPr>
        <w:t xml:space="preserve"> atendida </w:t>
      </w:r>
      <w:r w:rsidR="00CC2242">
        <w:rPr>
          <w:rFonts w:cstheme="minorHAnsi"/>
          <w:color w:val="000000" w:themeColor="text1"/>
        </w:rPr>
        <w:t>mediante los recursos del Fondo</w:t>
      </w:r>
      <w:r w:rsidR="0083509B">
        <w:rPr>
          <w:rFonts w:cstheme="minorHAnsi"/>
          <w:color w:val="000000" w:themeColor="text1"/>
        </w:rPr>
        <w:t xml:space="preserve"> ya que para su ejercicio se ha apegado sobre todo a lo establecido en </w:t>
      </w:r>
      <w:r w:rsidRPr="007C3D7C">
        <w:rPr>
          <w:rFonts w:cstheme="minorHAnsi"/>
          <w:color w:val="000000" w:themeColor="text1"/>
        </w:rPr>
        <w:t>el Artículo 47 de la LC</w:t>
      </w:r>
      <w:r w:rsidR="00DB48E2">
        <w:rPr>
          <w:rFonts w:cstheme="minorHAnsi"/>
          <w:color w:val="000000" w:themeColor="text1"/>
        </w:rPr>
        <w:t xml:space="preserve">F en relación a que </w:t>
      </w:r>
      <w:r w:rsidR="00727A14">
        <w:rPr>
          <w:rFonts w:cstheme="minorHAnsi"/>
          <w:color w:val="000000" w:themeColor="text1"/>
        </w:rPr>
        <w:t>l</w:t>
      </w:r>
      <w:r w:rsidRPr="007C3D7C">
        <w:rPr>
          <w:rFonts w:cstheme="minorHAnsi"/>
          <w:color w:val="000000" w:themeColor="text1"/>
        </w:rPr>
        <w:t xml:space="preserve">os recursos del </w:t>
      </w:r>
      <w:r w:rsidR="0083509B">
        <w:rPr>
          <w:rFonts w:cstheme="minorHAnsi"/>
          <w:color w:val="000000" w:themeColor="text1"/>
        </w:rPr>
        <w:t>FAFEF</w:t>
      </w:r>
      <w:r w:rsidRPr="007C3D7C">
        <w:rPr>
          <w:rFonts w:cstheme="minorHAnsi"/>
          <w:color w:val="000000" w:themeColor="text1"/>
        </w:rPr>
        <w:t xml:space="preserve"> tienen por objeto fortalecer los presupuestos de las </w:t>
      </w:r>
      <w:r w:rsidR="00727A14">
        <w:rPr>
          <w:rFonts w:cstheme="minorHAnsi"/>
          <w:color w:val="000000" w:themeColor="text1"/>
        </w:rPr>
        <w:t xml:space="preserve">entidades federativas y de </w:t>
      </w:r>
      <w:r w:rsidRPr="007C3D7C">
        <w:rPr>
          <w:rFonts w:cstheme="minorHAnsi"/>
          <w:color w:val="000000" w:themeColor="text1"/>
        </w:rPr>
        <w:t>las regiones que</w:t>
      </w:r>
      <w:r w:rsidR="00727A14">
        <w:rPr>
          <w:rFonts w:cstheme="minorHAnsi"/>
          <w:color w:val="000000" w:themeColor="text1"/>
        </w:rPr>
        <w:t xml:space="preserve"> las</w:t>
      </w:r>
      <w:r w:rsidRPr="007C3D7C">
        <w:rPr>
          <w:rFonts w:cstheme="minorHAnsi"/>
          <w:color w:val="000000" w:themeColor="text1"/>
        </w:rPr>
        <w:t xml:space="preserve"> conforman</w:t>
      </w:r>
      <w:r w:rsidR="00DB48E2">
        <w:rPr>
          <w:rFonts w:cstheme="minorHAnsi"/>
          <w:color w:val="000000" w:themeColor="text1"/>
        </w:rPr>
        <w:t>, por lo que no se ha definido ni cuantificado a la población potencial y objetivo por rubro de gasto o por Pp que recibe financiamiento del Fondo</w:t>
      </w:r>
      <w:r w:rsidR="0083509B">
        <w:rPr>
          <w:rFonts w:cstheme="minorHAnsi"/>
          <w:color w:val="000000" w:themeColor="text1"/>
        </w:rPr>
        <w:t xml:space="preserve">. </w:t>
      </w:r>
    </w:p>
    <w:p w14:paraId="5C9E5A67" w14:textId="5310AB17" w:rsidR="00727A14" w:rsidRPr="00062D3F" w:rsidRDefault="002F6C88" w:rsidP="00727A14">
      <w:pPr>
        <w:autoSpaceDE w:val="0"/>
        <w:autoSpaceDN w:val="0"/>
        <w:adjustRightInd w:val="0"/>
      </w:pPr>
      <w:r>
        <w:rPr>
          <w:rFonts w:cstheme="minorHAnsi"/>
          <w:color w:val="000000" w:themeColor="text1"/>
        </w:rPr>
        <w:t xml:space="preserve">Por su parte la </w:t>
      </w:r>
      <w:r w:rsidR="0083509B">
        <w:rPr>
          <w:rFonts w:cstheme="minorHAnsi"/>
          <w:color w:val="000000" w:themeColor="text1"/>
        </w:rPr>
        <w:t xml:space="preserve">MIR para el FAFEF </w:t>
      </w:r>
      <w:r>
        <w:rPr>
          <w:rFonts w:cstheme="minorHAnsi"/>
          <w:color w:val="000000" w:themeColor="text1"/>
        </w:rPr>
        <w:t xml:space="preserve">de </w:t>
      </w:r>
      <w:r w:rsidR="00CC2242">
        <w:rPr>
          <w:rFonts w:cstheme="minorHAnsi"/>
          <w:color w:val="000000" w:themeColor="text1"/>
        </w:rPr>
        <w:t>la entidad federativa ha considerado</w:t>
      </w:r>
      <w:r w:rsidR="0070369D" w:rsidRPr="007C3D7C">
        <w:rPr>
          <w:rFonts w:cstheme="minorHAnsi"/>
          <w:color w:val="000000" w:themeColor="text1"/>
        </w:rPr>
        <w:t xml:space="preserve"> como población objetivo a la totalidad de las regiones que conforman el Estado de Hidalgo, lo que permite un amplio alcance de su cobertura, por lo que la definición, así como la cuantificación de la población</w:t>
      </w:r>
      <w:r w:rsidR="0083509B">
        <w:rPr>
          <w:rFonts w:cstheme="minorHAnsi"/>
          <w:color w:val="000000" w:themeColor="text1"/>
        </w:rPr>
        <w:t xml:space="preserve"> objetivo</w:t>
      </w:r>
      <w:r w:rsidR="0070369D" w:rsidRPr="007C3D7C">
        <w:rPr>
          <w:rFonts w:cstheme="minorHAnsi"/>
          <w:color w:val="000000" w:themeColor="text1"/>
        </w:rPr>
        <w:t>, son los</w:t>
      </w:r>
      <w:r w:rsidR="00727A14">
        <w:rPr>
          <w:rFonts w:cstheme="minorHAnsi"/>
          <w:color w:val="000000" w:themeColor="text1"/>
        </w:rPr>
        <w:t xml:space="preserve"> habitantes de los</w:t>
      </w:r>
      <w:r w:rsidR="0070369D" w:rsidRPr="007C3D7C">
        <w:rPr>
          <w:rFonts w:cstheme="minorHAnsi"/>
          <w:color w:val="000000" w:themeColor="text1"/>
        </w:rPr>
        <w:t xml:space="preserve"> 84 municipios </w:t>
      </w:r>
      <w:r w:rsidR="004B376F">
        <w:rPr>
          <w:rFonts w:cstheme="minorHAnsi"/>
          <w:color w:val="000000" w:themeColor="text1"/>
        </w:rPr>
        <w:t>del Estado</w:t>
      </w:r>
      <w:r w:rsidR="00727A14">
        <w:rPr>
          <w:rFonts w:cstheme="minorHAnsi"/>
          <w:color w:val="000000" w:themeColor="text1"/>
        </w:rPr>
        <w:t xml:space="preserve">; con esta definición la cobertura del Fondo en la entidad ha sido del 100%. </w:t>
      </w:r>
      <w:r w:rsidR="00727A14">
        <w:t xml:space="preserve">Posteriormente, la </w:t>
      </w:r>
      <w:r w:rsidR="00D840AB">
        <w:t xml:space="preserve">evaluación </w:t>
      </w:r>
      <w:r w:rsidR="00D840AB">
        <w:rPr>
          <w:rFonts w:cstheme="minorHAnsi"/>
          <w:color w:val="000000" w:themeColor="text1"/>
        </w:rPr>
        <w:t xml:space="preserve">específica de desempeño </w:t>
      </w:r>
      <w:r w:rsidR="00727A14">
        <w:rPr>
          <w:rFonts w:cstheme="minorHAnsi"/>
          <w:color w:val="000000" w:themeColor="text1"/>
        </w:rPr>
        <w:t xml:space="preserve">realizada </w:t>
      </w:r>
      <w:r w:rsidR="000579CC">
        <w:rPr>
          <w:rFonts w:cstheme="minorHAnsi"/>
          <w:color w:val="000000" w:themeColor="text1"/>
        </w:rPr>
        <w:t xml:space="preserve">en la entidad federativa </w:t>
      </w:r>
      <w:r w:rsidR="00727A14">
        <w:rPr>
          <w:rFonts w:cstheme="minorHAnsi"/>
          <w:color w:val="000000" w:themeColor="text1"/>
        </w:rPr>
        <w:t xml:space="preserve">al FAFEF en 2018 recomienda utilizar </w:t>
      </w:r>
      <w:r w:rsidR="00727A14" w:rsidRPr="007344D2">
        <w:rPr>
          <w:rFonts w:cstheme="minorHAnsi"/>
          <w:color w:val="000000" w:themeColor="text1"/>
        </w:rPr>
        <w:t xml:space="preserve">como </w:t>
      </w:r>
      <w:r w:rsidR="00727A14">
        <w:rPr>
          <w:rFonts w:cstheme="minorHAnsi"/>
          <w:color w:val="000000" w:themeColor="text1"/>
        </w:rPr>
        <w:t>p</w:t>
      </w:r>
      <w:r w:rsidR="00727A14" w:rsidRPr="007344D2">
        <w:rPr>
          <w:rFonts w:cstheme="minorHAnsi"/>
          <w:color w:val="000000" w:themeColor="text1"/>
        </w:rPr>
        <w:t xml:space="preserve">oblación </w:t>
      </w:r>
      <w:r w:rsidR="00727A14">
        <w:rPr>
          <w:rFonts w:cstheme="minorHAnsi"/>
          <w:color w:val="000000" w:themeColor="text1"/>
        </w:rPr>
        <w:t>p</w:t>
      </w:r>
      <w:r w:rsidR="00727A14" w:rsidRPr="007344D2">
        <w:rPr>
          <w:rFonts w:cstheme="minorHAnsi"/>
          <w:color w:val="000000" w:themeColor="text1"/>
        </w:rPr>
        <w:t xml:space="preserve">otencial a todos los habitantes del Estado de Hidalgo; </w:t>
      </w:r>
      <w:r w:rsidR="00727A14">
        <w:rPr>
          <w:rFonts w:cstheme="minorHAnsi"/>
          <w:color w:val="000000" w:themeColor="text1"/>
        </w:rPr>
        <w:t>como</w:t>
      </w:r>
      <w:r w:rsidR="00727A14" w:rsidRPr="007344D2">
        <w:rPr>
          <w:rFonts w:cstheme="minorHAnsi"/>
          <w:color w:val="000000" w:themeColor="text1"/>
        </w:rPr>
        <w:t xml:space="preserve"> la </w:t>
      </w:r>
      <w:r w:rsidR="00727A14">
        <w:rPr>
          <w:rFonts w:cstheme="minorHAnsi"/>
          <w:color w:val="000000" w:themeColor="text1"/>
        </w:rPr>
        <w:t>p</w:t>
      </w:r>
      <w:r w:rsidR="00727A14" w:rsidRPr="007344D2">
        <w:rPr>
          <w:rFonts w:cstheme="minorHAnsi"/>
          <w:color w:val="000000" w:themeColor="text1"/>
        </w:rPr>
        <w:t xml:space="preserve">oblación </w:t>
      </w:r>
      <w:r w:rsidR="00727A14">
        <w:rPr>
          <w:rFonts w:cstheme="minorHAnsi"/>
          <w:color w:val="000000" w:themeColor="text1"/>
        </w:rPr>
        <w:t>o</w:t>
      </w:r>
      <w:r w:rsidR="00727A14" w:rsidRPr="007344D2">
        <w:rPr>
          <w:rFonts w:cstheme="minorHAnsi"/>
          <w:color w:val="000000" w:themeColor="text1"/>
        </w:rPr>
        <w:t xml:space="preserve">bjetivo a todo aquel municipio que haya solicitado cierta obra o acción perteneciente al Fondo; y finalmente, </w:t>
      </w:r>
      <w:r w:rsidR="00727A14">
        <w:rPr>
          <w:rFonts w:cstheme="minorHAnsi"/>
          <w:color w:val="000000" w:themeColor="text1"/>
        </w:rPr>
        <w:t>como población a</w:t>
      </w:r>
      <w:r w:rsidR="00727A14" w:rsidRPr="007344D2">
        <w:rPr>
          <w:rFonts w:cstheme="minorHAnsi"/>
          <w:color w:val="000000" w:themeColor="text1"/>
        </w:rPr>
        <w:t>tendida a todos aquellos habitantes de los municipios que se hayan visto beneficiados con alguna obra y/o acción financiada con recursos del FAFE</w:t>
      </w:r>
      <w:r w:rsidR="00727A14">
        <w:rPr>
          <w:rFonts w:cstheme="minorHAnsi"/>
          <w:color w:val="000000" w:themeColor="text1"/>
        </w:rPr>
        <w:t>F</w:t>
      </w:r>
      <w:r w:rsidR="00E9696D">
        <w:rPr>
          <w:rFonts w:cstheme="minorHAnsi"/>
          <w:color w:val="000000" w:themeColor="text1"/>
        </w:rPr>
        <w:t xml:space="preserve">, lo que da como resultado una cobertura del 77.25% </w:t>
      </w:r>
      <w:r w:rsidR="00727A14">
        <w:rPr>
          <w:rFonts w:cstheme="minorHAnsi"/>
          <w:color w:val="000000" w:themeColor="text1"/>
        </w:rPr>
        <w:t>.</w:t>
      </w:r>
      <w:r w:rsidR="007852F6">
        <w:rPr>
          <w:rFonts w:cstheme="minorHAnsi"/>
          <w:color w:val="000000" w:themeColor="text1"/>
        </w:rPr>
        <w:t xml:space="preserve"> </w:t>
      </w:r>
      <w:r w:rsidR="007852F6" w:rsidRPr="000A7C58">
        <w:rPr>
          <w:rFonts w:cstheme="minorHAnsi"/>
          <w:color w:val="000000" w:themeColor="text1"/>
        </w:rPr>
        <w:t>Sin embargo, está definición no cumple con el objetivo de contar con una base poblacional para la planeación del ejercicio de los recursos y la elaboración de planes estratégicos para su atención por</w:t>
      </w:r>
      <w:r w:rsidR="007852F6" w:rsidRPr="00B873E7">
        <w:rPr>
          <w:rFonts w:cstheme="minorHAnsi"/>
          <w:color w:val="000000" w:themeColor="text1"/>
        </w:rPr>
        <w:t xml:space="preserve"> lo que se recomienda la definición de una metodología más precisa para la identificación y cuantificación de la población potencial y objetivo para cada uno de los rubros de gasto especificados en el Artículo 47 de la LCF.</w:t>
      </w:r>
      <w:r w:rsidR="007852F6">
        <w:rPr>
          <w:rFonts w:cstheme="minorHAnsi"/>
          <w:color w:val="000000" w:themeColor="text1"/>
        </w:rPr>
        <w:t xml:space="preserve"> </w:t>
      </w:r>
    </w:p>
    <w:p w14:paraId="76B789AA" w14:textId="77777777" w:rsidR="007852F6" w:rsidRDefault="007852F6" w:rsidP="007852F6">
      <w:pPr>
        <w:autoSpaceDE w:val="0"/>
        <w:autoSpaceDN w:val="0"/>
        <w:adjustRightInd w:val="0"/>
        <w:rPr>
          <w:rFonts w:cstheme="minorHAnsi"/>
          <w:color w:val="000000" w:themeColor="text1"/>
        </w:rPr>
      </w:pPr>
      <w:r>
        <w:rPr>
          <w:rFonts w:cstheme="minorHAnsi"/>
          <w:color w:val="000000" w:themeColor="text1"/>
        </w:rPr>
        <w:t>Para la cuantificación de la población atendida es necesario considerar que e</w:t>
      </w:r>
      <w:r w:rsidR="00BE27AB">
        <w:rPr>
          <w:rFonts w:cstheme="minorHAnsi"/>
          <w:color w:val="000000" w:themeColor="text1"/>
        </w:rPr>
        <w:t>n los últimos cinco ejercicios fiscales se ha dado</w:t>
      </w:r>
      <w:r w:rsidR="00BE27AB" w:rsidRPr="00BE27AB">
        <w:rPr>
          <w:rFonts w:cstheme="minorHAnsi"/>
          <w:color w:val="000000" w:themeColor="text1"/>
        </w:rPr>
        <w:t xml:space="preserve"> atención prioritaria </w:t>
      </w:r>
      <w:r w:rsidR="00BE27AB">
        <w:rPr>
          <w:rFonts w:cstheme="minorHAnsi"/>
          <w:color w:val="000000" w:themeColor="text1"/>
        </w:rPr>
        <w:t>a</w:t>
      </w:r>
      <w:r w:rsidR="00BE27AB" w:rsidRPr="00BE27AB">
        <w:rPr>
          <w:rFonts w:cstheme="minorHAnsi"/>
          <w:color w:val="000000" w:themeColor="text1"/>
        </w:rPr>
        <w:t xml:space="preserve"> 4 rubros de los 9 posibles permitidos en la LCF, </w:t>
      </w:r>
      <w:r w:rsidR="00BE27AB">
        <w:rPr>
          <w:rFonts w:cstheme="minorHAnsi"/>
          <w:color w:val="000000" w:themeColor="text1"/>
        </w:rPr>
        <w:t>a saber</w:t>
      </w:r>
      <w:r w:rsidR="00BE27AB" w:rsidRPr="00BE27AB">
        <w:rPr>
          <w:rFonts w:cstheme="minorHAnsi"/>
          <w:color w:val="000000" w:themeColor="text1"/>
        </w:rPr>
        <w:t>, a</w:t>
      </w:r>
      <w:r w:rsidR="00BE27AB">
        <w:rPr>
          <w:rFonts w:cstheme="minorHAnsi"/>
          <w:color w:val="000000" w:themeColor="text1"/>
        </w:rPr>
        <w:t>: 1) Infraestructura</w:t>
      </w:r>
      <w:r w:rsidR="00BE27AB" w:rsidRPr="00BE27AB">
        <w:rPr>
          <w:rFonts w:cstheme="minorHAnsi"/>
          <w:color w:val="000000" w:themeColor="text1"/>
        </w:rPr>
        <w:t xml:space="preserve"> física </w:t>
      </w:r>
      <w:r w:rsidR="00BE27AB">
        <w:rPr>
          <w:rFonts w:cstheme="minorHAnsi"/>
          <w:color w:val="000000" w:themeColor="text1"/>
        </w:rPr>
        <w:t xml:space="preserve">el cual ha recibido en este periodo un promedio de </w:t>
      </w:r>
      <w:r w:rsidR="00BE27AB" w:rsidRPr="00BE27AB">
        <w:rPr>
          <w:rFonts w:cstheme="minorHAnsi"/>
          <w:color w:val="000000" w:themeColor="text1"/>
        </w:rPr>
        <w:t>61.13% de los recursos</w:t>
      </w:r>
      <w:r>
        <w:rPr>
          <w:rFonts w:cstheme="minorHAnsi"/>
          <w:color w:val="000000" w:themeColor="text1"/>
        </w:rPr>
        <w:t xml:space="preserve"> anuales</w:t>
      </w:r>
      <w:r w:rsidR="00BE27AB" w:rsidRPr="00BE27AB">
        <w:rPr>
          <w:rFonts w:cstheme="minorHAnsi"/>
          <w:color w:val="000000" w:themeColor="text1"/>
        </w:rPr>
        <w:t xml:space="preserve">, </w:t>
      </w:r>
      <w:r w:rsidR="00BE27AB">
        <w:rPr>
          <w:rFonts w:cstheme="minorHAnsi"/>
          <w:color w:val="000000" w:themeColor="text1"/>
        </w:rPr>
        <w:t>2) Saneamiento</w:t>
      </w:r>
      <w:r w:rsidR="00BE27AB" w:rsidRPr="00BE27AB">
        <w:rPr>
          <w:rFonts w:cstheme="minorHAnsi"/>
          <w:color w:val="000000" w:themeColor="text1"/>
        </w:rPr>
        <w:t xml:space="preserve"> financiero 25.14%, </w:t>
      </w:r>
      <w:r w:rsidR="00BE27AB">
        <w:rPr>
          <w:rFonts w:cstheme="minorHAnsi"/>
          <w:color w:val="000000" w:themeColor="text1"/>
        </w:rPr>
        <w:t>3) M</w:t>
      </w:r>
      <w:r w:rsidR="00BE27AB" w:rsidRPr="00BE27AB">
        <w:rPr>
          <w:rFonts w:cstheme="minorHAnsi"/>
          <w:color w:val="000000" w:themeColor="text1"/>
        </w:rPr>
        <w:t xml:space="preserve">odernización de los registros públicos de la propiedad y del comercio locales 2.12% y </w:t>
      </w:r>
      <w:r w:rsidR="00BE27AB">
        <w:rPr>
          <w:rFonts w:cstheme="minorHAnsi"/>
          <w:color w:val="000000" w:themeColor="text1"/>
        </w:rPr>
        <w:t>4) Para apoyar a la e</w:t>
      </w:r>
      <w:r w:rsidR="00BE27AB" w:rsidRPr="00BE27AB">
        <w:rPr>
          <w:rFonts w:cstheme="minorHAnsi"/>
          <w:color w:val="000000" w:themeColor="text1"/>
        </w:rPr>
        <w:t>ducación un 11.62%</w:t>
      </w:r>
      <w:r w:rsidR="00BE27AB">
        <w:rPr>
          <w:rFonts w:cstheme="minorHAnsi"/>
          <w:color w:val="000000" w:themeColor="text1"/>
        </w:rPr>
        <w:t>.</w:t>
      </w:r>
    </w:p>
    <w:p w14:paraId="00AC592B" w14:textId="18369996" w:rsidR="007852F6" w:rsidRPr="000A7C58" w:rsidRDefault="00BE27AB" w:rsidP="007852F6">
      <w:pPr>
        <w:autoSpaceDE w:val="0"/>
        <w:autoSpaceDN w:val="0"/>
        <w:adjustRightInd w:val="0"/>
        <w:rPr>
          <w:rFonts w:cstheme="minorHAnsi"/>
          <w:color w:val="000000" w:themeColor="text1"/>
        </w:rPr>
      </w:pPr>
      <w:r w:rsidRPr="000A7C58">
        <w:rPr>
          <w:rFonts w:cstheme="minorHAnsi"/>
          <w:color w:val="000000" w:themeColor="text1"/>
        </w:rPr>
        <w:t>En este sentido</w:t>
      </w:r>
      <w:r w:rsidR="00920AF9" w:rsidRPr="000A7C58">
        <w:rPr>
          <w:rFonts w:cstheme="minorHAnsi"/>
          <w:color w:val="000000" w:themeColor="text1"/>
        </w:rPr>
        <w:t>,</w:t>
      </w:r>
      <w:r w:rsidRPr="00B873E7">
        <w:rPr>
          <w:rFonts w:cstheme="minorHAnsi"/>
          <w:color w:val="000000" w:themeColor="text1"/>
        </w:rPr>
        <w:t xml:space="preserve"> en lo concerniente al rubro de infraestructura física,</w:t>
      </w:r>
      <w:r w:rsidR="000F19A0" w:rsidRPr="00E203B9">
        <w:rPr>
          <w:rFonts w:cstheme="minorHAnsi"/>
          <w:color w:val="000000" w:themeColor="text1"/>
        </w:rPr>
        <w:t xml:space="preserve"> </w:t>
      </w:r>
      <w:r w:rsidR="0070369D" w:rsidRPr="005E1463">
        <w:rPr>
          <w:rFonts w:cstheme="minorHAnsi"/>
          <w:color w:val="000000" w:themeColor="text1"/>
        </w:rPr>
        <w:t>y en congruencia con la respuesta a la pregunta anterior, se sugiere que, como parte de la evaluación socioeconómica</w:t>
      </w:r>
      <w:r w:rsidR="001317B4" w:rsidRPr="005E1463">
        <w:rPr>
          <w:rFonts w:cstheme="minorHAnsi"/>
          <w:color w:val="000000" w:themeColor="text1"/>
        </w:rPr>
        <w:t xml:space="preserve"> de</w:t>
      </w:r>
      <w:r w:rsidR="0070369D" w:rsidRPr="005E1463">
        <w:rPr>
          <w:rFonts w:cstheme="minorHAnsi"/>
          <w:color w:val="000000" w:themeColor="text1"/>
        </w:rPr>
        <w:t xml:space="preserve"> los proyectos</w:t>
      </w:r>
      <w:r w:rsidR="007852F6" w:rsidRPr="005E1463">
        <w:rPr>
          <w:rFonts w:cstheme="minorHAnsi"/>
          <w:color w:val="000000" w:themeColor="text1"/>
        </w:rPr>
        <w:t xml:space="preserve"> a financiar</w:t>
      </w:r>
      <w:r w:rsidR="0070369D" w:rsidRPr="005E1463">
        <w:rPr>
          <w:rFonts w:cstheme="minorHAnsi"/>
          <w:color w:val="000000" w:themeColor="text1"/>
        </w:rPr>
        <w:t>, se establezca la obligatoriedad de recolectar información socioeconómica de sus beneficiarios</w:t>
      </w:r>
      <w:r w:rsidRPr="005E1463">
        <w:rPr>
          <w:rFonts w:cstheme="minorHAnsi"/>
          <w:color w:val="000000" w:themeColor="text1"/>
        </w:rPr>
        <w:t>, al menos a nivel de localidades</w:t>
      </w:r>
      <w:r w:rsidR="0070369D" w:rsidRPr="005E1463">
        <w:rPr>
          <w:rFonts w:cstheme="minorHAnsi"/>
          <w:color w:val="000000" w:themeColor="text1"/>
        </w:rPr>
        <w:t xml:space="preserve"> y que dicha acción quede sustentada en los criterios de dictaminación de factibilidad de los proyectos a ejecutar con recursos del FAFEF en la entidad</w:t>
      </w:r>
      <w:r w:rsidR="004B376F" w:rsidRPr="005E1463">
        <w:rPr>
          <w:rFonts w:cstheme="minorHAnsi"/>
          <w:color w:val="000000" w:themeColor="text1"/>
        </w:rPr>
        <w:t xml:space="preserve"> federativa</w:t>
      </w:r>
      <w:r w:rsidR="0070369D" w:rsidRPr="005E1463">
        <w:rPr>
          <w:rFonts w:cstheme="minorHAnsi"/>
          <w:color w:val="000000" w:themeColor="text1"/>
        </w:rPr>
        <w:t>, con lo cual se contribuirá a obtener una medición más precisa de la cobertura del Fondo en cada ejercicio fiscal.</w:t>
      </w:r>
      <w:r w:rsidR="007852F6" w:rsidRPr="000A7C58">
        <w:rPr>
          <w:rFonts w:cstheme="minorHAnsi"/>
          <w:color w:val="000000" w:themeColor="text1"/>
        </w:rPr>
        <w:t xml:space="preserve"> </w:t>
      </w:r>
    </w:p>
    <w:p w14:paraId="2B2696FD" w14:textId="77777777" w:rsidR="007852F6" w:rsidRPr="00E203B9" w:rsidRDefault="000F2402" w:rsidP="007852F6">
      <w:pPr>
        <w:autoSpaceDE w:val="0"/>
        <w:autoSpaceDN w:val="0"/>
        <w:adjustRightInd w:val="0"/>
      </w:pPr>
      <w:r w:rsidRPr="00B873E7">
        <w:t>El concepto de gasto de saneamiento financiero no registra como beneficiarios a personas físicas, sino que su función es fortalecer las finanzas públ</w:t>
      </w:r>
      <w:r w:rsidRPr="00E203B9">
        <w:t xml:space="preserve">icas de la </w:t>
      </w:r>
      <w:r w:rsidR="004B376F" w:rsidRPr="00E203B9">
        <w:t>e</w:t>
      </w:r>
      <w:r w:rsidRPr="00E203B9">
        <w:t>ntidad</w:t>
      </w:r>
      <w:r w:rsidR="004B376F" w:rsidRPr="00E203B9">
        <w:t xml:space="preserve"> federativa</w:t>
      </w:r>
      <w:r w:rsidRPr="00E203B9">
        <w:t xml:space="preserve"> por medio de la amortización de la deuda pública, en este sentido no es posible la identificación de una población beneficiaria específica.</w:t>
      </w:r>
      <w:r w:rsidR="000F19A0" w:rsidRPr="00E203B9">
        <w:t xml:space="preserve"> </w:t>
      </w:r>
    </w:p>
    <w:p w14:paraId="186DF54A" w14:textId="77777777" w:rsidR="007852F6" w:rsidRPr="00E203B9" w:rsidRDefault="000F2402" w:rsidP="007852F6">
      <w:pPr>
        <w:autoSpaceDE w:val="0"/>
        <w:autoSpaceDN w:val="0"/>
        <w:adjustRightInd w:val="0"/>
      </w:pPr>
      <w:r w:rsidRPr="00E203B9">
        <w:t xml:space="preserve">Referente al rubro de modernización de los registros públicos de la propiedad, en </w:t>
      </w:r>
      <w:r w:rsidR="00B420B6" w:rsidRPr="00E203B9">
        <w:t>Hidalgo</w:t>
      </w:r>
      <w:r w:rsidRPr="00E203B9">
        <w:t xml:space="preserve"> los recursos se han utilizado para la actualización y adquisición de equipos, software y tecnologías de la información, por lo que tampoco es posible la definición y cuantificación de la población potencial, objetivo y atendida de manera directa con los recursos del Fondo. </w:t>
      </w:r>
    </w:p>
    <w:p w14:paraId="48B9ED16" w14:textId="505B25DB" w:rsidR="00AE25DD" w:rsidRDefault="00445212" w:rsidP="005E1463">
      <w:pPr>
        <w:autoSpaceDE w:val="0"/>
        <w:autoSpaceDN w:val="0"/>
        <w:adjustRightInd w:val="0"/>
      </w:pPr>
      <w:r w:rsidRPr="00E203B9">
        <w:t xml:space="preserve">Respecto al rubro de apoyo a la educación, en el documento diagnóstico se manifiesta que el recurso se destina, como aportación estatal para convenios celebrados con la federación, respecto al otorgamiento de becas de educación básica, por lo que para este rubro puede ser posible la identificación, cuantificación y caracterización de la población potencial, objetivo y atendida y además diferenciar </w:t>
      </w:r>
      <w:r w:rsidR="00B65967" w:rsidRPr="00E203B9">
        <w:t>la contribución del FAFEF en la atención de esta problemática.</w:t>
      </w:r>
      <w:r w:rsidR="000F19A0">
        <w:t xml:space="preserve"> </w:t>
      </w:r>
      <w:bookmarkEnd w:id="43"/>
      <w:r w:rsidR="00AE25DD">
        <w:br w:type="page"/>
      </w:r>
    </w:p>
    <w:p w14:paraId="148D52CE" w14:textId="77777777" w:rsidR="00861E5E" w:rsidRPr="00861E5E" w:rsidRDefault="00861E5E" w:rsidP="00213657">
      <w:pPr>
        <w:spacing w:before="0"/>
        <w:rPr>
          <w:rFonts w:cstheme="minorHAnsi"/>
          <w:b/>
        </w:rPr>
      </w:pPr>
      <w:r w:rsidRPr="00861E5E">
        <w:rPr>
          <w:rFonts w:cstheme="minorHAnsi"/>
          <w:b/>
        </w:rPr>
        <w:lastRenderedPageBreak/>
        <w:t>12. ¿Existen directrices del FAFEF a nivel federal que se contraponen con las necesidades de la entidad federativa sobre la temática o que obstaculizan la atención de las mismas?</w:t>
      </w:r>
    </w:p>
    <w:p w14:paraId="134227A9" w14:textId="79B9F595" w:rsidR="00312183" w:rsidRPr="00213657" w:rsidRDefault="00312183" w:rsidP="00213657">
      <w:pPr>
        <w:rPr>
          <w:b/>
          <w:bCs/>
        </w:rPr>
      </w:pPr>
      <w:r w:rsidRPr="00213657">
        <w:rPr>
          <w:b/>
          <w:bCs/>
        </w:rPr>
        <w:t>No procede valoración cuantitativa</w:t>
      </w:r>
      <w:r w:rsidR="00213657">
        <w:rPr>
          <w:b/>
          <w:bCs/>
        </w:rPr>
        <w:t>.</w:t>
      </w:r>
    </w:p>
    <w:p w14:paraId="32E596B9" w14:textId="71DCF822" w:rsidR="00312183" w:rsidRDefault="00312183" w:rsidP="00312183">
      <w:r>
        <w:t xml:space="preserve">De acuerdo con la percepción del personal operativo del FAFEF en </w:t>
      </w:r>
      <w:r w:rsidR="00B420B6">
        <w:t>Hidalgo</w:t>
      </w:r>
      <w:r>
        <w:t>, los conceptos a los que puedan destinarse los recursos del FAFEF, son limitativos.</w:t>
      </w:r>
      <w:r w:rsidR="00B65967">
        <w:t xml:space="preserve"> </w:t>
      </w:r>
      <w:r>
        <w:t>Asimismo, considerando los factores económicos, políticos, sociales y climatológicos que intervienen en la realización de los proyectos de obra pública, además de los procesos administrativos a los que se encuentra sujeta la adjudicación de los mismos, sin dejar de mencionar los tiempos de ejecución requeridos, resulta complicado programar obras de gran impacto con los recursos del FAFEF, debido a los plazos establecidos en la Ley de Disciplina Financiera para devengar los recursos.</w:t>
      </w:r>
    </w:p>
    <w:p w14:paraId="2CD3FC5E" w14:textId="6971AD28" w:rsidR="00312183" w:rsidRDefault="007C3D7C" w:rsidP="00312183">
      <w:r>
        <w:t>U</w:t>
      </w:r>
      <w:r w:rsidR="00312183">
        <w:t xml:space="preserve">n aspecto que representa una debilidad de la operación del Fondo es que no cuenta con una definición y cuantificación de </w:t>
      </w:r>
      <w:r w:rsidR="000A7C58">
        <w:t>la</w:t>
      </w:r>
      <w:r w:rsidR="00312183">
        <w:t xml:space="preserve"> población </w:t>
      </w:r>
      <w:r w:rsidR="000A7C58">
        <w:t xml:space="preserve">potencial y </w:t>
      </w:r>
      <w:r w:rsidR="00312183">
        <w:t xml:space="preserve">objetivo </w:t>
      </w:r>
      <w:r w:rsidR="000A7C58">
        <w:t xml:space="preserve">del Fondo </w:t>
      </w:r>
      <w:r w:rsidR="00312183">
        <w:t xml:space="preserve">a nivel federal, lo que a su vez limita la </w:t>
      </w:r>
      <w:r w:rsidR="000A7C58">
        <w:t>definición</w:t>
      </w:r>
      <w:r w:rsidR="00312183">
        <w:t xml:space="preserve"> </w:t>
      </w:r>
      <w:r w:rsidR="000A7C58">
        <w:t xml:space="preserve">de estas poblaciones </w:t>
      </w:r>
      <w:r w:rsidR="00312183">
        <w:t>en la entidad</w:t>
      </w:r>
      <w:r w:rsidR="00595A95">
        <w:t xml:space="preserve"> federativa</w:t>
      </w:r>
      <w:r w:rsidR="00312183">
        <w:t>.</w:t>
      </w:r>
    </w:p>
    <w:p w14:paraId="7270A288" w14:textId="77777777" w:rsidR="00C84ADB" w:rsidRDefault="00C84ADB" w:rsidP="005E1463">
      <w:pPr>
        <w:rPr>
          <w:rFonts w:ascii="Soberana Sans Light" w:hAnsi="Soberana Sans Light" w:cstheme="minorHAnsi"/>
          <w:sz w:val="24"/>
          <w:szCs w:val="24"/>
        </w:rPr>
      </w:pPr>
      <w:r>
        <w:rPr>
          <w:rFonts w:ascii="Soberana Sans Light" w:hAnsi="Soberana Sans Light" w:cstheme="minorHAnsi"/>
          <w:sz w:val="24"/>
          <w:szCs w:val="24"/>
        </w:rPr>
        <w:br w:type="page"/>
      </w:r>
    </w:p>
    <w:p w14:paraId="4F60A87F" w14:textId="2F1B0A3D" w:rsidR="00147A15" w:rsidRPr="00147A15" w:rsidRDefault="003B5E62" w:rsidP="003B5E62">
      <w:pPr>
        <w:pStyle w:val="Ttulo1"/>
      </w:pPr>
      <w:bookmarkStart w:id="44" w:name="_Toc56423704"/>
      <w:r>
        <w:lastRenderedPageBreak/>
        <w:t xml:space="preserve">VI. </w:t>
      </w:r>
      <w:r w:rsidR="00147A15" w:rsidRPr="00147A15">
        <w:t>Módulo 4. Alineación del Fondo a la Planeación Nacional y a los Objetivos de Desarrollo Sostenible</w:t>
      </w:r>
      <w:bookmarkEnd w:id="44"/>
    </w:p>
    <w:p w14:paraId="6FDCB6A9" w14:textId="56F2E591" w:rsidR="00A6166C" w:rsidRPr="009F053D" w:rsidRDefault="00A6166C" w:rsidP="00213657">
      <w:pPr>
        <w:spacing w:before="0" w:after="0"/>
        <w:contextualSpacing/>
        <w:rPr>
          <w:rFonts w:cstheme="minorHAnsi"/>
          <w:b/>
        </w:rPr>
      </w:pPr>
      <w:bookmarkStart w:id="45" w:name="_Hlk44248471"/>
      <w:r w:rsidRPr="009F053D">
        <w:rPr>
          <w:rFonts w:cstheme="minorHAnsi"/>
          <w:b/>
        </w:rPr>
        <w:t>13. A partir de los objetivos del Fondo identificados, ¿éste contribuye al logro de objetivos de programas derivados del PND o de los Planes Estatales de Desarrollo?</w:t>
      </w:r>
    </w:p>
    <w:p w14:paraId="3686E94C" w14:textId="77777777" w:rsidR="00A6166C" w:rsidRPr="00213657" w:rsidRDefault="00A6166C" w:rsidP="00213657">
      <w:pPr>
        <w:rPr>
          <w:b/>
          <w:bCs/>
        </w:rPr>
      </w:pPr>
      <w:r w:rsidRPr="00213657">
        <w:rPr>
          <w:b/>
          <w:bCs/>
        </w:rPr>
        <w:t>No procede valoración cuantitativa.</w:t>
      </w:r>
    </w:p>
    <w:p w14:paraId="788A9C75" w14:textId="1925C143" w:rsidR="00E533B0" w:rsidRDefault="00E533B0" w:rsidP="00E62BE8">
      <w:pPr>
        <w:spacing w:before="0"/>
      </w:pPr>
      <w:r>
        <w:t xml:space="preserve">De acuerdo a la LCF, los recursos del Fondo tienen por objeto fortalecer los presupuestos de las entidades federativas del país, dichos recursos están etiquetados para los siguientes rubros: infraestructura física (incluyendo la construcción, reconstrucción, ampliación, mantenimiento y conservación de infraestructura), adquisición de bienes, modernización de registro públicos, modernización de los sistemas de recaudación, amortización de la deuda pública, saneamiento de pensiones, para apoyar proyectos de infraestructura concesionada o aquellos proyectos donde se combinen recursos públicos y privados, entre otros. </w:t>
      </w:r>
    </w:p>
    <w:p w14:paraId="795CCF53" w14:textId="051C1E17" w:rsidR="00E533B0" w:rsidRDefault="0000349A" w:rsidP="00E62BE8">
      <w:pPr>
        <w:spacing w:before="0"/>
      </w:pPr>
      <w:r>
        <w:t>Considerando que los recursos del fondo en</w:t>
      </w:r>
      <w:r w:rsidR="00595A95">
        <w:t xml:space="preserve"> el Estado</w:t>
      </w:r>
      <w:r>
        <w:t xml:space="preserve"> se han destinado a los rubros de infraestructura física, saneamiento financiero, modernización de registros públicos y apoyos a la educación. </w:t>
      </w:r>
      <w:r w:rsidR="00EB7B37">
        <w:t>Dichos rubros se alin</w:t>
      </w:r>
      <w:r w:rsidR="00700AC4">
        <w:t>ea</w:t>
      </w:r>
      <w:r w:rsidR="00EB7B37">
        <w:t xml:space="preserve">n en la </w:t>
      </w:r>
      <w:r w:rsidR="00595A95">
        <w:t>e</w:t>
      </w:r>
      <w:r w:rsidR="00EB7B37">
        <w:t xml:space="preserve">ntidad </w:t>
      </w:r>
      <w:r w:rsidR="00595A95">
        <w:t xml:space="preserve">federativa, </w:t>
      </w:r>
      <w:r w:rsidR="00EB7B37">
        <w:t>de la siguiente manera</w:t>
      </w:r>
      <w:r>
        <w:t xml:space="preserve"> (Cuadro </w:t>
      </w:r>
      <w:r w:rsidR="00A82DA8">
        <w:t>6</w:t>
      </w:r>
      <w:r>
        <w:t>).</w:t>
      </w:r>
    </w:p>
    <w:p w14:paraId="38924006" w14:textId="22BB0AEF" w:rsidR="0000349A" w:rsidRPr="003D4725" w:rsidRDefault="0000349A" w:rsidP="003D4725">
      <w:pPr>
        <w:pStyle w:val="Cuadro"/>
      </w:pPr>
      <w:bookmarkStart w:id="46" w:name="_Toc56741059"/>
      <w:r w:rsidRPr="003D4725">
        <w:t xml:space="preserve">Cuadro </w:t>
      </w:r>
      <w:r w:rsidR="00A82DA8">
        <w:t>6</w:t>
      </w:r>
      <w:r w:rsidRPr="003D4725">
        <w:t>. Alineación de los objetivos del PEDH 2016-2022 inherentes a los rubros ejercidos del FAFEF en 2018 con el PND 2013-2018</w:t>
      </w:r>
      <w:bookmarkEnd w:id="46"/>
    </w:p>
    <w:tbl>
      <w:tblPr>
        <w:tblStyle w:val="Tablaconcuadrcula4"/>
        <w:tblW w:w="0" w:type="auto"/>
        <w:tblLook w:val="04A0" w:firstRow="1" w:lastRow="0" w:firstColumn="1" w:lastColumn="0" w:noHBand="0" w:noVBand="1"/>
      </w:tblPr>
      <w:tblGrid>
        <w:gridCol w:w="2405"/>
        <w:gridCol w:w="7557"/>
      </w:tblGrid>
      <w:tr w:rsidR="00250D44" w:rsidRPr="00D74C88" w14:paraId="1D030873" w14:textId="77777777" w:rsidTr="00072345">
        <w:tc>
          <w:tcPr>
            <w:tcW w:w="9962" w:type="dxa"/>
            <w:gridSpan w:val="2"/>
            <w:shd w:val="clear" w:color="auto" w:fill="9CC2E5"/>
          </w:tcPr>
          <w:p w14:paraId="4393ED4A" w14:textId="6C3F9EEB" w:rsidR="00250D44" w:rsidRPr="00D74C88" w:rsidRDefault="00250D44" w:rsidP="00250D44">
            <w:pPr>
              <w:spacing w:before="0" w:after="0"/>
              <w:jc w:val="center"/>
              <w:rPr>
                <w:rFonts w:cstheme="minorHAnsi"/>
                <w:b/>
                <w:bCs/>
                <w:sz w:val="20"/>
                <w:szCs w:val="20"/>
              </w:rPr>
            </w:pPr>
            <w:r w:rsidRPr="00D74C88">
              <w:rPr>
                <w:rFonts w:cstheme="minorHAnsi"/>
                <w:b/>
                <w:bCs/>
                <w:sz w:val="20"/>
                <w:szCs w:val="20"/>
              </w:rPr>
              <w:t>Plan Nacional de Desarrollo</w:t>
            </w:r>
            <w:r w:rsidR="00713A37">
              <w:rPr>
                <w:rFonts w:cstheme="minorHAnsi"/>
                <w:b/>
                <w:bCs/>
                <w:sz w:val="20"/>
                <w:szCs w:val="20"/>
              </w:rPr>
              <w:t xml:space="preserve"> (PND)</w:t>
            </w:r>
            <w:r w:rsidRPr="00D74C88">
              <w:rPr>
                <w:rFonts w:cstheme="minorHAnsi"/>
                <w:b/>
                <w:bCs/>
                <w:sz w:val="20"/>
                <w:szCs w:val="20"/>
              </w:rPr>
              <w:t xml:space="preserve"> 2013-2018</w:t>
            </w:r>
          </w:p>
        </w:tc>
      </w:tr>
      <w:tr w:rsidR="00250D44" w:rsidRPr="00D74C88" w14:paraId="66BEBBFC" w14:textId="77777777" w:rsidTr="00072345">
        <w:tc>
          <w:tcPr>
            <w:tcW w:w="9962" w:type="dxa"/>
            <w:gridSpan w:val="2"/>
          </w:tcPr>
          <w:p w14:paraId="1867F215" w14:textId="77777777" w:rsidR="00250D44" w:rsidRPr="00D74C88" w:rsidRDefault="00250D44" w:rsidP="00250D44">
            <w:pPr>
              <w:spacing w:before="0" w:after="0"/>
              <w:rPr>
                <w:rFonts w:cstheme="minorHAnsi"/>
                <w:sz w:val="20"/>
                <w:szCs w:val="20"/>
              </w:rPr>
            </w:pPr>
            <w:r w:rsidRPr="00D74C88">
              <w:rPr>
                <w:rFonts w:cstheme="minorHAnsi"/>
                <w:sz w:val="20"/>
                <w:szCs w:val="20"/>
              </w:rPr>
              <w:t>Meta Nacional 4. México Próspero</w:t>
            </w:r>
          </w:p>
        </w:tc>
      </w:tr>
      <w:tr w:rsidR="00250D44" w:rsidRPr="00D74C88" w14:paraId="3A435FDE" w14:textId="77777777" w:rsidTr="00072345">
        <w:tc>
          <w:tcPr>
            <w:tcW w:w="2405" w:type="dxa"/>
          </w:tcPr>
          <w:p w14:paraId="3E3EA0C4" w14:textId="77777777" w:rsidR="00250D44" w:rsidRPr="00D74C88" w:rsidRDefault="00250D44" w:rsidP="00250D44">
            <w:pPr>
              <w:spacing w:before="0" w:after="0"/>
              <w:rPr>
                <w:rFonts w:cstheme="minorHAnsi"/>
                <w:sz w:val="20"/>
                <w:szCs w:val="20"/>
              </w:rPr>
            </w:pPr>
            <w:bookmarkStart w:id="47" w:name="_Hlk45502937"/>
            <w:r w:rsidRPr="00D74C88">
              <w:rPr>
                <w:rFonts w:cstheme="minorHAnsi"/>
                <w:sz w:val="20"/>
                <w:szCs w:val="20"/>
              </w:rPr>
              <w:t>Objetivo 4.2</w:t>
            </w:r>
          </w:p>
        </w:tc>
        <w:tc>
          <w:tcPr>
            <w:tcW w:w="7557" w:type="dxa"/>
          </w:tcPr>
          <w:p w14:paraId="03AA6077" w14:textId="77777777" w:rsidR="00250D44" w:rsidRPr="00D74C88" w:rsidRDefault="00250D44" w:rsidP="00250D44">
            <w:pPr>
              <w:spacing w:before="0" w:after="0"/>
              <w:rPr>
                <w:rFonts w:cstheme="minorHAnsi"/>
                <w:sz w:val="20"/>
                <w:szCs w:val="20"/>
              </w:rPr>
            </w:pPr>
            <w:r w:rsidRPr="00D74C88">
              <w:rPr>
                <w:rFonts w:cstheme="minorHAnsi"/>
                <w:sz w:val="20"/>
                <w:szCs w:val="20"/>
              </w:rPr>
              <w:t>Democratizar el acceso al financiamiento de proyectos con potencial de crecimiento.</w:t>
            </w:r>
          </w:p>
        </w:tc>
      </w:tr>
      <w:tr w:rsidR="00250D44" w:rsidRPr="00D74C88" w14:paraId="674DB735" w14:textId="77777777" w:rsidTr="00072345">
        <w:tc>
          <w:tcPr>
            <w:tcW w:w="2405" w:type="dxa"/>
          </w:tcPr>
          <w:p w14:paraId="45C188B0" w14:textId="77777777" w:rsidR="00250D44" w:rsidRPr="00D74C88" w:rsidRDefault="00250D44" w:rsidP="00250D44">
            <w:pPr>
              <w:spacing w:before="0" w:after="0"/>
              <w:rPr>
                <w:rFonts w:cstheme="minorHAnsi"/>
                <w:sz w:val="20"/>
                <w:szCs w:val="20"/>
              </w:rPr>
            </w:pPr>
            <w:r w:rsidRPr="00D74C88">
              <w:rPr>
                <w:rFonts w:cstheme="minorHAnsi"/>
                <w:sz w:val="20"/>
                <w:szCs w:val="20"/>
              </w:rPr>
              <w:t>Estrategia 4.2.5</w:t>
            </w:r>
          </w:p>
        </w:tc>
        <w:tc>
          <w:tcPr>
            <w:tcW w:w="7557" w:type="dxa"/>
          </w:tcPr>
          <w:p w14:paraId="2CA594E4" w14:textId="77777777" w:rsidR="00250D44" w:rsidRPr="00D74C88" w:rsidRDefault="00250D44" w:rsidP="00250D44">
            <w:pPr>
              <w:spacing w:before="0" w:after="0"/>
              <w:rPr>
                <w:rFonts w:cstheme="minorHAnsi"/>
                <w:sz w:val="20"/>
                <w:szCs w:val="20"/>
              </w:rPr>
            </w:pPr>
            <w:r w:rsidRPr="00D74C88">
              <w:rPr>
                <w:rFonts w:cstheme="minorHAnsi"/>
                <w:sz w:val="20"/>
                <w:szCs w:val="20"/>
              </w:rPr>
              <w:t>Promover la participación del sector privado en el desarrollo de infraestructura, articulando la participación de los gobiernos estatales y municipales para impulsar proyectos de alto beneficio social, que contribuyan a incrementar la cobertura y calidad de la infraestructura necesaria para elevar la productividad de la economía.</w:t>
            </w:r>
          </w:p>
        </w:tc>
      </w:tr>
      <w:tr w:rsidR="00250D44" w:rsidRPr="00D74C88" w14:paraId="09E36A1E" w14:textId="77777777" w:rsidTr="00072345">
        <w:tc>
          <w:tcPr>
            <w:tcW w:w="2405" w:type="dxa"/>
          </w:tcPr>
          <w:p w14:paraId="2B7A57ED" w14:textId="77777777" w:rsidR="00250D44" w:rsidRPr="00D74C88" w:rsidRDefault="00250D44" w:rsidP="00250D44">
            <w:pPr>
              <w:spacing w:before="0" w:after="0"/>
              <w:rPr>
                <w:rFonts w:cstheme="minorHAnsi"/>
                <w:sz w:val="20"/>
                <w:szCs w:val="20"/>
              </w:rPr>
            </w:pPr>
            <w:r w:rsidRPr="00D74C88">
              <w:rPr>
                <w:rFonts w:cstheme="minorHAnsi"/>
                <w:sz w:val="20"/>
                <w:szCs w:val="20"/>
              </w:rPr>
              <w:t>Líneas de acción</w:t>
            </w:r>
          </w:p>
        </w:tc>
        <w:tc>
          <w:tcPr>
            <w:tcW w:w="7557" w:type="dxa"/>
          </w:tcPr>
          <w:p w14:paraId="0F8BF99D" w14:textId="77777777" w:rsidR="00250D44" w:rsidRPr="00D74C88" w:rsidRDefault="00250D44" w:rsidP="00515CAC">
            <w:pPr>
              <w:numPr>
                <w:ilvl w:val="0"/>
                <w:numId w:val="28"/>
              </w:numPr>
              <w:spacing w:before="0" w:after="0"/>
              <w:ind w:left="177" w:hanging="177"/>
              <w:contextualSpacing/>
              <w:rPr>
                <w:rFonts w:cstheme="minorHAnsi"/>
                <w:sz w:val="20"/>
                <w:szCs w:val="20"/>
              </w:rPr>
            </w:pPr>
            <w:r w:rsidRPr="00D74C88">
              <w:rPr>
                <w:rFonts w:cstheme="minorHAnsi"/>
                <w:sz w:val="20"/>
                <w:szCs w:val="20"/>
              </w:rPr>
              <w:t>Apoyar el desarrollo de infraestructura con una visión de largo plazo basada en tres ejes rectores: desarrollo regional equilibrado, ii) desarrollo urbano y iii) conectividad logística.</w:t>
            </w:r>
          </w:p>
          <w:p w14:paraId="07F3BFB3" w14:textId="77777777" w:rsidR="00250D44" w:rsidRPr="00D74C88" w:rsidRDefault="00250D44" w:rsidP="00515CAC">
            <w:pPr>
              <w:numPr>
                <w:ilvl w:val="0"/>
                <w:numId w:val="28"/>
              </w:numPr>
              <w:spacing w:before="0" w:after="0"/>
              <w:ind w:left="177" w:hanging="177"/>
              <w:contextualSpacing/>
              <w:rPr>
                <w:rFonts w:cstheme="minorHAnsi"/>
                <w:sz w:val="20"/>
                <w:szCs w:val="20"/>
              </w:rPr>
            </w:pPr>
            <w:r w:rsidRPr="00D74C88">
              <w:rPr>
                <w:rFonts w:cstheme="minorHAnsi"/>
                <w:sz w:val="20"/>
                <w:szCs w:val="20"/>
              </w:rPr>
              <w:t>Priorizar los proyectos con base en su rentabilidad social y alineación al Sistema Nacional de Planeación Democrática.</w:t>
            </w:r>
          </w:p>
          <w:p w14:paraId="2D0DEA54" w14:textId="77777777" w:rsidR="00250D44" w:rsidRPr="00D74C88" w:rsidRDefault="00250D44" w:rsidP="00515CAC">
            <w:pPr>
              <w:numPr>
                <w:ilvl w:val="0"/>
                <w:numId w:val="28"/>
              </w:numPr>
              <w:spacing w:before="0" w:after="0"/>
              <w:ind w:left="177" w:hanging="177"/>
              <w:contextualSpacing/>
              <w:rPr>
                <w:rFonts w:cstheme="minorHAnsi"/>
                <w:sz w:val="20"/>
                <w:szCs w:val="20"/>
              </w:rPr>
            </w:pPr>
            <w:r w:rsidRPr="00D74C88">
              <w:rPr>
                <w:rFonts w:cstheme="minorHAnsi"/>
                <w:sz w:val="20"/>
                <w:szCs w:val="20"/>
              </w:rPr>
              <w:t>Complementar el financiamiento de proyectos con alta rentabilidad social en los que el mercado no participa en términos de riesgo y plazo.</w:t>
            </w:r>
          </w:p>
        </w:tc>
      </w:tr>
      <w:bookmarkEnd w:id="47"/>
      <w:tr w:rsidR="00250D44" w:rsidRPr="00D74C88" w14:paraId="3B7A055A" w14:textId="77777777" w:rsidTr="00072345">
        <w:tc>
          <w:tcPr>
            <w:tcW w:w="9962" w:type="dxa"/>
            <w:gridSpan w:val="2"/>
            <w:shd w:val="clear" w:color="auto" w:fill="9CC2E5"/>
          </w:tcPr>
          <w:p w14:paraId="746AACF4" w14:textId="47F9FE41" w:rsidR="00250D44" w:rsidRPr="00D74C88" w:rsidRDefault="000942B2" w:rsidP="00250D44">
            <w:pPr>
              <w:spacing w:before="0" w:after="0"/>
              <w:jc w:val="center"/>
              <w:rPr>
                <w:rFonts w:cstheme="minorHAnsi"/>
                <w:sz w:val="20"/>
                <w:szCs w:val="20"/>
              </w:rPr>
            </w:pPr>
            <w:r>
              <w:rPr>
                <w:rFonts w:cstheme="minorHAnsi"/>
                <w:b/>
                <w:bCs/>
                <w:sz w:val="20"/>
                <w:szCs w:val="20"/>
              </w:rPr>
              <w:t>Plan Estatal de Desarrollo Hidalgo (</w:t>
            </w:r>
            <w:r w:rsidR="00250D44" w:rsidRPr="00D74C88">
              <w:rPr>
                <w:rFonts w:cstheme="minorHAnsi"/>
                <w:b/>
                <w:bCs/>
                <w:sz w:val="20"/>
                <w:szCs w:val="20"/>
              </w:rPr>
              <w:t>PEDH</w:t>
            </w:r>
            <w:r>
              <w:rPr>
                <w:rFonts w:cstheme="minorHAnsi"/>
                <w:b/>
                <w:bCs/>
                <w:sz w:val="20"/>
                <w:szCs w:val="20"/>
              </w:rPr>
              <w:t>)</w:t>
            </w:r>
            <w:r w:rsidR="00250D44" w:rsidRPr="00D74C88">
              <w:rPr>
                <w:rFonts w:cstheme="minorHAnsi"/>
                <w:b/>
                <w:bCs/>
                <w:sz w:val="20"/>
                <w:szCs w:val="20"/>
              </w:rPr>
              <w:t xml:space="preserve"> 2016-2022</w:t>
            </w:r>
          </w:p>
        </w:tc>
      </w:tr>
      <w:tr w:rsidR="00250D44" w:rsidRPr="00D74C88" w14:paraId="5DCD9D45" w14:textId="77777777" w:rsidTr="00072345">
        <w:tc>
          <w:tcPr>
            <w:tcW w:w="9962" w:type="dxa"/>
            <w:gridSpan w:val="2"/>
          </w:tcPr>
          <w:p w14:paraId="532C1926" w14:textId="68B72B16" w:rsidR="00250D44" w:rsidRPr="00D74C88" w:rsidRDefault="00250D44" w:rsidP="00250D44">
            <w:pPr>
              <w:spacing w:before="0" w:after="0"/>
              <w:ind w:left="708" w:hanging="708"/>
              <w:rPr>
                <w:rFonts w:cstheme="minorHAnsi"/>
                <w:sz w:val="20"/>
                <w:szCs w:val="20"/>
              </w:rPr>
            </w:pPr>
            <w:r w:rsidRPr="00D74C88">
              <w:rPr>
                <w:rFonts w:cstheme="minorHAnsi"/>
                <w:sz w:val="20"/>
                <w:szCs w:val="20"/>
              </w:rPr>
              <w:t>Eje 2. Hidalgo próspero y dinámico</w:t>
            </w:r>
          </w:p>
        </w:tc>
      </w:tr>
      <w:tr w:rsidR="00250D44" w:rsidRPr="00D74C88" w14:paraId="60472DB2" w14:textId="77777777" w:rsidTr="00072345">
        <w:tc>
          <w:tcPr>
            <w:tcW w:w="2405" w:type="dxa"/>
          </w:tcPr>
          <w:p w14:paraId="3417516F" w14:textId="7A867A60" w:rsidR="00250D44" w:rsidRPr="00D74C88" w:rsidRDefault="00250D44" w:rsidP="00250D44">
            <w:pPr>
              <w:spacing w:before="0" w:after="0"/>
              <w:rPr>
                <w:rFonts w:cstheme="minorHAnsi"/>
                <w:sz w:val="20"/>
                <w:szCs w:val="20"/>
              </w:rPr>
            </w:pPr>
            <w:r w:rsidRPr="00D74C88">
              <w:rPr>
                <w:rFonts w:cstheme="minorHAnsi"/>
                <w:sz w:val="20"/>
                <w:szCs w:val="20"/>
              </w:rPr>
              <w:t xml:space="preserve">Objetivo </w:t>
            </w:r>
            <w:r w:rsidR="00570504" w:rsidRPr="00D74C88">
              <w:rPr>
                <w:rFonts w:cstheme="minorHAnsi"/>
                <w:sz w:val="20"/>
                <w:szCs w:val="20"/>
              </w:rPr>
              <w:t>2.2</w:t>
            </w:r>
          </w:p>
        </w:tc>
        <w:tc>
          <w:tcPr>
            <w:tcW w:w="7557" w:type="dxa"/>
          </w:tcPr>
          <w:p w14:paraId="7D9BE257" w14:textId="7C9F3D99" w:rsidR="00250D44" w:rsidRPr="00D74C88" w:rsidRDefault="00570504" w:rsidP="00570504">
            <w:pPr>
              <w:spacing w:before="0" w:after="0"/>
              <w:rPr>
                <w:rFonts w:cstheme="minorHAnsi"/>
                <w:sz w:val="20"/>
                <w:szCs w:val="20"/>
              </w:rPr>
            </w:pPr>
            <w:r w:rsidRPr="00D74C88">
              <w:rPr>
                <w:rFonts w:cstheme="minorHAnsi"/>
                <w:sz w:val="20"/>
                <w:szCs w:val="20"/>
              </w:rPr>
              <w:t xml:space="preserve">Contribuir a la generación de un entorno económico estatal dinámico e innovador que fomente el incremento de la capacidad para atraer y retener talento e inversión productiva al </w:t>
            </w:r>
            <w:r w:rsidR="00644705">
              <w:rPr>
                <w:rFonts w:cstheme="minorHAnsi"/>
                <w:sz w:val="20"/>
                <w:szCs w:val="20"/>
              </w:rPr>
              <w:t>E</w:t>
            </w:r>
            <w:r w:rsidRPr="00D74C88">
              <w:rPr>
                <w:rFonts w:cstheme="minorHAnsi"/>
                <w:sz w:val="20"/>
                <w:szCs w:val="20"/>
              </w:rPr>
              <w:t>stado de Hidalgo.</w:t>
            </w:r>
          </w:p>
        </w:tc>
      </w:tr>
      <w:tr w:rsidR="00250D44" w:rsidRPr="00D74C88" w14:paraId="24C76B4D" w14:textId="77777777" w:rsidTr="00072345">
        <w:tc>
          <w:tcPr>
            <w:tcW w:w="2405" w:type="dxa"/>
          </w:tcPr>
          <w:p w14:paraId="25B0FCE0" w14:textId="615C9E51" w:rsidR="00250D44" w:rsidRPr="00D74C88" w:rsidRDefault="00250D44" w:rsidP="00250D44">
            <w:pPr>
              <w:spacing w:before="0" w:after="0"/>
              <w:rPr>
                <w:rFonts w:cstheme="minorHAnsi"/>
                <w:sz w:val="20"/>
                <w:szCs w:val="20"/>
              </w:rPr>
            </w:pPr>
            <w:r w:rsidRPr="00D74C88">
              <w:rPr>
                <w:rFonts w:cstheme="minorHAnsi"/>
                <w:sz w:val="20"/>
                <w:szCs w:val="20"/>
              </w:rPr>
              <w:t>Estrategia</w:t>
            </w:r>
            <w:r w:rsidR="00570504" w:rsidRPr="00D74C88">
              <w:rPr>
                <w:rFonts w:cstheme="minorHAnsi"/>
                <w:sz w:val="20"/>
                <w:szCs w:val="20"/>
              </w:rPr>
              <w:t>s y líneas de acción</w:t>
            </w:r>
          </w:p>
        </w:tc>
        <w:tc>
          <w:tcPr>
            <w:tcW w:w="7557" w:type="dxa"/>
          </w:tcPr>
          <w:p w14:paraId="6F09C466" w14:textId="21F00C92" w:rsidR="00250D44" w:rsidRPr="00D74C88" w:rsidRDefault="00570504" w:rsidP="0000349A">
            <w:pPr>
              <w:spacing w:before="0" w:after="0"/>
              <w:rPr>
                <w:rFonts w:cstheme="minorHAnsi"/>
                <w:sz w:val="20"/>
                <w:szCs w:val="20"/>
              </w:rPr>
            </w:pPr>
            <w:r w:rsidRPr="00D74C88">
              <w:rPr>
                <w:rFonts w:cstheme="minorHAnsi"/>
                <w:sz w:val="20"/>
                <w:szCs w:val="20"/>
              </w:rPr>
              <w:t>Mejorar la accesibilidad de mercado del territorio hidalguense.</w:t>
            </w:r>
          </w:p>
          <w:p w14:paraId="083AC01A" w14:textId="77777777" w:rsidR="00570504" w:rsidRPr="00D74C88" w:rsidRDefault="00570504" w:rsidP="0000349A">
            <w:pPr>
              <w:autoSpaceDE w:val="0"/>
              <w:autoSpaceDN w:val="0"/>
              <w:adjustRightInd w:val="0"/>
              <w:spacing w:before="0" w:after="0"/>
              <w:jc w:val="left"/>
              <w:rPr>
                <w:rFonts w:cstheme="minorHAnsi"/>
                <w:sz w:val="20"/>
                <w:szCs w:val="20"/>
              </w:rPr>
            </w:pPr>
            <w:r w:rsidRPr="00D74C88">
              <w:rPr>
                <w:rFonts w:cstheme="minorHAnsi"/>
                <w:sz w:val="20"/>
                <w:szCs w:val="20"/>
              </w:rPr>
              <w:t>Modernizar y mejorar de sistemas e infraestructura para el abasto y el comercio interior.</w:t>
            </w:r>
          </w:p>
          <w:p w14:paraId="11E1F6D8" w14:textId="5426B92A" w:rsidR="00570504" w:rsidRPr="00D74C88" w:rsidRDefault="00570504" w:rsidP="0000349A">
            <w:pPr>
              <w:autoSpaceDE w:val="0"/>
              <w:autoSpaceDN w:val="0"/>
              <w:adjustRightInd w:val="0"/>
              <w:spacing w:before="0" w:after="0"/>
              <w:jc w:val="left"/>
              <w:rPr>
                <w:rFonts w:cstheme="minorHAnsi"/>
                <w:sz w:val="20"/>
                <w:szCs w:val="20"/>
              </w:rPr>
            </w:pPr>
            <w:r w:rsidRPr="00D74C88">
              <w:rPr>
                <w:rFonts w:cstheme="minorHAnsi"/>
                <w:sz w:val="20"/>
                <w:szCs w:val="20"/>
              </w:rPr>
              <w:t>Fortalecer la infraestructura económica de comunicaciones y transportes que incida en la reducción de costos de transporte.</w:t>
            </w:r>
          </w:p>
        </w:tc>
      </w:tr>
      <w:tr w:rsidR="00250D44" w:rsidRPr="00D74C88" w14:paraId="7E9176A8" w14:textId="77777777" w:rsidTr="00072345">
        <w:tc>
          <w:tcPr>
            <w:tcW w:w="9962" w:type="dxa"/>
            <w:gridSpan w:val="2"/>
            <w:shd w:val="clear" w:color="auto" w:fill="9CC2E5"/>
          </w:tcPr>
          <w:p w14:paraId="116C309B" w14:textId="77777777" w:rsidR="00250D44" w:rsidRPr="00D74C88" w:rsidRDefault="00250D44" w:rsidP="00250D44">
            <w:pPr>
              <w:spacing w:before="0" w:after="0"/>
              <w:jc w:val="center"/>
              <w:rPr>
                <w:rFonts w:cstheme="minorHAnsi"/>
                <w:b/>
                <w:bCs/>
                <w:sz w:val="20"/>
                <w:szCs w:val="20"/>
              </w:rPr>
            </w:pPr>
            <w:r w:rsidRPr="00D74C88">
              <w:rPr>
                <w:rFonts w:cstheme="minorHAnsi"/>
                <w:b/>
                <w:bCs/>
                <w:sz w:val="20"/>
                <w:szCs w:val="20"/>
              </w:rPr>
              <w:t>Plan Nacional de Desarrollo 2013-2018</w:t>
            </w:r>
          </w:p>
        </w:tc>
      </w:tr>
      <w:tr w:rsidR="00250D44" w:rsidRPr="00D74C88" w14:paraId="5FF1DB96" w14:textId="77777777" w:rsidTr="00072345">
        <w:tc>
          <w:tcPr>
            <w:tcW w:w="2405" w:type="dxa"/>
          </w:tcPr>
          <w:p w14:paraId="2D820EC2" w14:textId="77777777" w:rsidR="00250D44" w:rsidRPr="00D74C88" w:rsidRDefault="00250D44" w:rsidP="00250D44">
            <w:pPr>
              <w:spacing w:before="0" w:after="0"/>
              <w:rPr>
                <w:rFonts w:cstheme="minorHAnsi"/>
                <w:sz w:val="20"/>
                <w:szCs w:val="20"/>
              </w:rPr>
            </w:pPr>
            <w:r w:rsidRPr="00D74C88">
              <w:rPr>
                <w:rFonts w:cstheme="minorHAnsi"/>
                <w:sz w:val="20"/>
                <w:szCs w:val="20"/>
              </w:rPr>
              <w:t>Objetivo 4.1</w:t>
            </w:r>
          </w:p>
        </w:tc>
        <w:tc>
          <w:tcPr>
            <w:tcW w:w="7557" w:type="dxa"/>
          </w:tcPr>
          <w:p w14:paraId="717CE88A" w14:textId="77777777" w:rsidR="00250D44" w:rsidRPr="00D74C88" w:rsidRDefault="00250D44" w:rsidP="00250D44">
            <w:pPr>
              <w:spacing w:before="0" w:after="0"/>
              <w:rPr>
                <w:rFonts w:cstheme="minorHAnsi"/>
                <w:sz w:val="20"/>
                <w:szCs w:val="20"/>
              </w:rPr>
            </w:pPr>
            <w:r w:rsidRPr="00D74C88">
              <w:rPr>
                <w:rFonts w:cstheme="minorHAnsi"/>
                <w:sz w:val="20"/>
                <w:szCs w:val="20"/>
              </w:rPr>
              <w:t>Mantener la estabilidad macroeconómica del país.</w:t>
            </w:r>
          </w:p>
        </w:tc>
      </w:tr>
      <w:tr w:rsidR="00250D44" w:rsidRPr="00D74C88" w14:paraId="125D36AD" w14:textId="77777777" w:rsidTr="00072345">
        <w:tc>
          <w:tcPr>
            <w:tcW w:w="2405" w:type="dxa"/>
          </w:tcPr>
          <w:p w14:paraId="5C81E13B" w14:textId="77777777" w:rsidR="00250D44" w:rsidRPr="00D74C88" w:rsidRDefault="00250D44" w:rsidP="00250D44">
            <w:pPr>
              <w:spacing w:before="0" w:after="0"/>
              <w:rPr>
                <w:rFonts w:cstheme="minorHAnsi"/>
                <w:sz w:val="20"/>
                <w:szCs w:val="20"/>
              </w:rPr>
            </w:pPr>
            <w:r w:rsidRPr="00D74C88">
              <w:rPr>
                <w:rFonts w:cstheme="minorHAnsi"/>
                <w:sz w:val="20"/>
                <w:szCs w:val="20"/>
              </w:rPr>
              <w:t>Estrategia 3.2.1</w:t>
            </w:r>
          </w:p>
        </w:tc>
        <w:tc>
          <w:tcPr>
            <w:tcW w:w="7557" w:type="dxa"/>
          </w:tcPr>
          <w:p w14:paraId="7DAA892B" w14:textId="77777777" w:rsidR="00250D44" w:rsidRPr="00D74C88" w:rsidRDefault="00250D44" w:rsidP="00250D44">
            <w:pPr>
              <w:spacing w:before="0" w:after="0"/>
              <w:rPr>
                <w:rFonts w:cstheme="minorHAnsi"/>
                <w:sz w:val="20"/>
                <w:szCs w:val="20"/>
              </w:rPr>
            </w:pPr>
            <w:r w:rsidRPr="00D74C88">
              <w:rPr>
                <w:rFonts w:cstheme="minorHAnsi"/>
                <w:sz w:val="20"/>
                <w:szCs w:val="20"/>
              </w:rPr>
              <w:t>Proteger las finanzas públicas ante riesgos del entorno macroeconómico.</w:t>
            </w:r>
          </w:p>
        </w:tc>
      </w:tr>
      <w:tr w:rsidR="00250D44" w:rsidRPr="00D74C88" w14:paraId="1E28FBE7" w14:textId="77777777" w:rsidTr="00072345">
        <w:tc>
          <w:tcPr>
            <w:tcW w:w="2405" w:type="dxa"/>
          </w:tcPr>
          <w:p w14:paraId="1D074EA9" w14:textId="77777777" w:rsidR="00250D44" w:rsidRPr="00D74C88" w:rsidRDefault="00250D44" w:rsidP="00250D44">
            <w:pPr>
              <w:spacing w:before="0" w:after="0"/>
              <w:rPr>
                <w:rFonts w:cstheme="minorHAnsi"/>
                <w:sz w:val="20"/>
                <w:szCs w:val="20"/>
              </w:rPr>
            </w:pPr>
            <w:r w:rsidRPr="00D74C88">
              <w:rPr>
                <w:rFonts w:cstheme="minorHAnsi"/>
                <w:sz w:val="20"/>
                <w:szCs w:val="20"/>
              </w:rPr>
              <w:t>Líneas de acción</w:t>
            </w:r>
          </w:p>
        </w:tc>
        <w:tc>
          <w:tcPr>
            <w:tcW w:w="7557" w:type="dxa"/>
          </w:tcPr>
          <w:p w14:paraId="3C616BA2" w14:textId="77777777" w:rsidR="00250D44" w:rsidRPr="00D74C88" w:rsidRDefault="00250D44" w:rsidP="00515CAC">
            <w:pPr>
              <w:numPr>
                <w:ilvl w:val="0"/>
                <w:numId w:val="28"/>
              </w:numPr>
              <w:spacing w:before="0" w:after="0"/>
              <w:ind w:left="177" w:hanging="177"/>
              <w:contextualSpacing/>
              <w:rPr>
                <w:rFonts w:cstheme="minorHAnsi"/>
                <w:sz w:val="20"/>
                <w:szCs w:val="20"/>
              </w:rPr>
            </w:pPr>
            <w:r w:rsidRPr="00D74C88">
              <w:rPr>
                <w:rFonts w:cstheme="minorHAnsi"/>
                <w:sz w:val="20"/>
                <w:szCs w:val="20"/>
              </w:rPr>
              <w:t>Administrar la deuda pública para propiciar de forma permanente el acceso a diversas fuentes de financiamiento a largo plazo y bajo costo.</w:t>
            </w:r>
          </w:p>
          <w:p w14:paraId="006AEF36" w14:textId="77777777" w:rsidR="00250D44" w:rsidRPr="00D74C88" w:rsidRDefault="00250D44" w:rsidP="00515CAC">
            <w:pPr>
              <w:numPr>
                <w:ilvl w:val="0"/>
                <w:numId w:val="28"/>
              </w:numPr>
              <w:spacing w:before="0" w:after="0"/>
              <w:ind w:left="177" w:hanging="177"/>
              <w:contextualSpacing/>
              <w:rPr>
                <w:rFonts w:cstheme="minorHAnsi"/>
                <w:sz w:val="20"/>
                <w:szCs w:val="20"/>
              </w:rPr>
            </w:pPr>
            <w:r w:rsidRPr="00D74C88">
              <w:rPr>
                <w:rFonts w:cstheme="minorHAnsi"/>
                <w:sz w:val="20"/>
                <w:szCs w:val="20"/>
              </w:rPr>
              <w:t>Fomentar la adecuación del marco normativo en las materias de responsabilidad hacendaria y deuda pública de las entidades federativas y los municipios, para que fortalezcan sus haciendas públicas.</w:t>
            </w:r>
          </w:p>
          <w:p w14:paraId="2167976D" w14:textId="77777777" w:rsidR="00250D44" w:rsidRPr="00D74C88" w:rsidRDefault="00250D44" w:rsidP="00515CAC">
            <w:pPr>
              <w:numPr>
                <w:ilvl w:val="0"/>
                <w:numId w:val="28"/>
              </w:numPr>
              <w:spacing w:before="0" w:after="0"/>
              <w:ind w:left="177" w:hanging="177"/>
              <w:contextualSpacing/>
              <w:rPr>
                <w:rFonts w:cstheme="minorHAnsi"/>
                <w:sz w:val="20"/>
                <w:szCs w:val="20"/>
              </w:rPr>
            </w:pPr>
            <w:r w:rsidRPr="00D74C88">
              <w:rPr>
                <w:rFonts w:cstheme="minorHAnsi"/>
                <w:sz w:val="20"/>
                <w:szCs w:val="20"/>
              </w:rPr>
              <w:lastRenderedPageBreak/>
              <w:t>Promover un saneamiento de las finanzas de las entidades paraestatales.</w:t>
            </w:r>
          </w:p>
        </w:tc>
      </w:tr>
      <w:tr w:rsidR="00250D44" w:rsidRPr="00D74C88" w14:paraId="3AAF6C2C" w14:textId="77777777" w:rsidTr="00072345">
        <w:tc>
          <w:tcPr>
            <w:tcW w:w="9962" w:type="dxa"/>
            <w:gridSpan w:val="2"/>
            <w:shd w:val="clear" w:color="auto" w:fill="9CC2E5"/>
          </w:tcPr>
          <w:p w14:paraId="2554A0F4" w14:textId="597DEFD0" w:rsidR="00250D44" w:rsidRPr="00D74C88" w:rsidRDefault="009A1170" w:rsidP="00250D44">
            <w:pPr>
              <w:spacing w:before="0" w:after="0"/>
              <w:jc w:val="center"/>
              <w:rPr>
                <w:rFonts w:cstheme="minorHAnsi"/>
                <w:sz w:val="20"/>
                <w:szCs w:val="20"/>
              </w:rPr>
            </w:pPr>
            <w:r>
              <w:rPr>
                <w:rFonts w:cstheme="minorHAnsi"/>
                <w:b/>
                <w:bCs/>
                <w:sz w:val="20"/>
                <w:szCs w:val="20"/>
              </w:rPr>
              <w:lastRenderedPageBreak/>
              <w:t>Plan Estatal de Desarrollo Hidalgo (</w:t>
            </w:r>
            <w:r w:rsidRPr="00D74C88">
              <w:rPr>
                <w:rFonts w:cstheme="minorHAnsi"/>
                <w:b/>
                <w:bCs/>
                <w:sz w:val="20"/>
                <w:szCs w:val="20"/>
              </w:rPr>
              <w:t>PEDH</w:t>
            </w:r>
            <w:r>
              <w:rPr>
                <w:rFonts w:cstheme="minorHAnsi"/>
                <w:b/>
                <w:bCs/>
                <w:sz w:val="20"/>
                <w:szCs w:val="20"/>
              </w:rPr>
              <w:t xml:space="preserve">) </w:t>
            </w:r>
            <w:r w:rsidR="00FF1C18" w:rsidRPr="00D74C88">
              <w:rPr>
                <w:rFonts w:cstheme="minorHAnsi"/>
                <w:b/>
                <w:bCs/>
                <w:sz w:val="20"/>
                <w:szCs w:val="20"/>
              </w:rPr>
              <w:t>2016-2022</w:t>
            </w:r>
          </w:p>
        </w:tc>
      </w:tr>
      <w:tr w:rsidR="00250D44" w:rsidRPr="00D74C88" w14:paraId="7D67C5A2" w14:textId="77777777" w:rsidTr="00072345">
        <w:tc>
          <w:tcPr>
            <w:tcW w:w="9962" w:type="dxa"/>
            <w:gridSpan w:val="2"/>
          </w:tcPr>
          <w:p w14:paraId="76D5A6AA" w14:textId="3326F3AE" w:rsidR="00250D44" w:rsidRPr="00D74C88" w:rsidRDefault="00250D44" w:rsidP="00250D44">
            <w:pPr>
              <w:spacing w:before="0" w:after="0"/>
              <w:rPr>
                <w:rFonts w:cstheme="minorHAnsi"/>
                <w:sz w:val="20"/>
                <w:szCs w:val="20"/>
              </w:rPr>
            </w:pPr>
            <w:r w:rsidRPr="00D74C88">
              <w:rPr>
                <w:rFonts w:cstheme="minorHAnsi"/>
                <w:sz w:val="20"/>
                <w:szCs w:val="20"/>
              </w:rPr>
              <w:t xml:space="preserve">Eje </w:t>
            </w:r>
            <w:r w:rsidR="00FF1C18" w:rsidRPr="00D74C88">
              <w:rPr>
                <w:rFonts w:cstheme="minorHAnsi"/>
                <w:sz w:val="20"/>
                <w:szCs w:val="20"/>
              </w:rPr>
              <w:t>1. Gobierno honesto, cercano y moderno</w:t>
            </w:r>
          </w:p>
        </w:tc>
      </w:tr>
      <w:tr w:rsidR="00250D44" w:rsidRPr="00D74C88" w14:paraId="4EF37CFD" w14:textId="77777777" w:rsidTr="00072345">
        <w:tc>
          <w:tcPr>
            <w:tcW w:w="2405" w:type="dxa"/>
          </w:tcPr>
          <w:p w14:paraId="1115DE0D" w14:textId="37FD79AB" w:rsidR="00250D44" w:rsidRPr="00D74C88" w:rsidRDefault="00250D44" w:rsidP="00250D44">
            <w:pPr>
              <w:spacing w:before="0" w:after="0"/>
              <w:rPr>
                <w:rFonts w:cstheme="minorHAnsi"/>
                <w:sz w:val="20"/>
                <w:szCs w:val="20"/>
              </w:rPr>
            </w:pPr>
            <w:r w:rsidRPr="00D74C88">
              <w:rPr>
                <w:rFonts w:cstheme="minorHAnsi"/>
                <w:sz w:val="20"/>
                <w:szCs w:val="20"/>
              </w:rPr>
              <w:t>Objetivo 1.</w:t>
            </w:r>
            <w:r w:rsidR="00FF1C18" w:rsidRPr="00D74C88">
              <w:rPr>
                <w:rFonts w:cstheme="minorHAnsi"/>
                <w:sz w:val="20"/>
                <w:szCs w:val="20"/>
              </w:rPr>
              <w:t>6</w:t>
            </w:r>
          </w:p>
        </w:tc>
        <w:tc>
          <w:tcPr>
            <w:tcW w:w="7557" w:type="dxa"/>
          </w:tcPr>
          <w:p w14:paraId="0EF4587D" w14:textId="384E7F58" w:rsidR="00250D44" w:rsidRPr="00D74C88" w:rsidRDefault="00FF1C18" w:rsidP="00FF1C18">
            <w:pPr>
              <w:spacing w:before="0" w:after="0"/>
              <w:rPr>
                <w:rFonts w:cstheme="minorHAnsi"/>
                <w:sz w:val="20"/>
                <w:szCs w:val="20"/>
              </w:rPr>
            </w:pPr>
            <w:r w:rsidRPr="00D74C88">
              <w:rPr>
                <w:rFonts w:cstheme="minorHAnsi"/>
                <w:sz w:val="20"/>
                <w:szCs w:val="20"/>
              </w:rPr>
              <w:t>Incrementar las capacidades y estrategias recaudatorias de ingresos estatales, mediante la diversificación y utilización de las tecnologías de la innovación y comunicación para establecer una política fiscal corresponsable que contribuya a mejorar la justicia fiscal en la población.</w:t>
            </w:r>
          </w:p>
        </w:tc>
      </w:tr>
      <w:tr w:rsidR="00250D44" w:rsidRPr="00D74C88" w14:paraId="3362028F" w14:textId="77777777" w:rsidTr="00072345">
        <w:tc>
          <w:tcPr>
            <w:tcW w:w="2405" w:type="dxa"/>
          </w:tcPr>
          <w:p w14:paraId="6E0EDDFC" w14:textId="77777777" w:rsidR="00250D44" w:rsidRPr="00D74C88" w:rsidRDefault="00250D44" w:rsidP="00250D44">
            <w:pPr>
              <w:spacing w:before="0" w:after="0"/>
              <w:rPr>
                <w:rFonts w:cstheme="minorHAnsi"/>
                <w:sz w:val="20"/>
                <w:szCs w:val="20"/>
              </w:rPr>
            </w:pPr>
            <w:r w:rsidRPr="00D74C88">
              <w:rPr>
                <w:rFonts w:cstheme="minorHAnsi"/>
                <w:sz w:val="20"/>
                <w:szCs w:val="20"/>
              </w:rPr>
              <w:t>Estrategia</w:t>
            </w:r>
          </w:p>
        </w:tc>
        <w:tc>
          <w:tcPr>
            <w:tcW w:w="7557" w:type="dxa"/>
          </w:tcPr>
          <w:p w14:paraId="3CA8D0E0" w14:textId="613CF24F" w:rsidR="00250D44" w:rsidRPr="00D74C88" w:rsidRDefault="00FF1C18" w:rsidP="00250D44">
            <w:pPr>
              <w:spacing w:before="0" w:after="0"/>
              <w:rPr>
                <w:rFonts w:cstheme="minorHAnsi"/>
                <w:sz w:val="20"/>
                <w:szCs w:val="20"/>
              </w:rPr>
            </w:pPr>
            <w:r w:rsidRPr="00D74C88">
              <w:rPr>
                <w:rFonts w:cstheme="minorHAnsi"/>
                <w:sz w:val="20"/>
                <w:szCs w:val="20"/>
              </w:rPr>
              <w:t>Propiciar una política hacendaria corresponsable</w:t>
            </w:r>
          </w:p>
        </w:tc>
      </w:tr>
      <w:tr w:rsidR="00250D44" w:rsidRPr="00D74C88" w14:paraId="3C37EF58" w14:textId="77777777" w:rsidTr="00072345">
        <w:tc>
          <w:tcPr>
            <w:tcW w:w="9962" w:type="dxa"/>
            <w:gridSpan w:val="2"/>
            <w:shd w:val="clear" w:color="auto" w:fill="9CC2E5"/>
          </w:tcPr>
          <w:p w14:paraId="5208F1FA" w14:textId="77777777" w:rsidR="00250D44" w:rsidRPr="00D74C88" w:rsidRDefault="00250D44" w:rsidP="00250D44">
            <w:pPr>
              <w:spacing w:before="0" w:after="0"/>
              <w:jc w:val="center"/>
              <w:rPr>
                <w:rFonts w:cstheme="minorHAnsi"/>
                <w:b/>
                <w:bCs/>
                <w:sz w:val="20"/>
                <w:szCs w:val="20"/>
              </w:rPr>
            </w:pPr>
            <w:r w:rsidRPr="00D74C88">
              <w:rPr>
                <w:rFonts w:cstheme="minorHAnsi"/>
                <w:b/>
                <w:bCs/>
                <w:sz w:val="20"/>
                <w:szCs w:val="20"/>
              </w:rPr>
              <w:t>Plan Nacional de Desarrollo 2013-2018</w:t>
            </w:r>
          </w:p>
        </w:tc>
      </w:tr>
      <w:tr w:rsidR="00250D44" w:rsidRPr="00D74C88" w14:paraId="3357F9C3" w14:textId="77777777" w:rsidTr="00072345">
        <w:tc>
          <w:tcPr>
            <w:tcW w:w="9962" w:type="dxa"/>
            <w:gridSpan w:val="2"/>
          </w:tcPr>
          <w:p w14:paraId="48E5CF8C" w14:textId="77777777" w:rsidR="00250D44" w:rsidRPr="00D74C88" w:rsidRDefault="00250D44" w:rsidP="00250D44">
            <w:pPr>
              <w:spacing w:before="0" w:after="0"/>
              <w:rPr>
                <w:rFonts w:cstheme="minorHAnsi"/>
                <w:sz w:val="20"/>
                <w:szCs w:val="20"/>
              </w:rPr>
            </w:pPr>
            <w:r w:rsidRPr="00D74C88">
              <w:rPr>
                <w:rFonts w:cstheme="minorHAnsi"/>
                <w:sz w:val="20"/>
                <w:szCs w:val="20"/>
              </w:rPr>
              <w:t>Meta Nacional 3. México con Educación de Calidad</w:t>
            </w:r>
          </w:p>
        </w:tc>
      </w:tr>
      <w:tr w:rsidR="00250D44" w:rsidRPr="00D74C88" w14:paraId="73FFF461" w14:textId="77777777" w:rsidTr="00072345">
        <w:tc>
          <w:tcPr>
            <w:tcW w:w="2405" w:type="dxa"/>
          </w:tcPr>
          <w:p w14:paraId="511587C1" w14:textId="77777777" w:rsidR="00250D44" w:rsidRPr="00D74C88" w:rsidRDefault="00250D44" w:rsidP="00250D44">
            <w:pPr>
              <w:spacing w:before="0" w:after="0"/>
              <w:rPr>
                <w:rFonts w:cstheme="minorHAnsi"/>
                <w:sz w:val="20"/>
                <w:szCs w:val="20"/>
              </w:rPr>
            </w:pPr>
            <w:r w:rsidRPr="00D74C88">
              <w:rPr>
                <w:rFonts w:cstheme="minorHAnsi"/>
                <w:sz w:val="20"/>
                <w:szCs w:val="20"/>
              </w:rPr>
              <w:t>Objetivo 3.2</w:t>
            </w:r>
          </w:p>
        </w:tc>
        <w:tc>
          <w:tcPr>
            <w:tcW w:w="7557" w:type="dxa"/>
          </w:tcPr>
          <w:p w14:paraId="4205CFC1" w14:textId="77777777" w:rsidR="00250D44" w:rsidRPr="00D74C88" w:rsidRDefault="00250D44" w:rsidP="00250D44">
            <w:pPr>
              <w:spacing w:before="0" w:after="0"/>
              <w:rPr>
                <w:rFonts w:cstheme="minorHAnsi"/>
                <w:sz w:val="20"/>
                <w:szCs w:val="20"/>
              </w:rPr>
            </w:pPr>
            <w:r w:rsidRPr="00D74C88">
              <w:rPr>
                <w:rFonts w:cstheme="minorHAnsi"/>
                <w:sz w:val="20"/>
                <w:szCs w:val="20"/>
              </w:rPr>
              <w:t>Garantizar la inclusión y la equidad en el Sistema Educativo.</w:t>
            </w:r>
          </w:p>
        </w:tc>
      </w:tr>
      <w:tr w:rsidR="00250D44" w:rsidRPr="00D74C88" w14:paraId="6C9B7BDE" w14:textId="77777777" w:rsidTr="00072345">
        <w:tc>
          <w:tcPr>
            <w:tcW w:w="2405" w:type="dxa"/>
          </w:tcPr>
          <w:p w14:paraId="3D4F2234" w14:textId="77777777" w:rsidR="00250D44" w:rsidRPr="00D74C88" w:rsidRDefault="00250D44" w:rsidP="00250D44">
            <w:pPr>
              <w:spacing w:before="0" w:after="0"/>
              <w:rPr>
                <w:rFonts w:cstheme="minorHAnsi"/>
                <w:sz w:val="20"/>
                <w:szCs w:val="20"/>
              </w:rPr>
            </w:pPr>
            <w:r w:rsidRPr="00D74C88">
              <w:rPr>
                <w:rFonts w:cstheme="minorHAnsi"/>
                <w:sz w:val="20"/>
                <w:szCs w:val="20"/>
              </w:rPr>
              <w:t>Estrategia 3.2.1</w:t>
            </w:r>
          </w:p>
        </w:tc>
        <w:tc>
          <w:tcPr>
            <w:tcW w:w="7557" w:type="dxa"/>
          </w:tcPr>
          <w:p w14:paraId="1FDFED33" w14:textId="77777777" w:rsidR="00250D44" w:rsidRPr="00D74C88" w:rsidRDefault="00250D44" w:rsidP="00250D44">
            <w:pPr>
              <w:spacing w:before="0" w:after="0"/>
              <w:rPr>
                <w:rFonts w:cstheme="minorHAnsi"/>
                <w:sz w:val="20"/>
                <w:szCs w:val="20"/>
              </w:rPr>
            </w:pPr>
            <w:r w:rsidRPr="00D74C88">
              <w:rPr>
                <w:rFonts w:cstheme="minorHAnsi"/>
                <w:sz w:val="20"/>
                <w:szCs w:val="20"/>
              </w:rPr>
              <w:t>Ampliar los apoyos a niños y jóvenes en situación de desventaja o vulnerabilidad.</w:t>
            </w:r>
          </w:p>
        </w:tc>
      </w:tr>
      <w:tr w:rsidR="00250D44" w:rsidRPr="00D74C88" w14:paraId="3DB35DE9" w14:textId="77777777" w:rsidTr="00441E9C">
        <w:tc>
          <w:tcPr>
            <w:tcW w:w="2405" w:type="dxa"/>
            <w:tcBorders>
              <w:bottom w:val="single" w:sz="4" w:space="0" w:color="auto"/>
            </w:tcBorders>
          </w:tcPr>
          <w:p w14:paraId="23EBD249" w14:textId="77777777" w:rsidR="00250D44" w:rsidRPr="00D74C88" w:rsidRDefault="00250D44" w:rsidP="00250D44">
            <w:pPr>
              <w:spacing w:before="0" w:after="0"/>
              <w:rPr>
                <w:rFonts w:cstheme="minorHAnsi"/>
                <w:sz w:val="20"/>
                <w:szCs w:val="20"/>
              </w:rPr>
            </w:pPr>
            <w:r w:rsidRPr="00D74C88">
              <w:rPr>
                <w:rFonts w:cstheme="minorHAnsi"/>
                <w:sz w:val="20"/>
                <w:szCs w:val="20"/>
              </w:rPr>
              <w:t>Líneas de acción</w:t>
            </w:r>
          </w:p>
        </w:tc>
        <w:tc>
          <w:tcPr>
            <w:tcW w:w="7557" w:type="dxa"/>
            <w:tcBorders>
              <w:bottom w:val="single" w:sz="4" w:space="0" w:color="auto"/>
            </w:tcBorders>
          </w:tcPr>
          <w:p w14:paraId="28EEFDE2" w14:textId="77777777" w:rsidR="00250D44" w:rsidRPr="00D74C88" w:rsidRDefault="00250D44" w:rsidP="00515CAC">
            <w:pPr>
              <w:numPr>
                <w:ilvl w:val="0"/>
                <w:numId w:val="28"/>
              </w:numPr>
              <w:spacing w:before="0" w:after="0"/>
              <w:ind w:left="177" w:hanging="177"/>
              <w:contextualSpacing/>
              <w:rPr>
                <w:rFonts w:cstheme="minorHAnsi"/>
                <w:sz w:val="20"/>
                <w:szCs w:val="20"/>
              </w:rPr>
            </w:pPr>
            <w:r w:rsidRPr="00D74C88">
              <w:rPr>
                <w:rFonts w:cstheme="minorHAnsi"/>
                <w:sz w:val="20"/>
                <w:szCs w:val="20"/>
              </w:rPr>
              <w:t>Propiciar la creación de un sistema nacional de becas para ordenar y hacer viables los esfuerzos dirigidos a universalizar los apoyos entre los jóvenes provenientes de familias de bajos recursos.</w:t>
            </w:r>
          </w:p>
          <w:p w14:paraId="738E85E3" w14:textId="77777777" w:rsidR="00250D44" w:rsidRPr="00D74C88" w:rsidRDefault="00250D44" w:rsidP="00515CAC">
            <w:pPr>
              <w:numPr>
                <w:ilvl w:val="0"/>
                <w:numId w:val="28"/>
              </w:numPr>
              <w:spacing w:before="0" w:after="0"/>
              <w:ind w:left="177" w:hanging="177"/>
              <w:contextualSpacing/>
              <w:rPr>
                <w:rFonts w:cstheme="minorHAnsi"/>
                <w:sz w:val="20"/>
                <w:szCs w:val="20"/>
              </w:rPr>
            </w:pPr>
            <w:r w:rsidRPr="00D74C88">
              <w:rPr>
                <w:rFonts w:cstheme="minorHAnsi"/>
                <w:sz w:val="20"/>
                <w:szCs w:val="20"/>
              </w:rPr>
              <w:t xml:space="preserve">Diversificar las modalidades de becas para apoyar a los estudiantes con necesidades especiales y en situación de vulnerabilidad. </w:t>
            </w:r>
          </w:p>
        </w:tc>
      </w:tr>
      <w:tr w:rsidR="00250D44" w:rsidRPr="00D74C88" w14:paraId="51BB6EFA" w14:textId="77777777" w:rsidTr="00072345">
        <w:tc>
          <w:tcPr>
            <w:tcW w:w="9962" w:type="dxa"/>
            <w:gridSpan w:val="2"/>
            <w:shd w:val="clear" w:color="auto" w:fill="9CC2E5"/>
          </w:tcPr>
          <w:p w14:paraId="252684A5" w14:textId="0058201E" w:rsidR="00250D44" w:rsidRPr="00D74C88" w:rsidRDefault="009A1170" w:rsidP="00250D44">
            <w:pPr>
              <w:spacing w:before="0" w:after="0"/>
              <w:jc w:val="center"/>
              <w:rPr>
                <w:rFonts w:cstheme="minorHAnsi"/>
                <w:sz w:val="20"/>
                <w:szCs w:val="20"/>
              </w:rPr>
            </w:pPr>
            <w:r>
              <w:rPr>
                <w:rFonts w:cstheme="minorHAnsi"/>
                <w:b/>
                <w:bCs/>
                <w:sz w:val="20"/>
                <w:szCs w:val="20"/>
              </w:rPr>
              <w:t>Plan Estatal de Desarrollo Hidalgo (</w:t>
            </w:r>
            <w:r w:rsidRPr="00D74C88">
              <w:rPr>
                <w:rFonts w:cstheme="minorHAnsi"/>
                <w:b/>
                <w:bCs/>
                <w:sz w:val="20"/>
                <w:szCs w:val="20"/>
              </w:rPr>
              <w:t>PEDH</w:t>
            </w:r>
            <w:r>
              <w:rPr>
                <w:rFonts w:cstheme="minorHAnsi"/>
                <w:b/>
                <w:bCs/>
                <w:sz w:val="20"/>
                <w:szCs w:val="20"/>
              </w:rPr>
              <w:t xml:space="preserve">) </w:t>
            </w:r>
            <w:r w:rsidR="00FF1C18" w:rsidRPr="00D74C88">
              <w:rPr>
                <w:rFonts w:cstheme="minorHAnsi"/>
                <w:b/>
                <w:bCs/>
                <w:sz w:val="20"/>
                <w:szCs w:val="20"/>
              </w:rPr>
              <w:t>2016-2022</w:t>
            </w:r>
          </w:p>
        </w:tc>
      </w:tr>
      <w:tr w:rsidR="00250D44" w:rsidRPr="00D74C88" w14:paraId="167DE719" w14:textId="77777777" w:rsidTr="00072345">
        <w:tc>
          <w:tcPr>
            <w:tcW w:w="9962" w:type="dxa"/>
            <w:gridSpan w:val="2"/>
          </w:tcPr>
          <w:p w14:paraId="1E9D6023" w14:textId="5CA2029C" w:rsidR="00250D44" w:rsidRPr="00D74C88" w:rsidRDefault="00250D44" w:rsidP="00250D44">
            <w:pPr>
              <w:spacing w:before="0" w:after="0"/>
              <w:rPr>
                <w:rFonts w:cstheme="minorHAnsi"/>
                <w:sz w:val="20"/>
                <w:szCs w:val="20"/>
              </w:rPr>
            </w:pPr>
            <w:r w:rsidRPr="00D74C88">
              <w:rPr>
                <w:rFonts w:cstheme="minorHAnsi"/>
                <w:sz w:val="20"/>
                <w:szCs w:val="20"/>
              </w:rPr>
              <w:t xml:space="preserve">Eje </w:t>
            </w:r>
            <w:r w:rsidR="0000349A" w:rsidRPr="00D74C88">
              <w:rPr>
                <w:rFonts w:cstheme="minorHAnsi"/>
                <w:sz w:val="20"/>
                <w:szCs w:val="20"/>
              </w:rPr>
              <w:t>3. Hidalgo Humano e Igualitario</w:t>
            </w:r>
          </w:p>
        </w:tc>
      </w:tr>
      <w:tr w:rsidR="00250D44" w:rsidRPr="00D74C88" w14:paraId="35670721" w14:textId="77777777" w:rsidTr="00072345">
        <w:tc>
          <w:tcPr>
            <w:tcW w:w="2405" w:type="dxa"/>
          </w:tcPr>
          <w:p w14:paraId="77176F63" w14:textId="2A45936F" w:rsidR="00250D44" w:rsidRPr="00D74C88" w:rsidRDefault="00250D44" w:rsidP="00250D44">
            <w:pPr>
              <w:spacing w:before="0" w:after="0"/>
              <w:rPr>
                <w:rFonts w:cstheme="minorHAnsi"/>
                <w:sz w:val="20"/>
                <w:szCs w:val="20"/>
              </w:rPr>
            </w:pPr>
            <w:r w:rsidRPr="00D74C88">
              <w:rPr>
                <w:rFonts w:cstheme="minorHAnsi"/>
                <w:sz w:val="20"/>
                <w:szCs w:val="20"/>
              </w:rPr>
              <w:t xml:space="preserve">Objetivo </w:t>
            </w:r>
            <w:r w:rsidR="0000349A" w:rsidRPr="00D74C88">
              <w:rPr>
                <w:rFonts w:cstheme="minorHAnsi"/>
                <w:sz w:val="20"/>
                <w:szCs w:val="20"/>
              </w:rPr>
              <w:t>3.2</w:t>
            </w:r>
          </w:p>
        </w:tc>
        <w:tc>
          <w:tcPr>
            <w:tcW w:w="7557" w:type="dxa"/>
          </w:tcPr>
          <w:p w14:paraId="591929D7" w14:textId="0A000E04" w:rsidR="00250D44" w:rsidRPr="00D74C88" w:rsidRDefault="0000349A" w:rsidP="0000349A">
            <w:pPr>
              <w:spacing w:before="0" w:after="0"/>
              <w:rPr>
                <w:rFonts w:cstheme="minorHAnsi"/>
                <w:sz w:val="20"/>
                <w:szCs w:val="20"/>
              </w:rPr>
            </w:pPr>
            <w:r w:rsidRPr="00D74C88">
              <w:rPr>
                <w:rFonts w:cstheme="minorHAnsi"/>
                <w:sz w:val="20"/>
                <w:szCs w:val="20"/>
              </w:rPr>
              <w:t xml:space="preserve">Impartir servicios educativos con suficiencia, calidad y relevancia, que garanticen el acceso a los niveles educativos en igualdad y con recursos destinados a </w:t>
            </w:r>
            <w:r w:rsidR="00E44069">
              <w:rPr>
                <w:color w:val="000000" w:themeColor="text1"/>
              </w:rPr>
              <w:t>Pp</w:t>
            </w:r>
            <w:r w:rsidR="00E44069" w:rsidRPr="00D74C88">
              <w:rPr>
                <w:rFonts w:cstheme="minorHAnsi"/>
                <w:sz w:val="20"/>
                <w:szCs w:val="20"/>
              </w:rPr>
              <w:t xml:space="preserve"> </w:t>
            </w:r>
            <w:r w:rsidRPr="00D74C88">
              <w:rPr>
                <w:rFonts w:cstheme="minorHAnsi"/>
                <w:sz w:val="20"/>
                <w:szCs w:val="20"/>
              </w:rPr>
              <w:t>de impacto que incidan en la mejora de las condiciones de bienestar de las personas</w:t>
            </w:r>
          </w:p>
        </w:tc>
      </w:tr>
      <w:tr w:rsidR="00250D44" w:rsidRPr="00D74C88" w14:paraId="7BF6CA1F" w14:textId="77777777" w:rsidTr="00072345">
        <w:tc>
          <w:tcPr>
            <w:tcW w:w="2405" w:type="dxa"/>
          </w:tcPr>
          <w:p w14:paraId="4C8957A7" w14:textId="6209649A" w:rsidR="00250D44" w:rsidRPr="00D74C88" w:rsidRDefault="00250D44" w:rsidP="00250D44">
            <w:pPr>
              <w:spacing w:before="0" w:after="0"/>
              <w:rPr>
                <w:rFonts w:cstheme="minorHAnsi"/>
                <w:sz w:val="20"/>
                <w:szCs w:val="20"/>
              </w:rPr>
            </w:pPr>
            <w:r w:rsidRPr="00D74C88">
              <w:rPr>
                <w:rFonts w:cstheme="minorHAnsi"/>
                <w:sz w:val="20"/>
                <w:szCs w:val="20"/>
              </w:rPr>
              <w:t>Estrategia</w:t>
            </w:r>
            <w:r w:rsidR="0000349A" w:rsidRPr="00D74C88">
              <w:rPr>
                <w:rFonts w:cstheme="minorHAnsi"/>
                <w:sz w:val="20"/>
                <w:szCs w:val="20"/>
              </w:rPr>
              <w:t>s y líneas de acción</w:t>
            </w:r>
          </w:p>
        </w:tc>
        <w:tc>
          <w:tcPr>
            <w:tcW w:w="7557" w:type="dxa"/>
          </w:tcPr>
          <w:p w14:paraId="19BA7E6B" w14:textId="3A0E1C67" w:rsidR="00250D44" w:rsidRPr="00D74C88" w:rsidRDefault="0000349A" w:rsidP="00250D44">
            <w:pPr>
              <w:spacing w:before="0" w:after="0"/>
              <w:rPr>
                <w:rFonts w:cstheme="minorHAnsi"/>
                <w:sz w:val="20"/>
                <w:szCs w:val="20"/>
              </w:rPr>
            </w:pPr>
            <w:r w:rsidRPr="00D74C88">
              <w:rPr>
                <w:rFonts w:cstheme="minorHAnsi"/>
                <w:sz w:val="20"/>
                <w:szCs w:val="20"/>
              </w:rPr>
              <w:t xml:space="preserve">Incrementar la cobertura del sector educativo en el </w:t>
            </w:r>
            <w:r w:rsidR="00644705">
              <w:rPr>
                <w:rFonts w:cstheme="minorHAnsi"/>
                <w:sz w:val="20"/>
                <w:szCs w:val="20"/>
              </w:rPr>
              <w:t>E</w:t>
            </w:r>
            <w:r w:rsidRPr="00D74C88">
              <w:rPr>
                <w:rFonts w:cstheme="minorHAnsi"/>
                <w:sz w:val="20"/>
                <w:szCs w:val="20"/>
              </w:rPr>
              <w:t>stado de Hidalgo</w:t>
            </w:r>
          </w:p>
          <w:p w14:paraId="18587A14" w14:textId="0A779C37" w:rsidR="0000349A" w:rsidRPr="00D74C88" w:rsidRDefault="0000349A" w:rsidP="0000349A">
            <w:pPr>
              <w:spacing w:before="0" w:after="0"/>
              <w:rPr>
                <w:rFonts w:cstheme="minorHAnsi"/>
                <w:sz w:val="20"/>
                <w:szCs w:val="20"/>
              </w:rPr>
            </w:pPr>
            <w:r w:rsidRPr="00D74C88">
              <w:rPr>
                <w:rFonts w:cstheme="minorHAnsi"/>
                <w:sz w:val="20"/>
                <w:szCs w:val="20"/>
              </w:rPr>
              <w:t xml:space="preserve">Abatir la deserción escolar en el sector educativo del </w:t>
            </w:r>
            <w:r w:rsidR="00644705">
              <w:rPr>
                <w:rFonts w:cstheme="minorHAnsi"/>
                <w:sz w:val="20"/>
                <w:szCs w:val="20"/>
              </w:rPr>
              <w:t>E</w:t>
            </w:r>
            <w:r w:rsidRPr="00D74C88">
              <w:rPr>
                <w:rFonts w:cstheme="minorHAnsi"/>
                <w:sz w:val="20"/>
                <w:szCs w:val="20"/>
              </w:rPr>
              <w:t>stado de Hidalgo</w:t>
            </w:r>
          </w:p>
          <w:p w14:paraId="63651810" w14:textId="75539D2B" w:rsidR="0000349A" w:rsidRPr="00D74C88" w:rsidRDefault="0000349A" w:rsidP="0000349A">
            <w:pPr>
              <w:spacing w:before="0" w:after="0"/>
              <w:rPr>
                <w:rFonts w:cstheme="minorHAnsi"/>
                <w:sz w:val="20"/>
                <w:szCs w:val="20"/>
              </w:rPr>
            </w:pPr>
            <w:r w:rsidRPr="00D74C88">
              <w:rPr>
                <w:rFonts w:cstheme="minorHAnsi"/>
                <w:sz w:val="20"/>
                <w:szCs w:val="20"/>
              </w:rPr>
              <w:t xml:space="preserve">Mejorar las instalaciones del sector educativo en el </w:t>
            </w:r>
            <w:r w:rsidR="00644705">
              <w:rPr>
                <w:rFonts w:cstheme="minorHAnsi"/>
                <w:sz w:val="20"/>
                <w:szCs w:val="20"/>
              </w:rPr>
              <w:t>E</w:t>
            </w:r>
            <w:r w:rsidRPr="00D74C88">
              <w:rPr>
                <w:rFonts w:cstheme="minorHAnsi"/>
                <w:sz w:val="20"/>
                <w:szCs w:val="20"/>
              </w:rPr>
              <w:t>stado de Hidalgo</w:t>
            </w:r>
          </w:p>
          <w:p w14:paraId="4BF47344" w14:textId="0D55317E" w:rsidR="0000349A" w:rsidRPr="00D74C88" w:rsidRDefault="0000349A" w:rsidP="0000349A">
            <w:pPr>
              <w:spacing w:before="0" w:after="0"/>
              <w:rPr>
                <w:rFonts w:cstheme="minorHAnsi"/>
                <w:sz w:val="20"/>
                <w:szCs w:val="20"/>
              </w:rPr>
            </w:pPr>
          </w:p>
        </w:tc>
      </w:tr>
    </w:tbl>
    <w:bookmarkEnd w:id="45"/>
    <w:p w14:paraId="0DFE6DCC" w14:textId="468A1037" w:rsidR="003A163B" w:rsidRPr="003A163B" w:rsidRDefault="003A163B" w:rsidP="009A1170">
      <w:pPr>
        <w:pStyle w:val="Textonotapie"/>
      </w:pPr>
      <w:r w:rsidRPr="003A163B">
        <w:t>Fuente: Elaboración propia con Información de SFP, PND 2013-2018, PEDH 2016-2022.</w:t>
      </w:r>
    </w:p>
    <w:p w14:paraId="7FED549D" w14:textId="37A1A7B6" w:rsidR="003A163B" w:rsidRDefault="00C97019" w:rsidP="003A163B">
      <w:pPr>
        <w:spacing w:before="0" w:after="160" w:line="259" w:lineRule="auto"/>
        <w:rPr>
          <w:rFonts w:cstheme="minorHAnsi"/>
          <w:b/>
        </w:rPr>
      </w:pPr>
      <w:r>
        <w:rPr>
          <w:rFonts w:cstheme="minorHAnsi"/>
          <w:b/>
        </w:rPr>
        <w:br w:type="page"/>
      </w:r>
    </w:p>
    <w:p w14:paraId="6526A4D1" w14:textId="77777777" w:rsidR="005A776F" w:rsidRPr="009F053D" w:rsidRDefault="005A776F" w:rsidP="00213657">
      <w:pPr>
        <w:spacing w:before="0" w:after="0"/>
        <w:contextualSpacing/>
        <w:rPr>
          <w:rFonts w:cstheme="minorHAnsi"/>
          <w:b/>
        </w:rPr>
      </w:pPr>
      <w:bookmarkStart w:id="48" w:name="_Hlk45286734"/>
      <w:r w:rsidRPr="009F053D">
        <w:rPr>
          <w:rFonts w:cstheme="minorHAnsi"/>
          <w:b/>
        </w:rPr>
        <w:lastRenderedPageBreak/>
        <w:t>14. ¿El propósito del Fondo se vincula con los Objetivos de Desarrollo Sostenible (ODS) de la Agenda 2030?</w:t>
      </w:r>
    </w:p>
    <w:p w14:paraId="168DE5C2" w14:textId="77777777" w:rsidR="005A776F" w:rsidRPr="00213657" w:rsidRDefault="005A776F" w:rsidP="005A776F">
      <w:pPr>
        <w:rPr>
          <w:b/>
          <w:bCs/>
        </w:rPr>
      </w:pPr>
      <w:r w:rsidRPr="00213657">
        <w:rPr>
          <w:b/>
          <w:bCs/>
        </w:rPr>
        <w:t>No procede valoración cuantitativa.</w:t>
      </w:r>
    </w:p>
    <w:p w14:paraId="7E638854" w14:textId="5DF94C3F" w:rsidR="005A776F" w:rsidRDefault="005A776F" w:rsidP="00BA1A4F">
      <w:pPr>
        <w:spacing w:before="0"/>
      </w:pPr>
      <w:bookmarkStart w:id="49" w:name="_Hlk45477846"/>
      <w:r>
        <w:t xml:space="preserve">Respecto a la vinculación del destino del gasto del FAFEF en </w:t>
      </w:r>
      <w:r w:rsidR="00595A95">
        <w:t>Hidalgo</w:t>
      </w:r>
      <w:r>
        <w:t xml:space="preserve"> con los ODS de la Agenda 2030, algunos de los objetivos del Plan Estatal de Desarrollo financiados con recursos del FAFEF, se vinculan de la siguiente manera:</w:t>
      </w:r>
    </w:p>
    <w:p w14:paraId="37926220" w14:textId="7BE913CF" w:rsidR="0000349A" w:rsidRPr="00F84324" w:rsidRDefault="0000349A" w:rsidP="0000349A">
      <w:pPr>
        <w:pStyle w:val="Cuadro"/>
      </w:pPr>
      <w:bookmarkStart w:id="50" w:name="_Toc53132493"/>
      <w:bookmarkStart w:id="51" w:name="_Toc56741060"/>
      <w:r>
        <w:t xml:space="preserve">Cuadro </w:t>
      </w:r>
      <w:r w:rsidR="00A82DA8">
        <w:t>7</w:t>
      </w:r>
      <w:r>
        <w:t>. Contribución de la ejecución del FAFEF a los ODS</w:t>
      </w:r>
      <w:bookmarkEnd w:id="50"/>
      <w:bookmarkEnd w:id="51"/>
    </w:p>
    <w:tbl>
      <w:tblPr>
        <w:tblW w:w="50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61"/>
        <w:gridCol w:w="3583"/>
        <w:gridCol w:w="3149"/>
      </w:tblGrid>
      <w:tr w:rsidR="0000349A" w:rsidRPr="00D74C88" w14:paraId="635C961F" w14:textId="77777777" w:rsidTr="003D4725">
        <w:trPr>
          <w:trHeight w:val="393"/>
          <w:tblHeader/>
        </w:trPr>
        <w:tc>
          <w:tcPr>
            <w:tcW w:w="1665" w:type="pct"/>
            <w:shd w:val="clear" w:color="auto" w:fill="9CC2E5"/>
            <w:noWrap/>
            <w:vAlign w:val="center"/>
            <w:hideMark/>
          </w:tcPr>
          <w:p w14:paraId="05CB29BD" w14:textId="77777777" w:rsidR="0000349A" w:rsidRPr="00D74C88" w:rsidRDefault="0000349A" w:rsidP="00441E9C">
            <w:pPr>
              <w:spacing w:before="0" w:after="0"/>
              <w:jc w:val="center"/>
              <w:rPr>
                <w:rFonts w:eastAsia="Times New Roman" w:cstheme="minorHAnsi"/>
                <w:b/>
                <w:bCs/>
                <w:color w:val="000000"/>
                <w:sz w:val="20"/>
                <w:szCs w:val="20"/>
                <w:lang w:eastAsia="es-MX"/>
              </w:rPr>
            </w:pPr>
            <w:r w:rsidRPr="00D74C88">
              <w:rPr>
                <w:rFonts w:eastAsia="Times New Roman" w:cstheme="minorHAnsi"/>
                <w:b/>
                <w:bCs/>
                <w:color w:val="000000"/>
                <w:sz w:val="20"/>
                <w:szCs w:val="20"/>
                <w:lang w:eastAsia="es-MX"/>
              </w:rPr>
              <w:t>ODS</w:t>
            </w:r>
          </w:p>
        </w:tc>
        <w:tc>
          <w:tcPr>
            <w:tcW w:w="1775" w:type="pct"/>
            <w:shd w:val="clear" w:color="auto" w:fill="9CC2E5"/>
            <w:vAlign w:val="center"/>
            <w:hideMark/>
          </w:tcPr>
          <w:p w14:paraId="5E0CEF68" w14:textId="77777777" w:rsidR="0000349A" w:rsidRPr="00D74C88" w:rsidRDefault="0000349A" w:rsidP="00441E9C">
            <w:pPr>
              <w:spacing w:before="0" w:after="0"/>
              <w:jc w:val="center"/>
              <w:rPr>
                <w:rFonts w:eastAsia="Times New Roman" w:cstheme="minorHAnsi"/>
                <w:b/>
                <w:bCs/>
                <w:color w:val="000000"/>
                <w:sz w:val="20"/>
                <w:szCs w:val="20"/>
                <w:lang w:eastAsia="es-MX"/>
              </w:rPr>
            </w:pPr>
            <w:r w:rsidRPr="00D74C88">
              <w:rPr>
                <w:rFonts w:eastAsia="Times New Roman" w:cstheme="minorHAnsi"/>
                <w:b/>
                <w:bCs/>
                <w:color w:val="000000"/>
                <w:sz w:val="20"/>
                <w:szCs w:val="20"/>
                <w:lang w:eastAsia="es-MX"/>
              </w:rPr>
              <w:t>Meta del ODS</w:t>
            </w:r>
          </w:p>
        </w:tc>
        <w:tc>
          <w:tcPr>
            <w:tcW w:w="1560" w:type="pct"/>
            <w:shd w:val="clear" w:color="auto" w:fill="9CC2E5"/>
            <w:noWrap/>
            <w:vAlign w:val="center"/>
            <w:hideMark/>
          </w:tcPr>
          <w:p w14:paraId="31494804" w14:textId="6EA77D6C" w:rsidR="0000349A" w:rsidRPr="00D74C88" w:rsidRDefault="0000349A" w:rsidP="00441E9C">
            <w:pPr>
              <w:spacing w:before="0" w:after="0"/>
              <w:jc w:val="center"/>
              <w:rPr>
                <w:rFonts w:eastAsia="Times New Roman" w:cstheme="minorHAnsi"/>
                <w:b/>
                <w:bCs/>
                <w:color w:val="000000"/>
                <w:sz w:val="20"/>
                <w:szCs w:val="20"/>
                <w:lang w:eastAsia="es-MX"/>
              </w:rPr>
            </w:pPr>
            <w:r w:rsidRPr="00D74C88">
              <w:rPr>
                <w:rFonts w:eastAsia="Times New Roman" w:cstheme="minorHAnsi"/>
                <w:b/>
                <w:bCs/>
                <w:color w:val="000000"/>
                <w:sz w:val="20"/>
                <w:szCs w:val="20"/>
                <w:lang w:eastAsia="es-MX"/>
              </w:rPr>
              <w:t>Alineación de</w:t>
            </w:r>
            <w:r w:rsidR="00C11566" w:rsidRPr="00D74C88">
              <w:rPr>
                <w:rFonts w:eastAsia="Times New Roman" w:cstheme="minorHAnsi"/>
                <w:b/>
                <w:bCs/>
                <w:color w:val="000000"/>
                <w:sz w:val="20"/>
                <w:szCs w:val="20"/>
                <w:lang w:eastAsia="es-MX"/>
              </w:rPr>
              <w:t xml:space="preserve"> proyectos </w:t>
            </w:r>
            <w:r w:rsidRPr="00D74C88">
              <w:rPr>
                <w:rFonts w:eastAsia="Times New Roman" w:cstheme="minorHAnsi"/>
                <w:b/>
                <w:bCs/>
                <w:color w:val="000000"/>
                <w:sz w:val="20"/>
                <w:szCs w:val="20"/>
                <w:lang w:eastAsia="es-MX"/>
              </w:rPr>
              <w:t>con los ODS</w:t>
            </w:r>
          </w:p>
        </w:tc>
      </w:tr>
      <w:tr w:rsidR="0000349A" w:rsidRPr="00D74C88" w14:paraId="1F527DCA" w14:textId="77777777" w:rsidTr="003D4725">
        <w:trPr>
          <w:trHeight w:val="634"/>
        </w:trPr>
        <w:tc>
          <w:tcPr>
            <w:tcW w:w="1665" w:type="pct"/>
            <w:vMerge w:val="restart"/>
            <w:shd w:val="clear" w:color="auto" w:fill="auto"/>
            <w:noWrap/>
            <w:vAlign w:val="center"/>
            <w:hideMark/>
          </w:tcPr>
          <w:p w14:paraId="5BC5937F" w14:textId="2A8384A8" w:rsidR="0000349A" w:rsidRPr="00D74C88" w:rsidRDefault="0000349A" w:rsidP="00072345">
            <w:pPr>
              <w:spacing w:before="0" w:after="0"/>
              <w:rPr>
                <w:rFonts w:eastAsia="Times New Roman" w:cstheme="minorHAnsi"/>
                <w:color w:val="000000"/>
                <w:sz w:val="20"/>
                <w:szCs w:val="20"/>
                <w:lang w:eastAsia="es-MX"/>
              </w:rPr>
            </w:pPr>
            <w:bookmarkStart w:id="52" w:name="_Hlk44249063"/>
            <w:r w:rsidRPr="00D74C88">
              <w:rPr>
                <w:rFonts w:eastAsia="Times New Roman" w:cstheme="minorHAnsi"/>
                <w:color w:val="000000"/>
                <w:sz w:val="20"/>
                <w:szCs w:val="20"/>
                <w:lang w:eastAsia="es-MX"/>
              </w:rPr>
              <w:t xml:space="preserve"> 4. Garantizar una educación inclusiva, equitativa y de calidad y promover oportunidades de aprendizaje durante toda la vida para todos</w:t>
            </w:r>
            <w:bookmarkEnd w:id="52"/>
          </w:p>
        </w:tc>
        <w:tc>
          <w:tcPr>
            <w:tcW w:w="1775" w:type="pct"/>
            <w:vMerge w:val="restart"/>
            <w:shd w:val="clear" w:color="auto" w:fill="auto"/>
            <w:vAlign w:val="center"/>
            <w:hideMark/>
          </w:tcPr>
          <w:p w14:paraId="45B8472D" w14:textId="77777777" w:rsidR="0000349A" w:rsidRPr="00D74C88" w:rsidRDefault="0000349A" w:rsidP="00072345">
            <w:pPr>
              <w:spacing w:before="0" w:after="0"/>
              <w:rPr>
                <w:rFonts w:eastAsia="Times New Roman" w:cstheme="minorHAnsi"/>
                <w:color w:val="000000"/>
                <w:sz w:val="20"/>
                <w:szCs w:val="20"/>
                <w:lang w:eastAsia="es-MX"/>
              </w:rPr>
            </w:pPr>
            <w:r w:rsidRPr="00D74C88">
              <w:rPr>
                <w:rFonts w:eastAsia="Times New Roman" w:cstheme="minorHAnsi"/>
                <w:color w:val="000000"/>
                <w:sz w:val="20"/>
                <w:szCs w:val="20"/>
                <w:lang w:eastAsia="es-MX"/>
              </w:rPr>
              <w:t>4.1 De aquí a 2030, asegurar que todas las niñas y todos los niños terminen la enseñanza primaria y secundaria, que ha de ser gratuita, equitativa y de calidad y producir resultados de aprendizaje pertinentes y efectivos.</w:t>
            </w:r>
          </w:p>
        </w:tc>
        <w:tc>
          <w:tcPr>
            <w:tcW w:w="1560" w:type="pct"/>
            <w:shd w:val="clear" w:color="auto" w:fill="auto"/>
            <w:noWrap/>
            <w:vAlign w:val="center"/>
            <w:hideMark/>
          </w:tcPr>
          <w:p w14:paraId="498F7399" w14:textId="71440704" w:rsidR="0000349A" w:rsidRPr="00D74C88" w:rsidRDefault="007F78F7" w:rsidP="00072345">
            <w:pPr>
              <w:spacing w:before="0" w:after="0"/>
              <w:jc w:val="left"/>
              <w:rPr>
                <w:rFonts w:eastAsia="Times New Roman" w:cstheme="minorHAnsi"/>
                <w:color w:val="000000"/>
                <w:sz w:val="20"/>
                <w:szCs w:val="20"/>
                <w:lang w:eastAsia="es-MX"/>
              </w:rPr>
            </w:pPr>
            <w:r w:rsidRPr="00D74C88">
              <w:rPr>
                <w:rFonts w:eastAsia="Times New Roman" w:cstheme="minorHAnsi"/>
                <w:color w:val="000000"/>
                <w:sz w:val="20"/>
                <w:szCs w:val="20"/>
                <w:lang w:eastAsia="es-MX"/>
              </w:rPr>
              <w:t>I</w:t>
            </w:r>
            <w:r w:rsidR="0000349A" w:rsidRPr="00D74C88">
              <w:rPr>
                <w:rFonts w:eastAsia="Times New Roman" w:cstheme="minorHAnsi"/>
                <w:color w:val="000000"/>
                <w:sz w:val="20"/>
                <w:szCs w:val="20"/>
                <w:lang w:eastAsia="es-MX"/>
              </w:rPr>
              <w:t xml:space="preserve">nfraestructura </w:t>
            </w:r>
            <w:r w:rsidRPr="00D74C88">
              <w:rPr>
                <w:rFonts w:eastAsia="Times New Roman" w:cstheme="minorHAnsi"/>
                <w:color w:val="000000"/>
                <w:sz w:val="20"/>
                <w:szCs w:val="20"/>
                <w:lang w:eastAsia="es-MX"/>
              </w:rPr>
              <w:t>en educación</w:t>
            </w:r>
          </w:p>
        </w:tc>
      </w:tr>
      <w:tr w:rsidR="0000349A" w:rsidRPr="00D74C88" w14:paraId="4E0D44F4" w14:textId="77777777" w:rsidTr="003D4725">
        <w:trPr>
          <w:trHeight w:val="324"/>
        </w:trPr>
        <w:tc>
          <w:tcPr>
            <w:tcW w:w="1665" w:type="pct"/>
            <w:vMerge/>
            <w:vAlign w:val="center"/>
            <w:hideMark/>
          </w:tcPr>
          <w:p w14:paraId="3AB0739E" w14:textId="77777777" w:rsidR="0000349A" w:rsidRPr="00D74C88" w:rsidRDefault="0000349A" w:rsidP="00072345">
            <w:pPr>
              <w:spacing w:before="0" w:after="0"/>
              <w:rPr>
                <w:rFonts w:eastAsia="Times New Roman" w:cstheme="minorHAnsi"/>
                <w:color w:val="000000"/>
                <w:sz w:val="20"/>
                <w:szCs w:val="20"/>
                <w:lang w:eastAsia="es-MX"/>
              </w:rPr>
            </w:pPr>
          </w:p>
        </w:tc>
        <w:tc>
          <w:tcPr>
            <w:tcW w:w="1775" w:type="pct"/>
            <w:vMerge/>
            <w:vAlign w:val="center"/>
            <w:hideMark/>
          </w:tcPr>
          <w:p w14:paraId="1E5047F2" w14:textId="77777777" w:rsidR="0000349A" w:rsidRPr="00D74C88" w:rsidRDefault="0000349A" w:rsidP="00072345">
            <w:pPr>
              <w:spacing w:before="0" w:after="0"/>
              <w:jc w:val="center"/>
              <w:rPr>
                <w:rFonts w:eastAsia="Times New Roman" w:cstheme="minorHAnsi"/>
                <w:color w:val="000000"/>
                <w:sz w:val="20"/>
                <w:szCs w:val="20"/>
                <w:lang w:eastAsia="es-MX"/>
              </w:rPr>
            </w:pPr>
          </w:p>
        </w:tc>
        <w:tc>
          <w:tcPr>
            <w:tcW w:w="1560" w:type="pct"/>
            <w:shd w:val="clear" w:color="auto" w:fill="auto"/>
            <w:noWrap/>
            <w:vAlign w:val="center"/>
            <w:hideMark/>
          </w:tcPr>
          <w:p w14:paraId="08E4D6B3" w14:textId="16E01FC3" w:rsidR="0000349A" w:rsidRPr="00D74C88" w:rsidRDefault="0000349A" w:rsidP="00072345">
            <w:pPr>
              <w:spacing w:before="0" w:after="0"/>
              <w:jc w:val="left"/>
              <w:rPr>
                <w:rFonts w:eastAsia="Times New Roman" w:cstheme="minorHAnsi"/>
                <w:color w:val="000000"/>
                <w:sz w:val="20"/>
                <w:szCs w:val="20"/>
                <w:lang w:eastAsia="es-MX"/>
              </w:rPr>
            </w:pPr>
            <w:r w:rsidRPr="00D74C88">
              <w:rPr>
                <w:rFonts w:eastAsia="Times New Roman" w:cstheme="minorHAnsi"/>
                <w:color w:val="000000"/>
                <w:sz w:val="20"/>
                <w:szCs w:val="20"/>
                <w:lang w:eastAsia="es-MX"/>
              </w:rPr>
              <w:t xml:space="preserve">Programa </w:t>
            </w:r>
            <w:r w:rsidR="00C11566" w:rsidRPr="00D74C88">
              <w:rPr>
                <w:rFonts w:eastAsia="Times New Roman" w:cstheme="minorHAnsi"/>
                <w:color w:val="000000"/>
                <w:sz w:val="20"/>
                <w:szCs w:val="20"/>
                <w:lang w:eastAsia="es-MX"/>
              </w:rPr>
              <w:t>de becas (apoyos a la educación</w:t>
            </w:r>
          </w:p>
        </w:tc>
      </w:tr>
      <w:tr w:rsidR="0000349A" w:rsidRPr="00D74C88" w14:paraId="40210F19" w14:textId="77777777" w:rsidTr="003D4725">
        <w:trPr>
          <w:trHeight w:val="634"/>
        </w:trPr>
        <w:tc>
          <w:tcPr>
            <w:tcW w:w="1665" w:type="pct"/>
            <w:shd w:val="clear" w:color="auto" w:fill="auto"/>
            <w:noWrap/>
            <w:vAlign w:val="center"/>
            <w:hideMark/>
          </w:tcPr>
          <w:p w14:paraId="6E1B19C2" w14:textId="77777777" w:rsidR="0000349A" w:rsidRPr="00D74C88" w:rsidRDefault="0000349A" w:rsidP="00072345">
            <w:pPr>
              <w:spacing w:before="0" w:after="0"/>
              <w:rPr>
                <w:rFonts w:eastAsia="Times New Roman" w:cstheme="minorHAnsi"/>
                <w:color w:val="000000"/>
                <w:sz w:val="20"/>
                <w:szCs w:val="20"/>
                <w:lang w:eastAsia="es-MX"/>
              </w:rPr>
            </w:pPr>
            <w:bookmarkStart w:id="53" w:name="_Hlk44249070"/>
            <w:r w:rsidRPr="00D74C88">
              <w:rPr>
                <w:rFonts w:eastAsia="Times New Roman" w:cstheme="minorHAnsi"/>
                <w:color w:val="000000"/>
                <w:sz w:val="20"/>
                <w:szCs w:val="20"/>
                <w:lang w:eastAsia="es-MX"/>
              </w:rPr>
              <w:t>6. Garantizar la disponibilidad de agua y su gestión sostenible y el saneamiento para todos</w:t>
            </w:r>
          </w:p>
        </w:tc>
        <w:tc>
          <w:tcPr>
            <w:tcW w:w="1775" w:type="pct"/>
            <w:shd w:val="clear" w:color="auto" w:fill="auto"/>
            <w:vAlign w:val="center"/>
            <w:hideMark/>
          </w:tcPr>
          <w:p w14:paraId="20B80E81" w14:textId="77777777" w:rsidR="0000349A" w:rsidRPr="00D74C88" w:rsidRDefault="0000349A" w:rsidP="00072345">
            <w:pPr>
              <w:spacing w:before="0" w:after="0"/>
              <w:rPr>
                <w:rFonts w:eastAsia="Times New Roman" w:cstheme="minorHAnsi"/>
                <w:color w:val="000000"/>
                <w:sz w:val="20"/>
                <w:szCs w:val="20"/>
                <w:lang w:eastAsia="es-MX"/>
              </w:rPr>
            </w:pPr>
            <w:r w:rsidRPr="00D74C88">
              <w:rPr>
                <w:rFonts w:eastAsia="Times New Roman" w:cstheme="minorHAnsi"/>
                <w:color w:val="000000"/>
                <w:sz w:val="20"/>
                <w:szCs w:val="20"/>
                <w:lang w:eastAsia="es-MX"/>
              </w:rPr>
              <w:t>6.1 De aquí a 2030, lograr el acceso universal y equitativo al agua potable a un precio asequible para todos.</w:t>
            </w:r>
          </w:p>
        </w:tc>
        <w:tc>
          <w:tcPr>
            <w:tcW w:w="1560" w:type="pct"/>
            <w:shd w:val="clear" w:color="auto" w:fill="auto"/>
            <w:noWrap/>
            <w:vAlign w:val="center"/>
            <w:hideMark/>
          </w:tcPr>
          <w:p w14:paraId="50113B69" w14:textId="54FBC998" w:rsidR="0000349A" w:rsidRPr="00D74C88" w:rsidRDefault="00C11566" w:rsidP="00072345">
            <w:pPr>
              <w:spacing w:before="0" w:after="0"/>
              <w:jc w:val="left"/>
              <w:rPr>
                <w:rFonts w:eastAsia="Times New Roman" w:cstheme="minorHAnsi"/>
                <w:color w:val="000000"/>
                <w:sz w:val="20"/>
                <w:szCs w:val="20"/>
                <w:lang w:eastAsia="es-MX"/>
              </w:rPr>
            </w:pPr>
            <w:r w:rsidRPr="00D74C88">
              <w:rPr>
                <w:rFonts w:eastAsia="Times New Roman" w:cstheme="minorHAnsi"/>
                <w:color w:val="000000"/>
                <w:sz w:val="20"/>
                <w:szCs w:val="20"/>
                <w:lang w:eastAsia="es-MX"/>
              </w:rPr>
              <w:t>Agua drenaje y saneamiento</w:t>
            </w:r>
          </w:p>
        </w:tc>
      </w:tr>
      <w:tr w:rsidR="007F78F7" w:rsidRPr="00D74C88" w14:paraId="009C5740" w14:textId="77777777" w:rsidTr="003D4725">
        <w:trPr>
          <w:trHeight w:val="634"/>
        </w:trPr>
        <w:tc>
          <w:tcPr>
            <w:tcW w:w="1665" w:type="pct"/>
            <w:vMerge w:val="restart"/>
            <w:shd w:val="clear" w:color="auto" w:fill="auto"/>
            <w:noWrap/>
            <w:vAlign w:val="center"/>
            <w:hideMark/>
          </w:tcPr>
          <w:p w14:paraId="4F4D17C2" w14:textId="77777777" w:rsidR="007F78F7" w:rsidRPr="00D74C88" w:rsidRDefault="007F78F7" w:rsidP="00072345">
            <w:pPr>
              <w:spacing w:before="0" w:after="0"/>
              <w:rPr>
                <w:rFonts w:eastAsia="Times New Roman" w:cstheme="minorHAnsi"/>
                <w:color w:val="000000"/>
                <w:sz w:val="20"/>
                <w:szCs w:val="20"/>
                <w:lang w:eastAsia="es-MX"/>
              </w:rPr>
            </w:pPr>
            <w:bookmarkStart w:id="54" w:name="_Hlk44249089"/>
            <w:bookmarkEnd w:id="53"/>
            <w:r w:rsidRPr="00D74C88">
              <w:rPr>
                <w:rFonts w:eastAsia="Times New Roman" w:cstheme="minorHAnsi"/>
                <w:color w:val="000000"/>
                <w:sz w:val="20"/>
                <w:szCs w:val="20"/>
                <w:lang w:eastAsia="es-MX"/>
              </w:rPr>
              <w:t>9. Construir infraestructuras resilientes, promover la industrialización inclusiva y sostenible y fomentar la innovación</w:t>
            </w:r>
            <w:bookmarkEnd w:id="54"/>
          </w:p>
        </w:tc>
        <w:tc>
          <w:tcPr>
            <w:tcW w:w="1775" w:type="pct"/>
            <w:vMerge w:val="restart"/>
            <w:shd w:val="clear" w:color="auto" w:fill="auto"/>
            <w:vAlign w:val="center"/>
            <w:hideMark/>
          </w:tcPr>
          <w:p w14:paraId="5B9559F9" w14:textId="77777777" w:rsidR="007F78F7" w:rsidRPr="00D74C88" w:rsidRDefault="007F78F7" w:rsidP="00072345">
            <w:pPr>
              <w:spacing w:before="0" w:after="0"/>
              <w:rPr>
                <w:rFonts w:eastAsia="Times New Roman" w:cstheme="minorHAnsi"/>
                <w:color w:val="000000"/>
                <w:sz w:val="20"/>
                <w:szCs w:val="20"/>
                <w:lang w:eastAsia="es-MX"/>
              </w:rPr>
            </w:pPr>
            <w:r w:rsidRPr="00D74C88">
              <w:rPr>
                <w:rFonts w:eastAsia="Times New Roman" w:cstheme="minorHAnsi"/>
                <w:color w:val="000000"/>
                <w:sz w:val="20"/>
                <w:szCs w:val="20"/>
                <w:lang w:eastAsia="es-MX"/>
              </w:rPr>
              <w:t>9.1 Desarrollar infraestructuras fiables, sostenibles, resilientes y de calidad, incluidas infraestructuras regionales y transfronterizas, para apoyar el desarrollo económico y el bienestar humano, haciendo especial hincapié en el acceso asequible y equitativo para todos.</w:t>
            </w:r>
          </w:p>
        </w:tc>
        <w:tc>
          <w:tcPr>
            <w:tcW w:w="1560" w:type="pct"/>
            <w:shd w:val="clear" w:color="auto" w:fill="auto"/>
            <w:noWrap/>
            <w:vAlign w:val="center"/>
          </w:tcPr>
          <w:p w14:paraId="0BA97FE6" w14:textId="10A6F4C2" w:rsidR="007F78F7" w:rsidRPr="00D74C88" w:rsidRDefault="007F78F7" w:rsidP="00072345">
            <w:pPr>
              <w:spacing w:before="0" w:after="0"/>
              <w:jc w:val="left"/>
              <w:rPr>
                <w:rFonts w:eastAsia="Times New Roman" w:cstheme="minorHAnsi"/>
                <w:color w:val="000000"/>
                <w:sz w:val="20"/>
                <w:szCs w:val="20"/>
                <w:lang w:eastAsia="es-MX"/>
              </w:rPr>
            </w:pPr>
            <w:r w:rsidRPr="00D74C88">
              <w:rPr>
                <w:rFonts w:eastAsia="Times New Roman" w:cstheme="minorHAnsi"/>
                <w:color w:val="000000"/>
                <w:sz w:val="20"/>
                <w:szCs w:val="20"/>
                <w:lang w:eastAsia="es-MX"/>
              </w:rPr>
              <w:t>Infraestructura de comunicaciones</w:t>
            </w:r>
          </w:p>
        </w:tc>
      </w:tr>
      <w:tr w:rsidR="007F78F7" w:rsidRPr="00D74C88" w14:paraId="3955F1C4" w14:textId="77777777" w:rsidTr="003D4725">
        <w:trPr>
          <w:trHeight w:val="324"/>
        </w:trPr>
        <w:tc>
          <w:tcPr>
            <w:tcW w:w="1665" w:type="pct"/>
            <w:vMerge/>
            <w:vAlign w:val="center"/>
            <w:hideMark/>
          </w:tcPr>
          <w:p w14:paraId="08CBEAAD" w14:textId="77777777" w:rsidR="007F78F7" w:rsidRPr="00D74C88" w:rsidRDefault="007F78F7" w:rsidP="00072345">
            <w:pPr>
              <w:spacing w:before="0" w:after="0"/>
              <w:rPr>
                <w:rFonts w:eastAsia="Times New Roman" w:cstheme="minorHAnsi"/>
                <w:color w:val="000000"/>
                <w:sz w:val="20"/>
                <w:szCs w:val="20"/>
                <w:lang w:eastAsia="es-MX"/>
              </w:rPr>
            </w:pPr>
          </w:p>
        </w:tc>
        <w:tc>
          <w:tcPr>
            <w:tcW w:w="1775" w:type="pct"/>
            <w:vMerge/>
            <w:vAlign w:val="center"/>
            <w:hideMark/>
          </w:tcPr>
          <w:p w14:paraId="11F699B6" w14:textId="77777777" w:rsidR="007F78F7" w:rsidRPr="00D74C88" w:rsidRDefault="007F78F7" w:rsidP="00072345">
            <w:pPr>
              <w:spacing w:before="0" w:after="0"/>
              <w:jc w:val="center"/>
              <w:rPr>
                <w:rFonts w:eastAsia="Times New Roman" w:cstheme="minorHAnsi"/>
                <w:color w:val="000000"/>
                <w:sz w:val="20"/>
                <w:szCs w:val="20"/>
                <w:lang w:eastAsia="es-MX"/>
              </w:rPr>
            </w:pPr>
          </w:p>
        </w:tc>
        <w:tc>
          <w:tcPr>
            <w:tcW w:w="1560" w:type="pct"/>
            <w:shd w:val="clear" w:color="auto" w:fill="auto"/>
            <w:noWrap/>
            <w:vAlign w:val="center"/>
          </w:tcPr>
          <w:p w14:paraId="3C739633" w14:textId="44E3AE1F" w:rsidR="007F78F7" w:rsidRPr="00D74C88" w:rsidRDefault="007F78F7" w:rsidP="00072345">
            <w:pPr>
              <w:spacing w:before="0" w:after="0"/>
              <w:jc w:val="left"/>
              <w:rPr>
                <w:rFonts w:eastAsia="Times New Roman" w:cstheme="minorHAnsi"/>
                <w:color w:val="000000"/>
                <w:sz w:val="20"/>
                <w:szCs w:val="20"/>
                <w:lang w:eastAsia="es-MX"/>
              </w:rPr>
            </w:pPr>
            <w:r w:rsidRPr="00D74C88">
              <w:rPr>
                <w:rFonts w:eastAsia="Times New Roman" w:cstheme="minorHAnsi"/>
                <w:color w:val="000000"/>
                <w:sz w:val="20"/>
                <w:szCs w:val="20"/>
                <w:lang w:eastAsia="es-MX"/>
              </w:rPr>
              <w:t>Inversión en Turismo</w:t>
            </w:r>
          </w:p>
        </w:tc>
      </w:tr>
      <w:tr w:rsidR="007F78F7" w:rsidRPr="00D74C88" w14:paraId="2743F6A1" w14:textId="77777777" w:rsidTr="003D4725">
        <w:trPr>
          <w:trHeight w:val="324"/>
        </w:trPr>
        <w:tc>
          <w:tcPr>
            <w:tcW w:w="1665" w:type="pct"/>
            <w:vMerge/>
            <w:vAlign w:val="center"/>
            <w:hideMark/>
          </w:tcPr>
          <w:p w14:paraId="3128B615" w14:textId="77777777" w:rsidR="007F78F7" w:rsidRPr="00D74C88" w:rsidRDefault="007F78F7" w:rsidP="00072345">
            <w:pPr>
              <w:spacing w:before="0" w:after="0"/>
              <w:rPr>
                <w:rFonts w:eastAsia="Times New Roman" w:cstheme="minorHAnsi"/>
                <w:color w:val="000000"/>
                <w:sz w:val="20"/>
                <w:szCs w:val="20"/>
                <w:lang w:eastAsia="es-MX"/>
              </w:rPr>
            </w:pPr>
          </w:p>
        </w:tc>
        <w:tc>
          <w:tcPr>
            <w:tcW w:w="1775" w:type="pct"/>
            <w:vMerge/>
            <w:vAlign w:val="center"/>
            <w:hideMark/>
          </w:tcPr>
          <w:p w14:paraId="01DE2138" w14:textId="77777777" w:rsidR="007F78F7" w:rsidRPr="00D74C88" w:rsidRDefault="007F78F7" w:rsidP="00072345">
            <w:pPr>
              <w:spacing w:before="0" w:after="0"/>
              <w:jc w:val="center"/>
              <w:rPr>
                <w:rFonts w:eastAsia="Times New Roman" w:cstheme="minorHAnsi"/>
                <w:color w:val="000000"/>
                <w:sz w:val="20"/>
                <w:szCs w:val="20"/>
                <w:lang w:eastAsia="es-MX"/>
              </w:rPr>
            </w:pPr>
          </w:p>
        </w:tc>
        <w:tc>
          <w:tcPr>
            <w:tcW w:w="1560" w:type="pct"/>
            <w:shd w:val="clear" w:color="auto" w:fill="auto"/>
            <w:noWrap/>
            <w:vAlign w:val="center"/>
          </w:tcPr>
          <w:p w14:paraId="41AD0FCD" w14:textId="46CD8106" w:rsidR="007F78F7" w:rsidRPr="00D74C88" w:rsidRDefault="007F78F7" w:rsidP="00072345">
            <w:pPr>
              <w:spacing w:before="0" w:after="0"/>
              <w:jc w:val="left"/>
              <w:rPr>
                <w:rFonts w:eastAsia="Times New Roman" w:cstheme="minorHAnsi"/>
                <w:color w:val="000000"/>
                <w:sz w:val="20"/>
                <w:szCs w:val="20"/>
                <w:lang w:eastAsia="es-MX"/>
              </w:rPr>
            </w:pPr>
            <w:r w:rsidRPr="00D74C88">
              <w:rPr>
                <w:rFonts w:eastAsia="Times New Roman" w:cstheme="minorHAnsi"/>
                <w:color w:val="000000"/>
                <w:sz w:val="20"/>
                <w:szCs w:val="20"/>
                <w:lang w:eastAsia="es-MX"/>
              </w:rPr>
              <w:t>Desarrollo de pueblos mágicos</w:t>
            </w:r>
          </w:p>
        </w:tc>
      </w:tr>
      <w:tr w:rsidR="007F78F7" w:rsidRPr="00D74C88" w14:paraId="7B976328" w14:textId="77777777" w:rsidTr="003D4725">
        <w:trPr>
          <w:trHeight w:val="324"/>
        </w:trPr>
        <w:tc>
          <w:tcPr>
            <w:tcW w:w="1665" w:type="pct"/>
            <w:vMerge/>
            <w:vAlign w:val="center"/>
          </w:tcPr>
          <w:p w14:paraId="17FD35F8" w14:textId="77777777" w:rsidR="007F78F7" w:rsidRPr="00D74C88" w:rsidRDefault="007F78F7" w:rsidP="00072345">
            <w:pPr>
              <w:spacing w:before="0" w:after="0"/>
              <w:rPr>
                <w:rFonts w:eastAsia="Times New Roman" w:cstheme="minorHAnsi"/>
                <w:color w:val="000000"/>
                <w:sz w:val="20"/>
                <w:szCs w:val="20"/>
                <w:lang w:eastAsia="es-MX"/>
              </w:rPr>
            </w:pPr>
          </w:p>
        </w:tc>
        <w:tc>
          <w:tcPr>
            <w:tcW w:w="1775" w:type="pct"/>
            <w:vMerge/>
            <w:vAlign w:val="center"/>
          </w:tcPr>
          <w:p w14:paraId="680C1953" w14:textId="77777777" w:rsidR="007F78F7" w:rsidRPr="00D74C88" w:rsidRDefault="007F78F7" w:rsidP="00072345">
            <w:pPr>
              <w:spacing w:before="0" w:after="0"/>
              <w:jc w:val="center"/>
              <w:rPr>
                <w:rFonts w:eastAsia="Times New Roman" w:cstheme="minorHAnsi"/>
                <w:color w:val="000000"/>
                <w:sz w:val="20"/>
                <w:szCs w:val="20"/>
                <w:lang w:eastAsia="es-MX"/>
              </w:rPr>
            </w:pPr>
          </w:p>
        </w:tc>
        <w:tc>
          <w:tcPr>
            <w:tcW w:w="1560" w:type="pct"/>
            <w:shd w:val="clear" w:color="auto" w:fill="auto"/>
            <w:noWrap/>
            <w:vAlign w:val="center"/>
          </w:tcPr>
          <w:p w14:paraId="333461C4" w14:textId="1B96807B" w:rsidR="007F78F7" w:rsidRPr="00D74C88" w:rsidRDefault="007F78F7" w:rsidP="00072345">
            <w:pPr>
              <w:spacing w:before="0" w:after="0"/>
              <w:jc w:val="left"/>
              <w:rPr>
                <w:rFonts w:eastAsia="Times New Roman" w:cstheme="minorHAnsi"/>
                <w:color w:val="000000"/>
                <w:sz w:val="20"/>
                <w:szCs w:val="20"/>
                <w:lang w:eastAsia="es-MX"/>
              </w:rPr>
            </w:pPr>
            <w:r w:rsidRPr="00D74C88">
              <w:rPr>
                <w:rFonts w:eastAsia="Times New Roman" w:cstheme="minorHAnsi"/>
                <w:color w:val="000000"/>
                <w:sz w:val="20"/>
                <w:szCs w:val="20"/>
                <w:lang w:eastAsia="es-MX"/>
              </w:rPr>
              <w:t>Programas hidroagrícolas</w:t>
            </w:r>
          </w:p>
        </w:tc>
      </w:tr>
      <w:tr w:rsidR="0000349A" w:rsidRPr="00D74C88" w14:paraId="1C358C8F" w14:textId="77777777" w:rsidTr="003D4725">
        <w:trPr>
          <w:trHeight w:val="860"/>
        </w:trPr>
        <w:tc>
          <w:tcPr>
            <w:tcW w:w="1665" w:type="pct"/>
            <w:vMerge w:val="restart"/>
            <w:shd w:val="clear" w:color="auto" w:fill="auto"/>
            <w:noWrap/>
            <w:vAlign w:val="center"/>
            <w:hideMark/>
          </w:tcPr>
          <w:p w14:paraId="75595015" w14:textId="20096D77" w:rsidR="0000349A" w:rsidRPr="00D74C88" w:rsidRDefault="0000349A" w:rsidP="00072345">
            <w:pPr>
              <w:spacing w:before="0" w:after="0"/>
              <w:rPr>
                <w:rFonts w:eastAsia="Times New Roman" w:cstheme="minorHAnsi"/>
                <w:color w:val="000000"/>
                <w:sz w:val="20"/>
                <w:szCs w:val="20"/>
                <w:lang w:eastAsia="es-MX"/>
              </w:rPr>
            </w:pPr>
            <w:bookmarkStart w:id="55" w:name="_Hlk44249102"/>
            <w:r w:rsidRPr="00D74C88">
              <w:rPr>
                <w:rFonts w:eastAsia="Times New Roman" w:cstheme="minorHAnsi"/>
                <w:color w:val="000000"/>
                <w:sz w:val="20"/>
                <w:szCs w:val="20"/>
                <w:lang w:eastAsia="es-MX"/>
              </w:rPr>
              <w:t>11.</w:t>
            </w:r>
            <w:r w:rsidR="00C9106C">
              <w:rPr>
                <w:rFonts w:eastAsia="Times New Roman" w:cstheme="minorHAnsi"/>
                <w:color w:val="000000"/>
                <w:sz w:val="20"/>
                <w:szCs w:val="20"/>
                <w:lang w:eastAsia="es-MX"/>
              </w:rPr>
              <w:t xml:space="preserve"> </w:t>
            </w:r>
            <w:r w:rsidRPr="00D74C88">
              <w:rPr>
                <w:rFonts w:eastAsia="Times New Roman" w:cstheme="minorHAnsi"/>
                <w:color w:val="000000"/>
                <w:sz w:val="20"/>
                <w:szCs w:val="20"/>
                <w:lang w:eastAsia="es-MX"/>
              </w:rPr>
              <w:t>Lograr que las ciudades y los asentamientos humanos sean inclusivos, seguros, resilientes y sostenibles</w:t>
            </w:r>
            <w:bookmarkEnd w:id="55"/>
          </w:p>
        </w:tc>
        <w:tc>
          <w:tcPr>
            <w:tcW w:w="1775" w:type="pct"/>
            <w:vMerge w:val="restart"/>
            <w:shd w:val="clear" w:color="auto" w:fill="auto"/>
            <w:vAlign w:val="center"/>
            <w:hideMark/>
          </w:tcPr>
          <w:p w14:paraId="7E622E69" w14:textId="77777777" w:rsidR="0000349A" w:rsidRPr="00D74C88" w:rsidRDefault="0000349A" w:rsidP="00072345">
            <w:pPr>
              <w:spacing w:before="0" w:after="0"/>
              <w:rPr>
                <w:rFonts w:eastAsia="Times New Roman" w:cstheme="minorHAnsi"/>
                <w:color w:val="000000"/>
                <w:sz w:val="20"/>
                <w:szCs w:val="20"/>
                <w:lang w:eastAsia="es-MX"/>
              </w:rPr>
            </w:pPr>
            <w:r w:rsidRPr="00D74C88">
              <w:rPr>
                <w:rFonts w:eastAsia="Times New Roman" w:cstheme="minorHAnsi"/>
                <w:color w:val="000000"/>
                <w:sz w:val="20"/>
                <w:szCs w:val="20"/>
                <w:lang w:eastAsia="es-MX"/>
              </w:rPr>
              <w:t>11.1 De aquí a 2030, asegurar el acceso de todas las personas a viviendas y servicios básicos adecuados, seguros y asequibles y mejorar los barrios marginales.</w:t>
            </w:r>
          </w:p>
          <w:p w14:paraId="179B6ADB" w14:textId="77777777" w:rsidR="0000349A" w:rsidRPr="00D74C88" w:rsidRDefault="0000349A" w:rsidP="00072345">
            <w:pPr>
              <w:spacing w:before="0" w:after="0"/>
              <w:rPr>
                <w:rFonts w:eastAsia="Times New Roman" w:cstheme="minorHAnsi"/>
                <w:color w:val="000000"/>
                <w:sz w:val="20"/>
                <w:szCs w:val="20"/>
                <w:lang w:eastAsia="es-MX"/>
              </w:rPr>
            </w:pPr>
            <w:r w:rsidRPr="00D74C88">
              <w:rPr>
                <w:rFonts w:eastAsia="Times New Roman" w:cstheme="minorHAnsi"/>
                <w:color w:val="000000"/>
                <w:sz w:val="20"/>
                <w:szCs w:val="20"/>
                <w:lang w:eastAsia="es-MX"/>
              </w:rPr>
              <w:t>11.3 De aquí a 2030, aumentar la urbanización inclusiva y sostenible y la capacidad para la planificación y la gestión participativas, integradas y sostenibles de los asentamientos humanos en todos los países</w:t>
            </w:r>
          </w:p>
        </w:tc>
        <w:tc>
          <w:tcPr>
            <w:tcW w:w="1560" w:type="pct"/>
            <w:shd w:val="clear" w:color="auto" w:fill="auto"/>
            <w:noWrap/>
            <w:vAlign w:val="center"/>
          </w:tcPr>
          <w:p w14:paraId="405F1F03" w14:textId="2C55FF39" w:rsidR="0000349A" w:rsidRPr="00D74C88" w:rsidRDefault="00C11566" w:rsidP="00072345">
            <w:pPr>
              <w:spacing w:before="0" w:after="0"/>
              <w:jc w:val="left"/>
              <w:rPr>
                <w:rFonts w:eastAsia="Times New Roman" w:cstheme="minorHAnsi"/>
                <w:color w:val="000000"/>
                <w:sz w:val="20"/>
                <w:szCs w:val="20"/>
                <w:lang w:eastAsia="es-MX"/>
              </w:rPr>
            </w:pPr>
            <w:r w:rsidRPr="00D74C88">
              <w:rPr>
                <w:rFonts w:eastAsia="Times New Roman" w:cstheme="minorHAnsi"/>
                <w:color w:val="000000"/>
                <w:sz w:val="20"/>
                <w:szCs w:val="20"/>
                <w:lang w:eastAsia="es-MX"/>
              </w:rPr>
              <w:t>Inversión en los municipios</w:t>
            </w:r>
          </w:p>
        </w:tc>
      </w:tr>
      <w:tr w:rsidR="0000349A" w:rsidRPr="00D74C88" w14:paraId="4F71B666" w14:textId="77777777" w:rsidTr="003D4725">
        <w:trPr>
          <w:trHeight w:val="770"/>
        </w:trPr>
        <w:tc>
          <w:tcPr>
            <w:tcW w:w="1665" w:type="pct"/>
            <w:vMerge/>
            <w:vAlign w:val="center"/>
            <w:hideMark/>
          </w:tcPr>
          <w:p w14:paraId="4D5E14F4" w14:textId="77777777" w:rsidR="0000349A" w:rsidRPr="00D74C88" w:rsidRDefault="0000349A" w:rsidP="00072345">
            <w:pPr>
              <w:spacing w:before="0" w:after="0"/>
              <w:rPr>
                <w:rFonts w:eastAsia="Times New Roman" w:cstheme="minorHAnsi"/>
                <w:color w:val="000000"/>
                <w:sz w:val="20"/>
                <w:szCs w:val="20"/>
                <w:lang w:eastAsia="es-MX"/>
              </w:rPr>
            </w:pPr>
          </w:p>
        </w:tc>
        <w:tc>
          <w:tcPr>
            <w:tcW w:w="1775" w:type="pct"/>
            <w:vMerge/>
            <w:vAlign w:val="center"/>
            <w:hideMark/>
          </w:tcPr>
          <w:p w14:paraId="2D56A7AA" w14:textId="77777777" w:rsidR="0000349A" w:rsidRPr="00D74C88" w:rsidRDefault="0000349A" w:rsidP="00072345">
            <w:pPr>
              <w:spacing w:before="0" w:after="0"/>
              <w:jc w:val="center"/>
              <w:rPr>
                <w:rFonts w:eastAsia="Times New Roman" w:cstheme="minorHAnsi"/>
                <w:color w:val="000000"/>
                <w:sz w:val="20"/>
                <w:szCs w:val="20"/>
                <w:lang w:eastAsia="es-MX"/>
              </w:rPr>
            </w:pPr>
          </w:p>
        </w:tc>
        <w:tc>
          <w:tcPr>
            <w:tcW w:w="1560" w:type="pct"/>
            <w:shd w:val="clear" w:color="auto" w:fill="auto"/>
            <w:noWrap/>
            <w:vAlign w:val="center"/>
          </w:tcPr>
          <w:p w14:paraId="706AE21F" w14:textId="67576B3D" w:rsidR="0000349A" w:rsidRPr="00D74C88" w:rsidRDefault="00C11566" w:rsidP="00072345">
            <w:pPr>
              <w:spacing w:before="0" w:after="0"/>
              <w:jc w:val="left"/>
              <w:rPr>
                <w:rFonts w:eastAsia="Times New Roman" w:cstheme="minorHAnsi"/>
                <w:color w:val="000000"/>
                <w:sz w:val="20"/>
                <w:szCs w:val="20"/>
                <w:lang w:eastAsia="es-MX"/>
              </w:rPr>
            </w:pPr>
            <w:r w:rsidRPr="00D74C88">
              <w:rPr>
                <w:rFonts w:eastAsia="Times New Roman" w:cstheme="minorHAnsi"/>
                <w:color w:val="000000"/>
                <w:sz w:val="20"/>
                <w:szCs w:val="20"/>
                <w:lang w:eastAsia="es-MX"/>
              </w:rPr>
              <w:t>Inversión en obras públicas</w:t>
            </w:r>
          </w:p>
        </w:tc>
      </w:tr>
      <w:tr w:rsidR="00C11566" w:rsidRPr="00D74C88" w14:paraId="772D549B" w14:textId="77777777" w:rsidTr="003D4725">
        <w:trPr>
          <w:trHeight w:val="972"/>
        </w:trPr>
        <w:tc>
          <w:tcPr>
            <w:tcW w:w="1665" w:type="pct"/>
            <w:vMerge/>
            <w:vAlign w:val="center"/>
            <w:hideMark/>
          </w:tcPr>
          <w:p w14:paraId="586F39B3" w14:textId="77777777" w:rsidR="00C11566" w:rsidRPr="00D74C88" w:rsidRDefault="00C11566" w:rsidP="00072345">
            <w:pPr>
              <w:spacing w:before="0" w:after="0"/>
              <w:rPr>
                <w:rFonts w:eastAsia="Times New Roman" w:cstheme="minorHAnsi"/>
                <w:color w:val="000000"/>
                <w:sz w:val="20"/>
                <w:szCs w:val="20"/>
                <w:lang w:eastAsia="es-MX"/>
              </w:rPr>
            </w:pPr>
          </w:p>
        </w:tc>
        <w:tc>
          <w:tcPr>
            <w:tcW w:w="1775" w:type="pct"/>
            <w:vMerge/>
            <w:vAlign w:val="center"/>
            <w:hideMark/>
          </w:tcPr>
          <w:p w14:paraId="3E056F47" w14:textId="77777777" w:rsidR="00C11566" w:rsidRPr="00D74C88" w:rsidRDefault="00C11566" w:rsidP="00072345">
            <w:pPr>
              <w:spacing w:before="0" w:after="0"/>
              <w:jc w:val="center"/>
              <w:rPr>
                <w:rFonts w:eastAsia="Times New Roman" w:cstheme="minorHAnsi"/>
                <w:color w:val="000000"/>
                <w:sz w:val="20"/>
                <w:szCs w:val="20"/>
                <w:lang w:eastAsia="es-MX"/>
              </w:rPr>
            </w:pPr>
          </w:p>
        </w:tc>
        <w:tc>
          <w:tcPr>
            <w:tcW w:w="1560" w:type="pct"/>
            <w:shd w:val="clear" w:color="auto" w:fill="auto"/>
            <w:noWrap/>
            <w:vAlign w:val="center"/>
          </w:tcPr>
          <w:p w14:paraId="718ADC2B" w14:textId="171DEA51" w:rsidR="00C11566" w:rsidRPr="00D74C88" w:rsidRDefault="00C11566" w:rsidP="00072345">
            <w:pPr>
              <w:spacing w:before="0" w:after="0"/>
              <w:jc w:val="left"/>
              <w:rPr>
                <w:rFonts w:eastAsia="Times New Roman" w:cstheme="minorHAnsi"/>
                <w:color w:val="000000"/>
                <w:sz w:val="20"/>
                <w:szCs w:val="20"/>
                <w:lang w:eastAsia="es-MX"/>
              </w:rPr>
            </w:pPr>
            <w:r w:rsidRPr="00D74C88">
              <w:rPr>
                <w:rFonts w:eastAsia="Times New Roman" w:cstheme="minorHAnsi"/>
                <w:color w:val="000000"/>
                <w:sz w:val="20"/>
                <w:szCs w:val="20"/>
                <w:lang w:eastAsia="es-MX"/>
              </w:rPr>
              <w:t xml:space="preserve">Inversión en desarrollo social </w:t>
            </w:r>
          </w:p>
        </w:tc>
      </w:tr>
      <w:tr w:rsidR="007F78F7" w:rsidRPr="00D74C88" w14:paraId="3526C090" w14:textId="77777777" w:rsidTr="003D4725">
        <w:trPr>
          <w:trHeight w:val="547"/>
        </w:trPr>
        <w:tc>
          <w:tcPr>
            <w:tcW w:w="1665" w:type="pct"/>
            <w:vMerge w:val="restart"/>
            <w:vAlign w:val="center"/>
          </w:tcPr>
          <w:p w14:paraId="40FC0D62" w14:textId="139C379A" w:rsidR="007F78F7" w:rsidRPr="00D74C88" w:rsidRDefault="007F78F7" w:rsidP="00072345">
            <w:pPr>
              <w:spacing w:before="0" w:after="0"/>
              <w:rPr>
                <w:rFonts w:eastAsia="Times New Roman" w:cstheme="minorHAnsi"/>
                <w:color w:val="000000"/>
                <w:sz w:val="20"/>
                <w:szCs w:val="20"/>
                <w:lang w:eastAsia="es-MX"/>
              </w:rPr>
            </w:pPr>
            <w:r w:rsidRPr="00D74C88">
              <w:rPr>
                <w:rFonts w:eastAsia="Times New Roman" w:cstheme="minorHAnsi"/>
                <w:color w:val="000000"/>
                <w:sz w:val="20"/>
                <w:szCs w:val="20"/>
                <w:lang w:eastAsia="es-MX"/>
              </w:rPr>
              <w:t>10. Reducir la desigualdad en y entre los países</w:t>
            </w:r>
          </w:p>
        </w:tc>
        <w:tc>
          <w:tcPr>
            <w:tcW w:w="1775" w:type="pct"/>
            <w:vMerge w:val="restart"/>
            <w:vAlign w:val="center"/>
          </w:tcPr>
          <w:p w14:paraId="209A3781" w14:textId="5B5BCA57" w:rsidR="007F78F7" w:rsidRPr="00D74C88" w:rsidRDefault="007F78F7" w:rsidP="007F78F7">
            <w:pPr>
              <w:spacing w:before="0" w:after="0"/>
              <w:rPr>
                <w:rFonts w:eastAsia="Times New Roman" w:cstheme="minorHAnsi"/>
                <w:color w:val="000000"/>
                <w:sz w:val="20"/>
                <w:szCs w:val="20"/>
                <w:lang w:eastAsia="es-MX"/>
              </w:rPr>
            </w:pPr>
            <w:r w:rsidRPr="00D74C88">
              <w:rPr>
                <w:rFonts w:eastAsia="Times New Roman" w:cstheme="minorHAnsi"/>
                <w:color w:val="000000"/>
                <w:sz w:val="20"/>
                <w:szCs w:val="20"/>
                <w:lang w:eastAsia="es-MX"/>
              </w:rPr>
              <w:t>10.2 De aquí a 2030, potenciar y promover la inclusión social, económica y política de todas las personas, independientemente de su edad, sexo, discapacidad, raza, etnia, origen, religión o situación económica u otra condición</w:t>
            </w:r>
          </w:p>
        </w:tc>
        <w:tc>
          <w:tcPr>
            <w:tcW w:w="1560" w:type="pct"/>
            <w:shd w:val="clear" w:color="auto" w:fill="auto"/>
            <w:noWrap/>
            <w:vAlign w:val="center"/>
          </w:tcPr>
          <w:p w14:paraId="57500D9A" w14:textId="03036822" w:rsidR="007F78F7" w:rsidRPr="00D74C88" w:rsidRDefault="007F78F7" w:rsidP="00072345">
            <w:pPr>
              <w:spacing w:before="0" w:after="0"/>
              <w:jc w:val="left"/>
              <w:rPr>
                <w:rFonts w:eastAsia="Times New Roman" w:cstheme="minorHAnsi"/>
                <w:color w:val="000000"/>
                <w:sz w:val="20"/>
                <w:szCs w:val="20"/>
                <w:lang w:eastAsia="es-MX"/>
              </w:rPr>
            </w:pPr>
            <w:r w:rsidRPr="00D74C88">
              <w:rPr>
                <w:rFonts w:eastAsia="Times New Roman" w:cstheme="minorHAnsi"/>
                <w:color w:val="000000"/>
                <w:sz w:val="20"/>
                <w:szCs w:val="20"/>
                <w:lang w:eastAsia="es-MX"/>
              </w:rPr>
              <w:t>Atención a adultos mayores</w:t>
            </w:r>
          </w:p>
        </w:tc>
      </w:tr>
      <w:tr w:rsidR="007F78F7" w:rsidRPr="00D74C88" w14:paraId="0BABA605" w14:textId="77777777" w:rsidTr="003D4725">
        <w:trPr>
          <w:trHeight w:val="547"/>
        </w:trPr>
        <w:tc>
          <w:tcPr>
            <w:tcW w:w="1665" w:type="pct"/>
            <w:vMerge/>
            <w:vAlign w:val="center"/>
          </w:tcPr>
          <w:p w14:paraId="443DC902" w14:textId="77777777" w:rsidR="007F78F7" w:rsidRPr="00D74C88" w:rsidRDefault="007F78F7" w:rsidP="00072345">
            <w:pPr>
              <w:spacing w:before="0" w:after="0"/>
              <w:rPr>
                <w:rFonts w:eastAsia="Times New Roman" w:cstheme="minorHAnsi"/>
                <w:color w:val="000000"/>
                <w:sz w:val="20"/>
                <w:szCs w:val="20"/>
                <w:lang w:eastAsia="es-MX"/>
              </w:rPr>
            </w:pPr>
          </w:p>
        </w:tc>
        <w:tc>
          <w:tcPr>
            <w:tcW w:w="1775" w:type="pct"/>
            <w:vMerge/>
            <w:vAlign w:val="center"/>
          </w:tcPr>
          <w:p w14:paraId="11552533" w14:textId="77777777" w:rsidR="007F78F7" w:rsidRPr="00D74C88" w:rsidRDefault="007F78F7" w:rsidP="007F78F7">
            <w:pPr>
              <w:spacing w:before="0" w:after="0"/>
              <w:rPr>
                <w:rFonts w:eastAsia="Times New Roman" w:cstheme="minorHAnsi"/>
                <w:color w:val="000000"/>
                <w:sz w:val="20"/>
                <w:szCs w:val="20"/>
                <w:lang w:eastAsia="es-MX"/>
              </w:rPr>
            </w:pPr>
          </w:p>
        </w:tc>
        <w:tc>
          <w:tcPr>
            <w:tcW w:w="1560" w:type="pct"/>
            <w:shd w:val="clear" w:color="auto" w:fill="auto"/>
            <w:noWrap/>
            <w:vAlign w:val="center"/>
          </w:tcPr>
          <w:p w14:paraId="0A80D658" w14:textId="3604E40E" w:rsidR="007F78F7" w:rsidRPr="00D74C88" w:rsidRDefault="007F78F7" w:rsidP="00072345">
            <w:pPr>
              <w:spacing w:before="0" w:after="0"/>
              <w:jc w:val="left"/>
              <w:rPr>
                <w:rFonts w:eastAsia="Times New Roman" w:cstheme="minorHAnsi"/>
                <w:color w:val="000000"/>
                <w:sz w:val="20"/>
                <w:szCs w:val="20"/>
                <w:lang w:eastAsia="es-MX"/>
              </w:rPr>
            </w:pPr>
            <w:r w:rsidRPr="00D74C88">
              <w:rPr>
                <w:rFonts w:eastAsia="Times New Roman" w:cstheme="minorHAnsi"/>
                <w:color w:val="000000"/>
                <w:sz w:val="20"/>
                <w:szCs w:val="20"/>
                <w:lang w:eastAsia="es-MX"/>
              </w:rPr>
              <w:t xml:space="preserve">Infraestructura para pueblos indígenas </w:t>
            </w:r>
          </w:p>
        </w:tc>
      </w:tr>
      <w:tr w:rsidR="007F78F7" w:rsidRPr="00D74C88" w14:paraId="1C06998F" w14:textId="77777777" w:rsidTr="003D4725">
        <w:trPr>
          <w:trHeight w:val="547"/>
        </w:trPr>
        <w:tc>
          <w:tcPr>
            <w:tcW w:w="1665" w:type="pct"/>
            <w:vMerge/>
            <w:vAlign w:val="center"/>
          </w:tcPr>
          <w:p w14:paraId="5AF19E79" w14:textId="77777777" w:rsidR="007F78F7" w:rsidRPr="00D74C88" w:rsidRDefault="007F78F7" w:rsidP="00072345">
            <w:pPr>
              <w:spacing w:before="0" w:after="0"/>
              <w:rPr>
                <w:rFonts w:eastAsia="Times New Roman" w:cstheme="minorHAnsi"/>
                <w:color w:val="000000"/>
                <w:sz w:val="20"/>
                <w:szCs w:val="20"/>
                <w:lang w:eastAsia="es-MX"/>
              </w:rPr>
            </w:pPr>
          </w:p>
        </w:tc>
        <w:tc>
          <w:tcPr>
            <w:tcW w:w="1775" w:type="pct"/>
            <w:vMerge/>
            <w:vAlign w:val="center"/>
          </w:tcPr>
          <w:p w14:paraId="02597296" w14:textId="77777777" w:rsidR="007F78F7" w:rsidRPr="00D74C88" w:rsidRDefault="007F78F7" w:rsidP="007F78F7">
            <w:pPr>
              <w:spacing w:before="0" w:after="0"/>
              <w:rPr>
                <w:rFonts w:eastAsia="Times New Roman" w:cstheme="minorHAnsi"/>
                <w:color w:val="000000"/>
                <w:sz w:val="20"/>
                <w:szCs w:val="20"/>
                <w:lang w:eastAsia="es-MX"/>
              </w:rPr>
            </w:pPr>
          </w:p>
        </w:tc>
        <w:tc>
          <w:tcPr>
            <w:tcW w:w="1560" w:type="pct"/>
            <w:shd w:val="clear" w:color="auto" w:fill="auto"/>
            <w:noWrap/>
            <w:vAlign w:val="center"/>
          </w:tcPr>
          <w:p w14:paraId="3C8D83D0" w14:textId="42277386" w:rsidR="007F78F7" w:rsidRPr="00D74C88" w:rsidRDefault="007F78F7" w:rsidP="00072345">
            <w:pPr>
              <w:spacing w:before="0" w:after="0"/>
              <w:jc w:val="left"/>
              <w:rPr>
                <w:rFonts w:eastAsia="Times New Roman" w:cstheme="minorHAnsi"/>
                <w:color w:val="000000"/>
                <w:sz w:val="20"/>
                <w:szCs w:val="20"/>
                <w:lang w:eastAsia="es-MX"/>
              </w:rPr>
            </w:pPr>
            <w:r w:rsidRPr="00D74C88">
              <w:rPr>
                <w:rFonts w:eastAsia="Times New Roman" w:cstheme="minorHAnsi"/>
                <w:color w:val="000000"/>
                <w:sz w:val="20"/>
                <w:szCs w:val="20"/>
                <w:lang w:eastAsia="es-MX"/>
              </w:rPr>
              <w:t>Inversión en salud</w:t>
            </w:r>
          </w:p>
        </w:tc>
      </w:tr>
      <w:tr w:rsidR="007F78F7" w:rsidRPr="00D74C88" w14:paraId="17F87D45" w14:textId="77777777" w:rsidTr="003D4725">
        <w:trPr>
          <w:trHeight w:val="2043"/>
        </w:trPr>
        <w:tc>
          <w:tcPr>
            <w:tcW w:w="1665" w:type="pct"/>
            <w:vMerge w:val="restart"/>
            <w:vAlign w:val="center"/>
          </w:tcPr>
          <w:p w14:paraId="5E20EA12" w14:textId="30FA259B" w:rsidR="007F78F7" w:rsidRPr="00D74C88" w:rsidRDefault="007F78F7" w:rsidP="00072345">
            <w:pPr>
              <w:spacing w:before="0" w:after="0"/>
              <w:rPr>
                <w:rFonts w:eastAsia="Times New Roman" w:cstheme="minorHAnsi"/>
                <w:color w:val="000000"/>
                <w:sz w:val="20"/>
                <w:szCs w:val="20"/>
                <w:lang w:eastAsia="es-MX"/>
              </w:rPr>
            </w:pPr>
            <w:r w:rsidRPr="00D74C88">
              <w:rPr>
                <w:rFonts w:eastAsia="Times New Roman" w:cstheme="minorHAnsi"/>
                <w:color w:val="000000"/>
                <w:sz w:val="20"/>
                <w:szCs w:val="20"/>
                <w:lang w:eastAsia="es-MX"/>
              </w:rPr>
              <w:t>17. Revitalizar la Alianza Mundial para el Desarrollo Sostenible</w:t>
            </w:r>
          </w:p>
        </w:tc>
        <w:tc>
          <w:tcPr>
            <w:tcW w:w="1775" w:type="pct"/>
            <w:vMerge w:val="restart"/>
            <w:vAlign w:val="center"/>
          </w:tcPr>
          <w:p w14:paraId="0094803C" w14:textId="77777777" w:rsidR="007F78F7" w:rsidRPr="00D74C88" w:rsidRDefault="007F78F7" w:rsidP="007F78F7">
            <w:pPr>
              <w:spacing w:before="0" w:after="0"/>
              <w:rPr>
                <w:rFonts w:eastAsia="Times New Roman" w:cstheme="minorHAnsi"/>
                <w:color w:val="000000"/>
                <w:sz w:val="20"/>
                <w:szCs w:val="20"/>
                <w:lang w:eastAsia="es-MX"/>
              </w:rPr>
            </w:pPr>
            <w:r w:rsidRPr="00D74C88">
              <w:rPr>
                <w:rFonts w:eastAsia="Times New Roman" w:cstheme="minorHAnsi"/>
                <w:color w:val="000000"/>
                <w:sz w:val="20"/>
                <w:szCs w:val="20"/>
                <w:lang w:eastAsia="es-MX"/>
              </w:rPr>
              <w:t>17.4 Ayudar a los países en desarrollo a lograr la sostenibilidad de la deuda a largo plazo con políticas coordinadas orientadas a fomentar la financiación, el alivio y la reestructuración de la deuda, según proceda, y hacer frente a la deuda externa de los países pobres muy endeudados a fin de reducir el endeudamiento excesivo</w:t>
            </w:r>
          </w:p>
          <w:p w14:paraId="2FC0A635" w14:textId="55ADB59C" w:rsidR="007F78F7" w:rsidRPr="00D74C88" w:rsidRDefault="007F78F7" w:rsidP="007F78F7">
            <w:pPr>
              <w:spacing w:before="0" w:after="0"/>
              <w:rPr>
                <w:rFonts w:eastAsia="Times New Roman" w:cstheme="minorHAnsi"/>
                <w:color w:val="000000"/>
                <w:sz w:val="20"/>
                <w:szCs w:val="20"/>
                <w:lang w:eastAsia="es-MX"/>
              </w:rPr>
            </w:pPr>
            <w:r w:rsidRPr="00D74C88">
              <w:rPr>
                <w:rFonts w:eastAsia="Times New Roman" w:cstheme="minorHAnsi"/>
                <w:color w:val="000000"/>
                <w:sz w:val="20"/>
                <w:szCs w:val="20"/>
                <w:lang w:eastAsia="es-MX"/>
              </w:rPr>
              <w:lastRenderedPageBreak/>
              <w:t>17.10 Promover un sistema de comercio multilateral universal, basado en normas, abierto, no discriminatorio y equitativo en el marco de la Organización Mundial del Comercio, incluso mediante la conclusión de las negociaciones en el marco del Programa de Doha para el Desarrollo</w:t>
            </w:r>
          </w:p>
        </w:tc>
        <w:tc>
          <w:tcPr>
            <w:tcW w:w="1560" w:type="pct"/>
            <w:shd w:val="clear" w:color="auto" w:fill="auto"/>
            <w:noWrap/>
            <w:vAlign w:val="center"/>
          </w:tcPr>
          <w:p w14:paraId="0CB507CA" w14:textId="74644B8E" w:rsidR="007F78F7" w:rsidRPr="00D74C88" w:rsidRDefault="00B5527D" w:rsidP="00072345">
            <w:pPr>
              <w:spacing w:before="0" w:after="0"/>
              <w:jc w:val="left"/>
              <w:rPr>
                <w:rFonts w:eastAsia="Times New Roman" w:cstheme="minorHAnsi"/>
                <w:color w:val="000000"/>
                <w:sz w:val="20"/>
                <w:szCs w:val="20"/>
                <w:lang w:eastAsia="es-MX"/>
              </w:rPr>
            </w:pPr>
            <w:r w:rsidRPr="00D74C88">
              <w:rPr>
                <w:rFonts w:eastAsia="Times New Roman" w:cstheme="minorHAnsi"/>
                <w:color w:val="000000"/>
                <w:sz w:val="20"/>
                <w:szCs w:val="20"/>
                <w:lang w:eastAsia="es-MX"/>
              </w:rPr>
              <w:lastRenderedPageBreak/>
              <w:t>Deuda</w:t>
            </w:r>
          </w:p>
        </w:tc>
      </w:tr>
      <w:tr w:rsidR="007F78F7" w:rsidRPr="00D74C88" w14:paraId="16C2F901" w14:textId="77777777" w:rsidTr="003D4725">
        <w:trPr>
          <w:trHeight w:val="2043"/>
        </w:trPr>
        <w:tc>
          <w:tcPr>
            <w:tcW w:w="1665" w:type="pct"/>
            <w:vMerge/>
            <w:vAlign w:val="center"/>
          </w:tcPr>
          <w:p w14:paraId="15B4CD70" w14:textId="77777777" w:rsidR="007F78F7" w:rsidRPr="00D74C88" w:rsidRDefault="007F78F7" w:rsidP="00072345">
            <w:pPr>
              <w:spacing w:before="0" w:after="0"/>
              <w:rPr>
                <w:rFonts w:eastAsia="Times New Roman" w:cstheme="minorHAnsi"/>
                <w:color w:val="000000"/>
                <w:sz w:val="20"/>
                <w:szCs w:val="20"/>
                <w:lang w:eastAsia="es-MX"/>
              </w:rPr>
            </w:pPr>
          </w:p>
        </w:tc>
        <w:tc>
          <w:tcPr>
            <w:tcW w:w="1775" w:type="pct"/>
            <w:vMerge/>
            <w:vAlign w:val="center"/>
          </w:tcPr>
          <w:p w14:paraId="543A099E" w14:textId="77777777" w:rsidR="007F78F7" w:rsidRPr="00D74C88" w:rsidRDefault="007F78F7" w:rsidP="007F78F7">
            <w:pPr>
              <w:spacing w:before="0" w:after="0"/>
              <w:rPr>
                <w:rFonts w:eastAsia="Times New Roman" w:cstheme="minorHAnsi"/>
                <w:color w:val="000000"/>
                <w:sz w:val="20"/>
                <w:szCs w:val="20"/>
                <w:lang w:eastAsia="es-MX"/>
              </w:rPr>
            </w:pPr>
          </w:p>
        </w:tc>
        <w:tc>
          <w:tcPr>
            <w:tcW w:w="1560" w:type="pct"/>
            <w:shd w:val="clear" w:color="auto" w:fill="auto"/>
            <w:noWrap/>
            <w:vAlign w:val="center"/>
          </w:tcPr>
          <w:p w14:paraId="518FDA9F" w14:textId="083CC497" w:rsidR="007F78F7" w:rsidRPr="00D74C88" w:rsidRDefault="00B5527D" w:rsidP="00072345">
            <w:pPr>
              <w:spacing w:before="0" w:after="0"/>
              <w:jc w:val="left"/>
              <w:rPr>
                <w:rFonts w:eastAsia="Times New Roman" w:cstheme="minorHAnsi"/>
                <w:color w:val="000000"/>
                <w:sz w:val="20"/>
                <w:szCs w:val="20"/>
                <w:lang w:eastAsia="es-MX"/>
              </w:rPr>
            </w:pPr>
            <w:r w:rsidRPr="00D74C88">
              <w:rPr>
                <w:rFonts w:eastAsia="Times New Roman" w:cstheme="minorHAnsi"/>
                <w:color w:val="000000"/>
                <w:sz w:val="20"/>
                <w:szCs w:val="20"/>
                <w:lang w:eastAsia="es-MX"/>
              </w:rPr>
              <w:t>Fomento a Nuevas Inversiones Locales, Nacionales y Extranjeras</w:t>
            </w:r>
          </w:p>
        </w:tc>
      </w:tr>
    </w:tbl>
    <w:p w14:paraId="0C18F242" w14:textId="77777777" w:rsidR="003A163B" w:rsidRPr="003A163B" w:rsidRDefault="003A163B" w:rsidP="00D94728">
      <w:pPr>
        <w:pStyle w:val="Textonotapie"/>
      </w:pPr>
      <w:r w:rsidRPr="003A163B">
        <w:t>Fuente: Elaboración propia con Información de SFP, PND 2013-2018, PEDH 2016-2022.</w:t>
      </w:r>
    </w:p>
    <w:p w14:paraId="3C371ADD" w14:textId="2386EB27" w:rsidR="0000349A" w:rsidRDefault="00B5527D" w:rsidP="00170723">
      <w:r>
        <w:t xml:space="preserve">Según la alineación del PEDH 2016-2022, se menciona que existe alineación con los ODS, como se describe a continuación: </w:t>
      </w:r>
    </w:p>
    <w:p w14:paraId="4B71F13B" w14:textId="790E99A7" w:rsidR="005A776F" w:rsidRDefault="005A776F" w:rsidP="00170723">
      <w:pPr>
        <w:spacing w:before="0"/>
      </w:pPr>
      <w:r>
        <w:t>El eje 2 “Hidalgo Próspero y Dinámico” donde el objetivo es aumentar las inversiones y los empleos en las distintas regiones del mismo, a través de la promoción de un crecimiento económico sostenible e incluyente, se relaciona con el objetivo 8</w:t>
      </w:r>
      <w:r w:rsidR="00C9106C">
        <w:t xml:space="preserve"> </w:t>
      </w:r>
      <w:r>
        <w:t>“un mundo en el que cada país disfrute de un crecimiento económico incluyente y sostenible y de trabajo decente para todos”, para ello establece el compromiso de “velar por que todos los seres humanos puedan disfrutar de una vida próspera y plena, y porque el progreso económico, social y tecnológico se produzca en armonía con la naturaleza</w:t>
      </w:r>
      <w:r w:rsidR="00170723">
        <w:t>”.</w:t>
      </w:r>
    </w:p>
    <w:p w14:paraId="6D4041DE" w14:textId="77777777" w:rsidR="005A776F" w:rsidRDefault="005A776F" w:rsidP="00170723">
      <w:pPr>
        <w:spacing w:before="0"/>
      </w:pPr>
      <w:r>
        <w:t>Eje 3 “Hidalgo Humano e Igualitario” con la estrategia Impulsar el desarrollo humano e incluyente de todas las personas a través de la articulación de políticas públicas encaminadas al desarrollo integral de las comunidades y las familias, en ámbitos como la alimentación, combate a la pobreza, seguridad, asistencia e inclusión social, vivienda digna, prestación de servicios, bienestar infantil y perspectiva de género, se alinea con el objetivo 10 “Reducir la desigualdad en y entre los países” se relaciona principalmente con la meta 10.2 De aquí a 2030, potenciar y promover la inclusión social, económica y política de todas las personas, independientemente de su edad, sexo, discapacidad, raza, etnia, origen, religión o situación económica u otra condición.</w:t>
      </w:r>
    </w:p>
    <w:p w14:paraId="552BCEE5" w14:textId="37A9DDCB" w:rsidR="005A776F" w:rsidRDefault="005A776F" w:rsidP="00170723">
      <w:pPr>
        <w:spacing w:before="0"/>
      </w:pPr>
      <w:r>
        <w:t xml:space="preserve">Eje 5 “Hidalgo con Desarrollo Sostenible” en la estrategia “Promover el desarrollo sostenible mediante la generación y aprovechamiento de conocimiento para el uso adecuado y responsable de los recursos naturales disponibles en el </w:t>
      </w:r>
      <w:r w:rsidR="00644705">
        <w:t>E</w:t>
      </w:r>
      <w:r>
        <w:t>stado” se alinea con el objetivo 13 “Adoptar medidas urgentes para combatir el cambio climático y sus efectos” y de manera particular con la meta 13.3 Mejorar la educación, la sensibilización y la capacidad humana e institucional respecto de la mitigación del cambio climático, la adaptación a él, la reducción de sus efectos y la alerta temprana</w:t>
      </w:r>
      <w:bookmarkEnd w:id="49"/>
      <w:r>
        <w:t>.</w:t>
      </w:r>
      <w:bookmarkEnd w:id="48"/>
      <w:r>
        <w:br w:type="page"/>
      </w:r>
    </w:p>
    <w:p w14:paraId="3BBAF73A" w14:textId="47AC11DC" w:rsidR="00147A15" w:rsidRPr="00147A15" w:rsidRDefault="003B5E62" w:rsidP="00167D7C">
      <w:pPr>
        <w:pStyle w:val="Ttulo1"/>
        <w:spacing w:before="0" w:after="0"/>
      </w:pPr>
      <w:bookmarkStart w:id="56" w:name="_Toc56423705"/>
      <w:r>
        <w:lastRenderedPageBreak/>
        <w:t xml:space="preserve">VII. </w:t>
      </w:r>
      <w:r w:rsidR="00147A15" w:rsidRPr="00147A15">
        <w:t>Módulo 5. Mecanismos de coordinación</w:t>
      </w:r>
      <w:bookmarkEnd w:id="56"/>
    </w:p>
    <w:p w14:paraId="5B0A944C" w14:textId="7759C283" w:rsidR="00147A15" w:rsidRPr="00D61DEB" w:rsidRDefault="00196215" w:rsidP="00D61DEB">
      <w:pPr>
        <w:pStyle w:val="Ttulo2"/>
        <w:jc w:val="left"/>
        <w:rPr>
          <w:iCs/>
        </w:rPr>
      </w:pPr>
      <w:bookmarkStart w:id="57" w:name="_Toc56423706"/>
      <w:r w:rsidRPr="00D61DEB">
        <w:rPr>
          <w:iCs/>
        </w:rPr>
        <w:t>5</w:t>
      </w:r>
      <w:r w:rsidR="00147A15" w:rsidRPr="00D61DEB">
        <w:rPr>
          <w:iCs/>
        </w:rPr>
        <w:t>. 1 Gestión, operación y planeación</w:t>
      </w:r>
      <w:bookmarkEnd w:id="57"/>
    </w:p>
    <w:p w14:paraId="03EC0B8C" w14:textId="7EB66A79" w:rsidR="00147A15" w:rsidRPr="00567363" w:rsidRDefault="00567363" w:rsidP="004A2797">
      <w:pPr>
        <w:spacing w:before="0"/>
        <w:rPr>
          <w:rFonts w:cstheme="minorHAnsi"/>
          <w:b/>
        </w:rPr>
      </w:pPr>
      <w:r>
        <w:rPr>
          <w:rFonts w:cstheme="minorHAnsi"/>
          <w:b/>
        </w:rPr>
        <w:t xml:space="preserve">15. </w:t>
      </w:r>
      <w:bookmarkStart w:id="58" w:name="_Hlk43919378"/>
      <w:r w:rsidR="00147A15" w:rsidRPr="00567363">
        <w:rPr>
          <w:rFonts w:cstheme="minorHAnsi"/>
          <w:b/>
        </w:rPr>
        <w:t xml:space="preserve">Describa el o los procesos clave en la gestión y operación de las aportaciones del FAFEF a la entidad federativa, así como el papel de la o las dependencias </w:t>
      </w:r>
      <w:bookmarkEnd w:id="58"/>
      <w:r w:rsidR="00147A15" w:rsidRPr="00567363">
        <w:rPr>
          <w:rFonts w:cstheme="minorHAnsi"/>
          <w:b/>
        </w:rPr>
        <w:t>o entidades responsables involucradas en cada etapa del proceso desde el nivel federal hasta el local.</w:t>
      </w:r>
    </w:p>
    <w:p w14:paraId="025B9C67" w14:textId="4470FA26" w:rsidR="00147A15" w:rsidRDefault="00147A15" w:rsidP="004A2797">
      <w:pPr>
        <w:rPr>
          <w:b/>
          <w:bCs/>
        </w:rPr>
      </w:pPr>
      <w:r w:rsidRPr="004A2797">
        <w:rPr>
          <w:b/>
          <w:bCs/>
        </w:rPr>
        <w:t>No procede valoración cuantitativa.</w:t>
      </w:r>
    </w:p>
    <w:p w14:paraId="120D7DE8" w14:textId="184BA60E" w:rsidR="00C734E6" w:rsidRPr="005E1463" w:rsidRDefault="00621839" w:rsidP="0006152D">
      <w:pPr>
        <w:rPr>
          <w:rFonts w:ascii="Calibri" w:hAnsi="Calibri"/>
        </w:rPr>
      </w:pPr>
      <w:r>
        <w:rPr>
          <w:rFonts w:ascii="Calibri" w:hAnsi="Calibri"/>
        </w:rPr>
        <w:t xml:space="preserve">Como se ha señalado anteriormente, para el ejercicio de los recursos la entidad federativa se apoyó en su estructura programática; el rubro de saneamiento financiero fue ejercido a través del </w:t>
      </w:r>
      <w:r w:rsidR="004322DE" w:rsidRPr="005E1463">
        <w:rPr>
          <w:rFonts w:ascii="Calibri" w:hAnsi="Calibri"/>
        </w:rPr>
        <w:t>Pp</w:t>
      </w:r>
      <w:r w:rsidR="004322DE">
        <w:rPr>
          <w:rFonts w:ascii="Calibri" w:hAnsi="Calibri"/>
        </w:rPr>
        <w:t xml:space="preserve"> </w:t>
      </w:r>
      <w:r>
        <w:rPr>
          <w:rFonts w:ascii="Calibri" w:hAnsi="Calibri"/>
        </w:rPr>
        <w:t xml:space="preserve">D02- Deuda; </w:t>
      </w:r>
      <w:r w:rsidR="00054D7B">
        <w:rPr>
          <w:rFonts w:ascii="Calibri" w:hAnsi="Calibri"/>
        </w:rPr>
        <w:t>el</w:t>
      </w:r>
      <w:r>
        <w:rPr>
          <w:rFonts w:ascii="Calibri" w:hAnsi="Calibri"/>
        </w:rPr>
        <w:t xml:space="preserve"> rubro de </w:t>
      </w:r>
      <w:r w:rsidRPr="005E1463">
        <w:rPr>
          <w:rFonts w:ascii="Calibri" w:hAnsi="Calibri"/>
        </w:rPr>
        <w:t>inversión en infraestructura física</w:t>
      </w:r>
      <w:r w:rsidR="00054D7B" w:rsidRPr="005E1463">
        <w:rPr>
          <w:rFonts w:ascii="Calibri" w:hAnsi="Calibri"/>
        </w:rPr>
        <w:t xml:space="preserve"> se ejerció a</w:t>
      </w:r>
      <w:r w:rsidR="00771353">
        <w:rPr>
          <w:rFonts w:ascii="Calibri" w:hAnsi="Calibri"/>
        </w:rPr>
        <w:t xml:space="preserve">  </w:t>
      </w:r>
      <w:r w:rsidR="00054D7B" w:rsidRPr="005E1463">
        <w:rPr>
          <w:rFonts w:ascii="Calibri" w:hAnsi="Calibri"/>
        </w:rPr>
        <w:t>través de distintos programas de modalidad K agrupados en el programa sectorial 020-inversión</w:t>
      </w:r>
      <w:r w:rsidRPr="005E1463">
        <w:rPr>
          <w:rFonts w:ascii="Calibri" w:hAnsi="Calibri"/>
        </w:rPr>
        <w:t>, los</w:t>
      </w:r>
      <w:r w:rsidR="00654EC2" w:rsidRPr="005E1463">
        <w:rPr>
          <w:rFonts w:ascii="Calibri" w:hAnsi="Calibri"/>
        </w:rPr>
        <w:t xml:space="preserve"> cuales,</w:t>
      </w:r>
      <w:r w:rsidRPr="005E1463">
        <w:rPr>
          <w:rFonts w:ascii="Calibri" w:hAnsi="Calibri"/>
        </w:rPr>
        <w:t xml:space="preserve"> para su operación</w:t>
      </w:r>
      <w:r w:rsidR="00654EC2" w:rsidRPr="005E1463">
        <w:rPr>
          <w:rFonts w:ascii="Calibri" w:hAnsi="Calibri"/>
        </w:rPr>
        <w:t>,</w:t>
      </w:r>
      <w:r w:rsidRPr="005E1463">
        <w:rPr>
          <w:rFonts w:ascii="Calibri" w:hAnsi="Calibri"/>
        </w:rPr>
        <w:t xml:space="preserve"> cuentan con el Manual de Normas y Lineamientos para el Ejercicio de los Recursos del Programa de Inversión 2018</w:t>
      </w:r>
      <w:r w:rsidR="00654EC2" w:rsidRPr="005E1463">
        <w:rPr>
          <w:rFonts w:ascii="Calibri" w:hAnsi="Calibri"/>
        </w:rPr>
        <w:footnoteReference w:id="19"/>
      </w:r>
      <w:r w:rsidRPr="005E1463">
        <w:rPr>
          <w:rFonts w:ascii="Calibri" w:hAnsi="Calibri"/>
        </w:rPr>
        <w:t xml:space="preserve">. </w:t>
      </w:r>
      <w:r w:rsidR="00092EE0" w:rsidRPr="005E1463">
        <w:rPr>
          <w:rFonts w:ascii="Calibri" w:hAnsi="Calibri"/>
        </w:rPr>
        <w:t>Los rubros de modernización de los registros públicos de la propiedad y del comercio locales</w:t>
      </w:r>
      <w:r w:rsidR="00892725" w:rsidRPr="005E1463">
        <w:rPr>
          <w:rFonts w:ascii="Calibri" w:hAnsi="Calibri"/>
        </w:rPr>
        <w:t xml:space="preserve"> y apoyos a la educación se ejercieron mediante los Pp K15- Inversión para el Fortalecimiento de la Gobernabilidad Democrática y Gobernanza y K35-Becas para la Educación, respectivamente, </w:t>
      </w:r>
    </w:p>
    <w:p w14:paraId="4B27F5F9" w14:textId="7750719A" w:rsidR="00DE086C" w:rsidRDefault="00DE086C" w:rsidP="0006152D">
      <w:pPr>
        <w:rPr>
          <w:b/>
          <w:bCs/>
        </w:rPr>
      </w:pPr>
      <w:r>
        <w:t xml:space="preserve">De acuerdo con lo anterior, los pasos que se siguen en el desarrollo de los procesos clave en la gestión y operación de las </w:t>
      </w:r>
      <w:r w:rsidR="0006152D">
        <w:t>aportaciones</w:t>
      </w:r>
      <w:r>
        <w:t xml:space="preserve"> son los siguientes: </w:t>
      </w:r>
    </w:p>
    <w:p w14:paraId="48BC9241" w14:textId="3674FD5B" w:rsidR="00D00C18" w:rsidRDefault="00D00C18" w:rsidP="00515CAC">
      <w:pPr>
        <w:pStyle w:val="Prrafodelista"/>
        <w:numPr>
          <w:ilvl w:val="0"/>
          <w:numId w:val="3"/>
        </w:numPr>
        <w:rPr>
          <w:rFonts w:ascii="Calibri" w:hAnsi="Calibri"/>
          <w:b/>
          <w:bCs/>
        </w:rPr>
      </w:pPr>
      <w:r w:rsidRPr="00D00C18">
        <w:rPr>
          <w:rFonts w:ascii="Calibri" w:hAnsi="Calibri"/>
          <w:b/>
          <w:bCs/>
        </w:rPr>
        <w:t>Asignación</w:t>
      </w:r>
      <w:r w:rsidR="00FF0A6B">
        <w:rPr>
          <w:rFonts w:ascii="Calibri" w:hAnsi="Calibri"/>
          <w:b/>
          <w:bCs/>
        </w:rPr>
        <w:t>.</w:t>
      </w:r>
    </w:p>
    <w:p w14:paraId="36A02D88" w14:textId="1E0BD21A" w:rsidR="00DE086C" w:rsidRDefault="00DE086C" w:rsidP="00974B68">
      <w:r w:rsidRPr="00974B68">
        <w:rPr>
          <w:rFonts w:eastAsia="MS Mincho" w:cstheme="minorHAnsi"/>
        </w:rPr>
        <w:t xml:space="preserve">Conforme </w:t>
      </w:r>
      <w:r w:rsidR="00EE71E3">
        <w:rPr>
          <w:rFonts w:eastAsia="MS Mincho" w:cstheme="minorHAnsi"/>
        </w:rPr>
        <w:t>a</w:t>
      </w:r>
      <w:r w:rsidRPr="00974B68">
        <w:rPr>
          <w:rFonts w:eastAsia="MS Mincho" w:cstheme="minorHAnsi"/>
        </w:rPr>
        <w:t xml:space="preserve">l Artículo 6 de la LFPRH, el Ejecutivo Federal, por conducto de SHCP, está a cargo de la programación y presupuestación del gasto público </w:t>
      </w:r>
      <w:r w:rsidRPr="00FD446B">
        <w:rPr>
          <w:rFonts w:eastAsia="MS Mincho" w:cstheme="minorHAnsi"/>
        </w:rPr>
        <w:t xml:space="preserve">federal. </w:t>
      </w:r>
      <w:r w:rsidR="00572874" w:rsidRPr="005E1463">
        <w:rPr>
          <w:rFonts w:eastAsia="MS Mincho" w:cstheme="minorHAnsi"/>
        </w:rPr>
        <w:t xml:space="preserve">La SHCP </w:t>
      </w:r>
      <w:r w:rsidR="00572874" w:rsidRPr="005E1463">
        <w:t xml:space="preserve">a través de la DGPyP “A” lleva a cabo la estimación del presupuesto del FAFEF con base en la proyección de recaudación federal </w:t>
      </w:r>
      <w:r w:rsidR="00A34D16" w:rsidRPr="005E1463">
        <w:t>participable</w:t>
      </w:r>
      <w:r w:rsidR="00A34D16" w:rsidRPr="00FD446B">
        <w:t>,</w:t>
      </w:r>
      <w:r w:rsidRPr="00FD446B">
        <w:rPr>
          <w:rFonts w:eastAsia="MS Mincho" w:cstheme="minorHAnsi"/>
        </w:rPr>
        <w:t xml:space="preserve"> así como</w:t>
      </w:r>
      <w:r w:rsidR="00572874" w:rsidRPr="00FD446B">
        <w:rPr>
          <w:rFonts w:eastAsia="MS Mincho" w:cstheme="minorHAnsi"/>
        </w:rPr>
        <w:t>,</w:t>
      </w:r>
      <w:r w:rsidRPr="00FD446B">
        <w:rPr>
          <w:rFonts w:eastAsia="MS Mincho" w:cstheme="minorHAnsi"/>
        </w:rPr>
        <w:t xml:space="preserve"> la distribución para cada entidad federativa conforme lo establecido en el Artículo 46 de la LCF. En este</w:t>
      </w:r>
      <w:r w:rsidRPr="00974B68">
        <w:rPr>
          <w:rFonts w:eastAsia="MS Mincho" w:cstheme="minorHAnsi"/>
        </w:rPr>
        <w:t xml:space="preserve"> sentido, </w:t>
      </w:r>
      <w:r w:rsidRPr="00C46131">
        <w:t>el 8 de septiembre d</w:t>
      </w:r>
      <w:r>
        <w:t>e cada año</w:t>
      </w:r>
      <w:r w:rsidRPr="00C46131">
        <w:t xml:space="preserve"> se publican los montos propuestos al Fondo en el Proyecto del Presupuesto de Egresos de la Federación (PPEF) correspondiente</w:t>
      </w:r>
      <w:r>
        <w:t>.</w:t>
      </w:r>
    </w:p>
    <w:p w14:paraId="39FF88DB" w14:textId="659D171B" w:rsidR="00DE086C" w:rsidRDefault="00DE086C" w:rsidP="00974B68">
      <w:pPr>
        <w:pStyle w:val="Cuestio"/>
        <w:jc w:val="both"/>
        <w:rPr>
          <w:rFonts w:asciiTheme="minorHAnsi" w:eastAsiaTheme="minorHAnsi" w:hAnsiTheme="minorHAnsi" w:cstheme="minorBidi"/>
          <w:sz w:val="22"/>
          <w:szCs w:val="22"/>
          <w:lang w:eastAsia="en-US"/>
        </w:rPr>
      </w:pPr>
      <w:r>
        <w:rPr>
          <w:rFonts w:asciiTheme="minorHAnsi" w:eastAsia="MS Mincho" w:hAnsiTheme="minorHAnsi" w:cstheme="minorHAnsi"/>
          <w:sz w:val="22"/>
          <w:szCs w:val="22"/>
        </w:rPr>
        <w:t>La aprobación del Presupuesto de Egresos de la Federación</w:t>
      </w:r>
      <w:r w:rsidR="00654EC2">
        <w:rPr>
          <w:rFonts w:asciiTheme="minorHAnsi" w:eastAsia="MS Mincho" w:hAnsiTheme="minorHAnsi" w:cstheme="minorHAnsi"/>
          <w:sz w:val="22"/>
          <w:szCs w:val="22"/>
        </w:rPr>
        <w:t xml:space="preserve"> (PEF)</w:t>
      </w:r>
      <w:r>
        <w:rPr>
          <w:rFonts w:asciiTheme="minorHAnsi" w:eastAsia="MS Mincho" w:hAnsiTheme="minorHAnsi" w:cstheme="minorHAnsi"/>
          <w:sz w:val="22"/>
          <w:szCs w:val="22"/>
        </w:rPr>
        <w:t xml:space="preserve"> deberá darse a más tardar el 15 de noviembre del año previo y </w:t>
      </w:r>
      <w:r w:rsidRPr="00D030FF">
        <w:rPr>
          <w:rFonts w:asciiTheme="minorHAnsi" w:eastAsiaTheme="minorHAnsi" w:hAnsiTheme="minorHAnsi" w:cstheme="minorBidi"/>
          <w:sz w:val="22"/>
          <w:szCs w:val="22"/>
          <w:lang w:eastAsia="en-US"/>
        </w:rPr>
        <w:t xml:space="preserve">posteriormente </w:t>
      </w:r>
      <w:r>
        <w:rPr>
          <w:rFonts w:asciiTheme="minorHAnsi" w:eastAsiaTheme="minorHAnsi" w:hAnsiTheme="minorHAnsi" w:cstheme="minorBidi"/>
          <w:sz w:val="22"/>
          <w:szCs w:val="22"/>
          <w:lang w:eastAsia="en-US"/>
        </w:rPr>
        <w:t>l</w:t>
      </w:r>
      <w:r w:rsidRPr="00D030FF">
        <w:rPr>
          <w:rFonts w:asciiTheme="minorHAnsi" w:eastAsiaTheme="minorHAnsi" w:hAnsiTheme="minorHAnsi" w:cstheme="minorBidi"/>
          <w:sz w:val="22"/>
          <w:szCs w:val="22"/>
          <w:lang w:eastAsia="en-US"/>
        </w:rPr>
        <w:t xml:space="preserve">a SHCP determina la calendarización y distribución del monto de los recursos del FAFEF asignado al Estado a través del </w:t>
      </w:r>
      <w:r w:rsidR="00654EC2">
        <w:rPr>
          <w:rFonts w:asciiTheme="minorHAnsi" w:eastAsiaTheme="minorHAnsi" w:hAnsiTheme="minorHAnsi" w:cstheme="minorBidi"/>
          <w:sz w:val="22"/>
          <w:szCs w:val="22"/>
          <w:lang w:eastAsia="en-US"/>
        </w:rPr>
        <w:t>PEF</w:t>
      </w:r>
      <w:r w:rsidRPr="00D030FF">
        <w:rPr>
          <w:rFonts w:asciiTheme="minorHAnsi" w:eastAsiaTheme="minorHAnsi" w:hAnsiTheme="minorHAnsi" w:cstheme="minorBidi"/>
          <w:sz w:val="22"/>
          <w:szCs w:val="22"/>
          <w:lang w:eastAsia="en-US"/>
        </w:rPr>
        <w:t xml:space="preserve"> y lo publica en el DO</w:t>
      </w:r>
      <w:r>
        <w:rPr>
          <w:rFonts w:asciiTheme="minorHAnsi" w:eastAsiaTheme="minorHAnsi" w:hAnsiTheme="minorHAnsi" w:cstheme="minorBidi"/>
          <w:sz w:val="22"/>
          <w:szCs w:val="22"/>
          <w:lang w:eastAsia="en-US"/>
        </w:rPr>
        <w:t xml:space="preserve">F a través del </w:t>
      </w:r>
      <w:bookmarkStart w:id="59" w:name="_Hlk53098359"/>
      <w:r>
        <w:rPr>
          <w:rFonts w:asciiTheme="minorHAnsi" w:eastAsiaTheme="minorHAnsi" w:hAnsiTheme="minorHAnsi" w:cstheme="minorBidi"/>
          <w:sz w:val="22"/>
          <w:szCs w:val="22"/>
          <w:lang w:eastAsia="en-US"/>
        </w:rPr>
        <w:t>Acuerdo</w:t>
      </w:r>
      <w:r w:rsidRPr="00D030FF">
        <w:rPr>
          <w:rFonts w:asciiTheme="minorHAnsi" w:eastAsiaTheme="minorHAnsi" w:hAnsiTheme="minorHAnsi" w:cstheme="minorBidi"/>
          <w:sz w:val="22"/>
          <w:szCs w:val="22"/>
          <w:lang w:eastAsia="en-US"/>
        </w:rPr>
        <w:t xml:space="preserve"> por el que se da a conocer a los gobiernos de las entidades federativas la distribución y calendarización para la ministración durante el Ejercicio Fiscal</w:t>
      </w:r>
      <w:r>
        <w:rPr>
          <w:rFonts w:asciiTheme="minorHAnsi" w:eastAsiaTheme="minorHAnsi" w:hAnsiTheme="minorHAnsi" w:cstheme="minorBidi"/>
          <w:sz w:val="22"/>
          <w:szCs w:val="22"/>
          <w:lang w:eastAsia="en-US"/>
        </w:rPr>
        <w:t xml:space="preserve"> correspondiente</w:t>
      </w:r>
      <w:r w:rsidRPr="00D030FF">
        <w:rPr>
          <w:rFonts w:asciiTheme="minorHAnsi" w:eastAsiaTheme="minorHAnsi" w:hAnsiTheme="minorHAnsi" w:cstheme="minorBidi"/>
          <w:sz w:val="22"/>
          <w:szCs w:val="22"/>
          <w:lang w:eastAsia="en-US"/>
        </w:rPr>
        <w:t xml:space="preserve">, de los recursos </w:t>
      </w:r>
      <w:r>
        <w:rPr>
          <w:rFonts w:asciiTheme="minorHAnsi" w:eastAsiaTheme="minorHAnsi" w:hAnsiTheme="minorHAnsi" w:cstheme="minorBidi"/>
          <w:sz w:val="22"/>
          <w:szCs w:val="22"/>
          <w:lang w:eastAsia="en-US"/>
        </w:rPr>
        <w:t>de</w:t>
      </w:r>
      <w:r w:rsidRPr="00D030FF">
        <w:rPr>
          <w:rFonts w:asciiTheme="minorHAnsi" w:eastAsiaTheme="minorHAnsi" w:hAnsiTheme="minorHAnsi" w:cstheme="minorBidi"/>
          <w:sz w:val="22"/>
          <w:szCs w:val="22"/>
          <w:lang w:eastAsia="en-US"/>
        </w:rPr>
        <w:t xml:space="preserve"> los Ramos Generales 28 </w:t>
      </w:r>
      <w:r>
        <w:rPr>
          <w:rFonts w:asciiTheme="minorHAnsi" w:eastAsiaTheme="minorHAnsi" w:hAnsiTheme="minorHAnsi" w:cstheme="minorBidi"/>
          <w:sz w:val="22"/>
          <w:szCs w:val="22"/>
          <w:lang w:eastAsia="en-US"/>
        </w:rPr>
        <w:t>“</w:t>
      </w:r>
      <w:r w:rsidRPr="00D030FF">
        <w:rPr>
          <w:rFonts w:asciiTheme="minorHAnsi" w:eastAsiaTheme="minorHAnsi" w:hAnsiTheme="minorHAnsi" w:cstheme="minorBidi"/>
          <w:sz w:val="22"/>
          <w:szCs w:val="22"/>
          <w:lang w:eastAsia="en-US"/>
        </w:rPr>
        <w:t>Participaciones a Entidades Federativas y Municipios</w:t>
      </w:r>
      <w:r>
        <w:rPr>
          <w:rFonts w:asciiTheme="minorHAnsi" w:eastAsiaTheme="minorHAnsi" w:hAnsiTheme="minorHAnsi" w:cstheme="minorBidi"/>
          <w:sz w:val="22"/>
          <w:szCs w:val="22"/>
          <w:lang w:eastAsia="en-US"/>
        </w:rPr>
        <w:t>”</w:t>
      </w:r>
      <w:r w:rsidRPr="00D030FF">
        <w:rPr>
          <w:rFonts w:asciiTheme="minorHAnsi" w:eastAsiaTheme="minorHAnsi" w:hAnsiTheme="minorHAnsi" w:cstheme="minorBidi"/>
          <w:sz w:val="22"/>
          <w:szCs w:val="22"/>
          <w:lang w:eastAsia="en-US"/>
        </w:rPr>
        <w:t xml:space="preserve">, y 33 </w:t>
      </w:r>
      <w:r>
        <w:rPr>
          <w:rFonts w:asciiTheme="minorHAnsi" w:eastAsiaTheme="minorHAnsi" w:hAnsiTheme="minorHAnsi" w:cstheme="minorBidi"/>
          <w:sz w:val="22"/>
          <w:szCs w:val="22"/>
          <w:lang w:eastAsia="en-US"/>
        </w:rPr>
        <w:t>“</w:t>
      </w:r>
      <w:r w:rsidRPr="00D030FF">
        <w:rPr>
          <w:rFonts w:asciiTheme="minorHAnsi" w:eastAsiaTheme="minorHAnsi" w:hAnsiTheme="minorHAnsi" w:cstheme="minorBidi"/>
          <w:sz w:val="22"/>
          <w:szCs w:val="22"/>
          <w:lang w:eastAsia="en-US"/>
        </w:rPr>
        <w:t>Aportaciones Federales para Entidades Federativas y Municipios</w:t>
      </w:r>
      <w:r>
        <w:rPr>
          <w:rFonts w:asciiTheme="minorHAnsi" w:eastAsiaTheme="minorHAnsi" w:hAnsiTheme="minorHAnsi" w:cstheme="minorBidi"/>
          <w:sz w:val="22"/>
          <w:szCs w:val="22"/>
          <w:lang w:eastAsia="en-US"/>
        </w:rPr>
        <w:t>”</w:t>
      </w:r>
      <w:r w:rsidRPr="00D030FF">
        <w:rPr>
          <w:rFonts w:asciiTheme="minorHAnsi" w:eastAsiaTheme="minorHAnsi" w:hAnsiTheme="minorHAnsi" w:cstheme="minorBidi"/>
          <w:sz w:val="22"/>
          <w:szCs w:val="22"/>
          <w:lang w:eastAsia="en-US"/>
        </w:rPr>
        <w:t>.</w:t>
      </w:r>
    </w:p>
    <w:bookmarkEnd w:id="59"/>
    <w:p w14:paraId="66B3A315" w14:textId="2C4C475B" w:rsidR="00DE086C" w:rsidRPr="00DE086C" w:rsidRDefault="00974B68" w:rsidP="00DE086C">
      <w:pPr>
        <w:rPr>
          <w:rFonts w:ascii="Calibri" w:hAnsi="Calibri"/>
          <w:b/>
          <w:bCs/>
        </w:rPr>
      </w:pPr>
      <w:r w:rsidRPr="00974B68">
        <w:rPr>
          <w:rFonts w:ascii="Calibri" w:hAnsi="Calibri"/>
          <w:b/>
          <w:bCs/>
        </w:rPr>
        <w:t>Planeación del ejercicio de los recursos en la entidad federativa</w:t>
      </w:r>
    </w:p>
    <w:p w14:paraId="607E1A81" w14:textId="6CED197C" w:rsidR="00974B68" w:rsidRPr="00974B68" w:rsidRDefault="00E668DA" w:rsidP="00974B68">
      <w:pPr>
        <w:rPr>
          <w:rFonts w:ascii="Calibri" w:hAnsi="Calibri" w:cstheme="minorHAnsi"/>
        </w:rPr>
      </w:pPr>
      <w:r>
        <w:rPr>
          <w:rFonts w:ascii="Calibri" w:hAnsi="Calibri" w:cstheme="minorHAnsi"/>
        </w:rPr>
        <w:t>En la entidad federativa</w:t>
      </w:r>
      <w:r w:rsidR="001D49BB">
        <w:rPr>
          <w:rFonts w:ascii="Calibri" w:hAnsi="Calibri" w:cstheme="minorHAnsi"/>
        </w:rPr>
        <w:t xml:space="preserve">, </w:t>
      </w:r>
      <w:r>
        <w:rPr>
          <w:rFonts w:ascii="Calibri" w:hAnsi="Calibri" w:cstheme="minorHAnsi"/>
        </w:rPr>
        <w:t xml:space="preserve">desde que se conocen los montos </w:t>
      </w:r>
      <w:r w:rsidR="001D49BB">
        <w:rPr>
          <w:rFonts w:ascii="Calibri" w:hAnsi="Calibri" w:cstheme="minorHAnsi"/>
        </w:rPr>
        <w:t>presentados</w:t>
      </w:r>
      <w:r>
        <w:rPr>
          <w:rFonts w:ascii="Calibri" w:hAnsi="Calibri" w:cstheme="minorHAnsi"/>
        </w:rPr>
        <w:t xml:space="preserve"> en el PPEF s</w:t>
      </w:r>
      <w:r w:rsidR="00974B68" w:rsidRPr="00974B68">
        <w:rPr>
          <w:rFonts w:ascii="Calibri" w:hAnsi="Calibri" w:cstheme="minorHAnsi"/>
        </w:rPr>
        <w:t xml:space="preserve">e lleva a cabo la identificación de </w:t>
      </w:r>
      <w:bookmarkStart w:id="60" w:name="_Hlk54258380"/>
      <w:r w:rsidR="00974B68" w:rsidRPr="00974B68">
        <w:rPr>
          <w:rFonts w:ascii="Calibri" w:hAnsi="Calibri" w:cstheme="minorHAnsi"/>
        </w:rPr>
        <w:t>las problemáticas a atender con recursos del FAFEF, para determinar los conceptos susceptibles de ser financiados con recursos del Fondo, en el que participan el Comité de Planeación para el Desarrollo del Estado de Hidalgo (COPLADEHI), el Subcomité de Obras Públicas, los Comités de Planeación para el Desarrollo Regional (COPLADER), los Comités de Planeación para el Desarrollo Municipal (COPLADEM).</w:t>
      </w:r>
    </w:p>
    <w:bookmarkEnd w:id="60"/>
    <w:p w14:paraId="1E67461E" w14:textId="57734752" w:rsidR="00974B68" w:rsidRDefault="00974B68" w:rsidP="00D71654">
      <w:pPr>
        <w:rPr>
          <w:rFonts w:ascii="Calibri" w:hAnsi="Calibri" w:cstheme="minorHAnsi"/>
        </w:rPr>
      </w:pPr>
      <w:r w:rsidRPr="00974B68">
        <w:rPr>
          <w:rFonts w:ascii="Calibri" w:hAnsi="Calibri" w:cstheme="minorHAnsi"/>
        </w:rPr>
        <w:t xml:space="preserve">Mediante </w:t>
      </w:r>
      <w:bookmarkStart w:id="61" w:name="_Hlk54258324"/>
      <w:r w:rsidRPr="00974B68">
        <w:rPr>
          <w:rFonts w:ascii="Calibri" w:hAnsi="Calibri" w:cstheme="minorHAnsi"/>
        </w:rPr>
        <w:t xml:space="preserve">mesas de trabajo celebradas con las </w:t>
      </w:r>
      <w:r w:rsidR="00085D24">
        <w:rPr>
          <w:rFonts w:ascii="Calibri" w:hAnsi="Calibri" w:cstheme="minorHAnsi"/>
        </w:rPr>
        <w:t>unidades</w:t>
      </w:r>
      <w:r w:rsidRPr="00974B68">
        <w:rPr>
          <w:rFonts w:ascii="Calibri" w:hAnsi="Calibri" w:cstheme="minorHAnsi"/>
        </w:rPr>
        <w:t xml:space="preserve"> ejecutoras de los proyectos de inversión, la S</w:t>
      </w:r>
      <w:r w:rsidR="001D49BB">
        <w:rPr>
          <w:rFonts w:ascii="Calibri" w:hAnsi="Calibri" w:cstheme="minorHAnsi"/>
        </w:rPr>
        <w:t>FP in</w:t>
      </w:r>
      <w:r w:rsidRPr="00974B68">
        <w:rPr>
          <w:rFonts w:ascii="Calibri" w:hAnsi="Calibri" w:cstheme="minorHAnsi"/>
        </w:rPr>
        <w:t>tegra el Proyecto de Presupuesto de Egresos del Estado</w:t>
      </w:r>
      <w:bookmarkEnd w:id="61"/>
      <w:r w:rsidR="001D49BB">
        <w:rPr>
          <w:rFonts w:ascii="Calibri" w:hAnsi="Calibri" w:cstheme="minorHAnsi"/>
        </w:rPr>
        <w:t xml:space="preserve"> (PPEE)</w:t>
      </w:r>
      <w:r w:rsidR="004A0DA3">
        <w:rPr>
          <w:rFonts w:ascii="Calibri" w:hAnsi="Calibri" w:cstheme="minorHAnsi"/>
        </w:rPr>
        <w:t xml:space="preserve"> para su revisión, discusión y aprobación por el Congreso del Estado</w:t>
      </w:r>
      <w:r w:rsidRPr="00974B68">
        <w:rPr>
          <w:rFonts w:ascii="Calibri" w:hAnsi="Calibri" w:cstheme="minorHAnsi"/>
        </w:rPr>
        <w:t>.</w:t>
      </w:r>
      <w:r w:rsidR="00E668DA">
        <w:rPr>
          <w:rFonts w:ascii="Calibri" w:hAnsi="Calibri" w:cstheme="minorHAnsi"/>
        </w:rPr>
        <w:t xml:space="preserve"> </w:t>
      </w:r>
      <w:bookmarkStart w:id="62" w:name="_Hlk54258444"/>
      <w:r w:rsidRPr="00974B68">
        <w:rPr>
          <w:rFonts w:ascii="Calibri" w:hAnsi="Calibri" w:cstheme="minorHAnsi"/>
        </w:rPr>
        <w:t>A partir del proceso de planeación anterior, a la Unidad de Planeación y Prospectiva</w:t>
      </w:r>
      <w:r w:rsidR="00551277">
        <w:rPr>
          <w:rFonts w:ascii="Calibri" w:hAnsi="Calibri" w:cstheme="minorHAnsi"/>
        </w:rPr>
        <w:t xml:space="preserve"> (UPLAPH)</w:t>
      </w:r>
      <w:r w:rsidRPr="00974B68">
        <w:rPr>
          <w:rFonts w:ascii="Calibri" w:hAnsi="Calibri" w:cstheme="minorHAnsi"/>
        </w:rPr>
        <w:t xml:space="preserve"> le corresponde definir el proceso de planeación y a la S</w:t>
      </w:r>
      <w:r w:rsidR="001D49BB">
        <w:rPr>
          <w:rFonts w:ascii="Calibri" w:hAnsi="Calibri" w:cstheme="minorHAnsi"/>
        </w:rPr>
        <w:t>FP</w:t>
      </w:r>
      <w:r w:rsidRPr="00974B68">
        <w:rPr>
          <w:rFonts w:ascii="Calibri" w:hAnsi="Calibri" w:cstheme="minorHAnsi"/>
        </w:rPr>
        <w:t xml:space="preserve">, el proceso de programación, por medio de las cuales se </w:t>
      </w:r>
      <w:r w:rsidRPr="00974B68">
        <w:rPr>
          <w:rFonts w:ascii="Calibri" w:hAnsi="Calibri" w:cstheme="minorHAnsi"/>
        </w:rPr>
        <w:lastRenderedPageBreak/>
        <w:t xml:space="preserve">ordenan los distintos </w:t>
      </w:r>
      <w:r w:rsidR="004322DE">
        <w:rPr>
          <w:color w:val="000000" w:themeColor="text1"/>
        </w:rPr>
        <w:t>Pp</w:t>
      </w:r>
      <w:r w:rsidRPr="00974B68">
        <w:rPr>
          <w:rFonts w:ascii="Calibri" w:hAnsi="Calibri" w:cstheme="minorHAnsi"/>
        </w:rPr>
        <w:t>, proyectos, obras y acciones para su orientación en función de las prioridades y estrategias que garanticen el bienestar social y el desarrollo económico de la entidad</w:t>
      </w:r>
      <w:bookmarkEnd w:id="62"/>
      <w:r w:rsidR="00C7365A">
        <w:rPr>
          <w:rFonts w:ascii="Calibri" w:hAnsi="Calibri" w:cstheme="minorHAnsi"/>
        </w:rPr>
        <w:t xml:space="preserve"> federativa</w:t>
      </w:r>
      <w:r w:rsidRPr="00974B68">
        <w:rPr>
          <w:rFonts w:ascii="Calibri" w:hAnsi="Calibri" w:cstheme="minorHAnsi"/>
        </w:rPr>
        <w:t>. La vinculación de los procesos de programación-presupuestación le corresponde a la S</w:t>
      </w:r>
      <w:r w:rsidR="001D49BB">
        <w:rPr>
          <w:rFonts w:ascii="Calibri" w:hAnsi="Calibri" w:cstheme="minorHAnsi"/>
        </w:rPr>
        <w:t>FP</w:t>
      </w:r>
      <w:r w:rsidRPr="00974B68">
        <w:rPr>
          <w:rFonts w:ascii="Calibri" w:hAnsi="Calibri" w:cstheme="minorHAnsi"/>
        </w:rPr>
        <w:t>.</w:t>
      </w:r>
      <w:r>
        <w:rPr>
          <w:rFonts w:ascii="Calibri" w:hAnsi="Calibri" w:cstheme="minorHAnsi"/>
        </w:rPr>
        <w:t xml:space="preserve"> </w:t>
      </w:r>
      <w:r w:rsidRPr="00974B68">
        <w:rPr>
          <w:rFonts w:ascii="Calibri" w:hAnsi="Calibri" w:cstheme="minorHAnsi"/>
        </w:rPr>
        <w:t>Conforme a lo dispuesto en el artículo 47 de la L</w:t>
      </w:r>
      <w:r w:rsidR="001D49BB">
        <w:rPr>
          <w:rFonts w:ascii="Calibri" w:hAnsi="Calibri" w:cstheme="minorHAnsi"/>
        </w:rPr>
        <w:t xml:space="preserve">CF, </w:t>
      </w:r>
      <w:r w:rsidRPr="00974B68">
        <w:rPr>
          <w:rFonts w:ascii="Calibri" w:hAnsi="Calibri" w:cstheme="minorHAnsi"/>
        </w:rPr>
        <w:t>los recursos del FAFEF son aplicados en rubros inherentes a la inversión en infraestructura física; saneamiento financiero a través de la amortización de la deuda pública; modernización de los registros públicos de la propiedad y del comercio</w:t>
      </w:r>
      <w:r>
        <w:rPr>
          <w:rFonts w:ascii="Calibri" w:hAnsi="Calibri" w:cstheme="minorHAnsi"/>
        </w:rPr>
        <w:t xml:space="preserve"> locales</w:t>
      </w:r>
      <w:r w:rsidRPr="00974B68">
        <w:rPr>
          <w:rFonts w:ascii="Calibri" w:hAnsi="Calibri" w:cstheme="minorHAnsi"/>
        </w:rPr>
        <w:t>, así como</w:t>
      </w:r>
      <w:r w:rsidR="00E86F9E">
        <w:rPr>
          <w:rFonts w:ascii="Calibri" w:hAnsi="Calibri" w:cstheme="minorHAnsi"/>
        </w:rPr>
        <w:t xml:space="preserve"> para</w:t>
      </w:r>
      <w:r>
        <w:rPr>
          <w:rFonts w:ascii="Calibri" w:hAnsi="Calibri" w:cstheme="minorHAnsi"/>
        </w:rPr>
        <w:t xml:space="preserve"> apoyos a la</w:t>
      </w:r>
      <w:r w:rsidRPr="00974B68">
        <w:rPr>
          <w:rFonts w:ascii="Calibri" w:hAnsi="Calibri" w:cstheme="minorHAnsi"/>
        </w:rPr>
        <w:t xml:space="preserve"> educación pública.</w:t>
      </w:r>
    </w:p>
    <w:p w14:paraId="77E2E4E3" w14:textId="18158EBE" w:rsidR="00D71654" w:rsidRDefault="00D71654" w:rsidP="00D71654">
      <w:pPr>
        <w:rPr>
          <w:rFonts w:ascii="Calibri" w:hAnsi="Calibri" w:cstheme="minorHAnsi"/>
        </w:rPr>
      </w:pPr>
      <w:r w:rsidRPr="00D71654">
        <w:rPr>
          <w:rFonts w:ascii="Calibri" w:hAnsi="Calibri" w:cstheme="minorHAnsi"/>
        </w:rPr>
        <w:t>Si</w:t>
      </w:r>
      <w:r>
        <w:rPr>
          <w:rFonts w:ascii="Calibri" w:hAnsi="Calibri" w:cstheme="minorHAnsi"/>
        </w:rPr>
        <w:t xml:space="preserve"> bien</w:t>
      </w:r>
      <w:r w:rsidR="00E86F9E">
        <w:rPr>
          <w:rFonts w:ascii="Calibri" w:hAnsi="Calibri" w:cstheme="minorHAnsi"/>
        </w:rPr>
        <w:t>,</w:t>
      </w:r>
      <w:r>
        <w:rPr>
          <w:rFonts w:ascii="Calibri" w:hAnsi="Calibri" w:cstheme="minorHAnsi"/>
        </w:rPr>
        <w:t xml:space="preserve"> para la integración </w:t>
      </w:r>
      <w:r w:rsidR="00975DD8">
        <w:rPr>
          <w:rFonts w:ascii="Calibri" w:hAnsi="Calibri" w:cstheme="minorHAnsi"/>
        </w:rPr>
        <w:t xml:space="preserve">del </w:t>
      </w:r>
      <w:r w:rsidRPr="00D71654">
        <w:rPr>
          <w:rFonts w:ascii="Calibri" w:hAnsi="Calibri" w:cstheme="minorHAnsi"/>
        </w:rPr>
        <w:t>PPE</w:t>
      </w:r>
      <w:r w:rsidR="00E74092">
        <w:rPr>
          <w:rFonts w:ascii="Calibri" w:hAnsi="Calibri" w:cstheme="minorHAnsi"/>
        </w:rPr>
        <w:t>E</w:t>
      </w:r>
      <w:r>
        <w:rPr>
          <w:rFonts w:ascii="Calibri" w:hAnsi="Calibri" w:cstheme="minorHAnsi"/>
        </w:rPr>
        <w:t xml:space="preserve"> se consideran las decisiones de las mesas de trabajo </w:t>
      </w:r>
      <w:r w:rsidR="00E86F9E">
        <w:rPr>
          <w:rFonts w:ascii="Calibri" w:hAnsi="Calibri" w:cstheme="minorHAnsi"/>
        </w:rPr>
        <w:t xml:space="preserve">en las que </w:t>
      </w:r>
      <w:r>
        <w:rPr>
          <w:rFonts w:ascii="Calibri" w:hAnsi="Calibri" w:cstheme="minorHAnsi"/>
        </w:rPr>
        <w:t xml:space="preserve">participan </w:t>
      </w:r>
      <w:r w:rsidR="00975DD8">
        <w:rPr>
          <w:rFonts w:ascii="Calibri" w:hAnsi="Calibri" w:cstheme="minorHAnsi"/>
        </w:rPr>
        <w:t xml:space="preserve">diferentes dependencias, la </w:t>
      </w:r>
      <w:bookmarkStart w:id="63" w:name="_Hlk54258517"/>
      <w:r w:rsidR="00975DD8">
        <w:rPr>
          <w:rFonts w:ascii="Calibri" w:hAnsi="Calibri" w:cstheme="minorHAnsi"/>
        </w:rPr>
        <w:t xml:space="preserve">asignación de los recursos se da de manera global y </w:t>
      </w:r>
      <w:r w:rsidR="00F62A1C">
        <w:rPr>
          <w:rFonts w:ascii="Calibri" w:hAnsi="Calibri" w:cstheme="minorHAnsi"/>
        </w:rPr>
        <w:t>par</w:t>
      </w:r>
      <w:r w:rsidR="00975DD8">
        <w:rPr>
          <w:rFonts w:ascii="Calibri" w:hAnsi="Calibri" w:cstheme="minorHAnsi"/>
        </w:rPr>
        <w:t>a cada sector estratégico del PEDH 2016-2022, por lo que en el P</w:t>
      </w:r>
      <w:r w:rsidR="00E86F9E">
        <w:rPr>
          <w:rFonts w:ascii="Calibri" w:hAnsi="Calibri" w:cstheme="minorHAnsi"/>
        </w:rPr>
        <w:t>re</w:t>
      </w:r>
      <w:r w:rsidR="00975DD8">
        <w:rPr>
          <w:rFonts w:ascii="Calibri" w:hAnsi="Calibri" w:cstheme="minorHAnsi"/>
        </w:rPr>
        <w:t>supuesto de Egresos de</w:t>
      </w:r>
      <w:r w:rsidR="00924B7E">
        <w:rPr>
          <w:rFonts w:ascii="Calibri" w:hAnsi="Calibri" w:cstheme="minorHAnsi"/>
        </w:rPr>
        <w:t>l Estado</w:t>
      </w:r>
      <w:r w:rsidR="00975DD8">
        <w:rPr>
          <w:rFonts w:ascii="Calibri" w:hAnsi="Calibri" w:cstheme="minorHAnsi"/>
        </w:rPr>
        <w:t>, no es posible identificar el destino de los recursos</w:t>
      </w:r>
      <w:r w:rsidR="00085D24">
        <w:rPr>
          <w:rFonts w:ascii="Calibri" w:hAnsi="Calibri" w:cstheme="minorHAnsi"/>
        </w:rPr>
        <w:t xml:space="preserve"> del FAFEF</w:t>
      </w:r>
      <w:r w:rsidR="00975DD8">
        <w:rPr>
          <w:rFonts w:ascii="Calibri" w:hAnsi="Calibri" w:cstheme="minorHAnsi"/>
        </w:rPr>
        <w:t xml:space="preserve">, por rubro, </w:t>
      </w:r>
      <w:r w:rsidR="00F62B09">
        <w:rPr>
          <w:rFonts w:ascii="Calibri" w:hAnsi="Calibri" w:cstheme="minorHAnsi"/>
        </w:rPr>
        <w:t>Pp</w:t>
      </w:r>
      <w:r w:rsidR="00975DD8">
        <w:rPr>
          <w:rFonts w:ascii="Calibri" w:hAnsi="Calibri" w:cstheme="minorHAnsi"/>
        </w:rPr>
        <w:t xml:space="preserve"> o proyecto, ya que sólo se menciona el destino como “</w:t>
      </w:r>
      <w:r w:rsidR="00644705">
        <w:rPr>
          <w:rFonts w:ascii="Calibri" w:hAnsi="Calibri" w:cstheme="minorHAnsi"/>
        </w:rPr>
        <w:t>i</w:t>
      </w:r>
      <w:r w:rsidR="00975DD8">
        <w:rPr>
          <w:rFonts w:ascii="Calibri" w:hAnsi="Calibri" w:cstheme="minorHAnsi"/>
        </w:rPr>
        <w:t>nversión pública”</w:t>
      </w:r>
      <w:r w:rsidR="00975DD8">
        <w:rPr>
          <w:rStyle w:val="Refdenotaalpie"/>
          <w:rFonts w:ascii="Calibri" w:hAnsi="Calibri" w:cstheme="minorHAnsi"/>
        </w:rPr>
        <w:footnoteReference w:id="20"/>
      </w:r>
      <w:r w:rsidR="008311B4">
        <w:rPr>
          <w:rFonts w:ascii="Calibri" w:hAnsi="Calibri" w:cstheme="minorHAnsi"/>
        </w:rPr>
        <w:t>.</w:t>
      </w:r>
      <w:r w:rsidR="00F72267">
        <w:rPr>
          <w:rFonts w:ascii="Calibri" w:hAnsi="Calibri" w:cstheme="minorHAnsi"/>
        </w:rPr>
        <w:t xml:space="preserve">Por lo </w:t>
      </w:r>
      <w:r w:rsidR="00A34D16">
        <w:rPr>
          <w:rFonts w:ascii="Calibri" w:hAnsi="Calibri" w:cstheme="minorHAnsi"/>
        </w:rPr>
        <w:t>tanto,</w:t>
      </w:r>
      <w:r w:rsidR="00F72267">
        <w:rPr>
          <w:rFonts w:ascii="Calibri" w:hAnsi="Calibri" w:cstheme="minorHAnsi"/>
        </w:rPr>
        <w:t xml:space="preserve"> se recomienda que u</w:t>
      </w:r>
      <w:r w:rsidRPr="00D71654">
        <w:rPr>
          <w:rFonts w:ascii="Calibri" w:hAnsi="Calibri" w:cstheme="minorHAnsi"/>
        </w:rPr>
        <w:t>na vez que la SF</w:t>
      </w:r>
      <w:r w:rsidR="00F72267">
        <w:rPr>
          <w:rFonts w:ascii="Calibri" w:hAnsi="Calibri" w:cstheme="minorHAnsi"/>
        </w:rPr>
        <w:t>P</w:t>
      </w:r>
      <w:r w:rsidRPr="00D71654">
        <w:rPr>
          <w:rFonts w:ascii="Calibri" w:hAnsi="Calibri" w:cstheme="minorHAnsi"/>
        </w:rPr>
        <w:t xml:space="preserve"> ha realizado una estimación de los ingresos del Estado en el marco del proceso de integración del PPE</w:t>
      </w:r>
      <w:r w:rsidR="00924B7E">
        <w:rPr>
          <w:rFonts w:ascii="Calibri" w:hAnsi="Calibri" w:cstheme="minorHAnsi"/>
        </w:rPr>
        <w:t>E</w:t>
      </w:r>
      <w:r w:rsidRPr="00D71654">
        <w:rPr>
          <w:rFonts w:ascii="Calibri" w:hAnsi="Calibri" w:cstheme="minorHAnsi"/>
        </w:rPr>
        <w:t xml:space="preserve"> y cuenta con las necesidades de gasto para el siguiente año, señalar en algún anexo o en el propio proyecto de </w:t>
      </w:r>
      <w:r w:rsidR="00E86F9E">
        <w:rPr>
          <w:rFonts w:ascii="Calibri" w:hAnsi="Calibri" w:cstheme="minorHAnsi"/>
        </w:rPr>
        <w:t>d</w:t>
      </w:r>
      <w:r w:rsidRPr="00D71654">
        <w:rPr>
          <w:rFonts w:ascii="Calibri" w:hAnsi="Calibri" w:cstheme="minorHAnsi"/>
        </w:rPr>
        <w:t>ecreto, los rubros de gasto a los que se orientará el FAFEF conforme a las necesidades más apremiantes de la entidad</w:t>
      </w:r>
      <w:r w:rsidR="00924B7E">
        <w:rPr>
          <w:rFonts w:ascii="Calibri" w:hAnsi="Calibri" w:cstheme="minorHAnsi"/>
        </w:rPr>
        <w:t xml:space="preserve"> federativa</w:t>
      </w:r>
      <w:r w:rsidRPr="00D71654">
        <w:rPr>
          <w:rFonts w:ascii="Calibri" w:hAnsi="Calibri" w:cstheme="minorHAnsi"/>
        </w:rPr>
        <w:t>. Lo anterior involucra de manera directa al Congreso del Estado, en la decisión de destino de los recursos del Fondo</w:t>
      </w:r>
      <w:r w:rsidR="00AE40DD">
        <w:rPr>
          <w:rFonts w:ascii="Calibri" w:hAnsi="Calibri" w:cstheme="minorHAnsi"/>
        </w:rPr>
        <w:t>,</w:t>
      </w:r>
      <w:r w:rsidRPr="00D71654">
        <w:rPr>
          <w:rFonts w:ascii="Calibri" w:hAnsi="Calibri" w:cstheme="minorHAnsi"/>
        </w:rPr>
        <w:t xml:space="preserve"> asegurando que estos se destinen efectivamente a las necesidades más apremiantes del Estado. Así como, establecer </w:t>
      </w:r>
      <w:r w:rsidR="00E86F9E" w:rsidRPr="00D71654">
        <w:rPr>
          <w:rFonts w:ascii="Calibri" w:hAnsi="Calibri" w:cstheme="minorHAnsi"/>
        </w:rPr>
        <w:t>el orden de priorización del destino del gasto</w:t>
      </w:r>
      <w:r w:rsidR="00E86F9E">
        <w:rPr>
          <w:rFonts w:ascii="Calibri" w:hAnsi="Calibri" w:cstheme="minorHAnsi"/>
        </w:rPr>
        <w:t xml:space="preserve"> de los recursos del Fondo en la entidad federativa</w:t>
      </w:r>
      <w:r w:rsidR="00E86F9E" w:rsidRPr="00D71654">
        <w:rPr>
          <w:rFonts w:ascii="Calibri" w:hAnsi="Calibri" w:cstheme="minorHAnsi"/>
        </w:rPr>
        <w:t xml:space="preserve"> </w:t>
      </w:r>
      <w:r w:rsidRPr="00D71654">
        <w:rPr>
          <w:rFonts w:ascii="Calibri" w:hAnsi="Calibri" w:cstheme="minorHAnsi"/>
        </w:rPr>
        <w:t xml:space="preserve">en un documento de planeación estratégica específico para </w:t>
      </w:r>
      <w:bookmarkEnd w:id="63"/>
      <w:r w:rsidR="00E86F9E">
        <w:rPr>
          <w:rFonts w:ascii="Calibri" w:hAnsi="Calibri" w:cstheme="minorHAnsi"/>
        </w:rPr>
        <w:t>el FAFEF en Hidalgo.</w:t>
      </w:r>
    </w:p>
    <w:p w14:paraId="3817B2D3" w14:textId="2B4F7607" w:rsidR="00072345" w:rsidRPr="00D00C18" w:rsidRDefault="00072345" w:rsidP="00515CAC">
      <w:pPr>
        <w:pStyle w:val="Prrafodelista"/>
        <w:numPr>
          <w:ilvl w:val="0"/>
          <w:numId w:val="3"/>
        </w:numPr>
        <w:rPr>
          <w:rFonts w:ascii="Calibri" w:hAnsi="Calibri"/>
          <w:b/>
          <w:bCs/>
        </w:rPr>
      </w:pPr>
      <w:r w:rsidRPr="00D00C18">
        <w:rPr>
          <w:rFonts w:ascii="Calibri" w:hAnsi="Calibri"/>
          <w:b/>
          <w:bCs/>
        </w:rPr>
        <w:t>Eje</w:t>
      </w:r>
      <w:r>
        <w:rPr>
          <w:rFonts w:ascii="Calibri" w:hAnsi="Calibri"/>
          <w:b/>
          <w:bCs/>
        </w:rPr>
        <w:t>rcicio</w:t>
      </w:r>
      <w:r w:rsidR="00A0477D">
        <w:rPr>
          <w:rFonts w:ascii="Calibri" w:hAnsi="Calibri"/>
          <w:b/>
          <w:bCs/>
        </w:rPr>
        <w:t>.</w:t>
      </w:r>
    </w:p>
    <w:p w14:paraId="6C6C8AD6" w14:textId="5479F7FB" w:rsidR="00072345" w:rsidRDefault="00072345" w:rsidP="00072345">
      <w:r w:rsidRPr="00B73C39">
        <w:t xml:space="preserve">En lo que respecta al ejercicio, la DGPyP </w:t>
      </w:r>
      <w:r w:rsidR="00B06566">
        <w:t>“</w:t>
      </w:r>
      <w:r w:rsidRPr="00B73C39">
        <w:t>A</w:t>
      </w:r>
      <w:r w:rsidR="00B06566">
        <w:t>”</w:t>
      </w:r>
      <w:r w:rsidRPr="00B73C39">
        <w:t xml:space="preserve"> informa a la Subsecretaría de Egresos</w:t>
      </w:r>
      <w:r>
        <w:t xml:space="preserve"> de la SF</w:t>
      </w:r>
      <w:r w:rsidR="00A34D16">
        <w:t>P</w:t>
      </w:r>
      <w:r>
        <w:t xml:space="preserve"> de la </w:t>
      </w:r>
      <w:r w:rsidR="00924B7E">
        <w:t>e</w:t>
      </w:r>
      <w:r>
        <w:t>ntidad</w:t>
      </w:r>
      <w:r w:rsidR="00924B7E">
        <w:t xml:space="preserve"> federativa</w:t>
      </w:r>
      <w:r w:rsidRPr="00B73C39">
        <w:t xml:space="preserve">, 5 días antes de la fecha programada en el Acuerdo por el que se da a conocer a los gobiernos de las entidades federativas la distribución y calendarización para la ministración durante el ejercicio fiscal correspondiente, de los recursos de los Ramos Generales 28 y 33, emitido por la SHCP en el </w:t>
      </w:r>
      <w:r>
        <w:t>DOF</w:t>
      </w:r>
      <w:r w:rsidRPr="00B73C39">
        <w:t>, el día último de cada mes mediante ficha de información de pagos efectuados y emite los montos del Fondo mensualmente a la SF</w:t>
      </w:r>
      <w:r w:rsidR="00BA1E32">
        <w:t>P</w:t>
      </w:r>
      <w:r>
        <w:t>.</w:t>
      </w:r>
    </w:p>
    <w:p w14:paraId="0D0342EC" w14:textId="3BDFB9C5" w:rsidR="00D00C18" w:rsidRPr="001B22EE" w:rsidRDefault="00072345" w:rsidP="00072345">
      <w:pPr>
        <w:rPr>
          <w:rFonts w:ascii="Calibri" w:hAnsi="Calibri" w:cstheme="minorHAnsi"/>
        </w:rPr>
      </w:pPr>
      <w:r w:rsidRPr="00072345">
        <w:rPr>
          <w:rFonts w:ascii="Calibri" w:hAnsi="Calibri" w:cstheme="minorHAnsi"/>
        </w:rPr>
        <w:t>La SFP apertura una cuenta bancaria productiva y específica para la recepción, administración y manejo de los recursos asignados al FAFEF y notifica a la DGPy</w:t>
      </w:r>
      <w:r w:rsidR="002B7FAD">
        <w:rPr>
          <w:rFonts w:ascii="Calibri" w:hAnsi="Calibri" w:cstheme="minorHAnsi"/>
        </w:rPr>
        <w:t>P</w:t>
      </w:r>
      <w:r w:rsidRPr="00072345">
        <w:rPr>
          <w:rFonts w:ascii="Calibri" w:hAnsi="Calibri" w:cstheme="minorHAnsi"/>
        </w:rPr>
        <w:t xml:space="preserve"> “A” de la SHCP</w:t>
      </w:r>
      <w:r w:rsidR="001B22EE">
        <w:rPr>
          <w:rFonts w:ascii="Calibri" w:hAnsi="Calibri" w:cstheme="minorHAnsi"/>
        </w:rPr>
        <w:t xml:space="preserve">; en esta cuenta </w:t>
      </w:r>
      <w:r w:rsidR="00D00C18" w:rsidRPr="00072345">
        <w:rPr>
          <w:rFonts w:ascii="Calibri" w:hAnsi="Calibri" w:cstheme="minorHAnsi"/>
        </w:rPr>
        <w:t xml:space="preserve">recibe de la Tesorería de la Federación (TESOFE) de la SHCP, los </w:t>
      </w:r>
      <w:r w:rsidR="002B7FAD">
        <w:rPr>
          <w:rFonts w:ascii="Calibri" w:hAnsi="Calibri" w:cstheme="minorHAnsi"/>
        </w:rPr>
        <w:t>r</w:t>
      </w:r>
      <w:r w:rsidR="00D00C18" w:rsidRPr="00072345">
        <w:rPr>
          <w:rFonts w:ascii="Calibri" w:hAnsi="Calibri" w:cstheme="minorHAnsi"/>
        </w:rPr>
        <w:t>ecursos del FAFEF de acuerdo con la distribución y calendarización publicada en el DOF.</w:t>
      </w:r>
    </w:p>
    <w:p w14:paraId="7B82267A" w14:textId="238D754D" w:rsidR="00D00C18" w:rsidRDefault="00D00C18" w:rsidP="00895E6A">
      <w:pPr>
        <w:rPr>
          <w:rFonts w:ascii="Calibri" w:hAnsi="Calibri" w:cstheme="minorHAnsi"/>
        </w:rPr>
      </w:pPr>
      <w:r w:rsidRPr="00895E6A">
        <w:rPr>
          <w:rFonts w:ascii="Calibri" w:hAnsi="Calibri" w:cstheme="minorHAnsi"/>
        </w:rPr>
        <w:t>La SFP del Estado de Hidalgo administra los recursos del FAFEF, (registro de ministraciones, la programación, presupuestación y autorización de recursos)</w:t>
      </w:r>
      <w:r w:rsidR="001B22EE">
        <w:rPr>
          <w:rFonts w:ascii="Calibri" w:hAnsi="Calibri" w:cstheme="minorHAnsi"/>
        </w:rPr>
        <w:t xml:space="preserve"> y </w:t>
      </w:r>
      <w:r w:rsidR="001B22EE" w:rsidRPr="00895E6A">
        <w:rPr>
          <w:rFonts w:ascii="Calibri" w:hAnsi="Calibri" w:cstheme="minorHAnsi"/>
        </w:rPr>
        <w:t>transfiere recursos del FAFEF a dependencias y municipios ejecutores del gasto.</w:t>
      </w:r>
    </w:p>
    <w:p w14:paraId="2A498EF0" w14:textId="6DA17802" w:rsidR="001F3831" w:rsidRDefault="00107D78" w:rsidP="00AB00E6">
      <w:r w:rsidRPr="000F3860">
        <w:t>Para el r</w:t>
      </w:r>
      <w:r w:rsidR="001F3831" w:rsidRPr="000F3860">
        <w:t xml:space="preserve">ubro de </w:t>
      </w:r>
      <w:r w:rsidRPr="000F3860">
        <w:t>i</w:t>
      </w:r>
      <w:r w:rsidR="001F3831" w:rsidRPr="000F3860">
        <w:t>nversión en infraestructura</w:t>
      </w:r>
      <w:r w:rsidR="00054D7B" w:rsidRPr="000F3860">
        <w:t xml:space="preserve"> física, </w:t>
      </w:r>
      <w:r w:rsidRPr="000F3860">
        <w:t xml:space="preserve">los recursos </w:t>
      </w:r>
      <w:r w:rsidR="001F3831" w:rsidRPr="000F3860">
        <w:t xml:space="preserve">se ejercen a través del programa sectorial inversión, como </w:t>
      </w:r>
      <w:r w:rsidR="00C13323" w:rsidRPr="000F3860">
        <w:rPr>
          <w:color w:val="000000" w:themeColor="text1"/>
        </w:rPr>
        <w:t>Pp</w:t>
      </w:r>
      <w:r w:rsidR="00C13323" w:rsidRPr="000F3860">
        <w:t xml:space="preserve"> </w:t>
      </w:r>
      <w:r w:rsidR="001F3831" w:rsidRPr="000F3860">
        <w:t xml:space="preserve">de modalidad K, estos </w:t>
      </w:r>
      <w:r w:rsidR="00C13323" w:rsidRPr="000F3860">
        <w:rPr>
          <w:color w:val="000000" w:themeColor="text1"/>
        </w:rPr>
        <w:t>Pp</w:t>
      </w:r>
      <w:r w:rsidR="00C13323" w:rsidRPr="000F3860">
        <w:t xml:space="preserve"> </w:t>
      </w:r>
      <w:r w:rsidR="00D016A8" w:rsidRPr="000F3860">
        <w:t>están normados por el Manual de Normas y Lineamientos para el Ejercicio de los Recursos del Programa de Inversión 2018</w:t>
      </w:r>
      <w:r w:rsidR="00D016A8" w:rsidRPr="000F3860">
        <w:rPr>
          <w:rStyle w:val="Refdenotaalpie"/>
        </w:rPr>
        <w:footnoteReference w:id="21"/>
      </w:r>
      <w:r w:rsidR="00D016A8" w:rsidRPr="000F3860">
        <w:t xml:space="preserve"> y de manera general </w:t>
      </w:r>
      <w:r w:rsidR="001F3831" w:rsidRPr="000F3860">
        <w:t>siguen el siguiente proceso para su ejecución:</w:t>
      </w:r>
    </w:p>
    <w:p w14:paraId="6EDEE90D" w14:textId="30ABDF6B" w:rsidR="00974221" w:rsidRPr="001F3831" w:rsidRDefault="003F5930" w:rsidP="00A0477D">
      <w:pPr>
        <w:pStyle w:val="Prrafodelista"/>
        <w:numPr>
          <w:ilvl w:val="0"/>
          <w:numId w:val="42"/>
        </w:numPr>
        <w:ind w:left="714" w:hanging="357"/>
        <w:contextualSpacing w:val="0"/>
        <w:rPr>
          <w:rFonts w:ascii="Calibri" w:hAnsi="Calibri" w:cstheme="minorHAnsi"/>
        </w:rPr>
      </w:pPr>
      <w:r>
        <w:t>Las unidades ejecutoras</w:t>
      </w:r>
      <w:r w:rsidR="00107D78">
        <w:t xml:space="preserve"> (</w:t>
      </w:r>
      <w:r w:rsidR="00D223C7">
        <w:t xml:space="preserve">SOPOT, SEDESO, </w:t>
      </w:r>
      <w:r w:rsidR="00D223C7">
        <w:rPr>
          <w:rStyle w:val="acopre"/>
        </w:rPr>
        <w:t>IAAMEH</w:t>
      </w:r>
      <w:r w:rsidR="009A7620">
        <w:rPr>
          <w:rStyle w:val="acopre"/>
        </w:rPr>
        <w:t>, DGAIH-SEDAGRO, SECTUR, SEPH, CEDSPI, SEMARNATH, SSH, SEDECOH y municipios)</w:t>
      </w:r>
      <w:r>
        <w:t xml:space="preserve"> deben </w:t>
      </w:r>
      <w:r w:rsidR="00C76451">
        <w:t>integrar un expediente técnico</w:t>
      </w:r>
      <w:r w:rsidR="00897A9A">
        <w:t>,</w:t>
      </w:r>
      <w:r w:rsidR="00C76451">
        <w:t xml:space="preserve"> el cual debe ser validado por la Subsecretaría de Programación, </w:t>
      </w:r>
      <w:r>
        <w:t>quien,</w:t>
      </w:r>
      <w:r w:rsidR="00C76451">
        <w:t xml:space="preserve"> en uso de sus facultades, revisa las propuestas de </w:t>
      </w:r>
      <w:r w:rsidR="00C76451">
        <w:lastRenderedPageBreak/>
        <w:t>inversión pública</w:t>
      </w:r>
      <w:r w:rsidR="00553AD9">
        <w:t>,</w:t>
      </w:r>
      <w:r w:rsidR="00C76451">
        <w:t xml:space="preserve"> para corroborar el cumplimento de la normatividad establecida sobre el particular</w:t>
      </w:r>
      <w:r>
        <w:t xml:space="preserve">. </w:t>
      </w:r>
      <w:r w:rsidR="00C76451" w:rsidRPr="001F3831">
        <w:rPr>
          <w:rFonts w:ascii="Calibri" w:hAnsi="Calibri" w:cstheme="minorHAnsi"/>
        </w:rPr>
        <w:t xml:space="preserve">Las instancias ejecutoras deben registrar los expedientes técnicos </w:t>
      </w:r>
      <w:r w:rsidR="00553AD9">
        <w:rPr>
          <w:rFonts w:ascii="Calibri" w:hAnsi="Calibri" w:cstheme="minorHAnsi"/>
        </w:rPr>
        <w:t xml:space="preserve">de los </w:t>
      </w:r>
      <w:r w:rsidR="00C76451" w:rsidRPr="001F3831">
        <w:rPr>
          <w:rFonts w:ascii="Calibri" w:hAnsi="Calibri" w:cstheme="minorHAnsi"/>
        </w:rPr>
        <w:t>proyectos de inversión en el Sistema de Dictaminación de Expedientes Técnicos (SIDET</w:t>
      </w:r>
      <w:r w:rsidRPr="001F3831">
        <w:rPr>
          <w:rFonts w:ascii="Calibri" w:hAnsi="Calibri" w:cstheme="minorHAnsi"/>
        </w:rPr>
        <w:t>)</w:t>
      </w:r>
      <w:r w:rsidR="00C76451" w:rsidRPr="001F3831">
        <w:rPr>
          <w:rFonts w:ascii="Calibri" w:hAnsi="Calibri" w:cstheme="minorHAnsi"/>
        </w:rPr>
        <w:t xml:space="preserve"> de l</w:t>
      </w:r>
      <w:r w:rsidR="008A7627" w:rsidRPr="001F3831">
        <w:rPr>
          <w:rFonts w:ascii="Calibri" w:hAnsi="Calibri" w:cstheme="minorHAnsi"/>
        </w:rPr>
        <w:t xml:space="preserve">a </w:t>
      </w:r>
      <w:r w:rsidR="00C76451" w:rsidRPr="001F3831">
        <w:rPr>
          <w:rFonts w:ascii="Calibri" w:hAnsi="Calibri" w:cstheme="minorHAnsi"/>
        </w:rPr>
        <w:t>SFP.</w:t>
      </w:r>
      <w:r w:rsidR="008B2E41" w:rsidRPr="001F3831">
        <w:rPr>
          <w:rFonts w:ascii="Calibri" w:hAnsi="Calibri" w:cstheme="minorHAnsi"/>
        </w:rPr>
        <w:t xml:space="preserve"> </w:t>
      </w:r>
      <w:r w:rsidR="00AB00E6" w:rsidRPr="001F3831">
        <w:rPr>
          <w:rFonts w:ascii="Calibri" w:hAnsi="Calibri" w:cstheme="minorHAnsi"/>
        </w:rPr>
        <w:t>En cuanto a la realización de obra pública</w:t>
      </w:r>
      <w:r w:rsidR="000E630C">
        <w:rPr>
          <w:rFonts w:ascii="Calibri" w:hAnsi="Calibri" w:cstheme="minorHAnsi"/>
        </w:rPr>
        <w:t>,</w:t>
      </w:r>
      <w:r w:rsidR="00AB00E6" w:rsidRPr="001F3831">
        <w:rPr>
          <w:rFonts w:ascii="Calibri" w:hAnsi="Calibri" w:cstheme="minorHAnsi"/>
        </w:rPr>
        <w:t xml:space="preserve"> la </w:t>
      </w:r>
      <w:r w:rsidR="00897A9A">
        <w:rPr>
          <w:rFonts w:ascii="Calibri" w:hAnsi="Calibri" w:cstheme="minorHAnsi"/>
        </w:rPr>
        <w:t xml:space="preserve">unidad </w:t>
      </w:r>
      <w:r w:rsidR="00AB00E6" w:rsidRPr="001F3831">
        <w:rPr>
          <w:rFonts w:ascii="Calibri" w:hAnsi="Calibri" w:cstheme="minorHAnsi"/>
        </w:rPr>
        <w:t>ejecutora debe demostrar documental y fehacientemente que no exista problemática alguna con el predio o terreno, por conflictos sociales y/o de tenencia de la tierra que pudiera impedir la realización de la obra.</w:t>
      </w:r>
    </w:p>
    <w:p w14:paraId="5A7908AC" w14:textId="071D2132" w:rsidR="00DE3378" w:rsidRDefault="00D32B71" w:rsidP="00A0477D">
      <w:pPr>
        <w:pStyle w:val="Prrafodelista"/>
        <w:numPr>
          <w:ilvl w:val="0"/>
          <w:numId w:val="42"/>
        </w:numPr>
        <w:ind w:left="714" w:hanging="357"/>
        <w:contextualSpacing w:val="0"/>
        <w:rPr>
          <w:rFonts w:ascii="Calibri" w:hAnsi="Calibri" w:cstheme="minorHAnsi"/>
        </w:rPr>
      </w:pPr>
      <w:r w:rsidRPr="001F3831">
        <w:rPr>
          <w:rFonts w:ascii="Calibri" w:hAnsi="Calibri" w:cstheme="minorHAnsi"/>
        </w:rPr>
        <w:t xml:space="preserve">La Subsecretaría de </w:t>
      </w:r>
      <w:r w:rsidR="008B2E41" w:rsidRPr="001F3831">
        <w:rPr>
          <w:rFonts w:ascii="Calibri" w:hAnsi="Calibri" w:cstheme="minorHAnsi"/>
        </w:rPr>
        <w:t>P</w:t>
      </w:r>
      <w:r w:rsidRPr="001F3831">
        <w:rPr>
          <w:rFonts w:ascii="Calibri" w:hAnsi="Calibri" w:cstheme="minorHAnsi"/>
        </w:rPr>
        <w:t>rogramación emite los oficios de autorización de recursos para la realización de las obras consignad</w:t>
      </w:r>
      <w:r w:rsidR="00553AD9">
        <w:rPr>
          <w:rFonts w:ascii="Calibri" w:hAnsi="Calibri" w:cstheme="minorHAnsi"/>
        </w:rPr>
        <w:t>a</w:t>
      </w:r>
      <w:r w:rsidRPr="001F3831">
        <w:rPr>
          <w:rFonts w:ascii="Calibri" w:hAnsi="Calibri" w:cstheme="minorHAnsi"/>
        </w:rPr>
        <w:t>s en los expedientes técnicos.</w:t>
      </w:r>
      <w:r w:rsidR="00226454" w:rsidRPr="001F3831">
        <w:rPr>
          <w:rFonts w:ascii="Calibri" w:hAnsi="Calibri" w:cstheme="minorHAnsi"/>
        </w:rPr>
        <w:t xml:space="preserve"> Con esta autorización</w:t>
      </w:r>
      <w:r w:rsidR="00897A9A">
        <w:rPr>
          <w:rFonts w:ascii="Calibri" w:hAnsi="Calibri" w:cstheme="minorHAnsi"/>
        </w:rPr>
        <w:t xml:space="preserve">, </w:t>
      </w:r>
      <w:r w:rsidR="00226454" w:rsidRPr="001F3831">
        <w:rPr>
          <w:rFonts w:ascii="Calibri" w:hAnsi="Calibri" w:cstheme="minorHAnsi"/>
        </w:rPr>
        <w:t xml:space="preserve">las distintas dependencias ejecutan las obras o acciones contenidas </w:t>
      </w:r>
      <w:r w:rsidR="00553AD9">
        <w:rPr>
          <w:rFonts w:ascii="Calibri" w:hAnsi="Calibri" w:cstheme="minorHAnsi"/>
        </w:rPr>
        <w:t xml:space="preserve">en los mismos, </w:t>
      </w:r>
      <w:r w:rsidR="00553AD9" w:rsidRPr="001F3831">
        <w:rPr>
          <w:rFonts w:ascii="Calibri" w:hAnsi="Calibri" w:cstheme="minorHAnsi"/>
        </w:rPr>
        <w:t>ya</w:t>
      </w:r>
      <w:r w:rsidR="00226454" w:rsidRPr="001F3831">
        <w:rPr>
          <w:rFonts w:ascii="Calibri" w:hAnsi="Calibri" w:cstheme="minorHAnsi"/>
        </w:rPr>
        <w:t xml:space="preserve"> sea por contrato o por administración directa</w:t>
      </w:r>
      <w:r w:rsidR="00897A9A">
        <w:rPr>
          <w:rFonts w:ascii="Calibri" w:hAnsi="Calibri" w:cstheme="minorHAnsi"/>
        </w:rPr>
        <w:t>,</w:t>
      </w:r>
      <w:r w:rsidR="00226454" w:rsidRPr="001F3831">
        <w:rPr>
          <w:rFonts w:ascii="Calibri" w:hAnsi="Calibri" w:cstheme="minorHAnsi"/>
        </w:rPr>
        <w:t xml:space="preserve"> conforme a lo que se establece en el Manual de Normas y Lineamientos para el ejercicio de los recursos del Programa de Inversión 2018.</w:t>
      </w:r>
    </w:p>
    <w:p w14:paraId="2D0AC855" w14:textId="002FC2F1" w:rsidR="00F671E3" w:rsidRDefault="00F671E3" w:rsidP="00A0477D">
      <w:pPr>
        <w:pStyle w:val="Prrafodelista"/>
        <w:numPr>
          <w:ilvl w:val="0"/>
          <w:numId w:val="42"/>
        </w:numPr>
        <w:ind w:left="714" w:hanging="357"/>
        <w:contextualSpacing w:val="0"/>
        <w:rPr>
          <w:rFonts w:ascii="Calibri" w:hAnsi="Calibri" w:cstheme="minorHAnsi"/>
        </w:rPr>
      </w:pPr>
      <w:r>
        <w:rPr>
          <w:rFonts w:ascii="Calibri" w:hAnsi="Calibri" w:cstheme="minorHAnsi"/>
        </w:rPr>
        <w:t>Para el ejercicio de los recursos</w:t>
      </w:r>
      <w:r w:rsidR="00862351">
        <w:rPr>
          <w:rFonts w:ascii="Calibri" w:hAnsi="Calibri" w:cstheme="minorHAnsi"/>
        </w:rPr>
        <w:t xml:space="preserve">, </w:t>
      </w:r>
      <w:r>
        <w:rPr>
          <w:rFonts w:ascii="Calibri" w:hAnsi="Calibri" w:cstheme="minorHAnsi"/>
        </w:rPr>
        <w:t>cuando se ejecutan obras por administración directa</w:t>
      </w:r>
      <w:r w:rsidR="00862351">
        <w:rPr>
          <w:rFonts w:ascii="Calibri" w:hAnsi="Calibri" w:cstheme="minorHAnsi"/>
        </w:rPr>
        <w:t>,</w:t>
      </w:r>
      <w:r>
        <w:rPr>
          <w:rFonts w:ascii="Calibri" w:hAnsi="Calibri" w:cstheme="minorHAnsi"/>
        </w:rPr>
        <w:t xml:space="preserve"> la SFP </w:t>
      </w:r>
      <w:r w:rsidR="00862351">
        <w:rPr>
          <w:rFonts w:ascii="Calibri" w:hAnsi="Calibri" w:cstheme="minorHAnsi"/>
        </w:rPr>
        <w:t xml:space="preserve">transfiere del 30 al 100% de </w:t>
      </w:r>
      <w:r>
        <w:rPr>
          <w:rFonts w:ascii="Calibri" w:hAnsi="Calibri" w:cstheme="minorHAnsi"/>
        </w:rPr>
        <w:t xml:space="preserve">los recursos a </w:t>
      </w:r>
      <w:r w:rsidR="00862351">
        <w:rPr>
          <w:rFonts w:ascii="Calibri" w:hAnsi="Calibri" w:cstheme="minorHAnsi"/>
        </w:rPr>
        <w:t xml:space="preserve">las unidades ejecutoras como “gastos a comprobar”, a criterio de la SFP y al amparo de recibos y pagarés respaldados por las unidades ejecutoras. La comprobación de estos recursos se efectúa de conformidad al tiempo </w:t>
      </w:r>
      <w:r w:rsidR="00553AD9">
        <w:rPr>
          <w:rFonts w:ascii="Calibri" w:hAnsi="Calibri" w:cstheme="minorHAnsi"/>
        </w:rPr>
        <w:t>que</w:t>
      </w:r>
      <w:r w:rsidR="00862351">
        <w:rPr>
          <w:rFonts w:ascii="Calibri" w:hAnsi="Calibri" w:cstheme="minorHAnsi"/>
        </w:rPr>
        <w:t xml:space="preserve"> determine la Dirección General de Egresos.</w:t>
      </w:r>
    </w:p>
    <w:p w14:paraId="3B104BB9" w14:textId="78A43A77" w:rsidR="00553AD9" w:rsidRDefault="0026267C" w:rsidP="00A0477D">
      <w:pPr>
        <w:pStyle w:val="Prrafodelista"/>
        <w:numPr>
          <w:ilvl w:val="0"/>
          <w:numId w:val="42"/>
        </w:numPr>
        <w:ind w:left="714" w:hanging="357"/>
        <w:contextualSpacing w:val="0"/>
        <w:rPr>
          <w:rFonts w:ascii="Calibri" w:hAnsi="Calibri" w:cstheme="minorHAnsi"/>
        </w:rPr>
      </w:pPr>
      <w:r>
        <w:rPr>
          <w:rFonts w:ascii="Calibri" w:hAnsi="Calibri" w:cstheme="minorHAnsi"/>
        </w:rPr>
        <w:t>Cuando se ejecutan obras por contrato</w:t>
      </w:r>
      <w:r w:rsidR="0087155D">
        <w:rPr>
          <w:rFonts w:ascii="Calibri" w:hAnsi="Calibri" w:cstheme="minorHAnsi"/>
        </w:rPr>
        <w:t>,</w:t>
      </w:r>
      <w:r>
        <w:rPr>
          <w:rFonts w:ascii="Calibri" w:hAnsi="Calibri" w:cstheme="minorHAnsi"/>
        </w:rPr>
        <w:t xml:space="preserve"> </w:t>
      </w:r>
      <w:r w:rsidR="00030B66">
        <w:rPr>
          <w:rFonts w:ascii="Calibri" w:hAnsi="Calibri" w:cstheme="minorHAnsi"/>
        </w:rPr>
        <w:t>las unidades ejecutoras cuentan con treinta días naturales posteriores a la recepción del oficio de autorización</w:t>
      </w:r>
      <w:r w:rsidR="0087155D">
        <w:rPr>
          <w:rFonts w:ascii="Calibri" w:hAnsi="Calibri" w:cstheme="minorHAnsi"/>
        </w:rPr>
        <w:t>,</w:t>
      </w:r>
      <w:r w:rsidR="00030B66">
        <w:rPr>
          <w:rFonts w:ascii="Calibri" w:hAnsi="Calibri" w:cstheme="minorHAnsi"/>
        </w:rPr>
        <w:t xml:space="preserve"> para iniciar las gestiones relativas a la liberación de los recursos, una vez recibidos los mismos</w:t>
      </w:r>
      <w:r w:rsidR="00553AD9">
        <w:rPr>
          <w:rFonts w:ascii="Calibri" w:hAnsi="Calibri" w:cstheme="minorHAnsi"/>
        </w:rPr>
        <w:t xml:space="preserve">, </w:t>
      </w:r>
      <w:r w:rsidR="00030B66">
        <w:rPr>
          <w:rFonts w:ascii="Calibri" w:hAnsi="Calibri" w:cstheme="minorHAnsi"/>
        </w:rPr>
        <w:t>deberán iniciar</w:t>
      </w:r>
      <w:r w:rsidR="00553AD9">
        <w:rPr>
          <w:rFonts w:ascii="Calibri" w:hAnsi="Calibri" w:cstheme="minorHAnsi"/>
        </w:rPr>
        <w:t>,</w:t>
      </w:r>
      <w:r w:rsidR="00030B66">
        <w:rPr>
          <w:rFonts w:ascii="Calibri" w:hAnsi="Calibri" w:cstheme="minorHAnsi"/>
        </w:rPr>
        <w:t xml:space="preserve"> dentro de los siguientes cinco días naturales los trabajos físicos de las obras y/o acciones autorizadas. </w:t>
      </w:r>
    </w:p>
    <w:p w14:paraId="076B70D3" w14:textId="0DACD912" w:rsidR="00862351" w:rsidRDefault="00030B66" w:rsidP="00A0477D">
      <w:pPr>
        <w:pStyle w:val="Prrafodelista"/>
        <w:numPr>
          <w:ilvl w:val="0"/>
          <w:numId w:val="42"/>
        </w:numPr>
        <w:ind w:left="714" w:hanging="357"/>
        <w:contextualSpacing w:val="0"/>
        <w:rPr>
          <w:rFonts w:ascii="Calibri" w:hAnsi="Calibri" w:cstheme="minorHAnsi"/>
        </w:rPr>
      </w:pPr>
      <w:r>
        <w:rPr>
          <w:rFonts w:ascii="Calibri" w:hAnsi="Calibri" w:cstheme="minorHAnsi"/>
        </w:rPr>
        <w:t>Los tramites de pago por anticipos, pago por estimaciones de avance o conclusión de obras, se deben realizar por oficio ante la SFP con atención a la Dirección General de Contabilidad Gubernamental, de conformidad con lo que se específica en el Manual de Normas y Lineamientos, antes referido.</w:t>
      </w:r>
    </w:p>
    <w:p w14:paraId="5073FC8B" w14:textId="248EEC06" w:rsidR="00030B66" w:rsidRDefault="00553AD9" w:rsidP="00A0477D">
      <w:pPr>
        <w:pStyle w:val="Prrafodelista"/>
        <w:numPr>
          <w:ilvl w:val="0"/>
          <w:numId w:val="42"/>
        </w:numPr>
        <w:ind w:left="714" w:hanging="357"/>
        <w:contextualSpacing w:val="0"/>
        <w:rPr>
          <w:rFonts w:ascii="Calibri" w:hAnsi="Calibri" w:cstheme="minorHAnsi"/>
        </w:rPr>
      </w:pPr>
      <w:r>
        <w:rPr>
          <w:rFonts w:ascii="Calibri" w:hAnsi="Calibri" w:cstheme="minorHAnsi"/>
        </w:rPr>
        <w:t>Tanto en los proyectos ejecutados por contrato como en los ejercidos por administración directa,</w:t>
      </w:r>
      <w:r w:rsidR="00030B66">
        <w:rPr>
          <w:rFonts w:ascii="Calibri" w:hAnsi="Calibri" w:cstheme="minorHAnsi"/>
        </w:rPr>
        <w:t xml:space="preserve"> las unidades ejecutoras deben llevar un reg</w:t>
      </w:r>
      <w:r w:rsidR="001D6368">
        <w:rPr>
          <w:rFonts w:ascii="Calibri" w:hAnsi="Calibri" w:cstheme="minorHAnsi"/>
        </w:rPr>
        <w:t xml:space="preserve">istro presupuestal y contable del costo por obra. Asimismo, la SFP </w:t>
      </w:r>
      <w:r w:rsidR="001D6368" w:rsidRPr="001D6368">
        <w:rPr>
          <w:rFonts w:ascii="Calibri" w:hAnsi="Calibri" w:cstheme="minorHAnsi"/>
        </w:rPr>
        <w:t>establece un sistema de control y seguimiento de las obras autorizadas, que le permit</w:t>
      </w:r>
      <w:r w:rsidR="0087155D">
        <w:rPr>
          <w:rFonts w:ascii="Calibri" w:hAnsi="Calibri" w:cstheme="minorHAnsi"/>
        </w:rPr>
        <w:t>e</w:t>
      </w:r>
      <w:r w:rsidR="001D6368" w:rsidRPr="001D6368">
        <w:rPr>
          <w:rFonts w:ascii="Calibri" w:hAnsi="Calibri" w:cstheme="minorHAnsi"/>
        </w:rPr>
        <w:t xml:space="preserve"> verificar los avances físico</w:t>
      </w:r>
      <w:r w:rsidR="0087155D">
        <w:rPr>
          <w:rFonts w:ascii="Calibri" w:hAnsi="Calibri" w:cstheme="minorHAnsi"/>
        </w:rPr>
        <w:t>s</w:t>
      </w:r>
      <w:r>
        <w:rPr>
          <w:rFonts w:ascii="Calibri" w:hAnsi="Calibri" w:cstheme="minorHAnsi"/>
        </w:rPr>
        <w:t xml:space="preserve"> y </w:t>
      </w:r>
      <w:r w:rsidR="001D6368" w:rsidRPr="001D6368">
        <w:rPr>
          <w:rFonts w:ascii="Calibri" w:hAnsi="Calibri" w:cstheme="minorHAnsi"/>
        </w:rPr>
        <w:t>financieros presentados por las</w:t>
      </w:r>
      <w:r w:rsidR="001D6368">
        <w:rPr>
          <w:rFonts w:ascii="Calibri" w:hAnsi="Calibri" w:cstheme="minorHAnsi"/>
        </w:rPr>
        <w:t xml:space="preserve"> unidades ejecutoras.</w:t>
      </w:r>
    </w:p>
    <w:p w14:paraId="3F727D0C" w14:textId="25260C58" w:rsidR="001D6368" w:rsidRPr="005E1463" w:rsidRDefault="00845AED" w:rsidP="00A0477D">
      <w:pPr>
        <w:pStyle w:val="Prrafodelista"/>
        <w:numPr>
          <w:ilvl w:val="0"/>
          <w:numId w:val="42"/>
        </w:numPr>
        <w:ind w:left="714" w:hanging="357"/>
        <w:contextualSpacing w:val="0"/>
        <w:rPr>
          <w:rFonts w:ascii="Calibri" w:hAnsi="Calibri" w:cstheme="minorHAnsi"/>
        </w:rPr>
      </w:pPr>
      <w:r w:rsidRPr="00845AED">
        <w:rPr>
          <w:rFonts w:ascii="Calibri" w:hAnsi="Calibri" w:cstheme="minorHAnsi"/>
        </w:rPr>
        <w:t xml:space="preserve">La SFP es la responsable de constatar el finiquito de los trabajos y el ejercicio de los recursos de las obras y acciones autorizadas para cada proyecto de inversión. </w:t>
      </w:r>
      <w:r w:rsidR="001D6368">
        <w:t xml:space="preserve">El </w:t>
      </w:r>
      <w:r w:rsidR="0087155D">
        <w:t>c</w:t>
      </w:r>
      <w:r w:rsidR="001D6368">
        <w:t xml:space="preserve">ierre del </w:t>
      </w:r>
      <w:r w:rsidR="0087155D">
        <w:t>e</w:t>
      </w:r>
      <w:r w:rsidR="001D6368">
        <w:t xml:space="preserve">jercicio </w:t>
      </w:r>
      <w:r>
        <w:t>es</w:t>
      </w:r>
      <w:r w:rsidR="001D6368">
        <w:t xml:space="preserve"> dado a conocer mediante circular por la SFP en el mes de noviembre del año de operación.</w:t>
      </w:r>
    </w:p>
    <w:p w14:paraId="732B5251" w14:textId="14D3E880" w:rsidR="006530B9" w:rsidRDefault="00C51848" w:rsidP="00895E6A">
      <w:r>
        <w:t xml:space="preserve">En relación con el ejercicio del rubro de saneamiento financiero, </w:t>
      </w:r>
      <w:bookmarkStart w:id="67" w:name="_Hlk54258049"/>
      <w:r>
        <w:t>este se rige por la Ley de Deuda Pública para el Estado de Hidalgo</w:t>
      </w:r>
      <w:bookmarkEnd w:id="67"/>
      <w:r>
        <w:rPr>
          <w:rStyle w:val="Refdenotaalpie"/>
        </w:rPr>
        <w:footnoteReference w:id="22"/>
      </w:r>
      <w:r w:rsidR="006530B9">
        <w:t>, la cual refiere que</w:t>
      </w:r>
      <w:r w:rsidR="0087155D">
        <w:t xml:space="preserve">, </w:t>
      </w:r>
      <w:r w:rsidR="006530B9" w:rsidRPr="007C3D85">
        <w:rPr>
          <w:i/>
          <w:iCs/>
        </w:rPr>
        <w:t>e</w:t>
      </w:r>
      <w:r w:rsidR="00593EB8" w:rsidRPr="007C3D85">
        <w:rPr>
          <w:i/>
          <w:iCs/>
        </w:rPr>
        <w:t>l Estado podrá afectar los derechos de cobro y los ingresos derivados de las participaciones y aportaciones federales susceptibles de afectación, así como sus ingresos locales o cualesquier otros derechos o ingresos de los que pueda disponer de conformidad con la legislación aplicable, como fuente o garantía de pago de las obligaciones o financiamientos que celebre, a través de fideicomisos, mandatos o cualquier otro acto jurídico análogo</w:t>
      </w:r>
      <w:r w:rsidR="00593EB8">
        <w:t>.</w:t>
      </w:r>
      <w:r w:rsidR="006530B9" w:rsidRPr="006530B9">
        <w:t xml:space="preserve"> </w:t>
      </w:r>
      <w:r w:rsidR="006530B9">
        <w:t xml:space="preserve">Esta misma ley específica que </w:t>
      </w:r>
      <w:r w:rsidR="006530B9" w:rsidRPr="007C3D85">
        <w:rPr>
          <w:i/>
          <w:iCs/>
        </w:rPr>
        <w:t>en el caso de afectación de las participaciones o aportaciones federales, el Estado deberá notificar dicha afectación a la Secretaría de Hacienda y Crédito Público, instruyéndola con carácter irrevocable a efecto que, en cada ministración o entrega de las mismas, los ingresos correspondientes a las participaciones o aportaciones federales afectadas sean entregados al mecanismo de fuente y/o de garantía de pago correspondiente, hasta que las obligaciones o financiamientos sean totalmente liquidados</w:t>
      </w:r>
      <w:r w:rsidR="006530B9">
        <w:t>.</w:t>
      </w:r>
    </w:p>
    <w:p w14:paraId="1C77A07E" w14:textId="3F87A99D" w:rsidR="006530B9" w:rsidRDefault="006530B9" w:rsidP="00895E6A">
      <w:r>
        <w:lastRenderedPageBreak/>
        <w:t>El pago por los conceptos de amortización e intereses de la deuda</w:t>
      </w:r>
      <w:r w:rsidR="00F62A1C">
        <w:t>,</w:t>
      </w:r>
      <w:r w:rsidR="00C9106C">
        <w:t xml:space="preserve"> </w:t>
      </w:r>
      <w:r>
        <w:t>está a cargo de la Coordinación de Planeación Financiera de la SFP</w:t>
      </w:r>
      <w:r w:rsidR="00BF5DA4">
        <w:t xml:space="preserve"> y su control se da a través del Sistema de Finanzas y Administración Pública (SIFAP), el cual es un sistema integral que permite la homologación de las operaciones que realizan cada una de las áreas </w:t>
      </w:r>
      <w:r w:rsidR="0087155D">
        <w:t>que</w:t>
      </w:r>
      <w:r w:rsidR="00BF5DA4">
        <w:t xml:space="preserve"> componen la SFP, permitiendo la integración automática del presupuesto con la operación contable en tiempo real, reflejando un registro congruente y ordenado de cada operación y facilitando el reconocimiento de las operaciones de ingresos, gastos, activos y pasivos patrimoniales del Gobierno del Estado.</w:t>
      </w:r>
    </w:p>
    <w:p w14:paraId="69EF6A88" w14:textId="5025C223" w:rsidR="00092EE0" w:rsidRPr="005E1463" w:rsidRDefault="00092EE0" w:rsidP="005E1463">
      <w:pPr>
        <w:spacing w:after="0"/>
      </w:pPr>
      <w:r w:rsidRPr="000B7129">
        <w:t>Si bien</w:t>
      </w:r>
      <w:r w:rsidR="00BD679B" w:rsidRPr="000B7129">
        <w:t>,</w:t>
      </w:r>
      <w:r w:rsidRPr="000B7129">
        <w:t xml:space="preserve"> los rubros de modernización de los registros públicos de la propiedad y del comercio locales y apoyos a la educación pública, fueron ejercidos mediante Pp de modalidad K que también se encuentran agrupados en el programa sectorial 020-inversión, no fue posible identificar en el Manual de Normas y Lineamientos para el Ejercicio de los Recursos del Programa de Inversión 2018, ni en ninguna otra fuente de información, procedimientos relacionados directamente con el ejercicio de los Pp correspondientes a estos rubros.</w:t>
      </w:r>
      <w:r w:rsidRPr="005E1463">
        <w:t xml:space="preserve"> </w:t>
      </w:r>
    </w:p>
    <w:p w14:paraId="780A43BD" w14:textId="77777777" w:rsidR="00D00C18" w:rsidRPr="005E1463" w:rsidRDefault="00D00C18" w:rsidP="00515CAC">
      <w:pPr>
        <w:pStyle w:val="Prrafodelista"/>
        <w:numPr>
          <w:ilvl w:val="0"/>
          <w:numId w:val="3"/>
        </w:numPr>
        <w:rPr>
          <w:rFonts w:ascii="Calibri" w:hAnsi="Calibri"/>
          <w:b/>
          <w:bCs/>
        </w:rPr>
      </w:pPr>
      <w:r w:rsidRPr="005E1463">
        <w:rPr>
          <w:rFonts w:ascii="Calibri" w:hAnsi="Calibri"/>
          <w:b/>
          <w:bCs/>
        </w:rPr>
        <w:t>Seguimiento:</w:t>
      </w:r>
    </w:p>
    <w:p w14:paraId="58D717A6" w14:textId="70EAE6B4" w:rsidR="004B6FFD" w:rsidRPr="00DE3378" w:rsidRDefault="00593EB8" w:rsidP="00895E6A">
      <w:r w:rsidRPr="004B6FFD">
        <w:t>Desde el ámbito federal el seguimiento de los recursos del FAFEF se realiza conforme a lo establecido en el Artículo 85 de la L</w:t>
      </w:r>
      <w:r w:rsidR="000B2116">
        <w:t>F</w:t>
      </w:r>
      <w:r w:rsidRPr="004B6FFD">
        <w:t>PRH a través de la aplicación del SRFT y comprende la captura trimestral del origen y destino de los mismos en sus cuatro módulos (Destino del Gasto, Ejercicio del Gasto, Indicadores y Evaluaciones</w:t>
      </w:r>
      <w:r w:rsidR="00690B89" w:rsidRPr="004B6FFD">
        <w:t>)</w:t>
      </w:r>
      <w:r w:rsidR="001B22EE" w:rsidRPr="004B6FFD">
        <w:t xml:space="preserve">. </w:t>
      </w:r>
      <w:r w:rsidR="00D00C18" w:rsidRPr="004B6FFD">
        <w:t xml:space="preserve">Las dependencias, </w:t>
      </w:r>
      <w:r w:rsidR="000B2116">
        <w:t>o</w:t>
      </w:r>
      <w:r w:rsidR="00D00C18" w:rsidRPr="004B6FFD">
        <w:t xml:space="preserve">rganismos </w:t>
      </w:r>
      <w:r w:rsidR="000B2116">
        <w:t>d</w:t>
      </w:r>
      <w:r w:rsidR="00D00C18" w:rsidRPr="004B6FFD">
        <w:t xml:space="preserve">escentralizados y </w:t>
      </w:r>
      <w:r w:rsidR="000B2116">
        <w:t>m</w:t>
      </w:r>
      <w:r w:rsidR="00D00C18" w:rsidRPr="004B6FFD">
        <w:t>unicipios (</w:t>
      </w:r>
      <w:r w:rsidR="00C66695" w:rsidRPr="004B6FFD">
        <w:t>Unidades</w:t>
      </w:r>
      <w:r w:rsidR="00D00C18" w:rsidRPr="004B6FFD">
        <w:t xml:space="preserve"> ejecutoras) llevan a cabo la integración de expedientes técnicos de proyectos de inversión; </w:t>
      </w:r>
      <w:r w:rsidR="00C66695" w:rsidRPr="004B6FFD">
        <w:t>g</w:t>
      </w:r>
      <w:r w:rsidR="00D00C18" w:rsidRPr="004B6FFD">
        <w:t xml:space="preserve">estión </w:t>
      </w:r>
      <w:r w:rsidR="00C66695" w:rsidRPr="004B6FFD">
        <w:t>e</w:t>
      </w:r>
      <w:r w:rsidR="00D00C18" w:rsidRPr="004B6FFD">
        <w:t xml:space="preserve">jecución y </w:t>
      </w:r>
      <w:r w:rsidR="00C66695" w:rsidRPr="004B6FFD">
        <w:t>c</w:t>
      </w:r>
      <w:r w:rsidR="00D00C18" w:rsidRPr="004B6FFD">
        <w:t xml:space="preserve">omprobación de </w:t>
      </w:r>
      <w:r w:rsidR="00C66695" w:rsidRPr="004B6FFD">
        <w:t>r</w:t>
      </w:r>
      <w:r w:rsidR="00D00C18" w:rsidRPr="004B6FFD">
        <w:t>ecursos. Realizan el procesamiento de la información, a través de</w:t>
      </w:r>
      <w:r w:rsidR="00C66695" w:rsidRPr="004B6FFD">
        <w:t xml:space="preserve">l </w:t>
      </w:r>
      <w:r w:rsidR="00D00C18" w:rsidRPr="004B6FFD">
        <w:t xml:space="preserve">SRFT, mediante </w:t>
      </w:r>
      <w:r w:rsidR="00C66695" w:rsidRPr="004B6FFD">
        <w:t>el cual</w:t>
      </w:r>
      <w:r w:rsidR="00D00C18" w:rsidRPr="004B6FFD">
        <w:t xml:space="preserve"> reportan su información sobre la ejecución y resultados de las aportaciones del FAFEF en la entidad</w:t>
      </w:r>
      <w:r w:rsidR="00924B7E" w:rsidRPr="004B6FFD">
        <w:t xml:space="preserve"> federativa</w:t>
      </w:r>
      <w:r w:rsidR="004B6FFD">
        <w:t xml:space="preserve"> y la SFP es la encargada de la validación de dicha información.</w:t>
      </w:r>
      <w:r w:rsidR="00700D79">
        <w:t xml:space="preserve"> Cabe señalar que el Estado de Hidalgo cuenta con Lineamientos para informar sobre el origen, aplicación y resultados obtenidos, de los recursos transferidos por el Gobierno Federal derivados de aportaciones, subsidios y convenios de coordinación</w:t>
      </w:r>
      <w:r w:rsidR="00F37FFD">
        <w:rPr>
          <w:rStyle w:val="Refdenotaalpie"/>
        </w:rPr>
        <w:footnoteReference w:id="23"/>
      </w:r>
      <w:r w:rsidR="00700D79">
        <w:t>, el cual representa un guía paso a paso para la emisión de los informes trimestrales que se realizan a través del SRFT.</w:t>
      </w:r>
    </w:p>
    <w:p w14:paraId="33C6D30F" w14:textId="57B8CF47" w:rsidR="00D00C18" w:rsidRDefault="00396E80" w:rsidP="00895E6A">
      <w:r w:rsidRPr="00DE3378">
        <w:t xml:space="preserve">El </w:t>
      </w:r>
      <w:r w:rsidR="00D00C18" w:rsidRPr="00DE3378">
        <w:t>Estado de Hidalgo</w:t>
      </w:r>
      <w:r w:rsidR="00583981">
        <w:t xml:space="preserve"> a través de la SFP </w:t>
      </w:r>
      <w:r w:rsidR="00D00C18" w:rsidRPr="00DE3378">
        <w:t xml:space="preserve">informa a la SHCP, de manera trimestral y de forma pormenorizada el ejercicio y destino de los recursos del FAFEF, por medio de los formatos disponibles en el </w:t>
      </w:r>
      <w:r w:rsidR="00BA11E2">
        <w:t>SRFT</w:t>
      </w:r>
      <w:r w:rsidR="00D00C18" w:rsidRPr="00DE3378">
        <w:t>, los Informes sobre la Situación Económica, las Finanzas Públicas y la Deuda Pública, divididos en Nivel Financiero, Gestión de Proyectos y Ficha Técnica de Indicadores, los cuales son publicados en el Periódico Oficial del Estado y se hacen del conocimiento de la sociedad, a través de su página de Internet en el portal de transparencia.</w:t>
      </w:r>
    </w:p>
    <w:p w14:paraId="01739F90" w14:textId="487D768E" w:rsidR="004B6FFD" w:rsidRPr="004B6FFD" w:rsidRDefault="004B6FFD" w:rsidP="004B6FFD">
      <w:r w:rsidRPr="004B6FFD">
        <w:t>Desde el ámbito estatal se da seguimiento a la ejecución de los distintos Pp a través del SIIPPED</w:t>
      </w:r>
      <w:r>
        <w:t>,</w:t>
      </w:r>
      <w:r w:rsidR="00DF0AE0">
        <w:t xml:space="preserve"> </w:t>
      </w:r>
      <w:r>
        <w:t>a través del cual también se alimentan los indicadores de la MIR estatal para el FAFEF.</w:t>
      </w:r>
      <w:r w:rsidR="00784D7A">
        <w:t xml:space="preserve"> En el SIIPPED cada unidad ejecutora es responsable de la captura trimestral del avance en sus </w:t>
      </w:r>
      <w:r w:rsidR="00072A3E">
        <w:t>indicadores</w:t>
      </w:r>
      <w:r w:rsidR="001B4F45">
        <w:t>. La</w:t>
      </w:r>
      <w:r w:rsidRPr="004B6FFD">
        <w:t xml:space="preserve"> validación de los indicadores de desempeño contenidos en la MIR para cada P</w:t>
      </w:r>
      <w:r w:rsidR="00072A3E">
        <w:t>p</w:t>
      </w:r>
      <w:r w:rsidRPr="004B6FFD">
        <w:t xml:space="preserve"> </w:t>
      </w:r>
      <w:r w:rsidR="00266BA9" w:rsidRPr="004B6FFD">
        <w:t>está</w:t>
      </w:r>
      <w:r w:rsidRPr="004B6FFD">
        <w:t xml:space="preserve"> a cargo de la UTED. </w:t>
      </w:r>
    </w:p>
    <w:p w14:paraId="3EFE5019" w14:textId="5ED7705C" w:rsidR="00C66695" w:rsidRPr="004B6FFD" w:rsidRDefault="004B6FFD" w:rsidP="001D2D41">
      <w:pPr>
        <w:pStyle w:val="Prrafodelista"/>
        <w:numPr>
          <w:ilvl w:val="0"/>
          <w:numId w:val="45"/>
        </w:numPr>
      </w:pPr>
      <w:r w:rsidRPr="004B6FFD">
        <w:t>Cada unidad presupuestal a través de su enlace registra la información para los niveles</w:t>
      </w:r>
      <w:r w:rsidR="00845AED">
        <w:t xml:space="preserve"> de</w:t>
      </w:r>
      <w:r w:rsidRPr="004B6FFD">
        <w:t xml:space="preserve"> </w:t>
      </w:r>
      <w:r w:rsidR="00845AED">
        <w:t>C</w:t>
      </w:r>
      <w:r w:rsidRPr="004B6FFD">
        <w:t xml:space="preserve">omponente y </w:t>
      </w:r>
      <w:r w:rsidR="00845AED">
        <w:t>A</w:t>
      </w:r>
      <w:r w:rsidRPr="004B6FFD">
        <w:t xml:space="preserve">ctividad de cada MIR, mientras el </w:t>
      </w:r>
      <w:r w:rsidR="00845AED">
        <w:t>c</w:t>
      </w:r>
      <w:r w:rsidRPr="004B6FFD">
        <w:t xml:space="preserve">oordinador lo realiza para los niveles </w:t>
      </w:r>
      <w:r w:rsidR="00845AED">
        <w:t>de F</w:t>
      </w:r>
      <w:r w:rsidRPr="004B6FFD">
        <w:t xml:space="preserve">in y </w:t>
      </w:r>
      <w:r w:rsidR="00845AED">
        <w:t>P</w:t>
      </w:r>
      <w:r w:rsidRPr="004B6FFD">
        <w:t>ropósito</w:t>
      </w:r>
    </w:p>
    <w:p w14:paraId="086F8208" w14:textId="54E89C6D" w:rsidR="004B6FFD" w:rsidRPr="004B6FFD" w:rsidRDefault="004B6FFD" w:rsidP="001D2D41">
      <w:pPr>
        <w:pStyle w:val="Prrafodelista"/>
        <w:numPr>
          <w:ilvl w:val="0"/>
          <w:numId w:val="45"/>
        </w:numPr>
      </w:pPr>
      <w:r w:rsidRPr="004B6FFD">
        <w:t>El seguimiento a los avances registrados se ha</w:t>
      </w:r>
      <w:r w:rsidR="00845AED">
        <w:t>ce</w:t>
      </w:r>
      <w:r w:rsidRPr="004B6FFD">
        <w:t xml:space="preserve"> mediante reportes generados en el SIIPPED, posteriormente se gener</w:t>
      </w:r>
      <w:r w:rsidR="00845AED">
        <w:t>a</w:t>
      </w:r>
      <w:r w:rsidRPr="004B6FFD">
        <w:t xml:space="preserve"> el </w:t>
      </w:r>
      <w:r w:rsidR="00845AED">
        <w:t>i</w:t>
      </w:r>
      <w:r w:rsidRPr="004B6FFD">
        <w:t xml:space="preserve">nforme </w:t>
      </w:r>
      <w:r w:rsidR="00845AED">
        <w:t>d</w:t>
      </w:r>
      <w:r w:rsidRPr="004B6FFD">
        <w:t xml:space="preserve">efinitivo del </w:t>
      </w:r>
      <w:r w:rsidR="00845AED">
        <w:t>m</w:t>
      </w:r>
      <w:r w:rsidRPr="004B6FFD">
        <w:t xml:space="preserve">onitoreo de </w:t>
      </w:r>
      <w:r w:rsidR="00845AED">
        <w:t>i</w:t>
      </w:r>
      <w:r w:rsidRPr="004B6FFD">
        <w:t xml:space="preserve">ndicadores del </w:t>
      </w:r>
      <w:r w:rsidR="00845AED">
        <w:t>d</w:t>
      </w:r>
      <w:r w:rsidRPr="004B6FFD">
        <w:t>esempeño del Gobierno del Estado de Hidalgo como insumo para ser proporcionado a los tomadores de decisiones con la finalidad de mejorar la calidad del gasto público.</w:t>
      </w:r>
    </w:p>
    <w:p w14:paraId="7190BAE2" w14:textId="040F0345" w:rsidR="004B6FFD" w:rsidRDefault="004B6FFD" w:rsidP="001D2D41">
      <w:pPr>
        <w:pStyle w:val="Prrafodelista"/>
        <w:numPr>
          <w:ilvl w:val="0"/>
          <w:numId w:val="45"/>
        </w:numPr>
      </w:pPr>
      <w:r w:rsidRPr="004B6FFD">
        <w:t>Adicionalmente se integra la información derivada del seguimiento de indicadores de desempeño por dependencia, este insumo s</w:t>
      </w:r>
      <w:r w:rsidR="00845AED">
        <w:t>irve</w:t>
      </w:r>
      <w:r w:rsidRPr="004B6FFD">
        <w:t xml:space="preserve"> para la integración de la Cuenta Pública, de igual manera se </w:t>
      </w:r>
      <w:r w:rsidR="00845AED" w:rsidRPr="004B6FFD">
        <w:t>envía</w:t>
      </w:r>
      <w:r w:rsidRPr="004B6FFD">
        <w:t xml:space="preserve"> el Avance de Gestión Financiera para su publicación en el portal de transparencia del Gobierno del Estado, con la finalidad de dar cumplimiento a la Ley General de Contabilidad Gubernamental, Ley de </w:t>
      </w:r>
      <w:r w:rsidRPr="004B6FFD">
        <w:lastRenderedPageBreak/>
        <w:t>Transparencia y Acceso a la Información Pública para el Estado de Hidalgo y la Normatividad aplicable en la materia.</w:t>
      </w:r>
    </w:p>
    <w:p w14:paraId="2395D4C7" w14:textId="0712F70D" w:rsidR="000D356A" w:rsidRPr="004B6FFD" w:rsidRDefault="000D356A" w:rsidP="000D356A">
      <w:r>
        <w:t>En materia de saneamiento financiero se debe Informar trimestralmente al Congreso sobre el ejercicio de las partidas correspondientes a los montos de financiamiento autorizado y la situación de la deuda pública estatal, esta labor corresponde a la SFP a través de la Coordinación de Planeación Financiera.</w:t>
      </w:r>
    </w:p>
    <w:p w14:paraId="1934ED2C" w14:textId="6685E8C0" w:rsidR="00BF5DA4" w:rsidRPr="00D00C18" w:rsidRDefault="00D74C88" w:rsidP="005D780E">
      <w:pPr>
        <w:rPr>
          <w:rFonts w:ascii="Calibri" w:hAnsi="Calibri" w:cstheme="minorHAnsi"/>
        </w:rPr>
      </w:pPr>
      <w:r>
        <w:rPr>
          <w:rFonts w:ascii="Calibri" w:hAnsi="Calibri" w:cstheme="minorHAnsi"/>
        </w:rPr>
        <w:t xml:space="preserve">El </w:t>
      </w:r>
      <w:r w:rsidR="00644705">
        <w:rPr>
          <w:rFonts w:ascii="Calibri" w:hAnsi="Calibri" w:cstheme="minorHAnsi"/>
        </w:rPr>
        <w:t>E</w:t>
      </w:r>
      <w:r>
        <w:rPr>
          <w:rFonts w:ascii="Calibri" w:hAnsi="Calibri" w:cstheme="minorHAnsi"/>
        </w:rPr>
        <w:t xml:space="preserve">stado de Hidalgo cuenta con un </w:t>
      </w:r>
      <w:r>
        <w:t xml:space="preserve">Manual de Normas y Lineamientos </w:t>
      </w:r>
      <w:r w:rsidR="00A34D16">
        <w:t>p</w:t>
      </w:r>
      <w:r>
        <w:t>ara el Ejercicio de los Recursos del Programa de Inversión</w:t>
      </w:r>
      <w:r>
        <w:rPr>
          <w:rFonts w:ascii="Calibri" w:hAnsi="Calibri" w:cstheme="minorHAnsi"/>
        </w:rPr>
        <w:t xml:space="preserve"> y c</w:t>
      </w:r>
      <w:r w:rsidR="00BF5DA4" w:rsidRPr="00BF5DA4">
        <w:rPr>
          <w:rFonts w:ascii="Calibri" w:hAnsi="Calibri" w:cstheme="minorHAnsi"/>
        </w:rPr>
        <w:t>onsiderando</w:t>
      </w:r>
      <w:r>
        <w:rPr>
          <w:rFonts w:ascii="Calibri" w:hAnsi="Calibri" w:cstheme="minorHAnsi"/>
        </w:rPr>
        <w:t xml:space="preserve"> que un porcentaje importante de los recursos del FAFEF se destinan al rubro de inversión en infraestructura física, la ejecución de estos recursos se realiza atendiendo los procedimientos que se especifican en dicho manual. </w:t>
      </w:r>
      <w:bookmarkStart w:id="69" w:name="_Hlk54258104"/>
      <w:r>
        <w:rPr>
          <w:rFonts w:ascii="Calibri" w:hAnsi="Calibri" w:cstheme="minorHAnsi"/>
        </w:rPr>
        <w:t>Sin embargo, no se define con claridad los procesos que se deben seguir para la ejecución de los otros rubros, por lo tanto, los procedimientos para el ejercicio de todos los rubros del FAFEF, no se encuentran homologados</w:t>
      </w:r>
      <w:bookmarkEnd w:id="69"/>
      <w:r>
        <w:rPr>
          <w:rFonts w:ascii="Calibri" w:hAnsi="Calibri" w:cstheme="minorHAnsi"/>
        </w:rPr>
        <w:t xml:space="preserve">. </w:t>
      </w:r>
      <w:bookmarkStart w:id="70" w:name="_Hlk54258122"/>
      <w:r>
        <w:rPr>
          <w:rFonts w:ascii="Calibri" w:hAnsi="Calibri" w:cstheme="minorHAnsi"/>
        </w:rPr>
        <w:t xml:space="preserve">Con esta consideración, </w:t>
      </w:r>
      <w:r w:rsidR="00BF5DA4" w:rsidRPr="00BF5DA4">
        <w:rPr>
          <w:rFonts w:ascii="Calibri" w:hAnsi="Calibri" w:cstheme="minorHAnsi"/>
        </w:rPr>
        <w:t xml:space="preserve">se recomienda a </w:t>
      </w:r>
      <w:r w:rsidR="00BF5DA4">
        <w:rPr>
          <w:rFonts w:ascii="Calibri" w:hAnsi="Calibri" w:cstheme="minorHAnsi"/>
        </w:rPr>
        <w:t>la entidad</w:t>
      </w:r>
      <w:r w:rsidR="00A10D5D">
        <w:rPr>
          <w:rFonts w:ascii="Calibri" w:hAnsi="Calibri" w:cstheme="minorHAnsi"/>
        </w:rPr>
        <w:t xml:space="preserve"> federativa</w:t>
      </w:r>
      <w:r w:rsidR="00BF5DA4" w:rsidRPr="00BF5DA4">
        <w:rPr>
          <w:rFonts w:ascii="Calibri" w:hAnsi="Calibri" w:cstheme="minorHAnsi"/>
        </w:rPr>
        <w:t xml:space="preserve"> elaborar un manual de procedimientos o lineamientos que regulen el funcionamiento del Fondo, en donde se determine un mecanismo para contar con información que permita identificar periódicamente las necesidades que pueden atenderse con recursos del Fondo, las dificultades (oportunidades y amenazas) que enfrenta en la operación cada política pública asociada a los rubros de gasto y el cumplimiento de los objetivos y metas a alcanzar; así como las estrategias para implementarlas y alcance de las mismas, asignar responsables</w:t>
      </w:r>
      <w:r w:rsidR="00F25A28">
        <w:rPr>
          <w:rFonts w:ascii="Calibri" w:hAnsi="Calibri" w:cstheme="minorHAnsi"/>
        </w:rPr>
        <w:t xml:space="preserve"> para el</w:t>
      </w:r>
      <w:r w:rsidR="00BF5DA4" w:rsidRPr="00BF5DA4">
        <w:rPr>
          <w:rFonts w:ascii="Calibri" w:hAnsi="Calibri" w:cstheme="minorHAnsi"/>
        </w:rPr>
        <w:t xml:space="preserve"> seguimiento de los procesos y diagramas de flujo. Con ello, la entidad </w:t>
      </w:r>
      <w:r w:rsidR="00A10D5D">
        <w:rPr>
          <w:rFonts w:ascii="Calibri" w:hAnsi="Calibri" w:cstheme="minorHAnsi"/>
        </w:rPr>
        <w:t xml:space="preserve">federativa </w:t>
      </w:r>
      <w:r w:rsidR="00BF5DA4" w:rsidRPr="00BF5DA4">
        <w:rPr>
          <w:rFonts w:ascii="Calibri" w:hAnsi="Calibri" w:cstheme="minorHAnsi"/>
        </w:rPr>
        <w:t>contará con una guía para la operación de los recursos del FAFEF que actué bajo los mismos criterios.</w:t>
      </w:r>
    </w:p>
    <w:bookmarkEnd w:id="70"/>
    <w:p w14:paraId="778D457A" w14:textId="77777777" w:rsidR="00EB1844" w:rsidRPr="00EF64FB" w:rsidRDefault="00D00C18" w:rsidP="00EB1844">
      <w:pPr>
        <w:spacing w:before="0" w:after="0"/>
        <w:contextualSpacing/>
        <w:rPr>
          <w:rFonts w:cstheme="minorHAnsi"/>
          <w:b/>
        </w:rPr>
      </w:pPr>
      <w:r w:rsidRPr="00D00C18">
        <w:rPr>
          <w:rFonts w:ascii="Calibri" w:hAnsi="Calibri" w:cstheme="minorHAnsi"/>
        </w:rPr>
        <w:br w:type="page"/>
      </w:r>
      <w:r w:rsidR="00EB1844" w:rsidRPr="00EF64FB">
        <w:rPr>
          <w:rFonts w:cstheme="minorHAnsi"/>
          <w:b/>
        </w:rPr>
        <w:lastRenderedPageBreak/>
        <w:t>16. ¿La entidad federativa establece un mecanismo o proceso para la generación o administración de información sobre la operación del FAFEF, con la intención de mejorar su desempeño, sobre:</w:t>
      </w:r>
    </w:p>
    <w:p w14:paraId="01AF3FE7" w14:textId="77777777" w:rsidR="00EB1844" w:rsidRPr="00BC3614" w:rsidRDefault="00EB1844" w:rsidP="00EB1844">
      <w:pPr>
        <w:pStyle w:val="Pregunta"/>
        <w:numPr>
          <w:ilvl w:val="0"/>
          <w:numId w:val="18"/>
        </w:numPr>
      </w:pPr>
      <w:r w:rsidRPr="00BC3614">
        <w:t>Las necesidades que pueden atenderse con recursos del Fondo;</w:t>
      </w:r>
    </w:p>
    <w:p w14:paraId="3B3327A8" w14:textId="77777777" w:rsidR="00EB1844" w:rsidRPr="00BC3614" w:rsidRDefault="00EB1844" w:rsidP="00EB1844">
      <w:pPr>
        <w:pStyle w:val="Pregunta"/>
        <w:numPr>
          <w:ilvl w:val="0"/>
          <w:numId w:val="18"/>
        </w:numPr>
      </w:pPr>
      <w:r w:rsidRPr="00BC3614">
        <w:t>Las dificultades que enfrenta para la operación de los recursos del Fondo;</w:t>
      </w:r>
    </w:p>
    <w:p w14:paraId="34852E5A" w14:textId="77777777" w:rsidR="00EB1844" w:rsidRPr="00BC3614" w:rsidRDefault="00EB1844" w:rsidP="00EB1844">
      <w:pPr>
        <w:pStyle w:val="Pregunta"/>
        <w:numPr>
          <w:ilvl w:val="0"/>
          <w:numId w:val="18"/>
        </w:numPr>
      </w:pPr>
      <w:r w:rsidRPr="00BC3614">
        <w:t>La operación del Fondo, a nivel estatal, que afecta el logro de sus objetivos;</w:t>
      </w:r>
    </w:p>
    <w:p w14:paraId="745006C3" w14:textId="77777777" w:rsidR="00EB1844" w:rsidRPr="00BC3614" w:rsidRDefault="00EB1844" w:rsidP="00EB1844">
      <w:pPr>
        <w:pStyle w:val="Pregunta"/>
        <w:numPr>
          <w:ilvl w:val="0"/>
          <w:numId w:val="18"/>
        </w:numPr>
        <w:spacing w:after="120"/>
        <w:ind w:left="714" w:hanging="357"/>
      </w:pPr>
      <w:r w:rsidRPr="00BC3614">
        <w:t>Las estrategias que implementa la entidad federativa para alcanzar o potenciar sus metas?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5"/>
        <w:gridCol w:w="763"/>
        <w:gridCol w:w="7854"/>
      </w:tblGrid>
      <w:tr w:rsidR="00EB1844" w:rsidRPr="00BC3614" w14:paraId="683F4C05" w14:textId="77777777" w:rsidTr="00927B4B">
        <w:trPr>
          <w:trHeight w:val="260"/>
          <w:jc w:val="center"/>
        </w:trPr>
        <w:tc>
          <w:tcPr>
            <w:tcW w:w="675" w:type="pct"/>
            <w:shd w:val="clear" w:color="auto" w:fill="FFFFFF"/>
          </w:tcPr>
          <w:p w14:paraId="3D205F66" w14:textId="77777777" w:rsidR="00EB1844" w:rsidRPr="00BC3614" w:rsidRDefault="00EB1844" w:rsidP="00927B4B">
            <w:pPr>
              <w:pBdr>
                <w:top w:val="nil"/>
                <w:left w:val="nil"/>
                <w:bottom w:val="nil"/>
                <w:right w:val="nil"/>
                <w:between w:val="nil"/>
              </w:pBdr>
              <w:spacing w:before="0" w:after="0"/>
              <w:ind w:left="12"/>
              <w:contextualSpacing/>
              <w:jc w:val="center"/>
              <w:rPr>
                <w:rFonts w:ascii="Calibri" w:eastAsia="Calibri" w:hAnsi="Calibri" w:cs="Calibri"/>
                <w:b/>
                <w:color w:val="000000"/>
                <w:sz w:val="20"/>
                <w:szCs w:val="20"/>
                <w:lang w:eastAsia="es-MX"/>
              </w:rPr>
            </w:pPr>
            <w:r w:rsidRPr="00BC3614">
              <w:rPr>
                <w:rFonts w:ascii="Calibri" w:eastAsia="Calibri" w:hAnsi="Calibri" w:cs="Calibri"/>
                <w:b/>
                <w:color w:val="000000"/>
                <w:sz w:val="20"/>
                <w:szCs w:val="20"/>
                <w:lang w:eastAsia="es-MX"/>
              </w:rPr>
              <w:t>Respuesta</w:t>
            </w:r>
          </w:p>
        </w:tc>
        <w:tc>
          <w:tcPr>
            <w:tcW w:w="383" w:type="pct"/>
            <w:shd w:val="clear" w:color="auto" w:fill="FFFFFF"/>
            <w:vAlign w:val="center"/>
          </w:tcPr>
          <w:p w14:paraId="1DF8AFF0" w14:textId="77777777" w:rsidR="00EB1844" w:rsidRPr="00BC3614" w:rsidRDefault="00EB1844" w:rsidP="00927B4B">
            <w:pPr>
              <w:pBdr>
                <w:top w:val="nil"/>
                <w:left w:val="nil"/>
                <w:bottom w:val="nil"/>
                <w:right w:val="nil"/>
                <w:between w:val="nil"/>
              </w:pBdr>
              <w:spacing w:before="0" w:after="0"/>
              <w:ind w:left="12"/>
              <w:contextualSpacing/>
              <w:jc w:val="center"/>
              <w:rPr>
                <w:rFonts w:ascii="Calibri" w:eastAsia="Calibri" w:hAnsi="Calibri" w:cs="Calibri"/>
                <w:b/>
                <w:color w:val="000000"/>
                <w:sz w:val="20"/>
                <w:szCs w:val="20"/>
                <w:lang w:eastAsia="es-MX"/>
              </w:rPr>
            </w:pPr>
            <w:r w:rsidRPr="00BC3614">
              <w:rPr>
                <w:rFonts w:ascii="Calibri" w:eastAsia="Calibri" w:hAnsi="Calibri" w:cs="Calibri"/>
                <w:b/>
                <w:color w:val="000000"/>
                <w:sz w:val="20"/>
                <w:szCs w:val="20"/>
                <w:lang w:eastAsia="es-MX"/>
              </w:rPr>
              <w:t>Nivel</w:t>
            </w:r>
          </w:p>
        </w:tc>
        <w:tc>
          <w:tcPr>
            <w:tcW w:w="3942" w:type="pct"/>
            <w:shd w:val="clear" w:color="auto" w:fill="FFFFFF"/>
            <w:vAlign w:val="center"/>
          </w:tcPr>
          <w:p w14:paraId="68824288" w14:textId="77777777" w:rsidR="00EB1844" w:rsidRPr="00BC3614" w:rsidRDefault="00EB1844" w:rsidP="00927B4B">
            <w:pPr>
              <w:pBdr>
                <w:top w:val="nil"/>
                <w:left w:val="nil"/>
                <w:bottom w:val="nil"/>
                <w:right w:val="nil"/>
                <w:between w:val="nil"/>
              </w:pBdr>
              <w:spacing w:before="0" w:after="0"/>
              <w:ind w:firstLine="20"/>
              <w:contextualSpacing/>
              <w:jc w:val="center"/>
              <w:rPr>
                <w:rFonts w:ascii="Calibri" w:eastAsia="Calibri" w:hAnsi="Calibri" w:cs="Calibri"/>
                <w:b/>
                <w:color w:val="000000"/>
                <w:sz w:val="20"/>
                <w:szCs w:val="20"/>
                <w:lang w:eastAsia="es-MX"/>
              </w:rPr>
            </w:pPr>
            <w:r w:rsidRPr="00BC3614">
              <w:rPr>
                <w:rFonts w:ascii="Calibri" w:eastAsia="Calibri" w:hAnsi="Calibri" w:cs="Calibri"/>
                <w:b/>
                <w:color w:val="000000"/>
                <w:sz w:val="20"/>
                <w:szCs w:val="20"/>
                <w:lang w:eastAsia="es-MX"/>
              </w:rPr>
              <w:t>Criterios</w:t>
            </w:r>
          </w:p>
        </w:tc>
      </w:tr>
      <w:tr w:rsidR="00EB1844" w:rsidRPr="00BC3614" w14:paraId="38BAE04F" w14:textId="77777777" w:rsidTr="00927B4B">
        <w:trPr>
          <w:trHeight w:val="150"/>
          <w:jc w:val="center"/>
        </w:trPr>
        <w:tc>
          <w:tcPr>
            <w:tcW w:w="675" w:type="pct"/>
            <w:shd w:val="clear" w:color="auto" w:fill="FFFFFF"/>
            <w:vAlign w:val="center"/>
          </w:tcPr>
          <w:p w14:paraId="5F545C3E" w14:textId="77777777" w:rsidR="00EB1844" w:rsidRPr="00BC3614" w:rsidRDefault="00EB1844" w:rsidP="00927B4B">
            <w:pPr>
              <w:pBdr>
                <w:top w:val="nil"/>
                <w:left w:val="nil"/>
                <w:bottom w:val="nil"/>
                <w:right w:val="nil"/>
                <w:between w:val="nil"/>
              </w:pBdr>
              <w:shd w:val="clear" w:color="auto" w:fill="FFFFFF"/>
              <w:spacing w:before="0" w:after="0"/>
              <w:ind w:firstLine="7"/>
              <w:contextualSpacing/>
              <w:jc w:val="center"/>
              <w:rPr>
                <w:rFonts w:ascii="Calibri" w:eastAsia="Calibri" w:hAnsi="Calibri" w:cs="Calibri"/>
                <w:color w:val="000000"/>
                <w:sz w:val="20"/>
                <w:szCs w:val="20"/>
                <w:lang w:eastAsia="es-MX"/>
              </w:rPr>
            </w:pPr>
            <w:r>
              <w:rPr>
                <w:rFonts w:ascii="Calibri" w:eastAsia="Calibri" w:hAnsi="Calibri" w:cs="Calibri"/>
                <w:color w:val="000000"/>
                <w:sz w:val="20"/>
                <w:szCs w:val="20"/>
                <w:lang w:eastAsia="es-MX"/>
              </w:rPr>
              <w:t>No</w:t>
            </w:r>
          </w:p>
        </w:tc>
        <w:tc>
          <w:tcPr>
            <w:tcW w:w="383" w:type="pct"/>
            <w:shd w:val="clear" w:color="auto" w:fill="FFFFFF"/>
            <w:vAlign w:val="center"/>
          </w:tcPr>
          <w:p w14:paraId="42639D1A" w14:textId="14A654D0" w:rsidR="00EB1844" w:rsidRPr="00BC3614" w:rsidRDefault="00EB1844" w:rsidP="00927B4B">
            <w:pPr>
              <w:pBdr>
                <w:top w:val="nil"/>
                <w:left w:val="nil"/>
                <w:bottom w:val="nil"/>
                <w:right w:val="nil"/>
                <w:between w:val="nil"/>
              </w:pBdr>
              <w:shd w:val="clear" w:color="auto" w:fill="FFFFFF"/>
              <w:spacing w:before="0" w:after="0"/>
              <w:ind w:firstLine="7"/>
              <w:contextualSpacing/>
              <w:jc w:val="center"/>
              <w:rPr>
                <w:rFonts w:ascii="Calibri" w:eastAsia="Calibri" w:hAnsi="Calibri" w:cs="Calibri"/>
                <w:color w:val="000000"/>
                <w:sz w:val="20"/>
                <w:szCs w:val="20"/>
                <w:lang w:eastAsia="es-MX"/>
              </w:rPr>
            </w:pPr>
          </w:p>
        </w:tc>
        <w:tc>
          <w:tcPr>
            <w:tcW w:w="3942" w:type="pct"/>
            <w:shd w:val="clear" w:color="auto" w:fill="FFFFFF"/>
          </w:tcPr>
          <w:p w14:paraId="028EBB7A" w14:textId="77777777" w:rsidR="00EB1844" w:rsidRPr="00BC3614" w:rsidRDefault="00EB1844" w:rsidP="00927B4B">
            <w:pPr>
              <w:tabs>
                <w:tab w:val="left" w:pos="256"/>
              </w:tabs>
              <w:spacing w:before="0" w:after="0"/>
              <w:contextualSpacing/>
              <w:rPr>
                <w:rFonts w:ascii="Calibri" w:eastAsia="Calibri" w:hAnsi="Calibri" w:cs="Calibri"/>
                <w:color w:val="000000"/>
                <w:sz w:val="20"/>
                <w:szCs w:val="20"/>
                <w:lang w:eastAsia="es-MX"/>
              </w:rPr>
            </w:pPr>
          </w:p>
        </w:tc>
      </w:tr>
    </w:tbl>
    <w:p w14:paraId="743BF7E3" w14:textId="2FAFA3DB" w:rsidR="00EB1844" w:rsidRPr="00D74C88" w:rsidRDefault="00EB1844" w:rsidP="00EB1844">
      <w:r w:rsidRPr="00D74C88">
        <w:t xml:space="preserve">En el </w:t>
      </w:r>
      <w:r w:rsidR="00084AE5">
        <w:t>E</w:t>
      </w:r>
      <w:r w:rsidRPr="00D74C88">
        <w:t xml:space="preserve">stado de Hidalgo no se cuenta con un mecanismo o proceso exclusivo del FAFEF para la generación o administración de información sobre su operación con la intención de mejorar su desempeño. Cabe recordar que los recursos del Fondo en el </w:t>
      </w:r>
      <w:r w:rsidR="00AD077A">
        <w:t>E</w:t>
      </w:r>
      <w:r w:rsidRPr="00D74C88">
        <w:t>stado son utilizados como una fuente de financiamiento que contribuyen al fortalecimiento financiero de la entidad</w:t>
      </w:r>
      <w:r>
        <w:t xml:space="preserve"> federativa</w:t>
      </w:r>
      <w:r w:rsidR="004477EC">
        <w:t>,</w:t>
      </w:r>
      <w:r w:rsidRPr="00D74C88">
        <w:t xml:space="preserve"> a través del saneamiento financiero, inversión en infraestructura física, modernización de los registros púbicos de la propiedad y el comercio locales y para apoyar a la educación pública. En este sentido los mecanismos que </w:t>
      </w:r>
      <w:r>
        <w:t>Hidalgo</w:t>
      </w:r>
      <w:r w:rsidRPr="00D74C88">
        <w:t xml:space="preserve"> utiliza para la generación y administración de </w:t>
      </w:r>
      <w:r w:rsidR="0031581C" w:rsidRPr="00D74C88">
        <w:t>información</w:t>
      </w:r>
      <w:r w:rsidRPr="00D74C88">
        <w:t xml:space="preserve"> son los que se describen a continuación.</w:t>
      </w:r>
    </w:p>
    <w:p w14:paraId="3BA1B15B" w14:textId="398C6BA4" w:rsidR="00EB1844" w:rsidRPr="00D74C88" w:rsidRDefault="00EB1844" w:rsidP="00EB1844">
      <w:r w:rsidRPr="00D74C88">
        <w:t xml:space="preserve">A nivel federal cuenta con </w:t>
      </w:r>
      <w:r>
        <w:t xml:space="preserve">el </w:t>
      </w:r>
      <w:r w:rsidRPr="00D74C88">
        <w:t xml:space="preserve">SRFT creado y operados por la </w:t>
      </w:r>
      <w:r w:rsidR="00927B4B">
        <w:t>SHCP</w:t>
      </w:r>
      <w:r w:rsidRPr="00D74C88">
        <w:t xml:space="preserve">, mediante </w:t>
      </w:r>
      <w:r w:rsidR="00927B4B">
        <w:t>el</w:t>
      </w:r>
      <w:r w:rsidRPr="00D74C88">
        <w:t xml:space="preserve"> cual las </w:t>
      </w:r>
      <w:r>
        <w:t>e</w:t>
      </w:r>
      <w:r w:rsidRPr="00D74C88">
        <w:t xml:space="preserve">ntidades </w:t>
      </w:r>
      <w:r>
        <w:t>f</w:t>
      </w:r>
      <w:r w:rsidRPr="00D74C88">
        <w:t xml:space="preserve">ederativas reportan el origen, destino y resultados de los Fondos de Aportaciones Federales (Ramo 33) a la Federación. A nivel federal, cada ejecutor del FAFEF reportan el ejercicio de los recursos en el SRFT y es la SHCP quien valida la información y emite el Índice de Calidad de la Información. </w:t>
      </w:r>
    </w:p>
    <w:p w14:paraId="65E251D2" w14:textId="77F8B7FA" w:rsidR="00B54B56" w:rsidRDefault="00EB1844" w:rsidP="00EB1844">
      <w:r w:rsidRPr="00D74C88">
        <w:t>A nivel estatal se cuenta con</w:t>
      </w:r>
      <w:r w:rsidR="00B54B56">
        <w:t xml:space="preserve"> distintas</w:t>
      </w:r>
      <w:r w:rsidRPr="00D74C88">
        <w:t xml:space="preserve"> plataforma</w:t>
      </w:r>
      <w:r w:rsidR="00B54B56">
        <w:t>s</w:t>
      </w:r>
      <w:r w:rsidRPr="00D74C88">
        <w:t xml:space="preserve"> desarrollada</w:t>
      </w:r>
      <w:r w:rsidR="00B54B56">
        <w:t>s</w:t>
      </w:r>
      <w:r w:rsidRPr="00D74C88">
        <w:t xml:space="preserve"> para vincular los procesos inherentes a la asignación</w:t>
      </w:r>
      <w:r w:rsidR="00B54B56">
        <w:t>, presupuestación, ejercicio</w:t>
      </w:r>
      <w:r w:rsidR="009D1003">
        <w:t xml:space="preserve">, </w:t>
      </w:r>
      <w:r w:rsidR="00B54B56">
        <w:t>control</w:t>
      </w:r>
      <w:r w:rsidR="009D1003">
        <w:t xml:space="preserve"> y seguimiento</w:t>
      </w:r>
      <w:r w:rsidR="00B54B56">
        <w:t xml:space="preserve"> de los</w:t>
      </w:r>
      <w:r w:rsidRPr="00D74C88">
        <w:t xml:space="preserve"> de recursos </w:t>
      </w:r>
      <w:r w:rsidR="00B54B56">
        <w:t xml:space="preserve">que ejercen los distintos Pp: </w:t>
      </w:r>
    </w:p>
    <w:p w14:paraId="1403CD93" w14:textId="3EC593FA" w:rsidR="00B54B56" w:rsidRDefault="00B54B56" w:rsidP="00D64500">
      <w:pPr>
        <w:pStyle w:val="Prrafodelista"/>
        <w:numPr>
          <w:ilvl w:val="0"/>
          <w:numId w:val="49"/>
        </w:numPr>
        <w:ind w:left="782" w:hanging="357"/>
        <w:contextualSpacing w:val="0"/>
      </w:pPr>
      <w:r>
        <w:t xml:space="preserve">El </w:t>
      </w:r>
      <w:r w:rsidR="00EB1844" w:rsidRPr="00D74C88">
        <w:t>S</w:t>
      </w:r>
      <w:r>
        <w:t xml:space="preserve">IDET que sirve para el registro y dictaminación de expedientes técnicos; </w:t>
      </w:r>
    </w:p>
    <w:p w14:paraId="17978696" w14:textId="3AC47805" w:rsidR="00B54B56" w:rsidRDefault="00B54B56" w:rsidP="00D64500">
      <w:pPr>
        <w:pStyle w:val="Prrafodelista"/>
        <w:numPr>
          <w:ilvl w:val="0"/>
          <w:numId w:val="49"/>
        </w:numPr>
        <w:ind w:left="782" w:hanging="357"/>
        <w:contextualSpacing w:val="0"/>
      </w:pPr>
      <w:r>
        <w:t xml:space="preserve">SIFAP que permite la homologación de las operaciones que realizan cada una de las áreas que componen la SFP, permitiendo la integración automática del presupuesto con la operación contable en tiempo real, reflejando un registro congruente y ordenado de cada operación y facilitando el reconocimiento de las operaciones de ingresos, gastos, activos y pasivos patrimoniales del Gobierno del Estado; </w:t>
      </w:r>
    </w:p>
    <w:p w14:paraId="69EB20CB" w14:textId="7898475F" w:rsidR="00B54B56" w:rsidRDefault="0044641E" w:rsidP="00D64500">
      <w:pPr>
        <w:pStyle w:val="Prrafodelista"/>
        <w:numPr>
          <w:ilvl w:val="0"/>
          <w:numId w:val="49"/>
        </w:numPr>
        <w:ind w:left="782" w:hanging="357"/>
        <w:contextualSpacing w:val="0"/>
      </w:pPr>
      <w:r w:rsidRPr="00F63D1F">
        <w:t>SIIPPED</w:t>
      </w:r>
      <w:r>
        <w:t xml:space="preserve">, </w:t>
      </w:r>
      <w:r w:rsidRPr="004B6FFD">
        <w:t xml:space="preserve">herramienta tecnológica mediante la cual se lleva a cabo el monitoreo de indicadores del desempeño </w:t>
      </w:r>
      <w:r>
        <w:t>de</w:t>
      </w:r>
      <w:r w:rsidRPr="004B6FFD">
        <w:t xml:space="preserve"> las Dependencias y Entidades del Poder Ejecutivo</w:t>
      </w:r>
      <w:r>
        <w:t xml:space="preserve"> Estatal</w:t>
      </w:r>
      <w:r w:rsidR="00EB1844" w:rsidRPr="00D74C88">
        <w:t>.</w:t>
      </w:r>
    </w:p>
    <w:p w14:paraId="451DCD7F" w14:textId="6D153182" w:rsidR="00EB1844" w:rsidRPr="00D74C88" w:rsidRDefault="00EB1844" w:rsidP="00EB1844">
      <w:r w:rsidRPr="00D74C88">
        <w:t xml:space="preserve">Asimismo, cada </w:t>
      </w:r>
      <w:r w:rsidR="00F62B09">
        <w:t>Pp</w:t>
      </w:r>
      <w:r w:rsidRPr="00D74C88">
        <w:t xml:space="preserve"> debe contar con una </w:t>
      </w:r>
      <w:r w:rsidR="004477EC">
        <w:t>MIR</w:t>
      </w:r>
      <w:r w:rsidRPr="00D74C88">
        <w:t xml:space="preserve">, en la cual se identifican los objetivos, indicadores, metas y factores externos que se deberán considerar para su cumplimiento, lo cual permite identificar si los apoyos, servicios o proyectos a entregar u otorgar son acordes a lo </w:t>
      </w:r>
      <w:r w:rsidR="004477EC" w:rsidRPr="00D74C88">
        <w:t xml:space="preserve">establecido </w:t>
      </w:r>
      <w:r w:rsidR="004477EC">
        <w:t xml:space="preserve">en la LCF </w:t>
      </w:r>
      <w:r w:rsidRPr="00D74C88">
        <w:t>para el Fondo.</w:t>
      </w:r>
    </w:p>
    <w:p w14:paraId="23614805" w14:textId="4E8F725F" w:rsidR="00EB1844" w:rsidRPr="00D74C88" w:rsidRDefault="00EB1844" w:rsidP="00EB1844">
      <w:r w:rsidRPr="00D74C88">
        <w:t>Con la información captada mediante estos sistemas e instrumentos es posible determinar el logro en las metas establecidas en los Pp. Adicionalmente, las evaluaciones locales realizadas a la operación y desempeño del F</w:t>
      </w:r>
      <w:r w:rsidR="004477EC">
        <w:t>AFEF</w:t>
      </w:r>
      <w:r w:rsidRPr="00D74C88">
        <w:t xml:space="preserve"> han permitido ir generando y atendiendo los ASM en la entidad</w:t>
      </w:r>
      <w:r>
        <w:t xml:space="preserve"> federativa</w:t>
      </w:r>
      <w:r w:rsidRPr="00D74C88">
        <w:t xml:space="preserve">. Mediante la atención de los ASM, se generó un apartado dentro del SIIPPED, que permitió integrar una MIR del FAFEF y las Fichas Técnicas de los Indicadores, identificando y concentrando los </w:t>
      </w:r>
      <w:r w:rsidR="00A70A52">
        <w:t>C</w:t>
      </w:r>
      <w:r w:rsidRPr="00D74C88">
        <w:t xml:space="preserve">omponentes y </w:t>
      </w:r>
      <w:r w:rsidR="00A70A52">
        <w:t>A</w:t>
      </w:r>
      <w:r w:rsidRPr="00D74C88">
        <w:t xml:space="preserve">ctividades de diversos </w:t>
      </w:r>
      <w:r w:rsidR="00C13323">
        <w:rPr>
          <w:color w:val="000000" w:themeColor="text1"/>
        </w:rPr>
        <w:t>Pp</w:t>
      </w:r>
      <w:r w:rsidR="00C13323" w:rsidRPr="00D74C88">
        <w:t xml:space="preserve"> </w:t>
      </w:r>
      <w:r w:rsidRPr="00D74C88">
        <w:t>que son financiados con recursos del FAFEF. Lo anterior, ha contribuido a la toma de decisiones respecto a las metas, asignación de recursos y población a atender.</w:t>
      </w:r>
    </w:p>
    <w:p w14:paraId="6614BB36" w14:textId="77777777" w:rsidR="00EB1844" w:rsidRPr="00D74C88" w:rsidRDefault="00EB1844" w:rsidP="00EB1844">
      <w:r w:rsidRPr="00D74C88">
        <w:t>No se pudo identificar, mediante estos sistemas, que se genere o administre información sobre las dificultades que enfrenta la operación de los recursos del Fondo, ni cómo afecta la operación en el logro de sus objetivos.</w:t>
      </w:r>
    </w:p>
    <w:p w14:paraId="445EE6D3" w14:textId="77777777" w:rsidR="00EB1844" w:rsidRDefault="00EB1844" w:rsidP="00EB1844">
      <w:pPr>
        <w:rPr>
          <w:rFonts w:ascii="Soberana Sans Light" w:hAnsi="Soberana Sans Light" w:cstheme="minorHAnsi"/>
          <w:sz w:val="24"/>
          <w:szCs w:val="24"/>
        </w:rPr>
      </w:pPr>
      <w:r w:rsidRPr="00022AD0">
        <w:t xml:space="preserve">Como área de oportunidad para mejorar la operación del recurso del FAFEF en </w:t>
      </w:r>
      <w:r>
        <w:t>Hidalgo</w:t>
      </w:r>
      <w:r w:rsidRPr="00022AD0">
        <w:t>, se sugiere establecer un manual de procedimientos o lineamientos que regulen el funcionamiento del Fondo, en el que se determine un mecanismo para contar con información que permita identificar periódicamente las necesidades que pueden atenderse con recursos del mismo</w:t>
      </w:r>
      <w:r>
        <w:t>, tal como se ha recomendado en la pregunta anterior.</w:t>
      </w:r>
      <w:r>
        <w:rPr>
          <w:rFonts w:ascii="Soberana Sans Light" w:hAnsi="Soberana Sans Light" w:cstheme="minorHAnsi"/>
          <w:sz w:val="24"/>
          <w:szCs w:val="24"/>
        </w:rPr>
        <w:br w:type="page"/>
      </w:r>
    </w:p>
    <w:p w14:paraId="07CA0F30" w14:textId="77777777" w:rsidR="00EB1844" w:rsidRPr="00567363" w:rsidRDefault="00EB1844" w:rsidP="00EB1844">
      <w:pPr>
        <w:spacing w:before="0" w:after="0"/>
        <w:contextualSpacing/>
        <w:rPr>
          <w:rFonts w:cstheme="minorHAnsi"/>
          <w:b/>
        </w:rPr>
      </w:pPr>
      <w:r>
        <w:rPr>
          <w:rFonts w:cstheme="minorHAnsi"/>
          <w:b/>
        </w:rPr>
        <w:lastRenderedPageBreak/>
        <w:t xml:space="preserve">17. </w:t>
      </w:r>
      <w:r w:rsidRPr="00567363">
        <w:rPr>
          <w:rFonts w:cstheme="minorHAnsi"/>
          <w:b/>
        </w:rPr>
        <w:t>¿La entidad federativa fomenta la institucionalización y la estandarización de procesos, para supervisar el ejercicio de los recursos del Fondo, y estas acciones de fomento consideran la formalización de procesos, contando con las siguientes características:</w:t>
      </w:r>
    </w:p>
    <w:p w14:paraId="6DB55271" w14:textId="77777777" w:rsidR="00EB1844" w:rsidRPr="00BC3614" w:rsidRDefault="00EB1844" w:rsidP="00EB1844">
      <w:pPr>
        <w:pStyle w:val="Pregunta"/>
        <w:numPr>
          <w:ilvl w:val="0"/>
          <w:numId w:val="19"/>
        </w:numPr>
      </w:pPr>
      <w:r w:rsidRPr="00BC3614">
        <w:t>Permiten identificar si los apoyos, servicios o proyectos a entregar u otorgar son acordes a lo establecido en los documentos normativos o institucionales del Fondo;</w:t>
      </w:r>
    </w:p>
    <w:p w14:paraId="6028A71E" w14:textId="77777777" w:rsidR="00EB1844" w:rsidRPr="00BC3614" w:rsidRDefault="00EB1844" w:rsidP="00EB1844">
      <w:pPr>
        <w:pStyle w:val="Pregunta"/>
        <w:numPr>
          <w:ilvl w:val="0"/>
          <w:numId w:val="19"/>
        </w:numPr>
      </w:pPr>
      <w:r w:rsidRPr="00BC3614">
        <w:t>Están estandarizados, es decir, son utilizados por todas las instancias ejecutoras del FAFEF en la entidad de manera homogénea;</w:t>
      </w:r>
    </w:p>
    <w:p w14:paraId="12A023A9" w14:textId="77777777" w:rsidR="00EB1844" w:rsidRPr="00BC3614" w:rsidRDefault="00EB1844" w:rsidP="00EB1844">
      <w:pPr>
        <w:pStyle w:val="Pregunta"/>
        <w:numPr>
          <w:ilvl w:val="0"/>
          <w:numId w:val="19"/>
        </w:numPr>
      </w:pPr>
      <w:r w:rsidRPr="00BC3614">
        <w:t>Están sistematizados;</w:t>
      </w:r>
    </w:p>
    <w:p w14:paraId="2484C43E" w14:textId="77777777" w:rsidR="00EB1844" w:rsidRPr="00BC3614" w:rsidRDefault="00EB1844" w:rsidP="00EB1844">
      <w:pPr>
        <w:pStyle w:val="Pregunta"/>
        <w:numPr>
          <w:ilvl w:val="0"/>
          <w:numId w:val="19"/>
        </w:numPr>
        <w:spacing w:after="120"/>
        <w:ind w:left="714" w:hanging="357"/>
      </w:pPr>
      <w:r w:rsidRPr="00BC3614">
        <w:t>Son conocidos por los operadores del FAFEF en la entidad federativa?</w:t>
      </w:r>
    </w:p>
    <w:p w14:paraId="14693AB2" w14:textId="77777777" w:rsidR="00EB1844" w:rsidRDefault="00EB1844" w:rsidP="00EB1844">
      <w:pPr>
        <w:rPr>
          <w:b/>
          <w:bCs/>
        </w:rPr>
      </w:pPr>
      <w:r w:rsidRPr="00BC3614">
        <w:rPr>
          <w:b/>
          <w:bCs/>
        </w:rPr>
        <w:t>No procede valoración cuantitativa.</w:t>
      </w:r>
    </w:p>
    <w:p w14:paraId="1FDF8D20" w14:textId="2EFA46F4" w:rsidR="00EB1844" w:rsidRDefault="00EB1844" w:rsidP="00D64500">
      <w:pPr>
        <w:rPr>
          <w:rFonts w:cstheme="minorHAnsi"/>
        </w:rPr>
      </w:pPr>
      <w:r w:rsidRPr="00B73C39">
        <w:rPr>
          <w:rFonts w:cstheme="minorHAnsi"/>
        </w:rPr>
        <w:t>La entidad</w:t>
      </w:r>
      <w:r>
        <w:rPr>
          <w:rFonts w:cstheme="minorHAnsi"/>
        </w:rPr>
        <w:t xml:space="preserve"> federativa</w:t>
      </w:r>
      <w:r w:rsidRPr="00B73C39">
        <w:rPr>
          <w:rFonts w:cstheme="minorHAnsi"/>
        </w:rPr>
        <w:t xml:space="preserve"> no cuenta con procesos institucionalizados y estandarizados para supervisar el ejercicio de los recursos del FAFEF de una manera integral, es decir procesos homogéneos que consideren la posibilidad de utilizar los recursos en cualquiera de los nueve rubros establecidos en la LCF, independientemente del uso que se le dé en el Estado. Aunque, en contraparte</w:t>
      </w:r>
      <w:r w:rsidR="00140E65">
        <w:rPr>
          <w:rFonts w:cstheme="minorHAnsi"/>
        </w:rPr>
        <w:t>,</w:t>
      </w:r>
      <w:r w:rsidRPr="00B73C39">
        <w:rPr>
          <w:rFonts w:cstheme="minorHAnsi"/>
        </w:rPr>
        <w:t xml:space="preserve"> para el seguimiento al ejercicio</w:t>
      </w:r>
      <w:r>
        <w:rPr>
          <w:rFonts w:cstheme="minorHAnsi"/>
        </w:rPr>
        <w:t>, en el ámbito federal,</w:t>
      </w:r>
      <w:r w:rsidRPr="00B73C39">
        <w:rPr>
          <w:rFonts w:cstheme="minorHAnsi"/>
        </w:rPr>
        <w:t xml:space="preserve"> se cuenta con el </w:t>
      </w:r>
      <w:r w:rsidR="00140E65">
        <w:rPr>
          <w:rFonts w:cstheme="minorHAnsi"/>
        </w:rPr>
        <w:t>SRFT</w:t>
      </w:r>
      <w:r w:rsidR="009C0FF6">
        <w:rPr>
          <w:rFonts w:cstheme="minorHAnsi"/>
        </w:rPr>
        <w:t xml:space="preserve"> y a </w:t>
      </w:r>
      <w:r w:rsidRPr="00B73C39">
        <w:rPr>
          <w:rFonts w:cstheme="minorHAnsi"/>
        </w:rPr>
        <w:t xml:space="preserve">nivel estatal el seguimiento al ejercicio se realiza a través </w:t>
      </w:r>
      <w:r>
        <w:rPr>
          <w:rFonts w:cstheme="minorHAnsi"/>
        </w:rPr>
        <w:t>las MIR de los distintos programas y subprogramas financiados con recurso del Fondo y de la propia MIR estatal del Fondo.</w:t>
      </w:r>
    </w:p>
    <w:p w14:paraId="5E35B780" w14:textId="77777777" w:rsidR="00EB1844" w:rsidRPr="00B73C39" w:rsidRDefault="00EB1844" w:rsidP="00D64500">
      <w:pPr>
        <w:rPr>
          <w:rFonts w:cstheme="minorHAnsi"/>
        </w:rPr>
      </w:pPr>
      <w:r>
        <w:rPr>
          <w:rFonts w:cstheme="minorHAnsi"/>
        </w:rPr>
        <w:t xml:space="preserve">En la entidad federativa, considerando los 4 rubros a los cuales se han destinado los recursos del FAFEF, se analizaron los criterios de la pregunta de la siguiente manera: </w:t>
      </w:r>
    </w:p>
    <w:p w14:paraId="4DCD9027" w14:textId="03619B0E" w:rsidR="00EB1844" w:rsidRPr="0002251C" w:rsidRDefault="00EB1844" w:rsidP="00D64500">
      <w:pPr>
        <w:pStyle w:val="Prrafodelista"/>
        <w:numPr>
          <w:ilvl w:val="0"/>
          <w:numId w:val="7"/>
        </w:numPr>
        <w:autoSpaceDE w:val="0"/>
        <w:autoSpaceDN w:val="0"/>
        <w:adjustRightInd w:val="0"/>
        <w:contextualSpacing w:val="0"/>
        <w:rPr>
          <w:rFonts w:cs="LiberationSans"/>
          <w:color w:val="333E48"/>
        </w:rPr>
      </w:pPr>
      <w:r w:rsidRPr="0002251C">
        <w:rPr>
          <w:rFonts w:cstheme="minorHAnsi"/>
        </w:rPr>
        <w:t xml:space="preserve">La implementación del FAFEF se aplica conforme a la normatividad, dado que se enmarca en lo que establece el Artículo 47 de la LCF, sobre los recursos del </w:t>
      </w:r>
      <w:r w:rsidRPr="0002251C">
        <w:rPr>
          <w:rFonts w:eastAsia="Times" w:cs="Arial"/>
        </w:rPr>
        <w:t>F</w:t>
      </w:r>
      <w:r w:rsidRPr="0002251C">
        <w:rPr>
          <w:rFonts w:cstheme="minorHAnsi"/>
        </w:rPr>
        <w:t>AFEF, y se destinan a: la inversión en infraestructura física, saneamiento financiero, modernización de los registro</w:t>
      </w:r>
      <w:r w:rsidR="007C6C5E">
        <w:rPr>
          <w:rFonts w:cstheme="minorHAnsi"/>
        </w:rPr>
        <w:t>s públicos de la propiedad y de</w:t>
      </w:r>
      <w:r w:rsidRPr="0002251C">
        <w:rPr>
          <w:rFonts w:cstheme="minorHAnsi"/>
        </w:rPr>
        <w:t xml:space="preserve"> comercio locales, así como apoyos a la educación</w:t>
      </w:r>
      <w:r w:rsidR="00F810A7">
        <w:rPr>
          <w:rFonts w:cstheme="minorHAnsi"/>
        </w:rPr>
        <w:t xml:space="preserve">. </w:t>
      </w:r>
      <w:r>
        <w:rPr>
          <w:rFonts w:cstheme="minorHAnsi"/>
        </w:rPr>
        <w:t>En el ámbito estatal r</w:t>
      </w:r>
      <w:r w:rsidRPr="00B73C39">
        <w:rPr>
          <w:rFonts w:cstheme="minorHAnsi"/>
        </w:rPr>
        <w:t>especto a los proyectos de inversión en infraestructura, las unidades ejecutoras son las responsables de la supervisión tomando como base la</w:t>
      </w:r>
      <w:r>
        <w:rPr>
          <w:rFonts w:cstheme="minorHAnsi"/>
        </w:rPr>
        <w:t xml:space="preserve">s Leyes, Normas y Reglamentos específicos para cada dependencia ejecutora, </w:t>
      </w:r>
      <w:r w:rsidRPr="002910A8">
        <w:rPr>
          <w:rFonts w:cstheme="minorHAnsi"/>
        </w:rPr>
        <w:t xml:space="preserve">tales como: </w:t>
      </w:r>
      <w:r w:rsidR="00F810A7">
        <w:t>Manual de Normas y Lineamientos para el Ejercicio de los Recursos del Programa de Inversión y</w:t>
      </w:r>
      <w:r w:rsidR="00F810A7" w:rsidRPr="002910A8">
        <w:rPr>
          <w:rFonts w:cstheme="minorHAnsi"/>
        </w:rPr>
        <w:t xml:space="preserve"> Normas Generales de Control Interno en el </w:t>
      </w:r>
      <w:r w:rsidR="00F810A7">
        <w:rPr>
          <w:rFonts w:cstheme="minorHAnsi"/>
        </w:rPr>
        <w:t>á</w:t>
      </w:r>
      <w:r w:rsidR="00F810A7" w:rsidRPr="002910A8">
        <w:rPr>
          <w:rFonts w:cstheme="minorHAnsi"/>
        </w:rPr>
        <w:t>mbito de la Administración Pública Estatal</w:t>
      </w:r>
      <w:r w:rsidRPr="002910A8">
        <w:rPr>
          <w:rFonts w:cstheme="minorHAnsi"/>
        </w:rPr>
        <w:t>.</w:t>
      </w:r>
    </w:p>
    <w:p w14:paraId="0019A27D" w14:textId="442CD349" w:rsidR="00EB1844" w:rsidRPr="002910A8" w:rsidRDefault="00EB1844" w:rsidP="00D64500">
      <w:pPr>
        <w:pStyle w:val="Prrafodelista"/>
        <w:numPr>
          <w:ilvl w:val="0"/>
          <w:numId w:val="7"/>
        </w:numPr>
        <w:autoSpaceDE w:val="0"/>
        <w:autoSpaceDN w:val="0"/>
        <w:adjustRightInd w:val="0"/>
        <w:contextualSpacing w:val="0"/>
        <w:rPr>
          <w:rFonts w:cstheme="minorHAnsi"/>
        </w:rPr>
      </w:pPr>
      <w:r w:rsidRPr="002910A8">
        <w:rPr>
          <w:rFonts w:cstheme="minorHAnsi"/>
        </w:rPr>
        <w:t xml:space="preserve">En el ámbito estatal, se cuenta con </w:t>
      </w:r>
      <w:r w:rsidR="00F810A7">
        <w:rPr>
          <w:rFonts w:cstheme="minorHAnsi"/>
        </w:rPr>
        <w:t xml:space="preserve">distintas </w:t>
      </w:r>
      <w:r w:rsidRPr="002910A8">
        <w:rPr>
          <w:rFonts w:cstheme="minorHAnsi"/>
        </w:rPr>
        <w:t>plataforma</w:t>
      </w:r>
      <w:r w:rsidR="00F810A7">
        <w:rPr>
          <w:rFonts w:cstheme="minorHAnsi"/>
        </w:rPr>
        <w:t>s</w:t>
      </w:r>
      <w:r w:rsidRPr="002910A8">
        <w:rPr>
          <w:rFonts w:cstheme="minorHAnsi"/>
        </w:rPr>
        <w:t xml:space="preserve"> desarrollada</w:t>
      </w:r>
      <w:r w:rsidR="00F810A7">
        <w:rPr>
          <w:rFonts w:cstheme="minorHAnsi"/>
        </w:rPr>
        <w:t>s</w:t>
      </w:r>
      <w:r w:rsidRPr="002910A8">
        <w:rPr>
          <w:rFonts w:cstheme="minorHAnsi"/>
        </w:rPr>
        <w:t xml:space="preserve"> para vincular los procesos inherentes a la</w:t>
      </w:r>
      <w:r w:rsidR="00F810A7">
        <w:rPr>
          <w:rFonts w:cstheme="minorHAnsi"/>
        </w:rPr>
        <w:t xml:space="preserve"> </w:t>
      </w:r>
      <w:r w:rsidR="00F810A7" w:rsidRPr="00D74C88">
        <w:t>asignación</w:t>
      </w:r>
      <w:r w:rsidR="00F810A7">
        <w:t>, presupuestación, ejercicio, control y seguimiento de los</w:t>
      </w:r>
      <w:r w:rsidR="00F810A7" w:rsidRPr="00D74C88">
        <w:t xml:space="preserve"> de recursos </w:t>
      </w:r>
      <w:r w:rsidR="00F810A7">
        <w:t>que ejercen los distintos Pp</w:t>
      </w:r>
      <w:r w:rsidR="00F810A7">
        <w:rPr>
          <w:rFonts w:cstheme="minorHAnsi"/>
        </w:rPr>
        <w:t xml:space="preserve">. </w:t>
      </w:r>
      <w:r w:rsidRPr="002910A8">
        <w:rPr>
          <w:rFonts w:cstheme="minorHAnsi"/>
        </w:rPr>
        <w:t>Adicionalmente, se realizan reuniones de seguimiento de manera coordinada entre la</w:t>
      </w:r>
      <w:r w:rsidR="00F810A7">
        <w:rPr>
          <w:rFonts w:cstheme="minorHAnsi"/>
        </w:rPr>
        <w:t xml:space="preserve"> SFP </w:t>
      </w:r>
      <w:r w:rsidRPr="002910A8">
        <w:rPr>
          <w:rFonts w:cstheme="minorHAnsi"/>
        </w:rPr>
        <w:t>y la Secretaría de Contraloría con instancias ejecutoras del gasto, para revisión del avance físico y financiero de cada obra y acción autorizada con recursos del FAFEF.</w:t>
      </w:r>
    </w:p>
    <w:p w14:paraId="00C465D4" w14:textId="78E3D5F7" w:rsidR="00EB1844" w:rsidRPr="00FC0BA1" w:rsidRDefault="00EB1844" w:rsidP="00D64500">
      <w:pPr>
        <w:pStyle w:val="Prrafodelista"/>
        <w:numPr>
          <w:ilvl w:val="0"/>
          <w:numId w:val="7"/>
        </w:numPr>
        <w:autoSpaceDE w:val="0"/>
        <w:autoSpaceDN w:val="0"/>
        <w:adjustRightInd w:val="0"/>
        <w:contextualSpacing w:val="0"/>
        <w:rPr>
          <w:rFonts w:cs="LiberationSans"/>
          <w:color w:val="333E48"/>
        </w:rPr>
      </w:pPr>
      <w:r w:rsidRPr="00FC0BA1">
        <w:rPr>
          <w:rFonts w:cstheme="minorHAnsi"/>
        </w:rPr>
        <w:t xml:space="preserve">En </w:t>
      </w:r>
      <w:r>
        <w:rPr>
          <w:rFonts w:cstheme="minorHAnsi"/>
        </w:rPr>
        <w:t>Hidalgo</w:t>
      </w:r>
      <w:r w:rsidRPr="00FC0BA1">
        <w:rPr>
          <w:rFonts w:cstheme="minorHAnsi"/>
        </w:rPr>
        <w:t xml:space="preserve"> los procesos están sistematizados, ya que se cuenta con bases de datos en hojas de</w:t>
      </w:r>
      <w:r w:rsidR="00F810A7">
        <w:rPr>
          <w:rFonts w:cstheme="minorHAnsi"/>
        </w:rPr>
        <w:t>l</w:t>
      </w:r>
      <w:r w:rsidRPr="00FC0BA1">
        <w:rPr>
          <w:rFonts w:cstheme="minorHAnsi"/>
        </w:rPr>
        <w:t xml:space="preserve"> programa Excel, que se pueden visualizar en el </w:t>
      </w:r>
      <w:r w:rsidR="00FD0B48">
        <w:rPr>
          <w:rFonts w:cstheme="minorHAnsi"/>
        </w:rPr>
        <w:t>SIFAP</w:t>
      </w:r>
      <w:r w:rsidRPr="00FC0BA1">
        <w:rPr>
          <w:rFonts w:cstheme="minorHAnsi"/>
        </w:rPr>
        <w:t xml:space="preserve"> de la SFP, ubicado en el servidor del Gobierno del Estado de Hidalgo, que muestran toda le información que se genera con la </w:t>
      </w:r>
      <w:r w:rsidR="00F810A7" w:rsidRPr="00FC0BA1">
        <w:rPr>
          <w:rFonts w:cstheme="minorHAnsi"/>
        </w:rPr>
        <w:t xml:space="preserve">implementación </w:t>
      </w:r>
      <w:r w:rsidR="00F810A7">
        <w:rPr>
          <w:rFonts w:cstheme="minorHAnsi"/>
        </w:rPr>
        <w:t xml:space="preserve">de los Pp financiados con recursos </w:t>
      </w:r>
      <w:r w:rsidRPr="00FC0BA1">
        <w:rPr>
          <w:rFonts w:cstheme="minorHAnsi"/>
        </w:rPr>
        <w:t>del Fondo.</w:t>
      </w:r>
    </w:p>
    <w:p w14:paraId="08BBCE5D" w14:textId="026DB377" w:rsidR="00EB1844" w:rsidRPr="00FC0BA1" w:rsidRDefault="00EB1844" w:rsidP="00D64500">
      <w:pPr>
        <w:pStyle w:val="Prrafodelista"/>
        <w:numPr>
          <w:ilvl w:val="0"/>
          <w:numId w:val="7"/>
        </w:numPr>
        <w:autoSpaceDE w:val="0"/>
        <w:autoSpaceDN w:val="0"/>
        <w:adjustRightInd w:val="0"/>
        <w:contextualSpacing w:val="0"/>
        <w:rPr>
          <w:rFonts w:cs="LiberationSans"/>
          <w:color w:val="333E48"/>
        </w:rPr>
      </w:pPr>
      <w:r>
        <w:rPr>
          <w:rFonts w:cstheme="minorHAnsi"/>
        </w:rPr>
        <w:t>S</w:t>
      </w:r>
      <w:r w:rsidRPr="00FC0BA1">
        <w:rPr>
          <w:rFonts w:cstheme="minorHAnsi"/>
        </w:rPr>
        <w:t>on conocidas por los operadores del FAFF en la entidad</w:t>
      </w:r>
      <w:r>
        <w:rPr>
          <w:rFonts w:cstheme="minorHAnsi"/>
        </w:rPr>
        <w:t xml:space="preserve"> federativa</w:t>
      </w:r>
      <w:r w:rsidRPr="00FC0BA1">
        <w:rPr>
          <w:rFonts w:cstheme="minorHAnsi"/>
        </w:rPr>
        <w:t>, dado que los Comités de Planeación y los Subcomités que coordinan las funciones sustantivas del Gobierno del Estado realizan mesas de trabajo con las instancias ejecutoras para proporcionar toda la información</w:t>
      </w:r>
      <w:r w:rsidR="009C0FF6">
        <w:rPr>
          <w:rFonts w:cstheme="minorHAnsi"/>
        </w:rPr>
        <w:t xml:space="preserve"> referente a la operación de los Pp que son financiados con el Fondo</w:t>
      </w:r>
      <w:r w:rsidRPr="00FC0BA1">
        <w:rPr>
          <w:rFonts w:cstheme="minorHAnsi"/>
        </w:rPr>
        <w:t>.</w:t>
      </w:r>
    </w:p>
    <w:p w14:paraId="27E875C7" w14:textId="77777777" w:rsidR="00EB1844" w:rsidRDefault="00EB1844" w:rsidP="00D64500">
      <w:pPr>
        <w:rPr>
          <w:rFonts w:ascii="Soberana Sans Light" w:hAnsi="Soberana Sans Light" w:cstheme="minorHAnsi"/>
          <w:sz w:val="24"/>
          <w:szCs w:val="24"/>
        </w:rPr>
      </w:pPr>
      <w:r>
        <w:rPr>
          <w:rFonts w:cstheme="minorHAnsi"/>
        </w:rPr>
        <w:t>Considerando lo anterior,</w:t>
      </w:r>
      <w:r w:rsidRPr="007456E0">
        <w:rPr>
          <w:rFonts w:cstheme="minorHAnsi"/>
        </w:rPr>
        <w:t xml:space="preserve"> se sugiere un esquema de fomento que considere la formalización de procesos que permitan identificar si los apoyos, servicios o proyectos a entregar por rubro de gasto o política pública financiada con el Fondo son acordes a lo establecido en la LCF; están estandarizados, es decir existen documentos normativos de carácter administrativo por ejemplo, un manual de procedimientos que describa procesos que consideren la posibilidad de utilizar los recursos en cualquiera de los nueve rubros establecidos en la LCF y que sean utilizados por todas las instancias ejecutoras del FAFEF de manera homogénea</w:t>
      </w:r>
      <w:r>
        <w:rPr>
          <w:rFonts w:cstheme="minorHAnsi"/>
        </w:rPr>
        <w:t>.</w:t>
      </w:r>
      <w:r>
        <w:rPr>
          <w:rFonts w:ascii="Soberana Sans Light" w:hAnsi="Soberana Sans Light" w:cstheme="minorHAnsi"/>
          <w:sz w:val="24"/>
          <w:szCs w:val="24"/>
        </w:rPr>
        <w:br w:type="page"/>
      </w:r>
    </w:p>
    <w:p w14:paraId="1BFB2707" w14:textId="77777777" w:rsidR="00EB1844" w:rsidRPr="00567363" w:rsidRDefault="00EB1844" w:rsidP="00EB1844">
      <w:pPr>
        <w:spacing w:before="0"/>
        <w:rPr>
          <w:rFonts w:cstheme="minorHAnsi"/>
          <w:b/>
        </w:rPr>
      </w:pPr>
      <w:r>
        <w:rPr>
          <w:rFonts w:cstheme="minorHAnsi"/>
          <w:b/>
        </w:rPr>
        <w:lastRenderedPageBreak/>
        <w:t>18. ¿</w:t>
      </w:r>
      <w:r w:rsidRPr="00567363">
        <w:rPr>
          <w:rFonts w:cstheme="minorHAnsi"/>
          <w:b/>
        </w:rPr>
        <w:t>La entidad federativa cuenta con mecanismos documentados para dar seguimiento al ejercicio de las aportaciones del FAFEF</w:t>
      </w:r>
      <w:r>
        <w:rPr>
          <w:rFonts w:cstheme="minorHAnsi"/>
          <w:b/>
        </w:rPr>
        <w:t>?</w:t>
      </w:r>
    </w:p>
    <w:p w14:paraId="0D14FD91" w14:textId="77777777" w:rsidR="00EB1844" w:rsidRPr="00BC3614" w:rsidRDefault="00EB1844" w:rsidP="00EB1844">
      <w:pPr>
        <w:rPr>
          <w:b/>
          <w:bCs/>
        </w:rPr>
      </w:pPr>
      <w:r w:rsidRPr="00BC3614">
        <w:rPr>
          <w:b/>
          <w:bCs/>
        </w:rPr>
        <w:t>No procede valoración cuantitativa.</w:t>
      </w:r>
    </w:p>
    <w:p w14:paraId="2415DA62" w14:textId="77777777" w:rsidR="002C65DA" w:rsidRDefault="008A7ED7" w:rsidP="00EB1844">
      <w:r w:rsidRPr="008A7ED7">
        <w:t xml:space="preserve">Para el caso del seguimiento del ejercicio en el ámbito federal, se cuenta con mecanismos documentados, </w:t>
      </w:r>
      <w:r w:rsidR="002C65DA">
        <w:t xml:space="preserve">ya que se </w:t>
      </w:r>
      <w:r w:rsidRPr="008A7ED7">
        <w:t>envía información periódicamente a la SHCP con el ejercicio del gasto por partida genérica, destino del gasto e indicadores, a fin de que ésta la integre en los reportes trimestrales enviados a la Cámara de Diputados. Si bien existe un mecanismo normado en los Lineamientos, la entidad federativa no cuenta con acuses o documentos que comprueben que</w:t>
      </w:r>
      <w:r w:rsidR="00557784">
        <w:t xml:space="preserve"> se</w:t>
      </w:r>
      <w:r w:rsidRPr="008A7ED7">
        <w:t xml:space="preserve"> registró la información en el SRFT, la única forma de corroborarlo es descargando los archivos con las observaciones en la página de transparencia.</w:t>
      </w:r>
    </w:p>
    <w:p w14:paraId="544A2BC1" w14:textId="177DE5F5" w:rsidR="007F402C" w:rsidRDefault="008A7ED7" w:rsidP="00EB1844">
      <w:r w:rsidRPr="008A7ED7">
        <w:t>Cabe señalar que el seguimiento no se reporta a nivel de rubro de gasto y las partidas genéricas presentadas son distintas en cada entidad, lo cual dificulta conocer el destino específico</w:t>
      </w:r>
      <w:r w:rsidR="007F402C">
        <w:t xml:space="preserve"> de los recursos</w:t>
      </w:r>
      <w:r w:rsidRPr="008A7ED7">
        <w:t xml:space="preserve">. </w:t>
      </w:r>
      <w:r w:rsidR="007F402C">
        <w:t xml:space="preserve">En el caso del Estado de </w:t>
      </w:r>
      <w:r w:rsidR="00557784">
        <w:t>Hidalgo, aunque</w:t>
      </w:r>
      <w:r w:rsidR="007F402C">
        <w:t xml:space="preserve"> </w:t>
      </w:r>
      <w:r w:rsidR="00557784">
        <w:t xml:space="preserve">los reportes por partida genérica son congruentes con los rubros de gasto de inversión en infraestructura física, saneamiento financiero y modernización de los registros públicos de la propiedad y del comercio locales, reportados, no es posible identificar partidas referentes al Pp K-35 becas para la Educación. En este sentido se recomienda </w:t>
      </w:r>
      <w:r w:rsidR="00BE6713">
        <w:t xml:space="preserve">que en la entidad se implementen reportes similares a los utilizados en el SRFT en los cuales se contemple el reporte del ejercicio de los recursos del Fondo, desglosando la información por cada rubro de gasto de la LCF, </w:t>
      </w:r>
      <w:r w:rsidR="002C65DA">
        <w:t>Pp</w:t>
      </w:r>
      <w:r w:rsidR="00BE6713">
        <w:t xml:space="preserve">, unidad ejecutora en la entidad y partida genérica, este mecanismo se puede acoplar al </w:t>
      </w:r>
      <w:r w:rsidR="00BE6713" w:rsidRPr="004B6FFD">
        <w:t>SIIPPED</w:t>
      </w:r>
      <w:r w:rsidR="00BE6713">
        <w:t xml:space="preserve"> y permitirá contar con información más precisa sobre el ejercicio de los recursos del Fondo en la entidad federativa. </w:t>
      </w:r>
    </w:p>
    <w:p w14:paraId="06EEA3A8" w14:textId="70237F39" w:rsidR="00EB1844" w:rsidRDefault="00EB1844" w:rsidP="00EB1844">
      <w:r>
        <w:t>En el ámbito estatal, el programa sectorial inversión</w:t>
      </w:r>
      <w:r w:rsidR="002C65DA">
        <w:t xml:space="preserve">, </w:t>
      </w:r>
      <w:r>
        <w:t>contenido en la clasificación programática</w:t>
      </w:r>
      <w:r w:rsidR="002C65DA">
        <w:t xml:space="preserve"> estatal,</w:t>
      </w:r>
      <w:r w:rsidR="00001129">
        <w:t xml:space="preserve"> el cual contiene la mayor parte de los Pp financiados con el FAFEF</w:t>
      </w:r>
      <w:r>
        <w:t xml:space="preserve">, permite organizar, en forma representativa y homogénea, las asignaciones de recursos de los </w:t>
      </w:r>
      <w:r w:rsidR="007F402C">
        <w:t>Pp</w:t>
      </w:r>
      <w:r>
        <w:t>.</w:t>
      </w:r>
      <w:r w:rsidR="007F402C">
        <w:t xml:space="preserve"> </w:t>
      </w:r>
      <w:r>
        <w:t xml:space="preserve">Cada </w:t>
      </w:r>
      <w:r w:rsidR="00F62B09">
        <w:t>Pp</w:t>
      </w:r>
      <w:r>
        <w:t xml:space="preserve"> debe contar con una M</w:t>
      </w:r>
      <w:r w:rsidR="00001129">
        <w:t>IR</w:t>
      </w:r>
      <w:r>
        <w:t>, en la cual se identifican los objetivos, indicadores, metas y factores externos que se deberán considerar para su cumplimiento.</w:t>
      </w:r>
      <w:r w:rsidR="00BE6713">
        <w:t xml:space="preserve"> </w:t>
      </w:r>
      <w:r>
        <w:t xml:space="preserve">Los proyectos de gasto de inversión deben ser registrados en SIDET. Las unidades ejecutoras deben verificar que dicho proyecto se encuentre vinculado a una MIR de inversión. Las </w:t>
      </w:r>
      <w:r w:rsidR="00001129">
        <w:t>unidades presupuestales</w:t>
      </w:r>
      <w:r>
        <w:t xml:space="preserve"> registran en el SIDET</w:t>
      </w:r>
      <w:r w:rsidR="002C65DA">
        <w:t>,</w:t>
      </w:r>
      <w:r>
        <w:t xml:space="preserve"> en el apartado denominado “PbR” el indicador a nivel de actividad de la MIR que corresponde a cada proyecto de gasto de inversión, asociándolo a uno de los </w:t>
      </w:r>
      <w:r w:rsidR="00A70A52">
        <w:t>C</w:t>
      </w:r>
      <w:r>
        <w:t xml:space="preserve">omponentes contenidos en el </w:t>
      </w:r>
      <w:r w:rsidR="00F62B09">
        <w:t>Pp</w:t>
      </w:r>
      <w:r>
        <w:t xml:space="preserve"> que para el gasto de inversión le corresponda, de acuerdo con la clasificación programática vigente</w:t>
      </w:r>
      <w:r>
        <w:rPr>
          <w:rStyle w:val="Refdenotaalpie"/>
        </w:rPr>
        <w:footnoteReference w:id="24"/>
      </w:r>
      <w:r>
        <w:t xml:space="preserve">. </w:t>
      </w:r>
    </w:p>
    <w:p w14:paraId="0C09181C" w14:textId="5B2C83A6" w:rsidR="00EB1844" w:rsidRPr="00FC0BA1" w:rsidRDefault="00EB1844" w:rsidP="00EB1844">
      <w:r>
        <w:t>Adicionalmente, se realizan reuniones de seguimiento de manera coordinada entre las Secretaría de Finanzas Públicas y la Secretaría de Contraloría con instancias ejecutoras del gasto, para revisión del avance físico y financiero de cada obra y acción autorizada con recursos del FAFEF</w:t>
      </w:r>
      <w:r w:rsidR="002C65DA">
        <w:t>, las cuales se documentan mediante las minitas de reunión</w:t>
      </w:r>
      <w:r>
        <w:t>.</w:t>
      </w:r>
    </w:p>
    <w:p w14:paraId="53EEA6DD" w14:textId="54CBB08B" w:rsidR="00EB1844" w:rsidRPr="000D4A05" w:rsidRDefault="00EB1844" w:rsidP="00EB1844">
      <w:r w:rsidRPr="00FC0BA1">
        <w:t xml:space="preserve">Aunado a lo anterior, en el </w:t>
      </w:r>
      <w:r w:rsidR="000C1D67">
        <w:t>E</w:t>
      </w:r>
      <w:r w:rsidRPr="00FC0BA1">
        <w:t>stado se desarrollaron las Fichas Ejecutivas de Desempeño que constituyen un instrumento que permite consolidar y sintetizar la información de desempeño de los P</w:t>
      </w:r>
      <w:r>
        <w:t>p</w:t>
      </w:r>
      <w:r w:rsidRPr="00FC0BA1">
        <w:t xml:space="preserve">, con el fin de promover sus resultados a los ejecutores del gasto, las áreas de planeación y las áreas </w:t>
      </w:r>
      <w:r w:rsidR="00446550">
        <w:t>que presupuestan</w:t>
      </w:r>
      <w:r w:rsidRPr="00FC0BA1">
        <w:t>, para la toma de decisiones y como mecanismo para dar seguimiento al ejercicio de los recursos</w:t>
      </w:r>
      <w:r w:rsidR="00BE6713">
        <w:t xml:space="preserve"> de los Pp estatales, entre los que se encuentran los que reciben financiamiento del FAFEF.</w:t>
      </w:r>
    </w:p>
    <w:p w14:paraId="05844B13" w14:textId="77777777" w:rsidR="00EB1844" w:rsidRDefault="00EB1844" w:rsidP="00EB1844">
      <w:pPr>
        <w:spacing w:before="0" w:after="160" w:line="259" w:lineRule="auto"/>
        <w:jc w:val="left"/>
        <w:rPr>
          <w:rFonts w:ascii="Soberana Sans Light" w:hAnsi="Soberana Sans Light" w:cstheme="minorHAnsi"/>
          <w:sz w:val="24"/>
          <w:szCs w:val="24"/>
          <w:highlight w:val="yellow"/>
          <w:lang w:val="es-ES"/>
        </w:rPr>
      </w:pPr>
      <w:r>
        <w:rPr>
          <w:rFonts w:ascii="Soberana Sans Light" w:hAnsi="Soberana Sans Light" w:cstheme="minorHAnsi"/>
          <w:sz w:val="24"/>
          <w:szCs w:val="24"/>
          <w:highlight w:val="yellow"/>
          <w:lang w:val="es-ES"/>
        </w:rPr>
        <w:br w:type="page"/>
      </w:r>
    </w:p>
    <w:p w14:paraId="3F40C2C3" w14:textId="77777777" w:rsidR="00EB1844" w:rsidRPr="00196215" w:rsidRDefault="00EB1844" w:rsidP="00EB1844">
      <w:pPr>
        <w:spacing w:before="0" w:after="0"/>
        <w:contextualSpacing/>
        <w:rPr>
          <w:rFonts w:cstheme="minorHAnsi"/>
          <w:b/>
        </w:rPr>
      </w:pPr>
      <w:r>
        <w:rPr>
          <w:rFonts w:cstheme="minorHAnsi"/>
          <w:b/>
        </w:rPr>
        <w:lastRenderedPageBreak/>
        <w:t xml:space="preserve">19. </w:t>
      </w:r>
      <w:r w:rsidRPr="00196215">
        <w:rPr>
          <w:rFonts w:cstheme="minorHAnsi"/>
          <w:b/>
        </w:rPr>
        <w:t>Describa los mecanismos mediante los que la entidad federativa da seguimiento a los resultados de la ejecución del FAFEF.</w:t>
      </w:r>
    </w:p>
    <w:p w14:paraId="327C88C9" w14:textId="5A7C7755" w:rsidR="00EB1844" w:rsidRDefault="00EB1844" w:rsidP="00EB1844">
      <w:pPr>
        <w:rPr>
          <w:b/>
          <w:bCs/>
        </w:rPr>
      </w:pPr>
      <w:r w:rsidRPr="00290160">
        <w:rPr>
          <w:b/>
          <w:bCs/>
        </w:rPr>
        <w:t>No procede valoración cuantitativa.</w:t>
      </w:r>
    </w:p>
    <w:p w14:paraId="40A37815" w14:textId="290E1988" w:rsidR="00023810" w:rsidRPr="00283292" w:rsidRDefault="00023810" w:rsidP="00023810">
      <w:r w:rsidRPr="00023810">
        <w:t xml:space="preserve">Los resultados de la ejecución del FAFEF en el Estado se documentan a través de indicadores reportados en </w:t>
      </w:r>
      <w:r>
        <w:t>tres</w:t>
      </w:r>
      <w:r w:rsidRPr="00023810">
        <w:t xml:space="preserve"> fuentes de información; la primera, se refiere a los indicadores de la MIR Federal </w:t>
      </w:r>
      <w:r w:rsidR="00261E6E">
        <w:t xml:space="preserve">del </w:t>
      </w:r>
      <w:r w:rsidRPr="00023810">
        <w:t xml:space="preserve">FAFEF, registrados en el SRFT, los cuales dan cuenta de los resultados en términos de avance de recursos ejercidos, avance de metas, </w:t>
      </w:r>
      <w:r w:rsidR="002C65DA">
        <w:t xml:space="preserve">impulso al </w:t>
      </w:r>
      <w:r w:rsidRPr="00023810">
        <w:t>gasto de inversión, fortalecimiento financiero e impacto de la deuda</w:t>
      </w:r>
      <w:r w:rsidR="002C65DA">
        <w:t xml:space="preserve"> pública en las finanzas estatales</w:t>
      </w:r>
      <w:r w:rsidRPr="00023810">
        <w:t>. Si bien existe un mecanismo normado en los Lineamientos, la entidad federativa no cuenta con acuses o documentos que comprueben que registró la información en el SRFT.</w:t>
      </w:r>
      <w:r>
        <w:t xml:space="preserve"> La </w:t>
      </w:r>
      <w:r w:rsidRPr="00283292">
        <w:t>SHCP valida la información</w:t>
      </w:r>
      <w:r>
        <w:t xml:space="preserve"> reportada a través de este mecanismo</w:t>
      </w:r>
      <w:r w:rsidRPr="00283292">
        <w:t xml:space="preserve"> y emite el Índice de Calidad de la </w:t>
      </w:r>
      <w:r>
        <w:t>I</w:t>
      </w:r>
      <w:r w:rsidRPr="00283292">
        <w:t xml:space="preserve">nformación. Cabe destacar que para el año 2018 el </w:t>
      </w:r>
      <w:r w:rsidR="00D473BA">
        <w:t>E</w:t>
      </w:r>
      <w:r w:rsidRPr="00283292">
        <w:t xml:space="preserve">stado de Hidalgo ocupo el primer lugar en </w:t>
      </w:r>
      <w:r>
        <w:t>este</w:t>
      </w:r>
      <w:r w:rsidRPr="00283292">
        <w:t xml:space="preserve"> Índice</w:t>
      </w:r>
      <w:r w:rsidR="0002667D">
        <w:t>.</w:t>
      </w:r>
    </w:p>
    <w:p w14:paraId="58B44B6F" w14:textId="5681ACBC" w:rsidR="00EB1844" w:rsidRDefault="00261E6E" w:rsidP="00EB1844">
      <w:r>
        <w:t>L</w:t>
      </w:r>
      <w:r w:rsidR="00023810" w:rsidRPr="00023810">
        <w:t xml:space="preserve">a segunda fuente </w:t>
      </w:r>
      <w:r w:rsidR="002C65DA">
        <w:t xml:space="preserve">de </w:t>
      </w:r>
      <w:r w:rsidR="00023810" w:rsidRPr="00023810">
        <w:t xml:space="preserve">información, la cual es realizada por iniciativa del </w:t>
      </w:r>
      <w:r w:rsidR="00D473BA">
        <w:t>E</w:t>
      </w:r>
      <w:r w:rsidR="00023810" w:rsidRPr="00023810">
        <w:t>stado, se refiere a</w:t>
      </w:r>
      <w:r w:rsidR="00EB1844" w:rsidRPr="00283292">
        <w:t>l monitoreo de indicadores estatales</w:t>
      </w:r>
      <w:r w:rsidR="00023810">
        <w:t xml:space="preserve"> de los Pp</w:t>
      </w:r>
      <w:r w:rsidR="00EB1844" w:rsidRPr="00283292">
        <w:t xml:space="preserve">, </w:t>
      </w:r>
      <w:r w:rsidR="00EB7A07">
        <w:t xml:space="preserve">a través del SIIPPED, </w:t>
      </w:r>
      <w:r w:rsidR="00EB1844" w:rsidRPr="00283292">
        <w:t>es</w:t>
      </w:r>
      <w:r w:rsidR="00023810">
        <w:t>te es</w:t>
      </w:r>
      <w:r w:rsidR="00EB1844" w:rsidRPr="00283292">
        <w:t xml:space="preserve"> el medio para dar seguimiento al cumplimiento de las metas establecidas en los </w:t>
      </w:r>
      <w:r w:rsidR="0011048E">
        <w:t>Pp</w:t>
      </w:r>
      <w:r w:rsidR="00EB1844" w:rsidRPr="00283292">
        <w:t xml:space="preserve">: una vez autorizado el recurso, éste se liga con los objetivos, indicadores y metas establecidos en cada </w:t>
      </w:r>
      <w:r w:rsidR="0042339B">
        <w:rPr>
          <w:color w:val="000000" w:themeColor="text1"/>
        </w:rPr>
        <w:t>Pp</w:t>
      </w:r>
      <w:r w:rsidR="0042339B" w:rsidRPr="00283292">
        <w:t xml:space="preserve"> </w:t>
      </w:r>
      <w:r w:rsidR="00EB1844" w:rsidRPr="00283292">
        <w:t>y en sus M</w:t>
      </w:r>
      <w:r w:rsidR="0011048E">
        <w:t>IR</w:t>
      </w:r>
      <w:r w:rsidR="00EB1844" w:rsidRPr="00283292">
        <w:t>, a los cuales se da seguimiento mensual a su avance y los resultados son publicados trimestralmente en la página de la SFP</w:t>
      </w:r>
      <w:r w:rsidR="00EB1844" w:rsidRPr="003E47D1">
        <w:rPr>
          <w:vertAlign w:val="superscript"/>
        </w:rPr>
        <w:footnoteReference w:id="25"/>
      </w:r>
      <w:r w:rsidR="00EB1844" w:rsidRPr="003E47D1">
        <w:rPr>
          <w:vertAlign w:val="superscript"/>
        </w:rPr>
        <w:t>.</w:t>
      </w:r>
      <w:r w:rsidR="00EB1844" w:rsidRPr="00283292">
        <w:t xml:space="preserve"> Este proceso de seguimiento a los </w:t>
      </w:r>
      <w:r w:rsidR="00F053B3" w:rsidRPr="00283292">
        <w:t>resultados</w:t>
      </w:r>
      <w:r w:rsidR="00EB1844" w:rsidRPr="00283292">
        <w:t xml:space="preserve"> permite identificar las acciones que, en materia de planeación, se deberán emprender para atender las problemáticas de cada </w:t>
      </w:r>
      <w:r w:rsidR="00F62B09">
        <w:t>Pp</w:t>
      </w:r>
      <w:r w:rsidR="00EB1844" w:rsidRPr="00283292">
        <w:t>.</w:t>
      </w:r>
      <w:r w:rsidR="001D4781">
        <w:t xml:space="preserve"> </w:t>
      </w:r>
      <w:r w:rsidR="00EB1844" w:rsidRPr="00283292">
        <w:t>Adicionalmente, se realizan reuniones de seguimiento de manera coordinada entre la SFP y la Secretaría de Contraloría con instancias ejecutoras del gasto, para revisión del avance físico y financiero de cada obra y acción autorizada con recursos del FAFEF.</w:t>
      </w:r>
      <w:r w:rsidR="00EB7A07">
        <w:t xml:space="preserve"> Cabe mencionar </w:t>
      </w:r>
      <w:r w:rsidR="00B74A80">
        <w:t>que,</w:t>
      </w:r>
      <w:r w:rsidR="00EB7A07">
        <w:t xml:space="preserve"> m</w:t>
      </w:r>
      <w:r w:rsidR="00EB7A07" w:rsidRPr="00D74C88">
        <w:t>ediante la atención de los ASM</w:t>
      </w:r>
      <w:r w:rsidR="00B74A80">
        <w:t xml:space="preserve"> derivados de evaluaciones externas</w:t>
      </w:r>
      <w:r w:rsidR="00EB7A07" w:rsidRPr="00D74C88">
        <w:t xml:space="preserve">, se generó un apartado dentro del SIIPPED, que permitió integrar una MIR </w:t>
      </w:r>
      <w:r>
        <w:t xml:space="preserve">específica para </w:t>
      </w:r>
      <w:r w:rsidR="00EB7A07" w:rsidRPr="00D74C88">
        <w:t xml:space="preserve">el FAFEF y las Fichas Técnicas de los Indicadores, identificando y concentrando los </w:t>
      </w:r>
      <w:r w:rsidR="00A70A52">
        <w:t>C</w:t>
      </w:r>
      <w:r w:rsidR="00EB7A07" w:rsidRPr="00D74C88">
        <w:t xml:space="preserve">omponentes y </w:t>
      </w:r>
      <w:r w:rsidR="00A70A52">
        <w:t>A</w:t>
      </w:r>
      <w:r w:rsidR="00EB7A07" w:rsidRPr="00D74C88">
        <w:t xml:space="preserve">ctividades de diversos </w:t>
      </w:r>
      <w:r w:rsidR="0042339B">
        <w:rPr>
          <w:color w:val="000000" w:themeColor="text1"/>
        </w:rPr>
        <w:t>Pp</w:t>
      </w:r>
      <w:r w:rsidR="00EB7A07" w:rsidRPr="00D74C88">
        <w:t xml:space="preserve"> que son financiados con recursos del F</w:t>
      </w:r>
      <w:r w:rsidR="00B74A80">
        <w:t>ondo.</w:t>
      </w:r>
    </w:p>
    <w:p w14:paraId="0DC56D6A" w14:textId="2087B078" w:rsidR="00EB1844" w:rsidRDefault="00023810" w:rsidP="00EB1844">
      <w:r>
        <w:t>El tercer</w:t>
      </w:r>
      <w:r w:rsidR="00EB1844">
        <w:t xml:space="preserve"> mecanismo </w:t>
      </w:r>
      <w:r>
        <w:t xml:space="preserve">mediante el cual </w:t>
      </w:r>
      <w:r w:rsidR="00EB1844">
        <w:t>la entidad federativa da seguimiento a</w:t>
      </w:r>
      <w:r w:rsidR="00E51784">
        <w:t xml:space="preserve"> los resultados de</w:t>
      </w:r>
      <w:r w:rsidR="00EB1844">
        <w:t xml:space="preserve"> la ejecución del FAFEF son las evaluaciones externas, en </w:t>
      </w:r>
      <w:r w:rsidR="00261E6E">
        <w:t>esta materia</w:t>
      </w:r>
      <w:r w:rsidR="00EB1844">
        <w:t xml:space="preserve"> se han realizado al FA</w:t>
      </w:r>
      <w:r w:rsidR="00261E6E">
        <w:t>F</w:t>
      </w:r>
      <w:r w:rsidR="00EB1844">
        <w:t>EF tres evaluaciones específicas de desempeño en los ejercicios 2014, 2015 y 2018, las cuales han derivado en distintos ASM, que se institucionalizan mediante los Programas de Trabajo para la Atención de los ASM. De la evaluación 2014 derivaron las siguientes: 1) Realizar un documento metodológico que defina las poblaciones a nivel local, para determinar una estrategia de cobertura que permita monitorear de una manera más adecuada los alcances y objetivos del fondo; 2)</w:t>
      </w:r>
      <w:r w:rsidR="00EB1844" w:rsidRPr="001B5AF3">
        <w:t xml:space="preserve"> </w:t>
      </w:r>
      <w:r w:rsidR="00EB1844">
        <w:t xml:space="preserve">Realizar un documento metodológico que defina las poblaciones a nivel local, para determinar una estrategia de cobertura que permita monitorear de una manera más adecuada los alcances y objetivos del fondo; 3) Reportar las metas de cada uno de los indicadores obligatorios del FAFEF. Las recomendaciones de la evaluación 2015, </w:t>
      </w:r>
      <w:r w:rsidR="00261E6E">
        <w:t>generaron</w:t>
      </w:r>
      <w:r w:rsidR="00EB1844">
        <w:t xml:space="preserve"> los siguientes ASM: 1) Definir un responsable de administrar el Fondo, 2) Integrar MIR, 3) Integrar fichas técnicas de indicadores, 4) </w:t>
      </w:r>
      <w:r w:rsidR="00261E6E">
        <w:t xml:space="preserve">Definir y cuantificar </w:t>
      </w:r>
      <w:r w:rsidR="00EB1844">
        <w:t>la población potencial, objetivo</w:t>
      </w:r>
      <w:r w:rsidR="00261E6E">
        <w:t xml:space="preserve"> </w:t>
      </w:r>
      <w:r w:rsidR="00EB1844">
        <w:t>y atendida por el Fondo para cada instancia y definir los métodos de cálculo</w:t>
      </w:r>
      <w:r w:rsidR="00261E6E">
        <w:t xml:space="preserve">. </w:t>
      </w:r>
      <w:r w:rsidR="00EB1844">
        <w:t>De la evaluación realizada al FAFEF en 2018, se derivan las siguientes recomendaciones: 1) Elaborar un diagnóstico del FAFEF en Hidalgo que justifique la operación del Fondo y que contenga los elementos mínimos señalados por el CONEVAL; 2) Elaborar un mecanismo que permita dar a conocer el procedimiento para la autorización y ejercicio del Fondo; 3) Realizar una base de datos clara y precisa que contenga todas las obras y acciones realizadas con los recursos del Fondo, por monto, momentos contables, beneficiarios y área ejecutora.</w:t>
      </w:r>
      <w:r w:rsidR="00EB1844">
        <w:br w:type="page"/>
      </w:r>
    </w:p>
    <w:p w14:paraId="6A03210B" w14:textId="77777777" w:rsidR="00EB1844" w:rsidRPr="00D61DEB" w:rsidRDefault="00EB1844" w:rsidP="00EB1844">
      <w:pPr>
        <w:pStyle w:val="Ttulo2"/>
        <w:jc w:val="left"/>
        <w:rPr>
          <w:iCs/>
        </w:rPr>
      </w:pPr>
      <w:bookmarkStart w:id="73" w:name="_Toc56423707"/>
      <w:r w:rsidRPr="00D61DEB">
        <w:rPr>
          <w:iCs/>
        </w:rPr>
        <w:lastRenderedPageBreak/>
        <w:t>5.2 Obstáculos para la implementación</w:t>
      </w:r>
      <w:bookmarkEnd w:id="73"/>
    </w:p>
    <w:p w14:paraId="1517A347" w14:textId="77777777" w:rsidR="00EB1844" w:rsidRPr="00196215" w:rsidRDefault="00EB1844" w:rsidP="00EB1844">
      <w:pPr>
        <w:spacing w:before="0" w:after="0"/>
        <w:contextualSpacing/>
        <w:rPr>
          <w:rFonts w:cstheme="minorHAnsi"/>
          <w:b/>
        </w:rPr>
      </w:pPr>
      <w:r>
        <w:rPr>
          <w:rFonts w:cstheme="minorHAnsi"/>
          <w:b/>
        </w:rPr>
        <w:t xml:space="preserve">20. </w:t>
      </w:r>
      <w:r w:rsidRPr="00196215">
        <w:rPr>
          <w:rFonts w:cstheme="minorHAnsi"/>
          <w:b/>
        </w:rPr>
        <w:t>¿La configuración institucional y normativa del FAFEF contribuye al cumplimiento de objetivos estatales, a través de…</w:t>
      </w:r>
    </w:p>
    <w:p w14:paraId="46DF8D12" w14:textId="77777777" w:rsidR="00EB1844" w:rsidRPr="00290160" w:rsidRDefault="00EB1844" w:rsidP="00EB1844">
      <w:pPr>
        <w:pStyle w:val="Pregunta"/>
        <w:numPr>
          <w:ilvl w:val="0"/>
          <w:numId w:val="20"/>
        </w:numPr>
      </w:pPr>
      <w:r w:rsidRPr="00290160">
        <w:t>Fomentar una coordinación eficaz y continua entre la dependencia coordinadora y el gobierno de la entidad federativa;</w:t>
      </w:r>
    </w:p>
    <w:p w14:paraId="0933C0D0" w14:textId="77777777" w:rsidR="00EB1844" w:rsidRPr="00290160" w:rsidRDefault="00EB1844" w:rsidP="00EB1844">
      <w:pPr>
        <w:pStyle w:val="Pregunta"/>
        <w:numPr>
          <w:ilvl w:val="0"/>
          <w:numId w:val="20"/>
        </w:numPr>
      </w:pPr>
      <w:r w:rsidRPr="00290160">
        <w:t>Fomentar una coordinación eficaz y continua entre las dependencias o entidades responsables encargadas de ejecutar las políticas, programas y proyectos ejecutados con los recursos del FAFEF;</w:t>
      </w:r>
    </w:p>
    <w:p w14:paraId="217893CD" w14:textId="77777777" w:rsidR="00EB1844" w:rsidRPr="00290160" w:rsidRDefault="00EB1844" w:rsidP="00EB1844">
      <w:pPr>
        <w:pStyle w:val="Pregunta"/>
        <w:numPr>
          <w:ilvl w:val="0"/>
          <w:numId w:val="20"/>
        </w:numPr>
      </w:pPr>
      <w:r w:rsidRPr="00290160">
        <w:t>Destinar los recursos del Fondo en la atención de problemáticas locales prioritarias, siempre que se cumpla los objetivos del Fondo;</w:t>
      </w:r>
    </w:p>
    <w:p w14:paraId="29CAE7B5" w14:textId="77777777" w:rsidR="00EB1844" w:rsidRPr="00290160" w:rsidRDefault="00EB1844" w:rsidP="00EB1844">
      <w:pPr>
        <w:pStyle w:val="Pregunta"/>
        <w:numPr>
          <w:ilvl w:val="0"/>
          <w:numId w:val="20"/>
        </w:numPr>
        <w:spacing w:after="120"/>
        <w:ind w:left="714" w:hanging="357"/>
      </w:pPr>
      <w:r w:rsidRPr="00290160">
        <w:t>¿La imposibilidad de utilizar los recursos del Fondo para fines locales distintos a los objetivos del Fondo?</w:t>
      </w:r>
    </w:p>
    <w:p w14:paraId="6827C220" w14:textId="77777777" w:rsidR="00EB1844" w:rsidRPr="00290160" w:rsidRDefault="00EB1844" w:rsidP="00EB1844">
      <w:pPr>
        <w:rPr>
          <w:b/>
          <w:bCs/>
        </w:rPr>
      </w:pPr>
      <w:r w:rsidRPr="00290160">
        <w:rPr>
          <w:b/>
          <w:bCs/>
        </w:rPr>
        <w:t>No procede valoración cuantitativa.</w:t>
      </w:r>
    </w:p>
    <w:p w14:paraId="6FCCFA83" w14:textId="3281A9EE" w:rsidR="00EB1844" w:rsidRPr="00B71000" w:rsidRDefault="000333BE" w:rsidP="000333BE">
      <w:pPr>
        <w:pStyle w:val="Prrafodelista"/>
        <w:numPr>
          <w:ilvl w:val="0"/>
          <w:numId w:val="29"/>
        </w:numPr>
        <w:autoSpaceDE w:val="0"/>
        <w:autoSpaceDN w:val="0"/>
        <w:adjustRightInd w:val="0"/>
        <w:ind w:left="284" w:hanging="284"/>
        <w:contextualSpacing w:val="0"/>
        <w:rPr>
          <w:rFonts w:cstheme="minorHAnsi"/>
          <w:color w:val="000000" w:themeColor="text1"/>
        </w:rPr>
      </w:pPr>
      <w:r w:rsidRPr="00B71000">
        <w:rPr>
          <w:rFonts w:cstheme="minorHAnsi"/>
          <w:color w:val="000000" w:themeColor="text1"/>
        </w:rPr>
        <w:t>La configuración institucional y normativa establecida a nivel federal y estatal para la operación del FAFEF no se contrapone</w:t>
      </w:r>
      <w:r w:rsidR="00F9314F">
        <w:rPr>
          <w:rFonts w:cstheme="minorHAnsi"/>
          <w:color w:val="000000" w:themeColor="text1"/>
        </w:rPr>
        <w:t xml:space="preserve"> y </w:t>
      </w:r>
      <w:r w:rsidRPr="00B71000">
        <w:rPr>
          <w:rFonts w:cstheme="minorHAnsi"/>
          <w:color w:val="000000" w:themeColor="text1"/>
        </w:rPr>
        <w:t xml:space="preserve">si se complementa para contribuir a la atención de las problemáticas identificadas y enunciadas en los ejes de atención del PEDH 2016-2022. </w:t>
      </w:r>
      <w:r w:rsidR="00EB1844" w:rsidRPr="00B71000">
        <w:rPr>
          <w:rFonts w:cstheme="minorHAnsi"/>
          <w:color w:val="000000" w:themeColor="text1"/>
        </w:rPr>
        <w:t>Sin embargo, no se identificaron ejercicios para fomentar una coordinación eficaz y continua entre la dependencia coordinadora</w:t>
      </w:r>
      <w:r w:rsidR="00F9314F">
        <w:rPr>
          <w:rFonts w:cstheme="minorHAnsi"/>
          <w:color w:val="000000" w:themeColor="text1"/>
        </w:rPr>
        <w:t xml:space="preserve"> (DGPyP “A”)</w:t>
      </w:r>
      <w:r w:rsidR="00EB1844" w:rsidRPr="00B71000">
        <w:rPr>
          <w:rFonts w:cstheme="minorHAnsi"/>
          <w:color w:val="000000" w:themeColor="text1"/>
        </w:rPr>
        <w:t xml:space="preserve"> y el gobierno de la entidad federativa, ya que la única coordinación que se percibe es para dispersar los pagos mensuales.</w:t>
      </w:r>
    </w:p>
    <w:p w14:paraId="25B3554C" w14:textId="5BF854ED" w:rsidR="00EB1844" w:rsidRPr="00B71000" w:rsidRDefault="00EB1844" w:rsidP="00EB1844">
      <w:pPr>
        <w:pStyle w:val="Prrafodelista"/>
        <w:numPr>
          <w:ilvl w:val="0"/>
          <w:numId w:val="29"/>
        </w:numPr>
        <w:autoSpaceDE w:val="0"/>
        <w:autoSpaceDN w:val="0"/>
        <w:adjustRightInd w:val="0"/>
        <w:ind w:left="284" w:hanging="284"/>
        <w:contextualSpacing w:val="0"/>
        <w:rPr>
          <w:rFonts w:cstheme="minorHAnsi"/>
          <w:color w:val="000000" w:themeColor="text1"/>
        </w:rPr>
      </w:pPr>
      <w:r w:rsidRPr="00B71000">
        <w:rPr>
          <w:rFonts w:cstheme="minorHAnsi"/>
          <w:color w:val="000000" w:themeColor="text1"/>
        </w:rPr>
        <w:t>La SFP, a través de las diferentes áreas que la integran, es la responsable de administrar los recursos del FAFEF, entendida esta administración como el registro de ministraciones, la programación, presupuestación y autorización de recursos, monitoreo de indicadores, el seguimiento al ejercicio de los recursos hasta el cierre contable, apegándose a lineamientos y normatividad federal y estatal considerados para operar el FAFEF. De acuerdo con esto, se asume que existe una adecuada coordinación entre la dependencia y las áreas responsables y/o encargadas de ejecutar proyectos de inversión que cumplen con un dictamen favorable respecto de su factibilidad.</w:t>
      </w:r>
    </w:p>
    <w:p w14:paraId="6BDC190D" w14:textId="697719CD" w:rsidR="00EB1844" w:rsidRPr="00B71000" w:rsidRDefault="00EB1844" w:rsidP="00EB1844">
      <w:pPr>
        <w:pStyle w:val="Prrafodelista"/>
        <w:numPr>
          <w:ilvl w:val="0"/>
          <w:numId w:val="29"/>
        </w:numPr>
        <w:autoSpaceDE w:val="0"/>
        <w:autoSpaceDN w:val="0"/>
        <w:adjustRightInd w:val="0"/>
        <w:ind w:left="284" w:hanging="284"/>
        <w:contextualSpacing w:val="0"/>
        <w:rPr>
          <w:rFonts w:cstheme="minorHAnsi"/>
          <w:color w:val="000000" w:themeColor="text1"/>
        </w:rPr>
      </w:pPr>
      <w:bookmarkStart w:id="74" w:name="_Hlk53750245"/>
      <w:r w:rsidRPr="00B71000">
        <w:rPr>
          <w:rFonts w:cstheme="minorHAnsi"/>
          <w:color w:val="000000" w:themeColor="text1"/>
        </w:rPr>
        <w:t xml:space="preserve">En el proceso de planeación sobre la aplicación de los recursos de FAFEF, participan los sectores social y privado a través del COPLADEHI, en el cual operan </w:t>
      </w:r>
      <w:r w:rsidR="002453E2">
        <w:rPr>
          <w:rFonts w:cstheme="minorHAnsi"/>
          <w:color w:val="000000" w:themeColor="text1"/>
        </w:rPr>
        <w:t xml:space="preserve">el </w:t>
      </w:r>
      <w:r w:rsidRPr="00B71000">
        <w:rPr>
          <w:rFonts w:cstheme="minorHAnsi"/>
          <w:color w:val="000000" w:themeColor="text1"/>
        </w:rPr>
        <w:t>COPLADER y</w:t>
      </w:r>
      <w:r w:rsidR="002453E2">
        <w:rPr>
          <w:rFonts w:cstheme="minorHAnsi"/>
          <w:color w:val="000000" w:themeColor="text1"/>
        </w:rPr>
        <w:t xml:space="preserve"> el</w:t>
      </w:r>
      <w:r w:rsidRPr="00B71000">
        <w:rPr>
          <w:rFonts w:cstheme="minorHAnsi"/>
          <w:color w:val="000000" w:themeColor="text1"/>
        </w:rPr>
        <w:t xml:space="preserve"> COPLADEM. Los Comités de Planeación y los Subcomités se encargan de coordinar cada una de las funciones sustantivas del Gobierno del Estado, como lo es el Subcomité de Obras Públicas, considerando los aspectos económicos, políticos, territoriales, sociales, culturales y ambientales necesarios para concretar el desarrollo de proyectos y acciones estratégicas, en congruencia con la Planeación para el Desarrollo Nacional y Estatal. </w:t>
      </w:r>
      <w:r w:rsidR="002453E2">
        <w:rPr>
          <w:rFonts w:cstheme="minorHAnsi"/>
          <w:color w:val="000000" w:themeColor="text1"/>
        </w:rPr>
        <w:t>Asimismo</w:t>
      </w:r>
      <w:r w:rsidR="00E03EDD">
        <w:rPr>
          <w:rFonts w:cstheme="minorHAnsi"/>
          <w:color w:val="000000" w:themeColor="text1"/>
        </w:rPr>
        <w:t>,</w:t>
      </w:r>
      <w:r w:rsidR="002453E2">
        <w:rPr>
          <w:rFonts w:cstheme="minorHAnsi"/>
          <w:color w:val="000000" w:themeColor="text1"/>
        </w:rPr>
        <w:t xml:space="preserve"> para la integración de los recursos del FAFEF en el </w:t>
      </w:r>
      <w:r w:rsidR="002453E2" w:rsidRPr="00B71000">
        <w:rPr>
          <w:rFonts w:cstheme="minorHAnsi"/>
          <w:color w:val="000000" w:themeColor="text1"/>
        </w:rPr>
        <w:t xml:space="preserve">Proyecto de Presupuesto de Egresos del Estado </w:t>
      </w:r>
      <w:r w:rsidR="002453E2">
        <w:rPr>
          <w:rFonts w:cstheme="minorHAnsi"/>
          <w:color w:val="000000" w:themeColor="text1"/>
        </w:rPr>
        <w:t xml:space="preserve">se realizan </w:t>
      </w:r>
      <w:r w:rsidRPr="00B71000">
        <w:rPr>
          <w:rFonts w:cstheme="minorHAnsi"/>
          <w:color w:val="000000" w:themeColor="text1"/>
        </w:rPr>
        <w:t xml:space="preserve">mesas de trabajo celebradas </w:t>
      </w:r>
      <w:r w:rsidR="002453E2">
        <w:rPr>
          <w:rFonts w:cstheme="minorHAnsi"/>
          <w:color w:val="000000" w:themeColor="text1"/>
        </w:rPr>
        <w:t xml:space="preserve">entre la SFP, COPLADEHI y </w:t>
      </w:r>
      <w:r w:rsidRPr="00B71000">
        <w:rPr>
          <w:rFonts w:cstheme="minorHAnsi"/>
          <w:color w:val="000000" w:themeColor="text1"/>
        </w:rPr>
        <w:t>las instancias ejecutoras de los proyectos de inversión.</w:t>
      </w:r>
    </w:p>
    <w:p w14:paraId="75B9FCC2" w14:textId="0D400A3E" w:rsidR="00EB1844" w:rsidRPr="00B71000" w:rsidRDefault="00EB1844" w:rsidP="00EB1844">
      <w:pPr>
        <w:pStyle w:val="Prrafodelista"/>
        <w:numPr>
          <w:ilvl w:val="0"/>
          <w:numId w:val="29"/>
        </w:numPr>
        <w:autoSpaceDE w:val="0"/>
        <w:autoSpaceDN w:val="0"/>
        <w:adjustRightInd w:val="0"/>
        <w:ind w:left="284" w:hanging="284"/>
        <w:contextualSpacing w:val="0"/>
      </w:pPr>
      <w:r w:rsidRPr="00B71000">
        <w:rPr>
          <w:rFonts w:cstheme="minorHAnsi"/>
          <w:color w:val="000000" w:themeColor="text1"/>
        </w:rPr>
        <w:t>Mediante</w:t>
      </w:r>
      <w:r w:rsidR="009023EB" w:rsidRPr="00B71000">
        <w:rPr>
          <w:rFonts w:cstheme="minorHAnsi"/>
          <w:color w:val="000000" w:themeColor="text1"/>
        </w:rPr>
        <w:t xml:space="preserve"> el proceso mencionado en el inciso anterior</w:t>
      </w:r>
      <w:r w:rsidRPr="00B71000">
        <w:rPr>
          <w:rFonts w:cstheme="minorHAnsi"/>
          <w:color w:val="000000" w:themeColor="text1"/>
        </w:rPr>
        <w:t>, se limita la posibilidad de utilizar los recursos del Fondo para fines locales distintos a los objetivos definidos en el instrumento rector del PEDH 2016-2022, en el cual se elaboran y conducen las estrategias para el desarrollo en el ámbito estatal, regional y municipal</w:t>
      </w:r>
      <w:r w:rsidR="009023EB" w:rsidRPr="00B71000">
        <w:rPr>
          <w:rFonts w:cstheme="minorHAnsi"/>
          <w:color w:val="000000" w:themeColor="text1"/>
        </w:rPr>
        <w:t>, así como también se considera que la aplicación de los recursos del FAFEF se dé en los Pp que tengan vinculación con los rubros de gasto permitidos en la LCF, lo cual también es verificado y supervisado por la ASF, mediante las auditorías practicadas al ejercicio del Fondo</w:t>
      </w:r>
      <w:r w:rsidRPr="00B71000">
        <w:rPr>
          <w:rFonts w:cstheme="minorHAnsi"/>
          <w:color w:val="000000" w:themeColor="text1"/>
        </w:rPr>
        <w:t xml:space="preserve">. </w:t>
      </w:r>
      <w:bookmarkEnd w:id="74"/>
    </w:p>
    <w:p w14:paraId="4FCB2F8B" w14:textId="17774463" w:rsidR="00A40382" w:rsidRDefault="00A40382" w:rsidP="00F94D5B">
      <w:pPr>
        <w:spacing w:before="0" w:after="160" w:line="259" w:lineRule="auto"/>
        <w:rPr>
          <w:highlight w:val="yellow"/>
        </w:rPr>
      </w:pPr>
      <w:r>
        <w:rPr>
          <w:rFonts w:eastAsia="Times New Roman" w:cstheme="minorHAnsi"/>
          <w:color w:val="000000"/>
          <w:sz w:val="20"/>
          <w:szCs w:val="20"/>
          <w:lang w:eastAsia="es-MX"/>
        </w:rPr>
        <w:t>Con la finalidad de f</w:t>
      </w:r>
      <w:r w:rsidRPr="0048441F">
        <w:rPr>
          <w:rFonts w:eastAsia="Times New Roman" w:cstheme="minorHAnsi"/>
          <w:color w:val="000000"/>
          <w:sz w:val="20"/>
          <w:szCs w:val="20"/>
          <w:lang w:eastAsia="es-MX"/>
        </w:rPr>
        <w:t xml:space="preserve">ortalecer la coordinación entre las unidades responsables de planeación, programación, presupuestación, ejercicio y seguimiento del FAFEF en la entidad, </w:t>
      </w:r>
      <w:r w:rsidR="003A4A77">
        <w:rPr>
          <w:rFonts w:eastAsia="Times New Roman" w:cstheme="minorHAnsi"/>
          <w:color w:val="000000"/>
          <w:sz w:val="20"/>
          <w:szCs w:val="20"/>
          <w:lang w:eastAsia="es-MX"/>
        </w:rPr>
        <w:t>se sugiere el</w:t>
      </w:r>
      <w:r>
        <w:rPr>
          <w:rFonts w:eastAsia="Times New Roman" w:cstheme="minorHAnsi"/>
          <w:color w:val="000000"/>
          <w:sz w:val="20"/>
          <w:szCs w:val="20"/>
          <w:lang w:eastAsia="es-MX"/>
        </w:rPr>
        <w:t xml:space="preserve"> establecimiento de funciones en el</w:t>
      </w:r>
      <w:r w:rsidRPr="0048441F">
        <w:rPr>
          <w:rFonts w:eastAsia="Times New Roman" w:cstheme="minorHAnsi"/>
          <w:color w:val="000000"/>
          <w:sz w:val="20"/>
          <w:szCs w:val="20"/>
          <w:lang w:eastAsia="es-MX"/>
        </w:rPr>
        <w:t xml:space="preserve"> manual de procedimientos </w:t>
      </w:r>
      <w:r>
        <w:rPr>
          <w:rFonts w:eastAsia="Times New Roman" w:cstheme="minorHAnsi"/>
          <w:color w:val="000000"/>
          <w:sz w:val="20"/>
          <w:szCs w:val="20"/>
          <w:lang w:eastAsia="es-MX"/>
        </w:rPr>
        <w:t>sugerido anteriormente.</w:t>
      </w:r>
    </w:p>
    <w:p w14:paraId="7B229430" w14:textId="3DC0F135" w:rsidR="00EB1844" w:rsidRDefault="00EB1844" w:rsidP="00F94D5B">
      <w:pPr>
        <w:spacing w:before="0" w:after="160" w:line="259" w:lineRule="auto"/>
      </w:pPr>
      <w:r>
        <w:br w:type="page"/>
      </w:r>
    </w:p>
    <w:p w14:paraId="789BDD0F" w14:textId="77777777" w:rsidR="00EB1844" w:rsidRDefault="00EB1844" w:rsidP="00EB1844">
      <w:pPr>
        <w:pStyle w:val="Ttulo1"/>
      </w:pPr>
      <w:bookmarkStart w:id="75" w:name="_Toc56423708"/>
      <w:r>
        <w:lastRenderedPageBreak/>
        <w:t xml:space="preserve">VIII. </w:t>
      </w:r>
      <w:r w:rsidRPr="00AD5152">
        <w:t>Módulo 6. Complementariedades y coincidencias</w:t>
      </w:r>
      <w:bookmarkEnd w:id="75"/>
    </w:p>
    <w:p w14:paraId="0E7C90BF" w14:textId="77777777" w:rsidR="00EB1844" w:rsidRPr="00B90014" w:rsidRDefault="00EB1844" w:rsidP="00EB1844">
      <w:pPr>
        <w:spacing w:before="0"/>
        <w:rPr>
          <w:rFonts w:cstheme="minorHAnsi"/>
          <w:b/>
        </w:rPr>
      </w:pPr>
      <w:r>
        <w:rPr>
          <w:rFonts w:cstheme="minorHAnsi"/>
          <w:b/>
        </w:rPr>
        <w:t xml:space="preserve">21. </w:t>
      </w:r>
      <w:r w:rsidRPr="00B90014">
        <w:rPr>
          <w:rFonts w:cstheme="minorHAnsi"/>
          <w:b/>
        </w:rPr>
        <w:t>¿Con cuáles políticas, programas o proyectos locales</w:t>
      </w:r>
      <w:r w:rsidRPr="00B90014" w:rsidDel="008F53C7">
        <w:rPr>
          <w:rFonts w:cstheme="minorHAnsi"/>
          <w:b/>
        </w:rPr>
        <w:t xml:space="preserve"> </w:t>
      </w:r>
      <w:r w:rsidRPr="00B90014">
        <w:rPr>
          <w:rFonts w:cstheme="minorHAnsi"/>
          <w:b/>
        </w:rPr>
        <w:t>(incluyendo aquellos con elementos de gasto federalizado) el FAFEF podría tener complementariedad o coincidencias?</w:t>
      </w:r>
    </w:p>
    <w:p w14:paraId="5BC9B272" w14:textId="77777777" w:rsidR="00EB1844" w:rsidRPr="0074729E" w:rsidRDefault="00EB1844" w:rsidP="00EB1844">
      <w:pPr>
        <w:rPr>
          <w:b/>
          <w:bCs/>
        </w:rPr>
      </w:pPr>
      <w:r w:rsidRPr="0074729E">
        <w:rPr>
          <w:b/>
          <w:bCs/>
        </w:rPr>
        <w:t>No procede valoración cuantitativa.</w:t>
      </w:r>
    </w:p>
    <w:p w14:paraId="63CFAF0E" w14:textId="0636227E" w:rsidR="00EB1844" w:rsidRDefault="00EB1844" w:rsidP="00EB1844">
      <w:pPr>
        <w:autoSpaceDE w:val="0"/>
        <w:autoSpaceDN w:val="0"/>
        <w:adjustRightInd w:val="0"/>
        <w:rPr>
          <w:rFonts w:cstheme="minorHAnsi"/>
          <w:color w:val="000000" w:themeColor="text1"/>
          <w:vertAlign w:val="superscript"/>
        </w:rPr>
      </w:pPr>
      <w:r w:rsidRPr="002C7047">
        <w:rPr>
          <w:rFonts w:cstheme="minorHAnsi"/>
          <w:color w:val="000000" w:themeColor="text1"/>
        </w:rPr>
        <w:t xml:space="preserve">Según las definiciones del CONEVAL se entiende como coincidencia entre dos o más programas cuando sus objetivos son similares; o bien cuando sus </w:t>
      </w:r>
      <w:r w:rsidR="00A70A52">
        <w:rPr>
          <w:rFonts w:cstheme="minorHAnsi"/>
          <w:color w:val="000000" w:themeColor="text1"/>
        </w:rPr>
        <w:t>C</w:t>
      </w:r>
      <w:r w:rsidRPr="002C7047">
        <w:rPr>
          <w:rFonts w:cstheme="minorHAnsi"/>
          <w:color w:val="000000" w:themeColor="text1"/>
        </w:rPr>
        <w:t xml:space="preserve">omponentes son similares o iguales, pero atienden a la misma población y, complementariedad cuando dos o más programa atienden a la misma población, pero los apoyos son diferentes; o bien cuando sus </w:t>
      </w:r>
      <w:r w:rsidR="00A70A52">
        <w:rPr>
          <w:rFonts w:cstheme="minorHAnsi"/>
          <w:color w:val="000000" w:themeColor="text1"/>
        </w:rPr>
        <w:t>C</w:t>
      </w:r>
      <w:r w:rsidRPr="002C7047">
        <w:rPr>
          <w:rFonts w:cstheme="minorHAnsi"/>
          <w:color w:val="000000" w:themeColor="text1"/>
        </w:rPr>
        <w:t>omponentes son similares o iguales, pero atienden a diferente población</w:t>
      </w:r>
      <w:r w:rsidRPr="002C7047">
        <w:rPr>
          <w:rFonts w:cstheme="minorHAnsi"/>
          <w:color w:val="000000" w:themeColor="text1"/>
          <w:vertAlign w:val="superscript"/>
        </w:rPr>
        <w:footnoteReference w:id="26"/>
      </w:r>
      <w:r w:rsidRPr="002C7047">
        <w:rPr>
          <w:rFonts w:cstheme="minorHAnsi"/>
          <w:color w:val="000000" w:themeColor="text1"/>
          <w:vertAlign w:val="superscript"/>
        </w:rPr>
        <w:t>.</w:t>
      </w:r>
    </w:p>
    <w:p w14:paraId="6E823C17" w14:textId="1EBBEE48" w:rsidR="00EB1844" w:rsidRPr="00E46FDA" w:rsidRDefault="00EB1844" w:rsidP="00EB1844">
      <w:pPr>
        <w:autoSpaceDE w:val="0"/>
        <w:autoSpaceDN w:val="0"/>
        <w:adjustRightInd w:val="0"/>
        <w:rPr>
          <w:rFonts w:cstheme="minorHAnsi"/>
          <w:color w:val="000000" w:themeColor="text1"/>
        </w:rPr>
      </w:pPr>
      <w:r w:rsidRPr="00E46FDA">
        <w:rPr>
          <w:rFonts w:cstheme="minorHAnsi"/>
          <w:color w:val="000000" w:themeColor="text1"/>
        </w:rPr>
        <w:t xml:space="preserve">Los principales operadores del FAFEF al interior del Estado de Hidalgo, han identificado que para el ejercicio fiscal 2018, el Fondo se </w:t>
      </w:r>
      <w:r w:rsidRPr="00BD5728">
        <w:rPr>
          <w:rFonts w:cstheme="minorHAnsi"/>
          <w:color w:val="000000" w:themeColor="text1"/>
        </w:rPr>
        <w:t xml:space="preserve">complementa con los con </w:t>
      </w:r>
      <w:r w:rsidRPr="00E46FDA">
        <w:rPr>
          <w:rFonts w:cstheme="minorHAnsi"/>
          <w:color w:val="000000" w:themeColor="text1"/>
        </w:rPr>
        <w:t xml:space="preserve">los </w:t>
      </w:r>
      <w:r>
        <w:rPr>
          <w:rFonts w:cstheme="minorHAnsi"/>
          <w:color w:val="000000" w:themeColor="text1"/>
        </w:rPr>
        <w:t>Pp</w:t>
      </w:r>
      <w:r w:rsidRPr="00E46FDA">
        <w:rPr>
          <w:rFonts w:cstheme="minorHAnsi"/>
          <w:color w:val="000000" w:themeColor="text1"/>
        </w:rPr>
        <w:t xml:space="preserve"> del Estado</w:t>
      </w:r>
      <w:r w:rsidR="007A6A2B">
        <w:rPr>
          <w:rFonts w:cstheme="minorHAnsi"/>
          <w:color w:val="000000" w:themeColor="text1"/>
        </w:rPr>
        <w:t xml:space="preserve"> que se presentan en el Cuadro </w:t>
      </w:r>
      <w:r w:rsidR="00A82DA8" w:rsidRPr="005E1463">
        <w:rPr>
          <w:rFonts w:cstheme="minorHAnsi"/>
          <w:color w:val="000000" w:themeColor="text1"/>
        </w:rPr>
        <w:t>8.</w:t>
      </w:r>
    </w:p>
    <w:p w14:paraId="384572BE" w14:textId="33A9A995" w:rsidR="00EB1844" w:rsidRPr="00E46FDA" w:rsidRDefault="00EB1844" w:rsidP="00EB1844">
      <w:pPr>
        <w:autoSpaceDE w:val="0"/>
        <w:autoSpaceDN w:val="0"/>
        <w:adjustRightInd w:val="0"/>
        <w:rPr>
          <w:rFonts w:cstheme="minorHAnsi"/>
          <w:color w:val="000000" w:themeColor="text1"/>
        </w:rPr>
      </w:pPr>
      <w:r w:rsidRPr="00E46FDA">
        <w:rPr>
          <w:rFonts w:cstheme="minorHAnsi"/>
          <w:color w:val="000000" w:themeColor="text1"/>
        </w:rPr>
        <w:t>La complementariedad que existe con estos</w:t>
      </w:r>
      <w:r>
        <w:rPr>
          <w:rFonts w:cstheme="minorHAnsi"/>
          <w:color w:val="000000" w:themeColor="text1"/>
        </w:rPr>
        <w:t xml:space="preserve"> Pp</w:t>
      </w:r>
      <w:r w:rsidR="007D102E">
        <w:rPr>
          <w:rFonts w:cstheme="minorHAnsi"/>
          <w:color w:val="000000" w:themeColor="text1"/>
        </w:rPr>
        <w:t xml:space="preserve"> en el ejercicio 2018</w:t>
      </w:r>
      <w:r w:rsidRPr="00E46FDA">
        <w:rPr>
          <w:rFonts w:cstheme="minorHAnsi"/>
          <w:color w:val="000000" w:themeColor="text1"/>
        </w:rPr>
        <w:t xml:space="preserve">, es para llevar a cabo la implementación de obra pública a nivel estatal y municipal con los recursos del Fondo. Es fundamental destacar que, de acuerdo a la naturaleza del Fondo, este puede tener relación y vinculación con cualquier otro </w:t>
      </w:r>
      <w:r w:rsidR="00F62B09">
        <w:rPr>
          <w:rFonts w:cstheme="minorHAnsi"/>
          <w:color w:val="000000" w:themeColor="text1"/>
        </w:rPr>
        <w:t>Pp</w:t>
      </w:r>
      <w:r w:rsidRPr="00E46FDA">
        <w:rPr>
          <w:rFonts w:cstheme="minorHAnsi"/>
          <w:color w:val="000000" w:themeColor="text1"/>
        </w:rPr>
        <w:t xml:space="preserve">, que </w:t>
      </w:r>
      <w:r w:rsidR="00B71000" w:rsidRPr="00E46FDA">
        <w:rPr>
          <w:rFonts w:cstheme="minorHAnsi"/>
          <w:color w:val="000000" w:themeColor="text1"/>
        </w:rPr>
        <w:t>esté</w:t>
      </w:r>
      <w:r w:rsidR="00B71000">
        <w:rPr>
          <w:rFonts w:cstheme="minorHAnsi"/>
          <w:color w:val="000000" w:themeColor="text1"/>
        </w:rPr>
        <w:t>n</w:t>
      </w:r>
      <w:r w:rsidRPr="00E46FDA">
        <w:rPr>
          <w:rFonts w:cstheme="minorHAnsi"/>
          <w:color w:val="000000" w:themeColor="text1"/>
        </w:rPr>
        <w:t xml:space="preserve"> sujeto</w:t>
      </w:r>
      <w:r w:rsidR="00B71000">
        <w:rPr>
          <w:rFonts w:cstheme="minorHAnsi"/>
          <w:color w:val="000000" w:themeColor="text1"/>
        </w:rPr>
        <w:t xml:space="preserve">s </w:t>
      </w:r>
      <w:r w:rsidRPr="00E46FDA">
        <w:rPr>
          <w:rFonts w:cstheme="minorHAnsi"/>
          <w:color w:val="000000" w:themeColor="text1"/>
        </w:rPr>
        <w:t>a la programación de obras</w:t>
      </w:r>
      <w:r w:rsidR="007D102E">
        <w:rPr>
          <w:rFonts w:cstheme="minorHAnsi"/>
          <w:color w:val="000000" w:themeColor="text1"/>
        </w:rPr>
        <w:t xml:space="preserve"> de infraestructura</w:t>
      </w:r>
      <w:r w:rsidRPr="00E46FDA">
        <w:rPr>
          <w:rFonts w:cstheme="minorHAnsi"/>
          <w:color w:val="000000" w:themeColor="text1"/>
        </w:rPr>
        <w:t xml:space="preserve"> y</w:t>
      </w:r>
      <w:r w:rsidR="00B71000">
        <w:rPr>
          <w:rFonts w:cstheme="minorHAnsi"/>
          <w:color w:val="000000" w:themeColor="text1"/>
        </w:rPr>
        <w:t>/o</w:t>
      </w:r>
      <w:r w:rsidRPr="00E46FDA">
        <w:rPr>
          <w:rFonts w:cstheme="minorHAnsi"/>
          <w:color w:val="000000" w:themeColor="text1"/>
        </w:rPr>
        <w:t xml:space="preserve"> acciones a realizar del ejercicio fiscal correspondiente.</w:t>
      </w:r>
    </w:p>
    <w:p w14:paraId="5B4FA64F" w14:textId="25619A94" w:rsidR="00EB1844" w:rsidRDefault="00EB1844" w:rsidP="00EB1844">
      <w:pPr>
        <w:pStyle w:val="Cuadro"/>
        <w:rPr>
          <w:rFonts w:cstheme="minorHAnsi"/>
          <w:color w:val="000000" w:themeColor="text1"/>
        </w:rPr>
      </w:pPr>
      <w:bookmarkStart w:id="76" w:name="_Toc56741061"/>
      <w:r>
        <w:rPr>
          <w:rFonts w:cstheme="minorHAnsi"/>
          <w:color w:val="000000" w:themeColor="text1"/>
        </w:rPr>
        <w:t xml:space="preserve">Cuadro </w:t>
      </w:r>
      <w:r w:rsidR="00A82DA8">
        <w:rPr>
          <w:rFonts w:cstheme="minorHAnsi"/>
          <w:color w:val="000000" w:themeColor="text1"/>
        </w:rPr>
        <w:t>8</w:t>
      </w:r>
      <w:r>
        <w:rPr>
          <w:rFonts w:cstheme="minorHAnsi"/>
          <w:color w:val="000000" w:themeColor="text1"/>
        </w:rPr>
        <w:t xml:space="preserve">. </w:t>
      </w:r>
      <w:r>
        <w:t>Análisis de complementariedades y coincidencias con programas o proyectos locales</w:t>
      </w:r>
      <w:bookmarkEnd w:id="76"/>
    </w:p>
    <w:tbl>
      <w:tblPr>
        <w:tblStyle w:val="Tablaconcuadrcula6"/>
        <w:tblW w:w="0" w:type="auto"/>
        <w:tblLook w:val="04A0" w:firstRow="1" w:lastRow="0" w:firstColumn="1" w:lastColumn="0" w:noHBand="0" w:noVBand="1"/>
      </w:tblPr>
      <w:tblGrid>
        <w:gridCol w:w="1696"/>
        <w:gridCol w:w="1701"/>
        <w:gridCol w:w="2977"/>
        <w:gridCol w:w="1595"/>
        <w:gridCol w:w="1993"/>
      </w:tblGrid>
      <w:tr w:rsidR="00EB1844" w:rsidRPr="00563A52" w14:paraId="51C1853A" w14:textId="77777777" w:rsidTr="00927B4B">
        <w:trPr>
          <w:trHeight w:val="441"/>
          <w:tblHeader/>
        </w:trPr>
        <w:tc>
          <w:tcPr>
            <w:tcW w:w="1696" w:type="dxa"/>
            <w:shd w:val="clear" w:color="auto" w:fill="9CC2E5"/>
          </w:tcPr>
          <w:p w14:paraId="19AC02E3" w14:textId="77777777" w:rsidR="00EB1844" w:rsidRPr="00563A52" w:rsidRDefault="00EB1844" w:rsidP="00927B4B">
            <w:pPr>
              <w:spacing w:before="0" w:after="0"/>
              <w:jc w:val="center"/>
              <w:rPr>
                <w:rFonts w:cstheme="minorHAnsi"/>
                <w:b/>
                <w:bCs/>
                <w:sz w:val="20"/>
                <w:szCs w:val="20"/>
              </w:rPr>
            </w:pPr>
            <w:r w:rsidRPr="00563A52">
              <w:rPr>
                <w:rFonts w:cstheme="minorHAnsi"/>
                <w:b/>
                <w:bCs/>
                <w:sz w:val="20"/>
                <w:szCs w:val="20"/>
              </w:rPr>
              <w:t>Programas Presupuestarios</w:t>
            </w:r>
          </w:p>
        </w:tc>
        <w:tc>
          <w:tcPr>
            <w:tcW w:w="1701" w:type="dxa"/>
            <w:shd w:val="clear" w:color="auto" w:fill="9CC2E5"/>
          </w:tcPr>
          <w:p w14:paraId="76F77E4D" w14:textId="77777777" w:rsidR="00EB1844" w:rsidRPr="00563A52" w:rsidRDefault="00EB1844" w:rsidP="00927B4B">
            <w:pPr>
              <w:spacing w:before="0" w:after="0"/>
              <w:jc w:val="center"/>
              <w:rPr>
                <w:rFonts w:cstheme="minorHAnsi"/>
                <w:b/>
                <w:bCs/>
                <w:sz w:val="20"/>
                <w:szCs w:val="20"/>
              </w:rPr>
            </w:pPr>
            <w:r w:rsidRPr="00563A52">
              <w:rPr>
                <w:rFonts w:cstheme="minorHAnsi"/>
                <w:b/>
                <w:bCs/>
                <w:sz w:val="20"/>
                <w:szCs w:val="20"/>
              </w:rPr>
              <w:t>Se complementa y/o coincide</w:t>
            </w:r>
          </w:p>
        </w:tc>
        <w:tc>
          <w:tcPr>
            <w:tcW w:w="2977" w:type="dxa"/>
            <w:shd w:val="clear" w:color="auto" w:fill="9CC2E5"/>
          </w:tcPr>
          <w:p w14:paraId="0FB546E3" w14:textId="77777777" w:rsidR="00EB1844" w:rsidRPr="00563A52" w:rsidRDefault="00EB1844" w:rsidP="00927B4B">
            <w:pPr>
              <w:spacing w:before="0" w:after="0"/>
              <w:jc w:val="center"/>
              <w:rPr>
                <w:rFonts w:cstheme="minorHAnsi"/>
                <w:b/>
                <w:bCs/>
                <w:sz w:val="20"/>
                <w:szCs w:val="20"/>
              </w:rPr>
            </w:pPr>
            <w:r w:rsidRPr="00563A52">
              <w:rPr>
                <w:rFonts w:cstheme="minorHAnsi"/>
                <w:b/>
                <w:bCs/>
                <w:sz w:val="20"/>
                <w:szCs w:val="20"/>
              </w:rPr>
              <w:t>¿En qué objetivos?</w:t>
            </w:r>
          </w:p>
        </w:tc>
        <w:tc>
          <w:tcPr>
            <w:tcW w:w="1595" w:type="dxa"/>
            <w:shd w:val="clear" w:color="auto" w:fill="9CC2E5"/>
          </w:tcPr>
          <w:p w14:paraId="386D3022" w14:textId="77777777" w:rsidR="00EB1844" w:rsidRPr="00563A52" w:rsidRDefault="00EB1844" w:rsidP="00927B4B">
            <w:pPr>
              <w:spacing w:before="0" w:after="0"/>
              <w:jc w:val="center"/>
              <w:rPr>
                <w:rFonts w:cstheme="minorHAnsi"/>
                <w:b/>
                <w:bCs/>
                <w:sz w:val="20"/>
                <w:szCs w:val="20"/>
              </w:rPr>
            </w:pPr>
            <w:r w:rsidRPr="00563A52">
              <w:rPr>
                <w:rFonts w:cstheme="minorHAnsi"/>
                <w:b/>
                <w:bCs/>
                <w:sz w:val="20"/>
                <w:szCs w:val="20"/>
              </w:rPr>
              <w:t>Población objetivo</w:t>
            </w:r>
          </w:p>
        </w:tc>
        <w:tc>
          <w:tcPr>
            <w:tcW w:w="1993" w:type="dxa"/>
            <w:shd w:val="clear" w:color="auto" w:fill="9CC2E5"/>
          </w:tcPr>
          <w:p w14:paraId="4FDC4EA2" w14:textId="42817A48" w:rsidR="00EB1844" w:rsidRPr="00563A52" w:rsidRDefault="00EB1844" w:rsidP="00927B4B">
            <w:pPr>
              <w:spacing w:before="0" w:after="0"/>
              <w:jc w:val="center"/>
              <w:rPr>
                <w:rFonts w:cstheme="minorHAnsi"/>
                <w:b/>
                <w:bCs/>
                <w:sz w:val="20"/>
                <w:szCs w:val="20"/>
              </w:rPr>
            </w:pPr>
            <w:r w:rsidRPr="00563A52">
              <w:rPr>
                <w:rFonts w:cstheme="minorHAnsi"/>
                <w:b/>
                <w:bCs/>
                <w:sz w:val="20"/>
                <w:szCs w:val="20"/>
              </w:rPr>
              <w:t xml:space="preserve">Tipo de entregables o </w:t>
            </w:r>
            <w:r w:rsidR="00A70A52">
              <w:rPr>
                <w:rFonts w:cstheme="minorHAnsi"/>
                <w:b/>
                <w:bCs/>
                <w:sz w:val="20"/>
                <w:szCs w:val="20"/>
              </w:rPr>
              <w:t>C</w:t>
            </w:r>
            <w:r w:rsidRPr="00563A52">
              <w:rPr>
                <w:rFonts w:cstheme="minorHAnsi"/>
                <w:b/>
                <w:bCs/>
                <w:sz w:val="20"/>
                <w:szCs w:val="20"/>
              </w:rPr>
              <w:t>omponentes</w:t>
            </w:r>
          </w:p>
        </w:tc>
      </w:tr>
      <w:tr w:rsidR="00EB1844" w:rsidRPr="00563A52" w14:paraId="3062E148" w14:textId="77777777" w:rsidTr="00927B4B">
        <w:tc>
          <w:tcPr>
            <w:tcW w:w="1696" w:type="dxa"/>
          </w:tcPr>
          <w:p w14:paraId="0820DCE3" w14:textId="77777777" w:rsidR="00EB1844" w:rsidRPr="00563A52" w:rsidRDefault="00EB1844" w:rsidP="00927B4B">
            <w:pPr>
              <w:spacing w:before="0" w:after="0"/>
              <w:rPr>
                <w:rFonts w:cstheme="minorHAnsi"/>
                <w:sz w:val="20"/>
                <w:szCs w:val="20"/>
              </w:rPr>
            </w:pPr>
            <w:r w:rsidRPr="005B5497">
              <w:rPr>
                <w:rFonts w:cstheme="minorHAnsi"/>
                <w:color w:val="000000"/>
                <w:sz w:val="20"/>
                <w:szCs w:val="20"/>
              </w:rPr>
              <w:t>R-01-Inversión para el Fortalecimiento de la Gobernabilidad Democrática y Gobernanza.</w:t>
            </w:r>
          </w:p>
        </w:tc>
        <w:tc>
          <w:tcPr>
            <w:tcW w:w="1701" w:type="dxa"/>
          </w:tcPr>
          <w:p w14:paraId="6FC6A9A2" w14:textId="77777777" w:rsidR="00EB1844" w:rsidRPr="00563A52" w:rsidRDefault="00EB1844" w:rsidP="00927B4B">
            <w:pPr>
              <w:spacing w:before="0" w:after="0"/>
              <w:rPr>
                <w:rFonts w:cstheme="minorHAnsi"/>
                <w:sz w:val="20"/>
                <w:szCs w:val="20"/>
              </w:rPr>
            </w:pPr>
            <w:r w:rsidRPr="00563A52">
              <w:rPr>
                <w:rFonts w:cstheme="minorHAnsi"/>
                <w:sz w:val="20"/>
                <w:szCs w:val="20"/>
              </w:rPr>
              <w:t>Se complementa</w:t>
            </w:r>
          </w:p>
        </w:tc>
        <w:tc>
          <w:tcPr>
            <w:tcW w:w="2977" w:type="dxa"/>
          </w:tcPr>
          <w:p w14:paraId="33669C65" w14:textId="77777777" w:rsidR="00EB1844" w:rsidRPr="00563A52" w:rsidRDefault="00EB1844" w:rsidP="00927B4B">
            <w:pPr>
              <w:spacing w:before="0" w:after="0"/>
              <w:rPr>
                <w:rFonts w:cstheme="minorHAnsi"/>
                <w:sz w:val="20"/>
                <w:szCs w:val="20"/>
              </w:rPr>
            </w:pPr>
            <w:r w:rsidRPr="005B5497">
              <w:rPr>
                <w:rFonts w:cstheme="minorHAnsi"/>
                <w:color w:val="000000" w:themeColor="text1"/>
                <w:sz w:val="20"/>
                <w:szCs w:val="20"/>
              </w:rPr>
              <w:t>Modernizar mediante la sistematización, equipamiento y gestión del acervo documental en los distritos judiciales participantes, modernizar, actualizar y sistematizar el catastro estatal y los catastros municipales</w:t>
            </w:r>
          </w:p>
        </w:tc>
        <w:tc>
          <w:tcPr>
            <w:tcW w:w="1595" w:type="dxa"/>
          </w:tcPr>
          <w:p w14:paraId="028AA1F1" w14:textId="77777777" w:rsidR="00EB1844" w:rsidRPr="00563A52" w:rsidRDefault="00EB1844" w:rsidP="00927B4B">
            <w:pPr>
              <w:spacing w:before="0" w:after="0"/>
              <w:rPr>
                <w:rFonts w:cstheme="minorHAnsi"/>
                <w:sz w:val="20"/>
                <w:szCs w:val="20"/>
              </w:rPr>
            </w:pPr>
            <w:r w:rsidRPr="00563A52">
              <w:rPr>
                <w:rFonts w:cstheme="minorHAnsi"/>
                <w:sz w:val="20"/>
                <w:szCs w:val="20"/>
              </w:rPr>
              <w:t xml:space="preserve">Población </w:t>
            </w:r>
            <w:r w:rsidRPr="005B5497">
              <w:rPr>
                <w:rFonts w:cstheme="minorHAnsi"/>
                <w:sz w:val="20"/>
                <w:szCs w:val="20"/>
              </w:rPr>
              <w:t>en general de la entidad</w:t>
            </w:r>
            <w:r>
              <w:rPr>
                <w:rFonts w:cstheme="minorHAnsi"/>
                <w:sz w:val="20"/>
                <w:szCs w:val="20"/>
              </w:rPr>
              <w:t xml:space="preserve"> federativa.</w:t>
            </w:r>
          </w:p>
        </w:tc>
        <w:tc>
          <w:tcPr>
            <w:tcW w:w="1993" w:type="dxa"/>
          </w:tcPr>
          <w:p w14:paraId="1B734676" w14:textId="7C3CEE33" w:rsidR="00EB1844" w:rsidRPr="00563A52" w:rsidRDefault="00EB1844" w:rsidP="00927B4B">
            <w:pPr>
              <w:spacing w:before="0" w:after="0"/>
              <w:rPr>
                <w:rFonts w:cstheme="minorHAnsi"/>
                <w:sz w:val="20"/>
                <w:szCs w:val="20"/>
              </w:rPr>
            </w:pPr>
            <w:r w:rsidRPr="005B5497">
              <w:rPr>
                <w:rFonts w:cstheme="minorHAnsi"/>
                <w:sz w:val="20"/>
                <w:szCs w:val="20"/>
              </w:rPr>
              <w:t xml:space="preserve">La población del </w:t>
            </w:r>
            <w:r w:rsidR="00D473BA">
              <w:rPr>
                <w:rFonts w:cstheme="minorHAnsi"/>
                <w:sz w:val="20"/>
                <w:szCs w:val="20"/>
              </w:rPr>
              <w:t>E</w:t>
            </w:r>
            <w:r w:rsidRPr="005B5497">
              <w:rPr>
                <w:rFonts w:cstheme="minorHAnsi"/>
                <w:sz w:val="20"/>
                <w:szCs w:val="20"/>
              </w:rPr>
              <w:t>stado de Hidalgo recibe solución a sus conflictos y peticiones en el ámbito político social.</w:t>
            </w:r>
          </w:p>
        </w:tc>
      </w:tr>
      <w:tr w:rsidR="00EB1844" w:rsidRPr="00563A52" w14:paraId="076CC007" w14:textId="77777777" w:rsidTr="00927B4B">
        <w:tc>
          <w:tcPr>
            <w:tcW w:w="1696" w:type="dxa"/>
          </w:tcPr>
          <w:p w14:paraId="5C694B6A" w14:textId="5F65EC5B" w:rsidR="00EB1844" w:rsidRPr="00563A52" w:rsidRDefault="00945DC0" w:rsidP="00927B4B">
            <w:pPr>
              <w:spacing w:before="0" w:after="0"/>
              <w:rPr>
                <w:rFonts w:cstheme="minorHAnsi"/>
                <w:sz w:val="20"/>
                <w:szCs w:val="20"/>
              </w:rPr>
            </w:pPr>
            <w:r>
              <w:rPr>
                <w:rFonts w:cstheme="minorHAnsi"/>
                <w:color w:val="000000"/>
                <w:sz w:val="20"/>
                <w:szCs w:val="20"/>
              </w:rPr>
              <w:t>K</w:t>
            </w:r>
            <w:r w:rsidR="00EB1844" w:rsidRPr="005B5497">
              <w:rPr>
                <w:rFonts w:cstheme="minorHAnsi"/>
                <w:color w:val="000000"/>
                <w:sz w:val="20"/>
                <w:szCs w:val="20"/>
              </w:rPr>
              <w:t>-17-Inversión para el Fortalecimiento de Hacienda Pública.</w:t>
            </w:r>
          </w:p>
        </w:tc>
        <w:tc>
          <w:tcPr>
            <w:tcW w:w="1701" w:type="dxa"/>
          </w:tcPr>
          <w:p w14:paraId="4E7F0D8E" w14:textId="77777777" w:rsidR="00EB1844" w:rsidRPr="00563A52" w:rsidRDefault="00EB1844" w:rsidP="00927B4B">
            <w:pPr>
              <w:spacing w:before="0" w:after="0"/>
              <w:rPr>
                <w:rFonts w:cstheme="minorHAnsi"/>
                <w:sz w:val="20"/>
                <w:szCs w:val="20"/>
              </w:rPr>
            </w:pPr>
            <w:r w:rsidRPr="005B5497">
              <w:rPr>
                <w:rFonts w:cstheme="minorHAnsi"/>
                <w:sz w:val="20"/>
                <w:szCs w:val="20"/>
              </w:rPr>
              <w:t xml:space="preserve"> Se complementa</w:t>
            </w:r>
          </w:p>
        </w:tc>
        <w:tc>
          <w:tcPr>
            <w:tcW w:w="2977" w:type="dxa"/>
          </w:tcPr>
          <w:p w14:paraId="7B37D793" w14:textId="77777777" w:rsidR="00EB1844" w:rsidRPr="00563A52" w:rsidRDefault="00EB1844" w:rsidP="00927B4B">
            <w:pPr>
              <w:spacing w:before="0" w:after="0"/>
              <w:rPr>
                <w:rFonts w:cstheme="minorHAnsi"/>
                <w:sz w:val="20"/>
                <w:szCs w:val="20"/>
              </w:rPr>
            </w:pPr>
            <w:r w:rsidRPr="005B5497">
              <w:rPr>
                <w:rFonts w:cstheme="minorHAnsi"/>
                <w:sz w:val="20"/>
                <w:szCs w:val="20"/>
              </w:rPr>
              <w:t>Contribuir a que el Estado de Hidalgo obtenga suficientes ingresos a través de participaciones federales, derivado de una alta recaudación por el impuesto predial mediante</w:t>
            </w:r>
            <w:r>
              <w:rPr>
                <w:rFonts w:cstheme="minorHAnsi"/>
                <w:sz w:val="20"/>
                <w:szCs w:val="20"/>
              </w:rPr>
              <w:t xml:space="preserve"> </w:t>
            </w:r>
            <w:r w:rsidRPr="005B5497">
              <w:rPr>
                <w:rFonts w:cstheme="minorHAnsi"/>
                <w:sz w:val="20"/>
                <w:szCs w:val="20"/>
              </w:rPr>
              <w:t xml:space="preserve">la actualización en el sistema estatal de administración territorial de información inmobiliaria propia y aquella que obtenga mediante convenio que para ese efecto celebre con las diversas dependencias y entidades de la administración pública federal, estatal y municipal, así como con particulares que tengan </w:t>
            </w:r>
            <w:r w:rsidRPr="005B5497">
              <w:rPr>
                <w:rFonts w:cstheme="minorHAnsi"/>
                <w:sz w:val="20"/>
                <w:szCs w:val="20"/>
              </w:rPr>
              <w:lastRenderedPageBreak/>
              <w:t>información inmobiliaria de la entidad o que la requieran.</w:t>
            </w:r>
          </w:p>
        </w:tc>
        <w:tc>
          <w:tcPr>
            <w:tcW w:w="1595" w:type="dxa"/>
          </w:tcPr>
          <w:p w14:paraId="28561E30" w14:textId="77777777" w:rsidR="00EB1844" w:rsidRPr="00563A52" w:rsidRDefault="00EB1844" w:rsidP="00927B4B">
            <w:pPr>
              <w:spacing w:before="0" w:after="0"/>
              <w:rPr>
                <w:rFonts w:cstheme="minorHAnsi"/>
                <w:sz w:val="20"/>
                <w:szCs w:val="20"/>
              </w:rPr>
            </w:pPr>
            <w:r w:rsidRPr="00563A52">
              <w:rPr>
                <w:rFonts w:cstheme="minorHAnsi"/>
                <w:sz w:val="20"/>
                <w:szCs w:val="20"/>
              </w:rPr>
              <w:lastRenderedPageBreak/>
              <w:t xml:space="preserve">Población </w:t>
            </w:r>
            <w:r w:rsidRPr="005B5497">
              <w:rPr>
                <w:rFonts w:cstheme="minorHAnsi"/>
                <w:sz w:val="20"/>
                <w:szCs w:val="20"/>
              </w:rPr>
              <w:t>en general de la entidad</w:t>
            </w:r>
            <w:r>
              <w:rPr>
                <w:rFonts w:cstheme="minorHAnsi"/>
                <w:sz w:val="20"/>
                <w:szCs w:val="20"/>
              </w:rPr>
              <w:t xml:space="preserve"> federativa.</w:t>
            </w:r>
          </w:p>
        </w:tc>
        <w:tc>
          <w:tcPr>
            <w:tcW w:w="1993" w:type="dxa"/>
          </w:tcPr>
          <w:p w14:paraId="0AD0CD9D" w14:textId="77777777" w:rsidR="00EB1844" w:rsidRPr="00563A52" w:rsidRDefault="00EB1844" w:rsidP="00927B4B">
            <w:pPr>
              <w:spacing w:before="0" w:after="0"/>
              <w:rPr>
                <w:rFonts w:cstheme="minorHAnsi"/>
                <w:sz w:val="20"/>
                <w:szCs w:val="20"/>
              </w:rPr>
            </w:pPr>
            <w:r w:rsidRPr="005B5497">
              <w:rPr>
                <w:rFonts w:cstheme="minorHAnsi"/>
                <w:sz w:val="20"/>
                <w:szCs w:val="20"/>
              </w:rPr>
              <w:t>Inversión para modernizar los registros públicos de la propiedad y del comercio local, en el marco de la coordinación para homologar los registros públicos; así como para modernización de los catastros</w:t>
            </w:r>
          </w:p>
        </w:tc>
      </w:tr>
      <w:tr w:rsidR="00EB1844" w:rsidRPr="00563A52" w14:paraId="28E359D6" w14:textId="77777777" w:rsidTr="00927B4B">
        <w:tc>
          <w:tcPr>
            <w:tcW w:w="1696" w:type="dxa"/>
          </w:tcPr>
          <w:p w14:paraId="720F84A9" w14:textId="1AF4F09D" w:rsidR="00EB1844" w:rsidRPr="00563A52" w:rsidRDefault="002613FB" w:rsidP="00927B4B">
            <w:pPr>
              <w:spacing w:before="0" w:after="0"/>
              <w:rPr>
                <w:rFonts w:cstheme="minorHAnsi"/>
                <w:sz w:val="20"/>
                <w:szCs w:val="20"/>
              </w:rPr>
            </w:pPr>
            <w:r>
              <w:rPr>
                <w:rFonts w:cstheme="minorHAnsi"/>
                <w:sz w:val="20"/>
                <w:szCs w:val="20"/>
              </w:rPr>
              <w:t>E01- Infraestructura de comunicaciones</w:t>
            </w:r>
          </w:p>
        </w:tc>
        <w:tc>
          <w:tcPr>
            <w:tcW w:w="1701" w:type="dxa"/>
          </w:tcPr>
          <w:p w14:paraId="58614978" w14:textId="77777777" w:rsidR="00EB1844" w:rsidRPr="00563A52" w:rsidRDefault="00EB1844" w:rsidP="00927B4B">
            <w:pPr>
              <w:spacing w:before="0" w:after="0"/>
              <w:rPr>
                <w:rFonts w:cstheme="minorHAnsi"/>
                <w:sz w:val="20"/>
                <w:szCs w:val="20"/>
              </w:rPr>
            </w:pPr>
            <w:r w:rsidRPr="005B5497">
              <w:rPr>
                <w:rFonts w:cstheme="minorHAnsi"/>
                <w:sz w:val="20"/>
                <w:szCs w:val="20"/>
              </w:rPr>
              <w:t>Se complementa</w:t>
            </w:r>
          </w:p>
        </w:tc>
        <w:tc>
          <w:tcPr>
            <w:tcW w:w="2977" w:type="dxa"/>
          </w:tcPr>
          <w:p w14:paraId="274C6706" w14:textId="77777777" w:rsidR="00EB1844" w:rsidRPr="00563A52" w:rsidRDefault="00EB1844" w:rsidP="00927B4B">
            <w:pPr>
              <w:spacing w:before="0" w:after="0"/>
              <w:rPr>
                <w:rFonts w:cstheme="minorHAnsi"/>
                <w:sz w:val="20"/>
                <w:szCs w:val="20"/>
              </w:rPr>
            </w:pPr>
            <w:r w:rsidRPr="005B5497">
              <w:rPr>
                <w:rFonts w:cstheme="minorHAnsi"/>
                <w:sz w:val="20"/>
                <w:szCs w:val="20"/>
              </w:rPr>
              <w:t>Ampliación y modernización de carreteras, puentes vehiculares, distribuidores viales, electrificaciones, infraestructura educativa, infraestructura de vialidades urbanas</w:t>
            </w:r>
          </w:p>
        </w:tc>
        <w:tc>
          <w:tcPr>
            <w:tcW w:w="1595" w:type="dxa"/>
          </w:tcPr>
          <w:p w14:paraId="39191045" w14:textId="77777777" w:rsidR="00EB1844" w:rsidRPr="00563A52" w:rsidRDefault="00EB1844" w:rsidP="00927B4B">
            <w:pPr>
              <w:spacing w:before="0" w:after="0"/>
              <w:rPr>
                <w:rFonts w:cstheme="minorHAnsi"/>
                <w:sz w:val="20"/>
                <w:szCs w:val="20"/>
              </w:rPr>
            </w:pPr>
            <w:r w:rsidRPr="005B5497">
              <w:rPr>
                <w:rFonts w:cstheme="minorHAnsi"/>
                <w:sz w:val="20"/>
                <w:szCs w:val="20"/>
              </w:rPr>
              <w:t>Población que habita en las regiones de impacto de las obras</w:t>
            </w:r>
          </w:p>
        </w:tc>
        <w:tc>
          <w:tcPr>
            <w:tcW w:w="1993" w:type="dxa"/>
          </w:tcPr>
          <w:p w14:paraId="1191FEA9" w14:textId="77777777" w:rsidR="00EB1844" w:rsidRPr="00563A52" w:rsidRDefault="00EB1844" w:rsidP="00927B4B">
            <w:pPr>
              <w:spacing w:before="0" w:after="0"/>
              <w:rPr>
                <w:rFonts w:cstheme="minorHAnsi"/>
                <w:sz w:val="20"/>
                <w:szCs w:val="20"/>
              </w:rPr>
            </w:pPr>
            <w:r w:rsidRPr="005B5497">
              <w:rPr>
                <w:rFonts w:cstheme="minorHAnsi"/>
                <w:sz w:val="20"/>
                <w:szCs w:val="20"/>
              </w:rPr>
              <w:t>Inversión en obra pública</w:t>
            </w:r>
          </w:p>
        </w:tc>
      </w:tr>
      <w:tr w:rsidR="00EB1844" w:rsidRPr="00563A52" w14:paraId="17A1FEA3" w14:textId="77777777" w:rsidTr="00927B4B">
        <w:tc>
          <w:tcPr>
            <w:tcW w:w="1696" w:type="dxa"/>
          </w:tcPr>
          <w:p w14:paraId="34FA2250" w14:textId="20B9C5C6" w:rsidR="00EB1844" w:rsidRPr="00563A52" w:rsidRDefault="00945DC0" w:rsidP="00927B4B">
            <w:pPr>
              <w:spacing w:before="0" w:after="0"/>
              <w:rPr>
                <w:rFonts w:cstheme="minorHAnsi"/>
                <w:sz w:val="20"/>
                <w:szCs w:val="20"/>
              </w:rPr>
            </w:pPr>
            <w:r>
              <w:rPr>
                <w:rFonts w:cstheme="minorHAnsi"/>
                <w:sz w:val="20"/>
                <w:szCs w:val="20"/>
              </w:rPr>
              <w:t>K</w:t>
            </w:r>
            <w:r w:rsidR="00EB1844" w:rsidRPr="005B5497">
              <w:rPr>
                <w:rFonts w:cstheme="minorHAnsi"/>
                <w:sz w:val="20"/>
                <w:szCs w:val="20"/>
              </w:rPr>
              <w:t>-25-Agua, Drenaje y Saneamiento</w:t>
            </w:r>
          </w:p>
        </w:tc>
        <w:tc>
          <w:tcPr>
            <w:tcW w:w="1701" w:type="dxa"/>
          </w:tcPr>
          <w:p w14:paraId="7B031A0C" w14:textId="77777777" w:rsidR="00EB1844" w:rsidRPr="00563A52" w:rsidRDefault="00EB1844" w:rsidP="00927B4B">
            <w:pPr>
              <w:spacing w:before="0" w:after="0"/>
              <w:rPr>
                <w:rFonts w:cstheme="minorHAnsi"/>
                <w:sz w:val="20"/>
                <w:szCs w:val="20"/>
              </w:rPr>
            </w:pPr>
            <w:r w:rsidRPr="005B5497">
              <w:rPr>
                <w:rFonts w:cstheme="minorHAnsi"/>
                <w:sz w:val="20"/>
                <w:szCs w:val="20"/>
              </w:rPr>
              <w:t>Se complementa</w:t>
            </w:r>
          </w:p>
        </w:tc>
        <w:tc>
          <w:tcPr>
            <w:tcW w:w="2977" w:type="dxa"/>
          </w:tcPr>
          <w:p w14:paraId="410B2709" w14:textId="41BF6C3C" w:rsidR="00EB1844" w:rsidRPr="00563A52" w:rsidRDefault="00EB1844" w:rsidP="00927B4B">
            <w:pPr>
              <w:spacing w:before="0" w:after="0"/>
              <w:rPr>
                <w:rFonts w:cstheme="minorHAnsi"/>
                <w:sz w:val="20"/>
                <w:szCs w:val="20"/>
              </w:rPr>
            </w:pPr>
            <w:r w:rsidRPr="005B5497">
              <w:rPr>
                <w:rFonts w:cstheme="minorHAnsi"/>
                <w:sz w:val="20"/>
                <w:szCs w:val="20"/>
              </w:rPr>
              <w:t xml:space="preserve">Contribuir al desarrollo de las regiones del </w:t>
            </w:r>
            <w:r w:rsidR="00D473BA">
              <w:rPr>
                <w:rFonts w:cstheme="minorHAnsi"/>
                <w:sz w:val="20"/>
                <w:szCs w:val="20"/>
              </w:rPr>
              <w:t>E</w:t>
            </w:r>
            <w:r w:rsidRPr="005B5497">
              <w:rPr>
                <w:rFonts w:cstheme="minorHAnsi"/>
                <w:sz w:val="20"/>
                <w:szCs w:val="20"/>
              </w:rPr>
              <w:t>stado de Hidalgo mediante el aumento de acciones en materia de agua, drenaje y saneamiento.</w:t>
            </w:r>
          </w:p>
        </w:tc>
        <w:tc>
          <w:tcPr>
            <w:tcW w:w="1595" w:type="dxa"/>
          </w:tcPr>
          <w:p w14:paraId="63E554AA" w14:textId="77777777" w:rsidR="00EB1844" w:rsidRPr="00563A52" w:rsidRDefault="00EB1844" w:rsidP="00927B4B">
            <w:pPr>
              <w:spacing w:before="0" w:after="0"/>
              <w:rPr>
                <w:rFonts w:cstheme="minorHAnsi"/>
                <w:sz w:val="20"/>
                <w:szCs w:val="20"/>
              </w:rPr>
            </w:pPr>
            <w:r w:rsidRPr="005B5497">
              <w:rPr>
                <w:rFonts w:cstheme="minorHAnsi"/>
                <w:sz w:val="20"/>
                <w:szCs w:val="20"/>
              </w:rPr>
              <w:t>Población que habita en las regiones de impacto de las obras</w:t>
            </w:r>
          </w:p>
        </w:tc>
        <w:tc>
          <w:tcPr>
            <w:tcW w:w="1993" w:type="dxa"/>
          </w:tcPr>
          <w:p w14:paraId="6FEDFA23" w14:textId="77777777" w:rsidR="00EB1844" w:rsidRPr="00563A52" w:rsidRDefault="00EB1844" w:rsidP="00927B4B">
            <w:pPr>
              <w:spacing w:before="0" w:after="0"/>
              <w:rPr>
                <w:rFonts w:cstheme="minorHAnsi"/>
                <w:sz w:val="20"/>
                <w:szCs w:val="20"/>
              </w:rPr>
            </w:pPr>
            <w:r w:rsidRPr="005B5497">
              <w:rPr>
                <w:rFonts w:cstheme="minorHAnsi"/>
                <w:sz w:val="20"/>
                <w:szCs w:val="20"/>
              </w:rPr>
              <w:t>Inversión en obras de agua, drenaje y saneamiento.</w:t>
            </w:r>
          </w:p>
        </w:tc>
      </w:tr>
      <w:tr w:rsidR="00EB1844" w:rsidRPr="00563A52" w14:paraId="2F1BBC7D" w14:textId="77777777" w:rsidTr="00927B4B">
        <w:tc>
          <w:tcPr>
            <w:tcW w:w="1696" w:type="dxa"/>
          </w:tcPr>
          <w:p w14:paraId="3CB278AD" w14:textId="182F48B6" w:rsidR="00EB1844" w:rsidRPr="00563A52" w:rsidRDefault="00945DC0" w:rsidP="00927B4B">
            <w:pPr>
              <w:spacing w:before="0" w:after="0"/>
              <w:rPr>
                <w:rFonts w:cstheme="minorHAnsi"/>
                <w:sz w:val="20"/>
                <w:szCs w:val="20"/>
              </w:rPr>
            </w:pPr>
            <w:r>
              <w:rPr>
                <w:rFonts w:cstheme="minorHAnsi"/>
                <w:sz w:val="20"/>
                <w:szCs w:val="20"/>
              </w:rPr>
              <w:t>K</w:t>
            </w:r>
            <w:r w:rsidR="00EB1844" w:rsidRPr="005B5497">
              <w:rPr>
                <w:rFonts w:cstheme="minorHAnsi"/>
                <w:sz w:val="20"/>
                <w:szCs w:val="20"/>
              </w:rPr>
              <w:t>-36-</w:t>
            </w:r>
            <w:r w:rsidR="00EB1844" w:rsidRPr="005B5497">
              <w:rPr>
                <w:rFonts w:cstheme="minorHAnsi"/>
                <w:color w:val="000000"/>
                <w:sz w:val="20"/>
                <w:szCs w:val="20"/>
              </w:rPr>
              <w:t>Infraestructura en Educación</w:t>
            </w:r>
          </w:p>
        </w:tc>
        <w:tc>
          <w:tcPr>
            <w:tcW w:w="1701" w:type="dxa"/>
          </w:tcPr>
          <w:p w14:paraId="25CC46F0" w14:textId="77777777" w:rsidR="00EB1844" w:rsidRPr="00563A52" w:rsidRDefault="00EB1844" w:rsidP="00927B4B">
            <w:pPr>
              <w:spacing w:before="0" w:after="0"/>
              <w:rPr>
                <w:rFonts w:cstheme="minorHAnsi"/>
                <w:sz w:val="20"/>
                <w:szCs w:val="20"/>
              </w:rPr>
            </w:pPr>
            <w:r w:rsidRPr="005B5497">
              <w:rPr>
                <w:rFonts w:cstheme="minorHAnsi"/>
                <w:sz w:val="20"/>
                <w:szCs w:val="20"/>
              </w:rPr>
              <w:t>Se complementa</w:t>
            </w:r>
          </w:p>
        </w:tc>
        <w:tc>
          <w:tcPr>
            <w:tcW w:w="2977" w:type="dxa"/>
          </w:tcPr>
          <w:p w14:paraId="28CA209B" w14:textId="67A81249" w:rsidR="00EB1844" w:rsidRPr="00563A52" w:rsidRDefault="00EB1844" w:rsidP="00927B4B">
            <w:pPr>
              <w:spacing w:before="0" w:after="0"/>
              <w:rPr>
                <w:rFonts w:cstheme="minorHAnsi"/>
                <w:sz w:val="20"/>
                <w:szCs w:val="20"/>
              </w:rPr>
            </w:pPr>
            <w:r w:rsidRPr="005B5497">
              <w:rPr>
                <w:rFonts w:cstheme="minorHAnsi"/>
                <w:sz w:val="20"/>
                <w:szCs w:val="20"/>
              </w:rPr>
              <w:t xml:space="preserve">Contribuir a la calidad y pertinencias de la educación básica, media superior y superior. Mediante la infraestructura para la educación en el </w:t>
            </w:r>
            <w:r w:rsidR="00D473BA">
              <w:rPr>
                <w:rFonts w:cstheme="minorHAnsi"/>
                <w:sz w:val="20"/>
                <w:szCs w:val="20"/>
              </w:rPr>
              <w:t>E</w:t>
            </w:r>
            <w:r w:rsidRPr="005B5497">
              <w:rPr>
                <w:rFonts w:cstheme="minorHAnsi"/>
                <w:sz w:val="20"/>
                <w:szCs w:val="20"/>
              </w:rPr>
              <w:t>stado de Hidalgo con una formación integral</w:t>
            </w:r>
          </w:p>
        </w:tc>
        <w:tc>
          <w:tcPr>
            <w:tcW w:w="1595" w:type="dxa"/>
          </w:tcPr>
          <w:p w14:paraId="6D51B5B8" w14:textId="77777777" w:rsidR="00EB1844" w:rsidRPr="00563A52" w:rsidRDefault="00EB1844" w:rsidP="00927B4B">
            <w:pPr>
              <w:spacing w:before="0" w:after="0"/>
              <w:rPr>
                <w:rFonts w:cstheme="minorHAnsi"/>
                <w:sz w:val="20"/>
                <w:szCs w:val="20"/>
              </w:rPr>
            </w:pPr>
            <w:r w:rsidRPr="005B5497">
              <w:rPr>
                <w:rFonts w:cstheme="minorHAnsi"/>
                <w:sz w:val="20"/>
                <w:szCs w:val="20"/>
              </w:rPr>
              <w:t>Población hidalguense en edad de cursar educación básica, media superior y superior</w:t>
            </w:r>
          </w:p>
        </w:tc>
        <w:tc>
          <w:tcPr>
            <w:tcW w:w="1993" w:type="dxa"/>
          </w:tcPr>
          <w:p w14:paraId="72B544C2" w14:textId="77777777" w:rsidR="00EB1844" w:rsidRPr="00563A52" w:rsidRDefault="00EB1844" w:rsidP="00927B4B">
            <w:pPr>
              <w:spacing w:before="0" w:after="0"/>
              <w:rPr>
                <w:rFonts w:cstheme="minorHAnsi"/>
                <w:sz w:val="20"/>
                <w:szCs w:val="20"/>
              </w:rPr>
            </w:pPr>
            <w:r w:rsidRPr="005B5497">
              <w:rPr>
                <w:rFonts w:cstheme="minorHAnsi"/>
                <w:sz w:val="20"/>
                <w:szCs w:val="20"/>
              </w:rPr>
              <w:t>Construcción de infraestructura para la educación</w:t>
            </w:r>
          </w:p>
        </w:tc>
      </w:tr>
      <w:tr w:rsidR="00EB1844" w:rsidRPr="00563A52" w14:paraId="1CBCFD24" w14:textId="77777777" w:rsidTr="00927B4B">
        <w:tc>
          <w:tcPr>
            <w:tcW w:w="1696" w:type="dxa"/>
          </w:tcPr>
          <w:p w14:paraId="561AE48C" w14:textId="092AE4C0" w:rsidR="00EB1844" w:rsidRPr="00563A52" w:rsidRDefault="00945DC0" w:rsidP="00927B4B">
            <w:pPr>
              <w:spacing w:before="0" w:after="0"/>
              <w:rPr>
                <w:rFonts w:cstheme="minorHAnsi"/>
                <w:sz w:val="20"/>
                <w:szCs w:val="20"/>
              </w:rPr>
            </w:pPr>
            <w:r>
              <w:rPr>
                <w:rFonts w:cstheme="minorHAnsi"/>
                <w:sz w:val="20"/>
                <w:szCs w:val="20"/>
              </w:rPr>
              <w:t>K</w:t>
            </w:r>
            <w:r w:rsidR="00EB1844" w:rsidRPr="005B5497">
              <w:rPr>
                <w:rFonts w:cstheme="minorHAnsi"/>
                <w:sz w:val="20"/>
                <w:szCs w:val="20"/>
              </w:rPr>
              <w:t>-31-</w:t>
            </w:r>
            <w:r w:rsidR="00EB1844" w:rsidRPr="005B5497">
              <w:rPr>
                <w:rFonts w:cstheme="minorHAnsi"/>
                <w:color w:val="000000"/>
                <w:sz w:val="20"/>
                <w:szCs w:val="20"/>
              </w:rPr>
              <w:t>Programas Hidroagrícolas</w:t>
            </w:r>
          </w:p>
        </w:tc>
        <w:tc>
          <w:tcPr>
            <w:tcW w:w="1701" w:type="dxa"/>
          </w:tcPr>
          <w:p w14:paraId="60BEA03B" w14:textId="77777777" w:rsidR="00EB1844" w:rsidRPr="00563A52" w:rsidRDefault="00EB1844" w:rsidP="00927B4B">
            <w:pPr>
              <w:spacing w:before="0" w:after="0"/>
              <w:rPr>
                <w:rFonts w:cstheme="minorHAnsi"/>
                <w:sz w:val="20"/>
                <w:szCs w:val="20"/>
              </w:rPr>
            </w:pPr>
            <w:r w:rsidRPr="005B5497">
              <w:rPr>
                <w:rFonts w:cstheme="minorHAnsi"/>
                <w:sz w:val="20"/>
                <w:szCs w:val="20"/>
              </w:rPr>
              <w:t>Se complementa</w:t>
            </w:r>
          </w:p>
        </w:tc>
        <w:tc>
          <w:tcPr>
            <w:tcW w:w="2977" w:type="dxa"/>
          </w:tcPr>
          <w:p w14:paraId="0C15DB51" w14:textId="77777777" w:rsidR="00EB1844" w:rsidRPr="00563A52" w:rsidRDefault="00EB1844" w:rsidP="00927B4B">
            <w:pPr>
              <w:spacing w:before="0" w:after="0"/>
              <w:rPr>
                <w:rFonts w:cstheme="minorHAnsi"/>
                <w:sz w:val="20"/>
                <w:szCs w:val="20"/>
              </w:rPr>
            </w:pPr>
            <w:r w:rsidRPr="005B5497">
              <w:rPr>
                <w:rFonts w:cstheme="minorHAnsi"/>
                <w:sz w:val="20"/>
                <w:szCs w:val="20"/>
              </w:rPr>
              <w:t>Contribuir al incremento de conservación de los recursos naturales del subsector hidroagrícola mediante la construcción de mejor infraestructura para el uso eficiente del agua.</w:t>
            </w:r>
          </w:p>
        </w:tc>
        <w:tc>
          <w:tcPr>
            <w:tcW w:w="1595" w:type="dxa"/>
          </w:tcPr>
          <w:p w14:paraId="3D8B6AC6" w14:textId="77777777" w:rsidR="00EB1844" w:rsidRPr="00563A52" w:rsidRDefault="00EB1844" w:rsidP="00927B4B">
            <w:pPr>
              <w:spacing w:before="0" w:after="0"/>
              <w:rPr>
                <w:rFonts w:cstheme="minorHAnsi"/>
                <w:sz w:val="20"/>
                <w:szCs w:val="20"/>
              </w:rPr>
            </w:pPr>
            <w:r w:rsidRPr="005B5497">
              <w:rPr>
                <w:rFonts w:cstheme="minorHAnsi"/>
                <w:sz w:val="20"/>
                <w:szCs w:val="20"/>
              </w:rPr>
              <w:t>Productores rurales del sector agropecuario</w:t>
            </w:r>
          </w:p>
        </w:tc>
        <w:tc>
          <w:tcPr>
            <w:tcW w:w="1993" w:type="dxa"/>
          </w:tcPr>
          <w:p w14:paraId="288BF82F" w14:textId="77777777" w:rsidR="00EB1844" w:rsidRPr="00563A52" w:rsidRDefault="00EB1844" w:rsidP="00927B4B">
            <w:pPr>
              <w:spacing w:before="0" w:after="0"/>
              <w:rPr>
                <w:rFonts w:cstheme="minorHAnsi"/>
                <w:sz w:val="20"/>
                <w:szCs w:val="20"/>
              </w:rPr>
            </w:pPr>
            <w:r w:rsidRPr="005B5497">
              <w:rPr>
                <w:rFonts w:cstheme="minorHAnsi"/>
                <w:sz w:val="20"/>
                <w:szCs w:val="20"/>
              </w:rPr>
              <w:t>Construcción de infraestructura hidroagrícola para el uso eficiente y conservación del suelo y agua para la actividad primaria</w:t>
            </w:r>
          </w:p>
        </w:tc>
      </w:tr>
    </w:tbl>
    <w:p w14:paraId="087D0353" w14:textId="4D9653AB" w:rsidR="00914ACE" w:rsidRDefault="00914ACE" w:rsidP="00D73C3C">
      <w:pPr>
        <w:pStyle w:val="Textonotapie"/>
        <w:rPr>
          <w:rFonts w:ascii="Soberana Sans Light" w:hAnsi="Soberana Sans Light" w:cstheme="minorHAnsi"/>
          <w:sz w:val="24"/>
          <w:szCs w:val="24"/>
        </w:rPr>
      </w:pPr>
      <w:r w:rsidRPr="00AA7FC0">
        <w:rPr>
          <w:rStyle w:val="FuenteCar"/>
        </w:rPr>
        <w:t xml:space="preserve">Fuente: Elaboración propia con base en información proporcionada por la </w:t>
      </w:r>
      <w:r>
        <w:rPr>
          <w:rStyle w:val="FuenteCar"/>
        </w:rPr>
        <w:t>SFP y MIR de los Pp estatales.</w:t>
      </w:r>
    </w:p>
    <w:p w14:paraId="19480E4B" w14:textId="0EA91AFD" w:rsidR="00EB1844" w:rsidRDefault="00EB1844" w:rsidP="00EB1844">
      <w:pPr>
        <w:spacing w:before="0" w:after="160" w:line="259" w:lineRule="auto"/>
        <w:jc w:val="left"/>
        <w:rPr>
          <w:rFonts w:ascii="Soberana Sans Light" w:hAnsi="Soberana Sans Light" w:cstheme="minorHAnsi"/>
          <w:sz w:val="24"/>
          <w:szCs w:val="24"/>
        </w:rPr>
      </w:pPr>
      <w:r>
        <w:rPr>
          <w:rFonts w:ascii="Soberana Sans Light" w:hAnsi="Soberana Sans Light" w:cstheme="minorHAnsi"/>
          <w:sz w:val="24"/>
          <w:szCs w:val="24"/>
        </w:rPr>
        <w:br w:type="page"/>
      </w:r>
    </w:p>
    <w:p w14:paraId="7C592045" w14:textId="77777777" w:rsidR="00EB1844" w:rsidRPr="00B90014" w:rsidRDefault="00EB1844" w:rsidP="00EB1844">
      <w:pPr>
        <w:spacing w:before="0"/>
        <w:rPr>
          <w:rFonts w:cstheme="minorHAnsi"/>
          <w:b/>
        </w:rPr>
      </w:pPr>
      <w:r>
        <w:rPr>
          <w:rFonts w:cstheme="minorHAnsi"/>
          <w:b/>
        </w:rPr>
        <w:lastRenderedPageBreak/>
        <w:t xml:space="preserve">22. </w:t>
      </w:r>
      <w:r w:rsidRPr="00B90014">
        <w:rPr>
          <w:rFonts w:cstheme="minorHAnsi"/>
          <w:b/>
        </w:rPr>
        <w:t>Realizar un análisis de las sinergias del FAFEF con otras políticas, programas o proyectos en la entidad federativa, sean financiadas con otros Fondos de Aportaciones Federales, recursos de dependencias federales o recursos propios de la entidad federativa, explicando a qué objetivos contribuirían (o contribuyen) estas sinergias.</w:t>
      </w:r>
    </w:p>
    <w:p w14:paraId="0237ECC8" w14:textId="5CFBD75B" w:rsidR="00EB1844" w:rsidRDefault="00EB1844" w:rsidP="00EB1844">
      <w:pPr>
        <w:rPr>
          <w:b/>
          <w:bCs/>
        </w:rPr>
      </w:pPr>
      <w:r w:rsidRPr="0021117F">
        <w:rPr>
          <w:b/>
          <w:bCs/>
        </w:rPr>
        <w:t>No procede valoración cuantitativa.</w:t>
      </w:r>
    </w:p>
    <w:p w14:paraId="3889A7B8" w14:textId="7B7230C9" w:rsidR="00190B62" w:rsidRDefault="0086476C" w:rsidP="0086476C">
      <w:pPr>
        <w:autoSpaceDE w:val="0"/>
        <w:autoSpaceDN w:val="0"/>
        <w:adjustRightInd w:val="0"/>
        <w:rPr>
          <w:rFonts w:cstheme="minorHAnsi"/>
          <w:color w:val="000000" w:themeColor="text1"/>
        </w:rPr>
      </w:pPr>
      <w:r w:rsidRPr="0086476C">
        <w:rPr>
          <w:rFonts w:cstheme="minorHAnsi"/>
          <w:color w:val="000000" w:themeColor="text1"/>
        </w:rPr>
        <w:t xml:space="preserve">En el ejercicio fiscal 2018, el </w:t>
      </w:r>
      <w:r w:rsidR="00D473BA">
        <w:rPr>
          <w:rFonts w:cstheme="minorHAnsi"/>
          <w:color w:val="000000" w:themeColor="text1"/>
        </w:rPr>
        <w:t>E</w:t>
      </w:r>
      <w:r w:rsidRPr="0086476C">
        <w:rPr>
          <w:rFonts w:cstheme="minorHAnsi"/>
          <w:color w:val="000000" w:themeColor="text1"/>
        </w:rPr>
        <w:t xml:space="preserve">stado de Hidalgo </w:t>
      </w:r>
      <w:r w:rsidR="0078466D">
        <w:rPr>
          <w:rFonts w:cstheme="minorHAnsi"/>
          <w:color w:val="000000" w:themeColor="text1"/>
        </w:rPr>
        <w:t>destinó los recursos del FAFEF a los rubros de</w:t>
      </w:r>
      <w:r w:rsidRPr="0086476C">
        <w:rPr>
          <w:rFonts w:cstheme="minorHAnsi"/>
          <w:color w:val="000000" w:themeColor="text1"/>
        </w:rPr>
        <w:t xml:space="preserve">: </w:t>
      </w:r>
      <w:r w:rsidR="0078466D">
        <w:rPr>
          <w:rFonts w:cstheme="minorHAnsi"/>
          <w:color w:val="000000" w:themeColor="text1"/>
        </w:rPr>
        <w:t>i</w:t>
      </w:r>
      <w:r w:rsidRPr="0086476C">
        <w:rPr>
          <w:rFonts w:cstheme="minorHAnsi"/>
          <w:color w:val="000000" w:themeColor="text1"/>
        </w:rPr>
        <w:t>nversión en infraestructura física</w:t>
      </w:r>
      <w:r w:rsidR="0078466D">
        <w:rPr>
          <w:rFonts w:cstheme="minorHAnsi"/>
          <w:color w:val="000000" w:themeColor="text1"/>
        </w:rPr>
        <w:t>, s</w:t>
      </w:r>
      <w:r w:rsidRPr="0086476C">
        <w:rPr>
          <w:rFonts w:cstheme="minorHAnsi"/>
          <w:color w:val="000000" w:themeColor="text1"/>
        </w:rPr>
        <w:t>aneamiento financiero a través de la amortización de la deuda públi</w:t>
      </w:r>
      <w:r w:rsidR="00872FF0">
        <w:rPr>
          <w:rFonts w:cstheme="minorHAnsi"/>
          <w:color w:val="000000" w:themeColor="text1"/>
        </w:rPr>
        <w:t>ca, p</w:t>
      </w:r>
      <w:r w:rsidRPr="0086476C">
        <w:rPr>
          <w:rFonts w:cstheme="minorHAnsi"/>
          <w:color w:val="000000" w:themeColor="text1"/>
        </w:rPr>
        <w:t>ara apoyar la educación pública</w:t>
      </w:r>
      <w:r w:rsidR="0078466D">
        <w:rPr>
          <w:rFonts w:cstheme="minorHAnsi"/>
          <w:color w:val="000000" w:themeColor="text1"/>
        </w:rPr>
        <w:t xml:space="preserve"> y </w:t>
      </w:r>
      <w:r w:rsidR="00872FF0">
        <w:rPr>
          <w:rFonts w:cstheme="minorHAnsi"/>
          <w:color w:val="000000" w:themeColor="text1"/>
        </w:rPr>
        <w:t>para la m</w:t>
      </w:r>
      <w:r w:rsidRPr="0086476C">
        <w:rPr>
          <w:rFonts w:cstheme="minorHAnsi"/>
          <w:color w:val="000000" w:themeColor="text1"/>
        </w:rPr>
        <w:t>odernización de los registro</w:t>
      </w:r>
      <w:r w:rsidR="007C6C5E">
        <w:rPr>
          <w:rFonts w:cstheme="minorHAnsi"/>
          <w:color w:val="000000" w:themeColor="text1"/>
        </w:rPr>
        <w:t>s públicos de la propiedad y de</w:t>
      </w:r>
      <w:r w:rsidRPr="0086476C">
        <w:rPr>
          <w:rFonts w:cstheme="minorHAnsi"/>
          <w:color w:val="000000" w:themeColor="text1"/>
        </w:rPr>
        <w:t xml:space="preserve"> comercio locales</w:t>
      </w:r>
      <w:r w:rsidR="0078466D">
        <w:rPr>
          <w:rFonts w:cstheme="minorHAnsi"/>
          <w:color w:val="000000" w:themeColor="text1"/>
        </w:rPr>
        <w:t xml:space="preserve">. </w:t>
      </w:r>
      <w:r w:rsidR="00872FF0">
        <w:rPr>
          <w:rFonts w:cstheme="minorHAnsi"/>
          <w:color w:val="000000" w:themeColor="text1"/>
        </w:rPr>
        <w:t xml:space="preserve">Analizando la estructura programática estatal, así como el presupuesto de egresos por Pp, se detectaron sinergias del Fondo con distintos programas, considerando que fortalece el presupuesto de algunos o contribuyen con los objetivos de otros, mediante el financiamiento de infraestructura o equipamiento para la realización de sus funciones. En el siguiente Cuadro se presentan las sinergias detectadas. </w:t>
      </w:r>
    </w:p>
    <w:p w14:paraId="1DB08822" w14:textId="43C85222" w:rsidR="00914ACE" w:rsidRDefault="00914ACE" w:rsidP="00914ACE">
      <w:pPr>
        <w:pStyle w:val="Cuadro"/>
        <w:rPr>
          <w:rFonts w:cstheme="minorHAnsi"/>
          <w:color w:val="000000" w:themeColor="text1"/>
        </w:rPr>
      </w:pPr>
      <w:bookmarkStart w:id="77" w:name="_Toc56741062"/>
      <w:r>
        <w:rPr>
          <w:rFonts w:cstheme="minorHAnsi"/>
          <w:color w:val="000000" w:themeColor="text1"/>
        </w:rPr>
        <w:t xml:space="preserve">Cuadro </w:t>
      </w:r>
      <w:r w:rsidR="00A82DA8">
        <w:rPr>
          <w:rFonts w:cstheme="minorHAnsi"/>
          <w:color w:val="000000" w:themeColor="text1"/>
        </w:rPr>
        <w:t>9</w:t>
      </w:r>
      <w:r>
        <w:rPr>
          <w:rFonts w:cstheme="minorHAnsi"/>
          <w:color w:val="000000" w:themeColor="text1"/>
        </w:rPr>
        <w:t xml:space="preserve">. Sinergias del FAFEF </w:t>
      </w:r>
      <w:r>
        <w:t>con programas o proyectos en la entidad federativa</w:t>
      </w:r>
      <w:bookmarkEnd w:id="77"/>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01"/>
        <w:gridCol w:w="1830"/>
        <w:gridCol w:w="5387"/>
      </w:tblGrid>
      <w:tr w:rsidR="006868A2" w:rsidRPr="005E1463" w14:paraId="279C5815" w14:textId="77777777" w:rsidTr="00441E9C">
        <w:trPr>
          <w:trHeight w:val="315"/>
          <w:tblHeader/>
        </w:trPr>
        <w:tc>
          <w:tcPr>
            <w:tcW w:w="2701" w:type="dxa"/>
            <w:shd w:val="clear" w:color="auto" w:fill="9CC2E5"/>
            <w:vAlign w:val="center"/>
            <w:hideMark/>
          </w:tcPr>
          <w:p w14:paraId="6F9374FC" w14:textId="010AC351" w:rsidR="006868A2" w:rsidRPr="00484E7F" w:rsidRDefault="006868A2" w:rsidP="006868A2">
            <w:pPr>
              <w:spacing w:before="0" w:after="0"/>
              <w:jc w:val="center"/>
              <w:rPr>
                <w:rFonts w:eastAsia="Times New Roman" w:cs="Arial"/>
                <w:b/>
                <w:bCs/>
                <w:color w:val="000000"/>
                <w:sz w:val="20"/>
                <w:szCs w:val="20"/>
                <w:lang w:eastAsia="es-MX"/>
              </w:rPr>
            </w:pPr>
            <w:r w:rsidRPr="00484E7F">
              <w:rPr>
                <w:rFonts w:eastAsia="Times New Roman" w:cs="Arial"/>
                <w:b/>
                <w:bCs/>
                <w:color w:val="000000"/>
                <w:sz w:val="20"/>
                <w:szCs w:val="20"/>
                <w:lang w:eastAsia="es-MX"/>
              </w:rPr>
              <w:t xml:space="preserve">Programa </w:t>
            </w:r>
            <w:r w:rsidR="00415C7F" w:rsidRPr="00484E7F">
              <w:rPr>
                <w:rFonts w:eastAsia="Times New Roman" w:cs="Arial"/>
                <w:b/>
                <w:bCs/>
                <w:color w:val="000000"/>
                <w:sz w:val="20"/>
                <w:szCs w:val="20"/>
                <w:lang w:eastAsia="es-MX"/>
              </w:rPr>
              <w:t>p</w:t>
            </w:r>
            <w:r w:rsidRPr="00484E7F">
              <w:rPr>
                <w:rFonts w:eastAsia="Times New Roman" w:cs="Arial"/>
                <w:b/>
                <w:bCs/>
                <w:color w:val="000000"/>
                <w:sz w:val="20"/>
                <w:szCs w:val="20"/>
                <w:lang w:eastAsia="es-MX"/>
              </w:rPr>
              <w:t>resupuestario</w:t>
            </w:r>
          </w:p>
        </w:tc>
        <w:tc>
          <w:tcPr>
            <w:tcW w:w="1830" w:type="dxa"/>
            <w:shd w:val="clear" w:color="auto" w:fill="9CC2E5"/>
            <w:vAlign w:val="center"/>
            <w:hideMark/>
          </w:tcPr>
          <w:p w14:paraId="06FBD638" w14:textId="77777777" w:rsidR="006868A2" w:rsidRPr="00484E7F" w:rsidRDefault="006868A2" w:rsidP="006868A2">
            <w:pPr>
              <w:spacing w:before="0" w:after="0"/>
              <w:jc w:val="center"/>
              <w:rPr>
                <w:rFonts w:eastAsia="Times New Roman" w:cs="Arial"/>
                <w:b/>
                <w:bCs/>
                <w:color w:val="000000"/>
                <w:sz w:val="20"/>
                <w:szCs w:val="20"/>
                <w:lang w:eastAsia="es-MX"/>
              </w:rPr>
            </w:pPr>
            <w:r w:rsidRPr="00484E7F">
              <w:rPr>
                <w:rFonts w:eastAsia="Times New Roman" w:cs="Arial"/>
                <w:b/>
                <w:bCs/>
                <w:color w:val="000000"/>
                <w:sz w:val="20"/>
                <w:szCs w:val="20"/>
                <w:lang w:eastAsia="es-MX"/>
              </w:rPr>
              <w:t>Instancia ejecutora</w:t>
            </w:r>
          </w:p>
        </w:tc>
        <w:tc>
          <w:tcPr>
            <w:tcW w:w="5387" w:type="dxa"/>
            <w:shd w:val="clear" w:color="auto" w:fill="9CC2E5"/>
            <w:vAlign w:val="center"/>
            <w:hideMark/>
          </w:tcPr>
          <w:p w14:paraId="0655E0C3" w14:textId="5F6DD194" w:rsidR="006868A2" w:rsidRPr="00484E7F" w:rsidRDefault="006868A2" w:rsidP="006868A2">
            <w:pPr>
              <w:spacing w:before="0" w:after="0"/>
              <w:jc w:val="center"/>
              <w:rPr>
                <w:rFonts w:eastAsia="Times New Roman" w:cs="Arial"/>
                <w:b/>
                <w:bCs/>
                <w:color w:val="000000"/>
                <w:sz w:val="20"/>
                <w:szCs w:val="20"/>
                <w:lang w:eastAsia="es-MX"/>
              </w:rPr>
            </w:pPr>
            <w:r w:rsidRPr="00484E7F">
              <w:rPr>
                <w:rFonts w:eastAsia="Times New Roman" w:cs="Arial"/>
                <w:b/>
                <w:bCs/>
                <w:color w:val="000000"/>
                <w:sz w:val="20"/>
                <w:szCs w:val="20"/>
                <w:lang w:eastAsia="es-MX"/>
              </w:rPr>
              <w:t>Sinergias</w:t>
            </w:r>
            <w:r w:rsidR="00CB7D98">
              <w:rPr>
                <w:rFonts w:eastAsia="Times New Roman" w:cs="Arial"/>
                <w:b/>
                <w:bCs/>
                <w:color w:val="000000"/>
                <w:sz w:val="20"/>
                <w:szCs w:val="20"/>
                <w:lang w:eastAsia="es-MX"/>
              </w:rPr>
              <w:t xml:space="preserve"> que tendría con el Fondo</w:t>
            </w:r>
          </w:p>
        </w:tc>
      </w:tr>
      <w:tr w:rsidR="006868A2" w:rsidRPr="005E1463" w14:paraId="34E748D6" w14:textId="77777777" w:rsidTr="0086476C">
        <w:trPr>
          <w:trHeight w:val="1035"/>
        </w:trPr>
        <w:tc>
          <w:tcPr>
            <w:tcW w:w="2701" w:type="dxa"/>
            <w:shd w:val="clear" w:color="000000" w:fill="FFFFFF"/>
            <w:vAlign w:val="center"/>
            <w:hideMark/>
          </w:tcPr>
          <w:p w14:paraId="33EBDCCB" w14:textId="1191F3CA" w:rsidR="006868A2" w:rsidRPr="00484E7F" w:rsidRDefault="006868A2">
            <w:pPr>
              <w:spacing w:before="0" w:after="0"/>
              <w:rPr>
                <w:rFonts w:eastAsia="Times New Roman" w:cs="Arial"/>
                <w:color w:val="000000"/>
                <w:sz w:val="20"/>
                <w:szCs w:val="20"/>
                <w:lang w:eastAsia="es-MX"/>
              </w:rPr>
            </w:pPr>
            <w:r w:rsidRPr="00484E7F">
              <w:rPr>
                <w:rFonts w:eastAsia="Times New Roman" w:cs="Arial"/>
                <w:color w:val="000000"/>
                <w:sz w:val="20"/>
                <w:szCs w:val="20"/>
                <w:lang w:eastAsia="es-MX"/>
              </w:rPr>
              <w:t>D02-Deuda</w:t>
            </w:r>
          </w:p>
        </w:tc>
        <w:tc>
          <w:tcPr>
            <w:tcW w:w="1830" w:type="dxa"/>
            <w:shd w:val="clear" w:color="auto" w:fill="auto"/>
            <w:vAlign w:val="center"/>
            <w:hideMark/>
          </w:tcPr>
          <w:p w14:paraId="7A82364D" w14:textId="77777777" w:rsidR="006868A2" w:rsidRPr="00484E7F" w:rsidRDefault="006868A2" w:rsidP="00E22F0D">
            <w:pPr>
              <w:spacing w:before="0" w:after="0"/>
              <w:rPr>
                <w:rFonts w:eastAsia="Times New Roman" w:cs="Arial"/>
                <w:color w:val="000000"/>
                <w:sz w:val="20"/>
                <w:szCs w:val="20"/>
                <w:lang w:eastAsia="es-MX"/>
              </w:rPr>
            </w:pPr>
            <w:r w:rsidRPr="00484E7F">
              <w:rPr>
                <w:rFonts w:eastAsia="Times New Roman" w:cs="Arial"/>
                <w:color w:val="000000"/>
                <w:sz w:val="20"/>
                <w:szCs w:val="20"/>
                <w:lang w:eastAsia="es-MX"/>
              </w:rPr>
              <w:t>Coordinación de Planeación Financiera</w:t>
            </w:r>
          </w:p>
        </w:tc>
        <w:tc>
          <w:tcPr>
            <w:tcW w:w="5387" w:type="dxa"/>
            <w:shd w:val="clear" w:color="auto" w:fill="auto"/>
            <w:vAlign w:val="center"/>
            <w:hideMark/>
          </w:tcPr>
          <w:p w14:paraId="706A3104" w14:textId="01FBF787" w:rsidR="006868A2" w:rsidRPr="00484E7F" w:rsidRDefault="006868A2" w:rsidP="006868A2">
            <w:pPr>
              <w:spacing w:before="0" w:after="0"/>
              <w:rPr>
                <w:rFonts w:eastAsia="Times New Roman" w:cs="Arial"/>
                <w:color w:val="000000"/>
                <w:sz w:val="20"/>
                <w:szCs w:val="20"/>
                <w:lang w:eastAsia="es-MX"/>
              </w:rPr>
            </w:pPr>
            <w:r w:rsidRPr="00484E7F">
              <w:rPr>
                <w:rFonts w:eastAsia="Times New Roman" w:cs="Arial"/>
                <w:color w:val="000000"/>
                <w:sz w:val="20"/>
                <w:szCs w:val="20"/>
                <w:lang w:eastAsia="es-MX"/>
              </w:rPr>
              <w:t xml:space="preserve">Según el Informe analítico de la deuda pública y otros pasivos, del 01 de enero al 31 de diciembre de 2018, el FAFEF contribuyó con el </w:t>
            </w:r>
            <w:r w:rsidR="00AE4581" w:rsidRPr="00484E7F">
              <w:rPr>
                <w:rFonts w:eastAsia="Times New Roman" w:cs="Arial"/>
                <w:color w:val="000000"/>
                <w:sz w:val="20"/>
                <w:szCs w:val="20"/>
                <w:lang w:eastAsia="es-MX"/>
              </w:rPr>
              <w:t>34.7</w:t>
            </w:r>
            <w:r w:rsidRPr="00484E7F">
              <w:rPr>
                <w:rFonts w:eastAsia="Times New Roman" w:cs="Arial"/>
                <w:color w:val="000000"/>
                <w:sz w:val="20"/>
                <w:szCs w:val="20"/>
                <w:lang w:eastAsia="es-MX"/>
              </w:rPr>
              <w:t xml:space="preserve"> % del monto total pagado en amortizaciones</w:t>
            </w:r>
            <w:r w:rsidR="00AE4581" w:rsidRPr="00484E7F">
              <w:rPr>
                <w:rFonts w:eastAsia="Times New Roman" w:cs="Arial"/>
                <w:color w:val="000000"/>
                <w:sz w:val="20"/>
                <w:szCs w:val="20"/>
                <w:lang w:eastAsia="es-MX"/>
              </w:rPr>
              <w:t>, intereses</w:t>
            </w:r>
            <w:r w:rsidRPr="00484E7F">
              <w:rPr>
                <w:rFonts w:eastAsia="Times New Roman" w:cs="Arial"/>
                <w:color w:val="000000"/>
                <w:sz w:val="20"/>
                <w:szCs w:val="20"/>
                <w:lang w:eastAsia="es-MX"/>
              </w:rPr>
              <w:t xml:space="preserve"> y comisiones de la deuda pública estatal en ese periodo. </w:t>
            </w:r>
          </w:p>
        </w:tc>
      </w:tr>
      <w:tr w:rsidR="006868A2" w:rsidRPr="005E1463" w14:paraId="09CA3133" w14:textId="77777777" w:rsidTr="0086476C">
        <w:trPr>
          <w:trHeight w:val="1035"/>
        </w:trPr>
        <w:tc>
          <w:tcPr>
            <w:tcW w:w="2701" w:type="dxa"/>
            <w:shd w:val="clear" w:color="000000" w:fill="FFFFFF"/>
            <w:vAlign w:val="center"/>
            <w:hideMark/>
          </w:tcPr>
          <w:p w14:paraId="27E20040" w14:textId="3530DA3B" w:rsidR="006868A2" w:rsidRPr="00484E7F" w:rsidRDefault="006427E5">
            <w:pPr>
              <w:spacing w:before="0" w:after="0"/>
              <w:rPr>
                <w:rFonts w:eastAsia="Times New Roman" w:cs="Arial"/>
                <w:color w:val="000000"/>
                <w:sz w:val="20"/>
                <w:szCs w:val="20"/>
                <w:lang w:eastAsia="es-MX"/>
              </w:rPr>
            </w:pPr>
            <w:r w:rsidRPr="00484E7F">
              <w:rPr>
                <w:rFonts w:eastAsia="Times New Roman" w:cs="Arial"/>
                <w:color w:val="000000"/>
                <w:sz w:val="20"/>
                <w:szCs w:val="20"/>
                <w:lang w:eastAsia="es-MX"/>
              </w:rPr>
              <w:t>R01–Gobernabilidad y Gobernanza</w:t>
            </w:r>
          </w:p>
        </w:tc>
        <w:tc>
          <w:tcPr>
            <w:tcW w:w="1830" w:type="dxa"/>
            <w:shd w:val="clear" w:color="auto" w:fill="auto"/>
            <w:vAlign w:val="center"/>
            <w:hideMark/>
          </w:tcPr>
          <w:p w14:paraId="24306E2B" w14:textId="77777777" w:rsidR="006868A2" w:rsidRPr="00484E7F" w:rsidRDefault="006868A2" w:rsidP="00E22F0D">
            <w:pPr>
              <w:spacing w:before="0" w:after="0"/>
              <w:rPr>
                <w:rFonts w:eastAsia="Times New Roman" w:cs="Arial"/>
                <w:color w:val="000000"/>
                <w:sz w:val="20"/>
                <w:szCs w:val="20"/>
                <w:lang w:eastAsia="es-MX"/>
              </w:rPr>
            </w:pPr>
            <w:r w:rsidRPr="00484E7F">
              <w:rPr>
                <w:rFonts w:eastAsia="Times New Roman" w:cs="Arial"/>
                <w:color w:val="000000"/>
                <w:sz w:val="20"/>
                <w:szCs w:val="20"/>
                <w:lang w:eastAsia="es-MX"/>
              </w:rPr>
              <w:t>Secretaría de Gobierno</w:t>
            </w:r>
          </w:p>
        </w:tc>
        <w:tc>
          <w:tcPr>
            <w:tcW w:w="5387" w:type="dxa"/>
            <w:shd w:val="clear" w:color="auto" w:fill="auto"/>
            <w:noWrap/>
            <w:vAlign w:val="center"/>
            <w:hideMark/>
          </w:tcPr>
          <w:p w14:paraId="70FF3611" w14:textId="202F0A7A" w:rsidR="006868A2" w:rsidRPr="00484E7F" w:rsidRDefault="006427E5" w:rsidP="00415C7F">
            <w:pPr>
              <w:spacing w:before="0" w:after="0"/>
              <w:rPr>
                <w:rFonts w:eastAsia="Times New Roman" w:cs="Arial"/>
                <w:color w:val="000000"/>
                <w:sz w:val="20"/>
                <w:szCs w:val="20"/>
                <w:lang w:eastAsia="es-MX"/>
              </w:rPr>
            </w:pPr>
            <w:r w:rsidRPr="00484E7F">
              <w:rPr>
                <w:rFonts w:eastAsia="Times New Roman" w:cs="Arial"/>
                <w:color w:val="000000"/>
                <w:sz w:val="20"/>
                <w:szCs w:val="20"/>
                <w:lang w:eastAsia="es-MX"/>
              </w:rPr>
              <w:t>El FAFEF c</w:t>
            </w:r>
            <w:r w:rsidR="00415C7F" w:rsidRPr="00484E7F">
              <w:rPr>
                <w:rFonts w:eastAsia="Times New Roman" w:cs="Arial"/>
                <w:color w:val="000000"/>
                <w:sz w:val="20"/>
                <w:szCs w:val="20"/>
                <w:lang w:eastAsia="es-MX"/>
              </w:rPr>
              <w:t>ontribu</w:t>
            </w:r>
            <w:r w:rsidR="00AE4581" w:rsidRPr="00484E7F">
              <w:rPr>
                <w:rFonts w:eastAsia="Times New Roman" w:cs="Arial"/>
                <w:color w:val="000000"/>
                <w:sz w:val="20"/>
                <w:szCs w:val="20"/>
                <w:lang w:eastAsia="es-MX"/>
              </w:rPr>
              <w:t>ye</w:t>
            </w:r>
            <w:r w:rsidR="00415C7F" w:rsidRPr="00484E7F">
              <w:rPr>
                <w:rFonts w:eastAsia="Times New Roman" w:cs="Arial"/>
                <w:color w:val="000000"/>
                <w:sz w:val="20"/>
                <w:szCs w:val="20"/>
                <w:lang w:eastAsia="es-MX"/>
              </w:rPr>
              <w:t xml:space="preserve"> al fortalecimiento de las políticas públicas para atender las problemáticas de la población hidalguense a través de la canalización y cooperación, privilegiando la tolerancia y el diálogo con apego a derechos humanos y perspectiva de género</w:t>
            </w:r>
            <w:r w:rsidRPr="00484E7F">
              <w:rPr>
                <w:rFonts w:eastAsia="Times New Roman" w:cs="Arial"/>
                <w:color w:val="000000"/>
                <w:sz w:val="20"/>
                <w:szCs w:val="20"/>
                <w:lang w:eastAsia="es-MX"/>
              </w:rPr>
              <w:t>, a través del financiamiento de proyectos de inversión en esta materia.</w:t>
            </w:r>
          </w:p>
        </w:tc>
      </w:tr>
      <w:tr w:rsidR="006868A2" w:rsidRPr="005E1463" w14:paraId="5C02DE56" w14:textId="77777777" w:rsidTr="0086476C">
        <w:trPr>
          <w:trHeight w:val="765"/>
        </w:trPr>
        <w:tc>
          <w:tcPr>
            <w:tcW w:w="2701" w:type="dxa"/>
            <w:shd w:val="clear" w:color="000000" w:fill="FFFFFF"/>
            <w:vAlign w:val="center"/>
            <w:hideMark/>
          </w:tcPr>
          <w:p w14:paraId="1D30C3FA" w14:textId="2304D7B1" w:rsidR="006868A2" w:rsidRPr="00484E7F" w:rsidRDefault="006427E5">
            <w:pPr>
              <w:spacing w:before="0" w:after="0"/>
              <w:rPr>
                <w:rFonts w:eastAsia="Times New Roman" w:cs="Arial"/>
                <w:color w:val="000000"/>
                <w:sz w:val="20"/>
                <w:szCs w:val="20"/>
                <w:lang w:eastAsia="es-MX"/>
              </w:rPr>
            </w:pPr>
            <w:r w:rsidRPr="00484E7F">
              <w:rPr>
                <w:rFonts w:eastAsia="Times New Roman" w:cs="Arial"/>
                <w:color w:val="000000"/>
                <w:sz w:val="20"/>
                <w:szCs w:val="20"/>
                <w:lang w:eastAsia="es-MX"/>
              </w:rPr>
              <w:t>E01</w:t>
            </w:r>
            <w:r w:rsidR="006868A2" w:rsidRPr="00484E7F">
              <w:rPr>
                <w:rFonts w:eastAsia="Times New Roman" w:cs="Arial"/>
                <w:color w:val="000000"/>
                <w:sz w:val="20"/>
                <w:szCs w:val="20"/>
                <w:lang w:eastAsia="es-MX"/>
              </w:rPr>
              <w:t>-Infraestructura de Comunicaciones</w:t>
            </w:r>
          </w:p>
        </w:tc>
        <w:tc>
          <w:tcPr>
            <w:tcW w:w="1830" w:type="dxa"/>
            <w:shd w:val="clear" w:color="auto" w:fill="auto"/>
            <w:vAlign w:val="center"/>
            <w:hideMark/>
          </w:tcPr>
          <w:p w14:paraId="72DB196C" w14:textId="77777777" w:rsidR="006868A2" w:rsidRPr="00484E7F" w:rsidRDefault="006868A2" w:rsidP="00E22F0D">
            <w:pPr>
              <w:spacing w:before="0" w:after="0"/>
              <w:rPr>
                <w:rFonts w:eastAsia="Times New Roman" w:cs="Arial"/>
                <w:color w:val="000000"/>
                <w:sz w:val="20"/>
                <w:szCs w:val="20"/>
                <w:lang w:eastAsia="es-MX"/>
              </w:rPr>
            </w:pPr>
            <w:r w:rsidRPr="00484E7F">
              <w:rPr>
                <w:rFonts w:eastAsia="Times New Roman" w:cs="Arial"/>
                <w:color w:val="000000"/>
                <w:sz w:val="20"/>
                <w:szCs w:val="20"/>
                <w:lang w:eastAsia="es-MX"/>
              </w:rPr>
              <w:t>Secretaría de Obras Públicas y Ordenamiento Territorial (SOPOT).</w:t>
            </w:r>
          </w:p>
        </w:tc>
        <w:tc>
          <w:tcPr>
            <w:tcW w:w="5387" w:type="dxa"/>
            <w:shd w:val="clear" w:color="auto" w:fill="auto"/>
            <w:noWrap/>
            <w:vAlign w:val="center"/>
            <w:hideMark/>
          </w:tcPr>
          <w:p w14:paraId="5A6B28A3" w14:textId="0BD36BB5" w:rsidR="006868A2" w:rsidRPr="00484E7F" w:rsidRDefault="00616C3E" w:rsidP="00AE4581">
            <w:pPr>
              <w:spacing w:before="0" w:after="0"/>
              <w:rPr>
                <w:rFonts w:eastAsia="Times New Roman" w:cs="Arial"/>
                <w:color w:val="000000"/>
                <w:sz w:val="20"/>
                <w:szCs w:val="20"/>
                <w:lang w:eastAsia="es-MX"/>
              </w:rPr>
            </w:pPr>
            <w:r w:rsidRPr="00484E7F">
              <w:rPr>
                <w:rFonts w:eastAsia="Times New Roman" w:cs="Arial"/>
                <w:color w:val="000000"/>
                <w:sz w:val="20"/>
                <w:szCs w:val="20"/>
                <w:lang w:eastAsia="es-MX"/>
              </w:rPr>
              <w:t xml:space="preserve">Contribuye con la construcción y mantenimiento de vías de comunicación transitables dentro de localidades, municipios y regiones del </w:t>
            </w:r>
            <w:r w:rsidR="00D473BA" w:rsidRPr="00484E7F">
              <w:rPr>
                <w:rFonts w:eastAsia="Times New Roman" w:cs="Arial"/>
                <w:color w:val="000000"/>
                <w:sz w:val="20"/>
                <w:szCs w:val="20"/>
                <w:lang w:eastAsia="es-MX"/>
              </w:rPr>
              <w:t>E</w:t>
            </w:r>
            <w:r w:rsidRPr="00484E7F">
              <w:rPr>
                <w:rFonts w:eastAsia="Times New Roman" w:cs="Arial"/>
                <w:color w:val="000000"/>
                <w:sz w:val="20"/>
                <w:szCs w:val="20"/>
                <w:lang w:eastAsia="es-MX"/>
              </w:rPr>
              <w:t>stado de Hidalgo, para la movilidad segura de personas, bienes y mercancías.</w:t>
            </w:r>
          </w:p>
        </w:tc>
      </w:tr>
      <w:tr w:rsidR="006868A2" w:rsidRPr="005E1463" w14:paraId="0ACE2DE5" w14:textId="77777777" w:rsidTr="0086476C">
        <w:trPr>
          <w:trHeight w:val="1035"/>
        </w:trPr>
        <w:tc>
          <w:tcPr>
            <w:tcW w:w="2701" w:type="dxa"/>
            <w:shd w:val="clear" w:color="000000" w:fill="FFFFFF"/>
            <w:vAlign w:val="center"/>
            <w:hideMark/>
          </w:tcPr>
          <w:p w14:paraId="054BA7C6" w14:textId="17FC9AAA" w:rsidR="006868A2" w:rsidRPr="00484E7F" w:rsidRDefault="00C47BE4">
            <w:pPr>
              <w:spacing w:before="0" w:after="0"/>
              <w:rPr>
                <w:rFonts w:eastAsia="Times New Roman" w:cs="Arial"/>
                <w:color w:val="000000"/>
                <w:sz w:val="20"/>
                <w:szCs w:val="20"/>
                <w:lang w:eastAsia="es-MX"/>
              </w:rPr>
            </w:pPr>
            <w:r w:rsidRPr="00484E7F">
              <w:rPr>
                <w:rFonts w:eastAsia="Times New Roman" w:cs="Arial"/>
                <w:color w:val="000000"/>
                <w:sz w:val="20"/>
                <w:szCs w:val="20"/>
                <w:lang w:eastAsia="es-MX"/>
              </w:rPr>
              <w:t>P08</w:t>
            </w:r>
            <w:r w:rsidR="006868A2" w:rsidRPr="00484E7F">
              <w:rPr>
                <w:rFonts w:eastAsia="Times New Roman" w:cs="Arial"/>
                <w:color w:val="000000"/>
                <w:sz w:val="20"/>
                <w:szCs w:val="20"/>
                <w:lang w:eastAsia="es-MX"/>
              </w:rPr>
              <w:t>-Atención a Adultos Mayores</w:t>
            </w:r>
          </w:p>
        </w:tc>
        <w:tc>
          <w:tcPr>
            <w:tcW w:w="1830" w:type="dxa"/>
            <w:shd w:val="clear" w:color="auto" w:fill="auto"/>
            <w:vAlign w:val="center"/>
            <w:hideMark/>
          </w:tcPr>
          <w:p w14:paraId="42701053" w14:textId="77777777" w:rsidR="006868A2" w:rsidRPr="00484E7F" w:rsidRDefault="006868A2" w:rsidP="00E22F0D">
            <w:pPr>
              <w:spacing w:before="0" w:after="0"/>
              <w:rPr>
                <w:rFonts w:eastAsia="Times New Roman" w:cs="Arial"/>
                <w:color w:val="000000"/>
                <w:sz w:val="20"/>
                <w:szCs w:val="20"/>
                <w:lang w:eastAsia="es-MX"/>
              </w:rPr>
            </w:pPr>
            <w:r w:rsidRPr="00484E7F">
              <w:rPr>
                <w:rFonts w:eastAsia="Times New Roman" w:cs="Arial"/>
                <w:color w:val="000000"/>
                <w:sz w:val="20"/>
                <w:szCs w:val="20"/>
                <w:lang w:eastAsia="es-MX"/>
              </w:rPr>
              <w:t>Instituto para la Atención de las y los Adultos Mayores del Estado de Hidalgo</w:t>
            </w:r>
          </w:p>
        </w:tc>
        <w:tc>
          <w:tcPr>
            <w:tcW w:w="5387" w:type="dxa"/>
            <w:shd w:val="clear" w:color="auto" w:fill="auto"/>
            <w:noWrap/>
            <w:vAlign w:val="center"/>
            <w:hideMark/>
          </w:tcPr>
          <w:p w14:paraId="602F1F3C" w14:textId="39363B12" w:rsidR="006868A2" w:rsidRPr="00484E7F" w:rsidRDefault="00C47BE4" w:rsidP="00AE4581">
            <w:pPr>
              <w:spacing w:before="0" w:after="0"/>
              <w:rPr>
                <w:rFonts w:eastAsia="Times New Roman" w:cs="Arial"/>
                <w:color w:val="000000"/>
                <w:sz w:val="20"/>
                <w:szCs w:val="20"/>
                <w:lang w:eastAsia="es-MX"/>
              </w:rPr>
            </w:pPr>
            <w:r w:rsidRPr="00484E7F">
              <w:rPr>
                <w:rFonts w:eastAsia="Times New Roman" w:cs="Arial"/>
                <w:color w:val="000000"/>
                <w:sz w:val="20"/>
                <w:szCs w:val="20"/>
                <w:lang w:eastAsia="es-MX"/>
              </w:rPr>
              <w:t>Contribuye al desarrollo integral de las personas adultas mayores mediante</w:t>
            </w:r>
            <w:r w:rsidR="00616C3E" w:rsidRPr="00484E7F">
              <w:rPr>
                <w:rFonts w:eastAsia="Times New Roman" w:cs="Arial"/>
                <w:color w:val="000000"/>
                <w:sz w:val="20"/>
                <w:szCs w:val="20"/>
                <w:lang w:eastAsia="es-MX"/>
              </w:rPr>
              <w:t xml:space="preserve"> al desarrollo de infraestructura de atención gerontológica</w:t>
            </w:r>
            <w:r w:rsidRPr="00484E7F">
              <w:rPr>
                <w:rFonts w:eastAsia="Times New Roman" w:cs="Arial"/>
                <w:color w:val="000000"/>
                <w:sz w:val="20"/>
                <w:szCs w:val="20"/>
                <w:lang w:eastAsia="es-MX"/>
              </w:rPr>
              <w:t>.</w:t>
            </w:r>
          </w:p>
        </w:tc>
      </w:tr>
      <w:tr w:rsidR="00B510B9" w:rsidRPr="005E1463" w14:paraId="74A7D89A" w14:textId="77777777" w:rsidTr="00E67E43">
        <w:trPr>
          <w:trHeight w:val="1060"/>
        </w:trPr>
        <w:tc>
          <w:tcPr>
            <w:tcW w:w="2701" w:type="dxa"/>
            <w:shd w:val="clear" w:color="000000" w:fill="FFFFFF"/>
            <w:vAlign w:val="center"/>
          </w:tcPr>
          <w:p w14:paraId="1FFC750E" w14:textId="04AC3D34" w:rsidR="00B510B9" w:rsidRPr="00484E7F" w:rsidRDefault="00B510B9">
            <w:pPr>
              <w:spacing w:before="0" w:after="0"/>
              <w:rPr>
                <w:rFonts w:eastAsia="Times New Roman" w:cs="Arial"/>
                <w:color w:val="000000"/>
                <w:sz w:val="20"/>
                <w:szCs w:val="20"/>
                <w:lang w:eastAsia="es-MX"/>
              </w:rPr>
            </w:pPr>
            <w:r w:rsidRPr="00484E7F">
              <w:rPr>
                <w:rFonts w:eastAsia="Times New Roman" w:cs="Arial"/>
                <w:color w:val="000000"/>
                <w:sz w:val="20"/>
                <w:szCs w:val="20"/>
                <w:lang w:eastAsia="es-MX"/>
              </w:rPr>
              <w:t>P02-Ordenamiento Territorial y Equipamiento</w:t>
            </w:r>
            <w:r w:rsidRPr="00484E7F">
              <w:rPr>
                <w:rFonts w:eastAsia="Times New Roman" w:cs="Arial"/>
                <w:color w:val="000000"/>
                <w:sz w:val="20"/>
                <w:szCs w:val="20"/>
                <w:lang w:eastAsia="es-MX"/>
              </w:rPr>
              <w:cr/>
            </w:r>
          </w:p>
          <w:p w14:paraId="22C36FA7" w14:textId="3C9317AD" w:rsidR="00B510B9" w:rsidRPr="00484E7F" w:rsidRDefault="00B510B9" w:rsidP="00E67E43">
            <w:pPr>
              <w:spacing w:before="0" w:after="0"/>
              <w:rPr>
                <w:rFonts w:eastAsia="Times New Roman" w:cs="Arial"/>
                <w:color w:val="000000"/>
                <w:sz w:val="20"/>
                <w:szCs w:val="20"/>
                <w:lang w:eastAsia="es-MX"/>
              </w:rPr>
            </w:pPr>
          </w:p>
        </w:tc>
        <w:tc>
          <w:tcPr>
            <w:tcW w:w="1830" w:type="dxa"/>
            <w:shd w:val="clear" w:color="auto" w:fill="auto"/>
            <w:vAlign w:val="center"/>
          </w:tcPr>
          <w:p w14:paraId="53E11811" w14:textId="72002940" w:rsidR="00B510B9" w:rsidRPr="00484E7F" w:rsidRDefault="00B510B9" w:rsidP="00E22F0D">
            <w:pPr>
              <w:spacing w:before="0" w:after="0"/>
              <w:rPr>
                <w:rFonts w:eastAsia="Times New Roman" w:cs="Arial"/>
                <w:color w:val="000000"/>
                <w:sz w:val="20"/>
                <w:szCs w:val="20"/>
                <w:lang w:eastAsia="es-MX"/>
              </w:rPr>
            </w:pPr>
            <w:r w:rsidRPr="00484E7F">
              <w:rPr>
                <w:rFonts w:eastAsia="Times New Roman" w:cs="Arial"/>
                <w:color w:val="000000"/>
                <w:sz w:val="20"/>
                <w:szCs w:val="20"/>
                <w:lang w:eastAsia="es-MX"/>
              </w:rPr>
              <w:t>SOPOT</w:t>
            </w:r>
          </w:p>
          <w:p w14:paraId="3E9F1BC1" w14:textId="0B3B818D" w:rsidR="00B510B9" w:rsidRPr="00484E7F" w:rsidRDefault="00B510B9" w:rsidP="00E22F0D">
            <w:pPr>
              <w:spacing w:before="0" w:after="0"/>
              <w:rPr>
                <w:rFonts w:eastAsia="Times New Roman" w:cs="Arial"/>
                <w:color w:val="000000"/>
                <w:sz w:val="20"/>
                <w:szCs w:val="20"/>
                <w:lang w:eastAsia="es-MX"/>
              </w:rPr>
            </w:pPr>
          </w:p>
        </w:tc>
        <w:tc>
          <w:tcPr>
            <w:tcW w:w="5387" w:type="dxa"/>
            <w:shd w:val="clear" w:color="auto" w:fill="auto"/>
            <w:noWrap/>
            <w:vAlign w:val="center"/>
            <w:hideMark/>
          </w:tcPr>
          <w:p w14:paraId="78F89CE4" w14:textId="688CFA2E" w:rsidR="00B510B9" w:rsidRPr="00484E7F" w:rsidRDefault="00B510B9" w:rsidP="00AE4581">
            <w:pPr>
              <w:spacing w:before="0" w:after="0"/>
              <w:rPr>
                <w:rFonts w:eastAsia="Times New Roman" w:cs="Arial"/>
                <w:color w:val="000000"/>
                <w:sz w:val="20"/>
                <w:szCs w:val="20"/>
                <w:lang w:eastAsia="es-MX"/>
              </w:rPr>
            </w:pPr>
            <w:r w:rsidRPr="00484E7F">
              <w:rPr>
                <w:rFonts w:eastAsia="Times New Roman" w:cs="Arial"/>
                <w:color w:val="000000"/>
                <w:sz w:val="20"/>
                <w:szCs w:val="20"/>
                <w:lang w:eastAsia="es-MX"/>
              </w:rPr>
              <w:t>Contribuye al desarrollo de las regiones del Estado de Hidalgo, mediante el aumento de acciones en materia de obra pública y el aumento de acciones en materia de agua, drenaje y saneamiento.</w:t>
            </w:r>
            <w:r w:rsidR="00771353">
              <w:rPr>
                <w:rFonts w:eastAsia="Times New Roman" w:cs="Arial"/>
                <w:color w:val="000000"/>
                <w:sz w:val="20"/>
                <w:szCs w:val="20"/>
                <w:lang w:eastAsia="es-MX"/>
              </w:rPr>
              <w:t xml:space="preserve">  </w:t>
            </w:r>
          </w:p>
        </w:tc>
      </w:tr>
      <w:tr w:rsidR="006868A2" w:rsidRPr="005E1463" w14:paraId="2AC5091B" w14:textId="77777777" w:rsidTr="0086476C">
        <w:trPr>
          <w:trHeight w:val="1035"/>
        </w:trPr>
        <w:tc>
          <w:tcPr>
            <w:tcW w:w="2701" w:type="dxa"/>
            <w:shd w:val="clear" w:color="000000" w:fill="FFFFFF"/>
            <w:vAlign w:val="center"/>
            <w:hideMark/>
          </w:tcPr>
          <w:p w14:paraId="41CD7464" w14:textId="4A2777EC" w:rsidR="006868A2" w:rsidRPr="00484E7F" w:rsidRDefault="00B510B9">
            <w:pPr>
              <w:spacing w:before="0" w:after="0"/>
              <w:rPr>
                <w:rFonts w:eastAsia="Times New Roman" w:cs="Arial"/>
                <w:color w:val="000000"/>
                <w:sz w:val="20"/>
                <w:szCs w:val="20"/>
                <w:lang w:eastAsia="es-MX"/>
              </w:rPr>
            </w:pPr>
            <w:r w:rsidRPr="005E1463">
              <w:rPr>
                <w:rFonts w:cs="Arial"/>
                <w:sz w:val="20"/>
                <w:szCs w:val="20"/>
              </w:rPr>
              <w:t>E01-Infraestructura Agrícola</w:t>
            </w:r>
          </w:p>
        </w:tc>
        <w:tc>
          <w:tcPr>
            <w:tcW w:w="1830" w:type="dxa"/>
            <w:shd w:val="clear" w:color="auto" w:fill="auto"/>
            <w:vAlign w:val="center"/>
            <w:hideMark/>
          </w:tcPr>
          <w:p w14:paraId="01F6F66D" w14:textId="77777777" w:rsidR="006868A2" w:rsidRPr="00484E7F" w:rsidRDefault="006868A2" w:rsidP="00E22F0D">
            <w:pPr>
              <w:spacing w:before="0" w:after="0"/>
              <w:rPr>
                <w:rFonts w:eastAsia="Times New Roman" w:cs="Arial"/>
                <w:color w:val="000000"/>
                <w:sz w:val="20"/>
                <w:szCs w:val="20"/>
                <w:lang w:eastAsia="es-MX"/>
              </w:rPr>
            </w:pPr>
            <w:r w:rsidRPr="00484E7F">
              <w:rPr>
                <w:rFonts w:eastAsia="Times New Roman" w:cs="Arial"/>
                <w:color w:val="000000"/>
                <w:sz w:val="20"/>
                <w:szCs w:val="20"/>
                <w:lang w:eastAsia="es-MX"/>
              </w:rPr>
              <w:t>Dirección General de Agricultura e Infraestructura Hidroagrícola</w:t>
            </w:r>
          </w:p>
        </w:tc>
        <w:tc>
          <w:tcPr>
            <w:tcW w:w="5387" w:type="dxa"/>
            <w:shd w:val="clear" w:color="auto" w:fill="auto"/>
            <w:noWrap/>
            <w:vAlign w:val="center"/>
            <w:hideMark/>
          </w:tcPr>
          <w:p w14:paraId="7A585BC2" w14:textId="2CF8779B" w:rsidR="006868A2" w:rsidRPr="00484E7F" w:rsidRDefault="00B510B9" w:rsidP="00AE4581">
            <w:pPr>
              <w:spacing w:before="0" w:after="0"/>
              <w:rPr>
                <w:rFonts w:eastAsia="Times New Roman" w:cs="Arial"/>
                <w:color w:val="000000"/>
                <w:sz w:val="20"/>
                <w:szCs w:val="20"/>
                <w:lang w:eastAsia="es-MX"/>
              </w:rPr>
            </w:pPr>
            <w:r w:rsidRPr="005E1463">
              <w:rPr>
                <w:rFonts w:cs="Arial"/>
                <w:sz w:val="20"/>
                <w:szCs w:val="20"/>
              </w:rPr>
              <w:t>Contribuye a incrementar la competitividad de las y los productores agrícolas y al manejo sostenible de recursos empleados en la producción del sector; mediante la construcción de mejor infraestructura y un mayor volumen de productos agrícolas</w:t>
            </w:r>
          </w:p>
        </w:tc>
      </w:tr>
      <w:tr w:rsidR="00C47BE4" w:rsidRPr="005E1463" w14:paraId="2F020CF9" w14:textId="77777777" w:rsidTr="0086476C">
        <w:trPr>
          <w:trHeight w:val="1465"/>
        </w:trPr>
        <w:tc>
          <w:tcPr>
            <w:tcW w:w="2701" w:type="dxa"/>
            <w:shd w:val="clear" w:color="000000" w:fill="FFFFFF"/>
            <w:vAlign w:val="center"/>
            <w:hideMark/>
          </w:tcPr>
          <w:p w14:paraId="63FB234E" w14:textId="55C66823" w:rsidR="00C47BE4" w:rsidRPr="00484E7F" w:rsidRDefault="00C47BE4">
            <w:pPr>
              <w:spacing w:before="0" w:after="0"/>
              <w:rPr>
                <w:rFonts w:eastAsia="Times New Roman" w:cs="Arial"/>
                <w:color w:val="000000"/>
                <w:sz w:val="20"/>
                <w:szCs w:val="20"/>
                <w:lang w:eastAsia="es-MX"/>
              </w:rPr>
            </w:pPr>
            <w:r w:rsidRPr="00484E7F">
              <w:rPr>
                <w:rFonts w:eastAsia="Times New Roman" w:cs="Arial"/>
                <w:color w:val="000000"/>
                <w:sz w:val="20"/>
                <w:szCs w:val="20"/>
                <w:lang w:eastAsia="es-MX"/>
              </w:rPr>
              <w:t>E03-Desarrollo</w:t>
            </w:r>
            <w:r w:rsidR="00463100" w:rsidRPr="00484E7F">
              <w:rPr>
                <w:rFonts w:eastAsia="Times New Roman" w:cs="Arial"/>
                <w:color w:val="000000"/>
                <w:sz w:val="20"/>
                <w:szCs w:val="20"/>
                <w:lang w:eastAsia="es-MX"/>
              </w:rPr>
              <w:t xml:space="preserve"> </w:t>
            </w:r>
            <w:r w:rsidRPr="00484E7F">
              <w:rPr>
                <w:rFonts w:eastAsia="Times New Roman" w:cs="Arial"/>
                <w:color w:val="000000"/>
                <w:sz w:val="20"/>
                <w:szCs w:val="20"/>
                <w:lang w:eastAsia="es-MX"/>
              </w:rPr>
              <w:t>e Infraestructura turística</w:t>
            </w:r>
          </w:p>
        </w:tc>
        <w:tc>
          <w:tcPr>
            <w:tcW w:w="1830" w:type="dxa"/>
            <w:shd w:val="clear" w:color="auto" w:fill="auto"/>
            <w:vAlign w:val="center"/>
            <w:hideMark/>
          </w:tcPr>
          <w:p w14:paraId="348640A7" w14:textId="77777777" w:rsidR="00C47BE4" w:rsidRPr="00484E7F" w:rsidRDefault="00C47BE4" w:rsidP="00E22F0D">
            <w:pPr>
              <w:spacing w:before="0" w:after="0"/>
              <w:rPr>
                <w:rFonts w:eastAsia="Times New Roman" w:cs="Arial"/>
                <w:color w:val="000000"/>
                <w:sz w:val="20"/>
                <w:szCs w:val="20"/>
                <w:lang w:eastAsia="es-MX"/>
              </w:rPr>
            </w:pPr>
            <w:r w:rsidRPr="00484E7F">
              <w:rPr>
                <w:rFonts w:eastAsia="Times New Roman" w:cs="Arial"/>
                <w:color w:val="000000"/>
                <w:sz w:val="20"/>
                <w:szCs w:val="20"/>
                <w:lang w:eastAsia="es-MX"/>
              </w:rPr>
              <w:t>Secretaría de Turismo</w:t>
            </w:r>
          </w:p>
        </w:tc>
        <w:tc>
          <w:tcPr>
            <w:tcW w:w="5387" w:type="dxa"/>
            <w:shd w:val="clear" w:color="auto" w:fill="auto"/>
            <w:noWrap/>
            <w:vAlign w:val="center"/>
            <w:hideMark/>
          </w:tcPr>
          <w:p w14:paraId="1D6B0DED" w14:textId="79E57B78" w:rsidR="00C47BE4" w:rsidRPr="00484E7F" w:rsidRDefault="00C47BE4" w:rsidP="00AE4581">
            <w:pPr>
              <w:spacing w:before="0" w:after="0"/>
              <w:rPr>
                <w:rFonts w:eastAsia="Times New Roman" w:cs="Arial"/>
                <w:color w:val="000000"/>
                <w:sz w:val="20"/>
                <w:szCs w:val="20"/>
                <w:lang w:eastAsia="es-MX"/>
              </w:rPr>
            </w:pPr>
            <w:r w:rsidRPr="00484E7F">
              <w:rPr>
                <w:rFonts w:eastAsia="Times New Roman" w:cs="Arial"/>
                <w:color w:val="000000"/>
                <w:sz w:val="20"/>
                <w:szCs w:val="20"/>
                <w:lang w:eastAsia="es-MX"/>
              </w:rPr>
              <w:t>Contribuye a redimensionar el turismo como una actividad económica socialmente responsable, que favorezca la atracción de inversiones destinadas a la infraestructura y servicios de calidad, así como el desarrollo local y el mercado interno a través del emprendimiento de proyectos, programas, planes y acciones que propicien la inversión pública y privada dentro del sector </w:t>
            </w:r>
          </w:p>
        </w:tc>
      </w:tr>
      <w:tr w:rsidR="006868A2" w:rsidRPr="005E1463" w14:paraId="22E24E41" w14:textId="77777777" w:rsidTr="0086476C">
        <w:trPr>
          <w:trHeight w:val="1035"/>
        </w:trPr>
        <w:tc>
          <w:tcPr>
            <w:tcW w:w="2701" w:type="dxa"/>
            <w:shd w:val="clear" w:color="000000" w:fill="FFFFFF"/>
            <w:vAlign w:val="center"/>
            <w:hideMark/>
          </w:tcPr>
          <w:p w14:paraId="5522AEA2" w14:textId="3795E9B2" w:rsidR="006868A2" w:rsidRPr="00484E7F" w:rsidRDefault="00C47BE4">
            <w:pPr>
              <w:spacing w:before="0" w:after="0"/>
              <w:rPr>
                <w:rFonts w:eastAsia="Times New Roman" w:cs="Arial"/>
                <w:color w:val="000000"/>
                <w:sz w:val="20"/>
                <w:szCs w:val="20"/>
                <w:lang w:eastAsia="es-MX"/>
              </w:rPr>
            </w:pPr>
            <w:r w:rsidRPr="00484E7F">
              <w:rPr>
                <w:rFonts w:eastAsia="Times New Roman" w:cs="Arial"/>
                <w:color w:val="000000"/>
                <w:sz w:val="20"/>
                <w:szCs w:val="20"/>
                <w:lang w:eastAsia="es-MX"/>
              </w:rPr>
              <w:lastRenderedPageBreak/>
              <w:t>E04-Infraestructura física educativa</w:t>
            </w:r>
          </w:p>
        </w:tc>
        <w:tc>
          <w:tcPr>
            <w:tcW w:w="1830" w:type="dxa"/>
            <w:shd w:val="clear" w:color="auto" w:fill="auto"/>
            <w:vAlign w:val="center"/>
            <w:hideMark/>
          </w:tcPr>
          <w:p w14:paraId="2E927124" w14:textId="239207C6" w:rsidR="006868A2" w:rsidRPr="00484E7F" w:rsidRDefault="00C47BE4" w:rsidP="00E22F0D">
            <w:pPr>
              <w:spacing w:before="0" w:after="0"/>
              <w:rPr>
                <w:rFonts w:eastAsia="Times New Roman" w:cs="Arial"/>
                <w:color w:val="000000"/>
                <w:sz w:val="20"/>
                <w:szCs w:val="20"/>
                <w:lang w:eastAsia="es-MX"/>
              </w:rPr>
            </w:pPr>
            <w:r w:rsidRPr="00484E7F">
              <w:rPr>
                <w:rFonts w:cs="Arial"/>
                <w:sz w:val="20"/>
                <w:szCs w:val="20"/>
              </w:rPr>
              <w:t>Instituto Hidalguense de la Infraestructura Física Educativa</w:t>
            </w:r>
          </w:p>
        </w:tc>
        <w:tc>
          <w:tcPr>
            <w:tcW w:w="5387" w:type="dxa"/>
            <w:shd w:val="clear" w:color="auto" w:fill="auto"/>
            <w:noWrap/>
            <w:vAlign w:val="center"/>
            <w:hideMark/>
          </w:tcPr>
          <w:p w14:paraId="430B4852" w14:textId="0D33297C" w:rsidR="006868A2" w:rsidRPr="00484E7F" w:rsidRDefault="00616C3E" w:rsidP="00AE4581">
            <w:pPr>
              <w:spacing w:before="0" w:after="0"/>
              <w:rPr>
                <w:rFonts w:eastAsia="Times New Roman" w:cs="Arial"/>
                <w:color w:val="000000"/>
                <w:sz w:val="20"/>
                <w:szCs w:val="20"/>
                <w:lang w:eastAsia="es-MX"/>
              </w:rPr>
            </w:pPr>
            <w:r w:rsidRPr="00484E7F">
              <w:rPr>
                <w:rFonts w:eastAsia="Times New Roman" w:cs="Arial"/>
                <w:color w:val="000000"/>
                <w:sz w:val="20"/>
                <w:szCs w:val="20"/>
                <w:lang w:eastAsia="es-MX"/>
              </w:rPr>
              <w:t xml:space="preserve">Contribuye a la calidad y pertinencia de la educación básica, media superior y superior, mediante la infraestructura para la educación en el </w:t>
            </w:r>
            <w:r w:rsidR="00D473BA" w:rsidRPr="00484E7F">
              <w:rPr>
                <w:rFonts w:eastAsia="Times New Roman" w:cs="Arial"/>
                <w:color w:val="000000"/>
                <w:sz w:val="20"/>
                <w:szCs w:val="20"/>
                <w:lang w:eastAsia="es-MX"/>
              </w:rPr>
              <w:t>E</w:t>
            </w:r>
            <w:r w:rsidRPr="00484E7F">
              <w:rPr>
                <w:rFonts w:eastAsia="Times New Roman" w:cs="Arial"/>
                <w:color w:val="000000"/>
                <w:sz w:val="20"/>
                <w:szCs w:val="20"/>
                <w:lang w:eastAsia="es-MX"/>
              </w:rPr>
              <w:t>stado de Hidalgo con una formación integral</w:t>
            </w:r>
            <w:r w:rsidR="00C47BE4" w:rsidRPr="00484E7F">
              <w:rPr>
                <w:rFonts w:eastAsia="Times New Roman" w:cs="Arial"/>
                <w:color w:val="000000"/>
                <w:sz w:val="20"/>
                <w:szCs w:val="20"/>
                <w:lang w:eastAsia="es-MX"/>
              </w:rPr>
              <w:t>.</w:t>
            </w:r>
          </w:p>
        </w:tc>
      </w:tr>
      <w:tr w:rsidR="006868A2" w:rsidRPr="005E1463" w14:paraId="500642C0" w14:textId="77777777" w:rsidTr="0086476C">
        <w:trPr>
          <w:trHeight w:val="1545"/>
        </w:trPr>
        <w:tc>
          <w:tcPr>
            <w:tcW w:w="2701" w:type="dxa"/>
            <w:shd w:val="clear" w:color="000000" w:fill="FFFFFF"/>
            <w:vAlign w:val="center"/>
            <w:hideMark/>
          </w:tcPr>
          <w:p w14:paraId="06D23AA8" w14:textId="7A987413" w:rsidR="006868A2" w:rsidRPr="00484E7F" w:rsidRDefault="0086476C">
            <w:pPr>
              <w:spacing w:before="0" w:after="0"/>
              <w:rPr>
                <w:rFonts w:eastAsia="Times New Roman" w:cs="Arial"/>
                <w:color w:val="000000"/>
                <w:sz w:val="20"/>
                <w:szCs w:val="20"/>
                <w:lang w:eastAsia="es-MX"/>
              </w:rPr>
            </w:pPr>
            <w:r w:rsidRPr="00484E7F">
              <w:rPr>
                <w:rFonts w:eastAsia="Times New Roman" w:cs="Arial"/>
                <w:color w:val="000000"/>
                <w:sz w:val="20"/>
                <w:szCs w:val="20"/>
                <w:lang w:eastAsia="es-MX"/>
              </w:rPr>
              <w:t xml:space="preserve">E04-Preservación y </w:t>
            </w:r>
            <w:r w:rsidR="00124354" w:rsidRPr="00484E7F">
              <w:rPr>
                <w:rFonts w:eastAsia="Times New Roman" w:cs="Arial"/>
                <w:color w:val="000000"/>
                <w:sz w:val="20"/>
                <w:szCs w:val="20"/>
                <w:lang w:eastAsia="es-MX"/>
              </w:rPr>
              <w:t>a</w:t>
            </w:r>
            <w:r w:rsidRPr="00484E7F">
              <w:rPr>
                <w:rFonts w:eastAsia="Times New Roman" w:cs="Arial"/>
                <w:color w:val="000000"/>
                <w:sz w:val="20"/>
                <w:szCs w:val="20"/>
                <w:lang w:eastAsia="es-MX"/>
              </w:rPr>
              <w:t xml:space="preserve">provechamiento </w:t>
            </w:r>
            <w:r w:rsidR="00124354" w:rsidRPr="00484E7F">
              <w:rPr>
                <w:rFonts w:eastAsia="Times New Roman" w:cs="Arial"/>
                <w:color w:val="000000"/>
                <w:sz w:val="20"/>
                <w:szCs w:val="20"/>
                <w:lang w:eastAsia="es-MX"/>
              </w:rPr>
              <w:t>s</w:t>
            </w:r>
            <w:r w:rsidRPr="00484E7F">
              <w:rPr>
                <w:rFonts w:eastAsia="Times New Roman" w:cs="Arial"/>
                <w:color w:val="000000"/>
                <w:sz w:val="20"/>
                <w:szCs w:val="20"/>
                <w:lang w:eastAsia="es-MX"/>
              </w:rPr>
              <w:t xml:space="preserve">ostenible de la </w:t>
            </w:r>
            <w:r w:rsidR="00124354" w:rsidRPr="00484E7F">
              <w:rPr>
                <w:rFonts w:eastAsia="Times New Roman" w:cs="Arial"/>
                <w:color w:val="000000"/>
                <w:sz w:val="20"/>
                <w:szCs w:val="20"/>
                <w:lang w:eastAsia="es-MX"/>
              </w:rPr>
              <w:t>b</w:t>
            </w:r>
            <w:r w:rsidRPr="00484E7F">
              <w:rPr>
                <w:rFonts w:eastAsia="Times New Roman" w:cs="Arial"/>
                <w:color w:val="000000"/>
                <w:sz w:val="20"/>
                <w:szCs w:val="20"/>
                <w:lang w:eastAsia="es-MX"/>
              </w:rPr>
              <w:t>iodiversidad y los recursos naturales</w:t>
            </w:r>
          </w:p>
        </w:tc>
        <w:tc>
          <w:tcPr>
            <w:tcW w:w="1830" w:type="dxa"/>
            <w:shd w:val="clear" w:color="auto" w:fill="auto"/>
            <w:vAlign w:val="center"/>
            <w:hideMark/>
          </w:tcPr>
          <w:p w14:paraId="4A20EA6A" w14:textId="77777777" w:rsidR="006868A2" w:rsidRPr="00484E7F" w:rsidRDefault="006868A2" w:rsidP="00E22F0D">
            <w:pPr>
              <w:spacing w:before="0" w:after="0"/>
              <w:rPr>
                <w:rFonts w:eastAsia="Times New Roman" w:cs="Arial"/>
                <w:color w:val="000000"/>
                <w:sz w:val="20"/>
                <w:szCs w:val="20"/>
                <w:lang w:eastAsia="es-MX"/>
              </w:rPr>
            </w:pPr>
            <w:r w:rsidRPr="00484E7F">
              <w:rPr>
                <w:rFonts w:eastAsia="Times New Roman" w:cs="Arial"/>
                <w:color w:val="000000"/>
                <w:sz w:val="20"/>
                <w:szCs w:val="20"/>
                <w:lang w:eastAsia="es-MX"/>
              </w:rPr>
              <w:t>Secretaría del Medio Ambiente y Recursos Naturales</w:t>
            </w:r>
          </w:p>
        </w:tc>
        <w:tc>
          <w:tcPr>
            <w:tcW w:w="5387" w:type="dxa"/>
            <w:shd w:val="clear" w:color="auto" w:fill="auto"/>
            <w:noWrap/>
            <w:vAlign w:val="center"/>
            <w:hideMark/>
          </w:tcPr>
          <w:p w14:paraId="6BCDC4DD" w14:textId="12A312FC" w:rsidR="006868A2" w:rsidRPr="00484E7F" w:rsidRDefault="00616C3E" w:rsidP="00AE4581">
            <w:pPr>
              <w:spacing w:before="0" w:after="0"/>
              <w:rPr>
                <w:rFonts w:eastAsia="Times New Roman" w:cs="Arial"/>
                <w:color w:val="000000"/>
                <w:sz w:val="20"/>
                <w:szCs w:val="20"/>
                <w:lang w:eastAsia="es-MX"/>
              </w:rPr>
            </w:pPr>
            <w:r w:rsidRPr="00484E7F">
              <w:rPr>
                <w:rFonts w:eastAsia="Times New Roman" w:cs="Arial"/>
                <w:color w:val="000000"/>
                <w:sz w:val="20"/>
                <w:szCs w:val="20"/>
                <w:lang w:eastAsia="es-MX"/>
              </w:rPr>
              <w:t>Contribu</w:t>
            </w:r>
            <w:r w:rsidR="008C63F1" w:rsidRPr="00484E7F">
              <w:rPr>
                <w:rFonts w:eastAsia="Times New Roman" w:cs="Arial"/>
                <w:color w:val="000000"/>
                <w:sz w:val="20"/>
                <w:szCs w:val="20"/>
                <w:lang w:eastAsia="es-MX"/>
              </w:rPr>
              <w:t>ye</w:t>
            </w:r>
            <w:r w:rsidRPr="00484E7F">
              <w:rPr>
                <w:rFonts w:eastAsia="Times New Roman" w:cs="Arial"/>
                <w:color w:val="000000"/>
                <w:sz w:val="20"/>
                <w:szCs w:val="20"/>
                <w:lang w:eastAsia="es-MX"/>
              </w:rPr>
              <w:t xml:space="preserve"> a adoptar nuevas formas y patrones de aprovechamiento sostenible de recursos a fin de promover las condiciones necesarias para el desarrollo de la población y la preservación de un medio ambiente sano y equilibrado, mediante la elaboración de estudios, desarrollo de infraestructura e implementación de equipamiento</w:t>
            </w:r>
            <w:r w:rsidR="006868A2" w:rsidRPr="00484E7F">
              <w:rPr>
                <w:rFonts w:eastAsia="Times New Roman" w:cs="Arial"/>
                <w:color w:val="000000"/>
                <w:sz w:val="20"/>
                <w:szCs w:val="20"/>
                <w:lang w:eastAsia="es-MX"/>
              </w:rPr>
              <w:t> </w:t>
            </w:r>
          </w:p>
        </w:tc>
      </w:tr>
      <w:tr w:rsidR="006868A2" w:rsidRPr="005E1463" w14:paraId="5A299676" w14:textId="77777777" w:rsidTr="005E1463">
        <w:trPr>
          <w:trHeight w:val="780"/>
        </w:trPr>
        <w:tc>
          <w:tcPr>
            <w:tcW w:w="2701" w:type="dxa"/>
            <w:shd w:val="clear" w:color="000000" w:fill="FFFFFF"/>
            <w:vAlign w:val="center"/>
          </w:tcPr>
          <w:p w14:paraId="1B3BB251" w14:textId="49F75B00" w:rsidR="006868A2" w:rsidRPr="00484E7F" w:rsidRDefault="007E4A81">
            <w:pPr>
              <w:spacing w:before="0" w:after="0"/>
              <w:rPr>
                <w:rFonts w:eastAsia="Times New Roman" w:cs="Arial"/>
                <w:color w:val="000000"/>
                <w:sz w:val="20"/>
                <w:szCs w:val="20"/>
                <w:lang w:eastAsia="es-MX"/>
              </w:rPr>
            </w:pPr>
            <w:r w:rsidRPr="00484E7F">
              <w:rPr>
                <w:rFonts w:eastAsia="Times New Roman" w:cs="Arial"/>
                <w:color w:val="000000"/>
                <w:sz w:val="20"/>
                <w:szCs w:val="20"/>
                <w:lang w:eastAsia="es-MX"/>
              </w:rPr>
              <w:t>K49</w:t>
            </w:r>
            <w:r w:rsidR="00B510B9" w:rsidRPr="00484E7F">
              <w:rPr>
                <w:rFonts w:eastAsia="Times New Roman" w:cs="Arial"/>
                <w:color w:val="000000"/>
                <w:sz w:val="20"/>
                <w:szCs w:val="20"/>
                <w:lang w:eastAsia="es-MX"/>
              </w:rPr>
              <w:t>-</w:t>
            </w:r>
            <w:r w:rsidR="004751EE" w:rsidRPr="00484E7F">
              <w:rPr>
                <w:rFonts w:eastAsia="Times New Roman" w:cs="Arial"/>
                <w:color w:val="000000"/>
                <w:sz w:val="20"/>
                <w:szCs w:val="20"/>
                <w:lang w:eastAsia="es-MX"/>
              </w:rPr>
              <w:t>Inversión en salud</w:t>
            </w:r>
          </w:p>
        </w:tc>
        <w:tc>
          <w:tcPr>
            <w:tcW w:w="1830" w:type="dxa"/>
            <w:shd w:val="clear" w:color="auto" w:fill="auto"/>
            <w:vAlign w:val="center"/>
          </w:tcPr>
          <w:p w14:paraId="5C349CD9" w14:textId="316AF85A" w:rsidR="006868A2" w:rsidRPr="00484E7F" w:rsidRDefault="00B510B9" w:rsidP="00E22F0D">
            <w:pPr>
              <w:spacing w:before="0" w:after="0"/>
              <w:rPr>
                <w:rFonts w:eastAsia="Times New Roman" w:cs="Arial"/>
                <w:color w:val="000000"/>
                <w:sz w:val="20"/>
                <w:szCs w:val="20"/>
                <w:lang w:eastAsia="es-MX"/>
              </w:rPr>
            </w:pPr>
            <w:r w:rsidRPr="00484E7F">
              <w:rPr>
                <w:rFonts w:eastAsia="Times New Roman" w:cs="Arial"/>
                <w:color w:val="000000"/>
                <w:sz w:val="20"/>
                <w:szCs w:val="20"/>
                <w:lang w:eastAsia="es-MX"/>
              </w:rPr>
              <w:t>Secretaría de Salud</w:t>
            </w:r>
          </w:p>
        </w:tc>
        <w:tc>
          <w:tcPr>
            <w:tcW w:w="5387" w:type="dxa"/>
            <w:shd w:val="clear" w:color="auto" w:fill="auto"/>
            <w:noWrap/>
            <w:vAlign w:val="center"/>
          </w:tcPr>
          <w:p w14:paraId="69721F59" w14:textId="305C84D1" w:rsidR="006868A2" w:rsidRPr="00484E7F" w:rsidRDefault="006F0E83" w:rsidP="00B510B9">
            <w:pPr>
              <w:spacing w:before="0" w:after="0"/>
              <w:rPr>
                <w:rFonts w:eastAsia="Times New Roman" w:cs="Arial"/>
                <w:color w:val="000000"/>
                <w:sz w:val="20"/>
                <w:szCs w:val="20"/>
                <w:lang w:eastAsia="es-MX"/>
              </w:rPr>
            </w:pPr>
            <w:r w:rsidRPr="005E1463">
              <w:rPr>
                <w:rFonts w:eastAsia="Times New Roman" w:cs="Arial"/>
                <w:color w:val="000000"/>
                <w:sz w:val="20"/>
                <w:szCs w:val="20"/>
                <w:lang w:eastAsia="es-MX"/>
              </w:rPr>
              <w:t>Contribuye a ampliar la cobertura de prestación de servicios de salud de manera equitativa, incluyente, solidaria, preventiva , con trato digno y adecuado a toda la población del estado</w:t>
            </w:r>
            <w:r w:rsidRPr="00484E7F">
              <w:rPr>
                <w:rFonts w:eastAsia="Times New Roman" w:cs="Arial"/>
                <w:color w:val="000000"/>
                <w:sz w:val="20"/>
                <w:szCs w:val="20"/>
                <w:lang w:eastAsia="es-MX"/>
              </w:rPr>
              <w:t>.</w:t>
            </w:r>
          </w:p>
        </w:tc>
      </w:tr>
    </w:tbl>
    <w:p w14:paraId="6A580D75" w14:textId="745FB69F" w:rsidR="00914ACE" w:rsidRPr="00AA7FC0" w:rsidRDefault="00914ACE" w:rsidP="002362A8">
      <w:pPr>
        <w:pStyle w:val="Textonotapie"/>
      </w:pPr>
      <w:r w:rsidRPr="00AA7FC0">
        <w:rPr>
          <w:rStyle w:val="FuenteCar"/>
        </w:rPr>
        <w:t xml:space="preserve">Fuente: Elaboración propia con base en información proporcionada por la </w:t>
      </w:r>
      <w:r>
        <w:rPr>
          <w:rStyle w:val="FuenteCar"/>
        </w:rPr>
        <w:t>SFP, MIR de los Pp estatales</w:t>
      </w:r>
      <w:r w:rsidR="00945DC0">
        <w:rPr>
          <w:rStyle w:val="FuenteCar"/>
        </w:rPr>
        <w:t>.</w:t>
      </w:r>
    </w:p>
    <w:p w14:paraId="3C9C9984" w14:textId="319167B7" w:rsidR="00EB1844" w:rsidRDefault="00EB1844" w:rsidP="00EB1844">
      <w:pPr>
        <w:spacing w:before="0" w:after="160" w:line="259" w:lineRule="auto"/>
        <w:jc w:val="left"/>
        <w:rPr>
          <w:rFonts w:ascii="Soberana Sans Light" w:hAnsi="Soberana Sans Light" w:cstheme="minorHAnsi"/>
          <w:sz w:val="24"/>
          <w:szCs w:val="24"/>
        </w:rPr>
      </w:pPr>
      <w:r>
        <w:rPr>
          <w:rFonts w:ascii="Soberana Sans Light" w:hAnsi="Soberana Sans Light" w:cstheme="minorHAnsi"/>
          <w:sz w:val="24"/>
          <w:szCs w:val="24"/>
        </w:rPr>
        <w:br w:type="page"/>
      </w:r>
    </w:p>
    <w:p w14:paraId="5EBA3644" w14:textId="77777777" w:rsidR="00EB1844" w:rsidRDefault="00EB1844" w:rsidP="00EB1844">
      <w:pPr>
        <w:pStyle w:val="Ttulo1"/>
      </w:pPr>
      <w:bookmarkStart w:id="78" w:name="_Toc56423709"/>
      <w:r>
        <w:lastRenderedPageBreak/>
        <w:t xml:space="preserve">IX. </w:t>
      </w:r>
      <w:r w:rsidRPr="00AD5152">
        <w:t>Módulo 7. Calidad de la información</w:t>
      </w:r>
      <w:bookmarkEnd w:id="78"/>
    </w:p>
    <w:p w14:paraId="28C0BC53" w14:textId="77777777" w:rsidR="00EB1844" w:rsidRPr="00190D9F" w:rsidRDefault="00EB1844" w:rsidP="00EB1844">
      <w:pPr>
        <w:pStyle w:val="Ttulo2"/>
        <w:jc w:val="left"/>
        <w:rPr>
          <w:sz w:val="28"/>
          <w:szCs w:val="28"/>
        </w:rPr>
      </w:pPr>
      <w:bookmarkStart w:id="79" w:name="_Toc514438220"/>
      <w:bookmarkStart w:id="80" w:name="_Toc56423710"/>
      <w:r w:rsidRPr="00D61DEB">
        <w:rPr>
          <w:iCs/>
        </w:rPr>
        <w:t>7.1 Generación de información, rendición de cuentas y medición de resultados</w:t>
      </w:r>
      <w:bookmarkEnd w:id="79"/>
      <w:bookmarkEnd w:id="80"/>
    </w:p>
    <w:p w14:paraId="05058C08" w14:textId="77777777" w:rsidR="00EB1844" w:rsidRPr="00194159" w:rsidRDefault="00EB1844" w:rsidP="00EB1844">
      <w:pPr>
        <w:spacing w:before="0" w:after="0"/>
        <w:contextualSpacing/>
        <w:rPr>
          <w:rFonts w:cstheme="minorHAnsi"/>
          <w:b/>
        </w:rPr>
      </w:pPr>
      <w:r w:rsidRPr="00194159">
        <w:rPr>
          <w:rFonts w:cstheme="minorHAnsi"/>
          <w:b/>
        </w:rPr>
        <w:t>23. ¿La información relacionada con los componentes de la MIR vigente del FAFEF en la entidad federativa…</w:t>
      </w:r>
    </w:p>
    <w:p w14:paraId="40D9B425" w14:textId="77777777" w:rsidR="00EB1844" w:rsidRPr="00194159" w:rsidRDefault="00EB1844" w:rsidP="00EB1844">
      <w:pPr>
        <w:pStyle w:val="Pregunta"/>
        <w:numPr>
          <w:ilvl w:val="0"/>
          <w:numId w:val="22"/>
        </w:numPr>
      </w:pPr>
      <w:r w:rsidRPr="00194159">
        <w:t>Es verificable públicamente;</w:t>
      </w:r>
    </w:p>
    <w:p w14:paraId="7AE0D3D8" w14:textId="77777777" w:rsidR="00EB1844" w:rsidRPr="00774B66" w:rsidRDefault="00EB1844" w:rsidP="00EB1844">
      <w:pPr>
        <w:pStyle w:val="Pregunta"/>
        <w:numPr>
          <w:ilvl w:val="0"/>
          <w:numId w:val="22"/>
        </w:numPr>
      </w:pPr>
      <w:r w:rsidRPr="00774B66">
        <w:t>Corresponde con lo establecido en los documentos normativos o institucionales del Fondo en la entidad federativa;</w:t>
      </w:r>
    </w:p>
    <w:p w14:paraId="1E2BEE98" w14:textId="77777777" w:rsidR="00EB1844" w:rsidRPr="00774B66" w:rsidRDefault="00EB1844" w:rsidP="00EB1844">
      <w:pPr>
        <w:pStyle w:val="Pregunta"/>
        <w:numPr>
          <w:ilvl w:val="0"/>
          <w:numId w:val="22"/>
        </w:numPr>
      </w:pPr>
      <w:r w:rsidRPr="00774B66">
        <w:t>Permite identificar la contribución del FAFEF a la atenuación o solución de las problemáticas de la entidad federativa;</w:t>
      </w:r>
    </w:p>
    <w:p w14:paraId="166D1111" w14:textId="77777777" w:rsidR="00EB1844" w:rsidRPr="00774B66" w:rsidRDefault="00EB1844" w:rsidP="00EB1844">
      <w:pPr>
        <w:pStyle w:val="Pregunta"/>
        <w:numPr>
          <w:ilvl w:val="0"/>
          <w:numId w:val="22"/>
        </w:numPr>
        <w:spacing w:after="120"/>
        <w:ind w:left="714" w:hanging="357"/>
      </w:pPr>
      <w:r w:rsidRPr="00774B66">
        <w:t>Permite verificar que se beneficia efectivamente a la población objetivo del FAFEF?</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5"/>
        <w:gridCol w:w="763"/>
        <w:gridCol w:w="7854"/>
      </w:tblGrid>
      <w:tr w:rsidR="007F0604" w:rsidRPr="00700D46" w14:paraId="5AA05A40" w14:textId="77777777" w:rsidTr="00DC3648">
        <w:trPr>
          <w:trHeight w:val="260"/>
          <w:jc w:val="center"/>
        </w:trPr>
        <w:tc>
          <w:tcPr>
            <w:tcW w:w="675" w:type="pct"/>
            <w:shd w:val="clear" w:color="auto" w:fill="FFFFFF"/>
            <w:vAlign w:val="center"/>
          </w:tcPr>
          <w:p w14:paraId="264C3352" w14:textId="77777777" w:rsidR="007F0604" w:rsidRPr="00700D46" w:rsidRDefault="007F0604" w:rsidP="00DC3648">
            <w:pPr>
              <w:pBdr>
                <w:top w:val="nil"/>
                <w:left w:val="nil"/>
                <w:bottom w:val="nil"/>
                <w:right w:val="nil"/>
                <w:between w:val="nil"/>
              </w:pBdr>
              <w:spacing w:before="0" w:after="0"/>
              <w:ind w:left="12"/>
              <w:jc w:val="center"/>
              <w:rPr>
                <w:rFonts w:ascii="Calibri" w:eastAsia="Calibri" w:hAnsi="Calibri" w:cs="Calibri"/>
                <w:b/>
                <w:color w:val="000000"/>
                <w:sz w:val="20"/>
                <w:szCs w:val="20"/>
                <w:lang w:eastAsia="es-MX"/>
              </w:rPr>
            </w:pPr>
            <w:r w:rsidRPr="00700D46">
              <w:rPr>
                <w:rFonts w:ascii="Calibri" w:eastAsia="Calibri" w:hAnsi="Calibri" w:cs="Calibri"/>
                <w:b/>
                <w:color w:val="000000"/>
                <w:sz w:val="20"/>
                <w:szCs w:val="20"/>
                <w:lang w:eastAsia="es-MX"/>
              </w:rPr>
              <w:t>Respuesta</w:t>
            </w:r>
          </w:p>
        </w:tc>
        <w:tc>
          <w:tcPr>
            <w:tcW w:w="383" w:type="pct"/>
            <w:shd w:val="clear" w:color="auto" w:fill="FFFFFF"/>
            <w:vAlign w:val="center"/>
          </w:tcPr>
          <w:p w14:paraId="54598863" w14:textId="77777777" w:rsidR="007F0604" w:rsidRPr="00700D46" w:rsidRDefault="007F0604" w:rsidP="00DC3648">
            <w:pPr>
              <w:pBdr>
                <w:top w:val="nil"/>
                <w:left w:val="nil"/>
                <w:bottom w:val="nil"/>
                <w:right w:val="nil"/>
                <w:between w:val="nil"/>
              </w:pBdr>
              <w:spacing w:before="0" w:after="0"/>
              <w:ind w:left="12"/>
              <w:jc w:val="center"/>
              <w:rPr>
                <w:rFonts w:ascii="Calibri" w:eastAsia="Calibri" w:hAnsi="Calibri" w:cs="Calibri"/>
                <w:b/>
                <w:color w:val="000000"/>
                <w:sz w:val="20"/>
                <w:szCs w:val="20"/>
                <w:lang w:eastAsia="es-MX"/>
              </w:rPr>
            </w:pPr>
            <w:r w:rsidRPr="00700D46">
              <w:rPr>
                <w:rFonts w:ascii="Calibri" w:eastAsia="Calibri" w:hAnsi="Calibri" w:cs="Calibri"/>
                <w:b/>
                <w:color w:val="000000"/>
                <w:sz w:val="20"/>
                <w:szCs w:val="20"/>
                <w:lang w:eastAsia="es-MX"/>
              </w:rPr>
              <w:t>Nivel</w:t>
            </w:r>
          </w:p>
        </w:tc>
        <w:tc>
          <w:tcPr>
            <w:tcW w:w="3942" w:type="pct"/>
            <w:shd w:val="clear" w:color="auto" w:fill="FFFFFF"/>
            <w:vAlign w:val="center"/>
          </w:tcPr>
          <w:p w14:paraId="09D20F44" w14:textId="77777777" w:rsidR="007F0604" w:rsidRPr="00700D46" w:rsidRDefault="007F0604" w:rsidP="00DC3648">
            <w:pPr>
              <w:pBdr>
                <w:top w:val="nil"/>
                <w:left w:val="nil"/>
                <w:bottom w:val="nil"/>
                <w:right w:val="nil"/>
                <w:between w:val="nil"/>
              </w:pBdr>
              <w:spacing w:before="0" w:after="0"/>
              <w:ind w:firstLine="20"/>
              <w:jc w:val="center"/>
              <w:rPr>
                <w:rFonts w:ascii="Calibri" w:eastAsia="Calibri" w:hAnsi="Calibri" w:cs="Calibri"/>
                <w:b/>
                <w:color w:val="000000"/>
                <w:sz w:val="20"/>
                <w:szCs w:val="20"/>
                <w:lang w:eastAsia="es-MX"/>
              </w:rPr>
            </w:pPr>
            <w:r w:rsidRPr="00700D46">
              <w:rPr>
                <w:rFonts w:ascii="Calibri" w:eastAsia="Calibri" w:hAnsi="Calibri" w:cs="Calibri"/>
                <w:b/>
                <w:color w:val="000000"/>
                <w:sz w:val="20"/>
                <w:szCs w:val="20"/>
                <w:lang w:eastAsia="es-MX"/>
              </w:rPr>
              <w:t>Criterios</w:t>
            </w:r>
          </w:p>
        </w:tc>
      </w:tr>
      <w:tr w:rsidR="007F0604" w:rsidRPr="00700D46" w14:paraId="7CD17B74" w14:textId="77777777" w:rsidTr="00DC3648">
        <w:trPr>
          <w:trHeight w:val="400"/>
          <w:jc w:val="center"/>
        </w:trPr>
        <w:tc>
          <w:tcPr>
            <w:tcW w:w="675" w:type="pct"/>
            <w:shd w:val="clear" w:color="auto" w:fill="FFFFFF"/>
            <w:vAlign w:val="center"/>
          </w:tcPr>
          <w:p w14:paraId="54B32C14" w14:textId="77777777" w:rsidR="007F0604" w:rsidRPr="00700D46" w:rsidRDefault="007F0604" w:rsidP="00DC3648">
            <w:pPr>
              <w:pBdr>
                <w:top w:val="nil"/>
                <w:left w:val="nil"/>
                <w:bottom w:val="nil"/>
                <w:right w:val="nil"/>
                <w:between w:val="nil"/>
              </w:pBdr>
              <w:shd w:val="clear" w:color="auto" w:fill="FFFFFF"/>
              <w:spacing w:before="0" w:after="0"/>
              <w:ind w:firstLine="7"/>
              <w:jc w:val="center"/>
              <w:rPr>
                <w:rFonts w:ascii="Calibri" w:eastAsia="Calibri" w:hAnsi="Calibri" w:cs="Calibri"/>
                <w:color w:val="000000"/>
                <w:sz w:val="20"/>
                <w:szCs w:val="20"/>
                <w:lang w:eastAsia="es-MX"/>
              </w:rPr>
            </w:pPr>
            <w:r w:rsidRPr="00700D46">
              <w:rPr>
                <w:rFonts w:ascii="Calibri" w:eastAsia="Calibri" w:hAnsi="Calibri" w:cs="Calibri"/>
                <w:color w:val="000000"/>
                <w:sz w:val="20"/>
                <w:szCs w:val="20"/>
                <w:lang w:eastAsia="es-MX"/>
              </w:rPr>
              <w:t>No</w:t>
            </w:r>
          </w:p>
        </w:tc>
        <w:tc>
          <w:tcPr>
            <w:tcW w:w="383" w:type="pct"/>
            <w:shd w:val="clear" w:color="auto" w:fill="FFFFFF"/>
            <w:vAlign w:val="center"/>
          </w:tcPr>
          <w:p w14:paraId="78AEEB81" w14:textId="77777777" w:rsidR="007F0604" w:rsidRPr="00700D46" w:rsidRDefault="007F0604" w:rsidP="00DC3648">
            <w:pPr>
              <w:pBdr>
                <w:top w:val="nil"/>
                <w:left w:val="nil"/>
                <w:bottom w:val="nil"/>
                <w:right w:val="nil"/>
                <w:between w:val="nil"/>
              </w:pBdr>
              <w:shd w:val="clear" w:color="auto" w:fill="FFFFFF"/>
              <w:spacing w:before="0" w:after="0"/>
              <w:ind w:firstLine="7"/>
              <w:jc w:val="center"/>
              <w:rPr>
                <w:rFonts w:ascii="Calibri" w:eastAsia="Calibri" w:hAnsi="Calibri" w:cs="Calibri"/>
                <w:color w:val="000000"/>
                <w:sz w:val="20"/>
                <w:szCs w:val="20"/>
                <w:lang w:eastAsia="es-MX"/>
              </w:rPr>
            </w:pPr>
          </w:p>
        </w:tc>
        <w:tc>
          <w:tcPr>
            <w:tcW w:w="3942" w:type="pct"/>
            <w:shd w:val="clear" w:color="auto" w:fill="FFFFFF"/>
            <w:vAlign w:val="center"/>
          </w:tcPr>
          <w:p w14:paraId="698DB7CF" w14:textId="77777777" w:rsidR="007F0604" w:rsidRPr="00700D46" w:rsidRDefault="007F0604" w:rsidP="00DC3648">
            <w:pPr>
              <w:tabs>
                <w:tab w:val="left" w:pos="256"/>
              </w:tabs>
              <w:spacing w:before="0" w:after="0"/>
              <w:contextualSpacing/>
              <w:rPr>
                <w:rFonts w:ascii="Calibri" w:eastAsia="Calibri" w:hAnsi="Calibri" w:cs="Calibri"/>
                <w:color w:val="000000"/>
                <w:sz w:val="20"/>
                <w:szCs w:val="20"/>
                <w:lang w:eastAsia="es-MX"/>
              </w:rPr>
            </w:pPr>
          </w:p>
        </w:tc>
      </w:tr>
    </w:tbl>
    <w:p w14:paraId="1D5E2224" w14:textId="68600A4C" w:rsidR="00EB1844" w:rsidRDefault="00A34AD5" w:rsidP="00EB1844">
      <w:r>
        <w:t xml:space="preserve">En el </w:t>
      </w:r>
      <w:r w:rsidR="001D0ABE">
        <w:t>E</w:t>
      </w:r>
      <w:r>
        <w:t xml:space="preserve">stado de Hidalgo se cuenta con un MIR específica para el FAFEF, sin </w:t>
      </w:r>
      <w:r w:rsidR="005E38B3">
        <w:t>embargo,</w:t>
      </w:r>
      <w:r>
        <w:t xml:space="preserve"> como se ha referido en las </w:t>
      </w:r>
      <w:r w:rsidR="005E38B3">
        <w:t>r</w:t>
      </w:r>
      <w:r>
        <w:t xml:space="preserve">espuestas a preguntas anteriores, su diseño no deriva de una identificación precisa de las problemáticas posibles a atender, acordes a los rubros de atención del Fondo establecidos en la LCF. Asimismo, la información concentrada en la MIR del FAFEF estatal no se encuentra disponible en las páginas web de transparencia del gobierno del Estado. </w:t>
      </w:r>
      <w:r w:rsidR="00A67D67">
        <w:t>Sin emba</w:t>
      </w:r>
      <w:r w:rsidR="005E38B3">
        <w:t>r</w:t>
      </w:r>
      <w:r w:rsidR="00A67D67">
        <w:t>go, en la entidad federativa se identifica lo siguiente:</w:t>
      </w:r>
    </w:p>
    <w:p w14:paraId="5515C723" w14:textId="1572ECF8" w:rsidR="00A67D67" w:rsidRPr="0021667F" w:rsidRDefault="00A67D67" w:rsidP="001D2D41">
      <w:pPr>
        <w:pStyle w:val="Prrafodelista"/>
        <w:numPr>
          <w:ilvl w:val="0"/>
          <w:numId w:val="46"/>
        </w:numPr>
        <w:ind w:left="714" w:hanging="357"/>
        <w:contextualSpacing w:val="0"/>
      </w:pPr>
      <w:r w:rsidRPr="00A67D67">
        <w:rPr>
          <w:rFonts w:ascii="Calibri" w:eastAsia="Calibri" w:hAnsi="Calibri" w:cs="Calibri"/>
          <w:bCs/>
        </w:rPr>
        <w:t>La entidad federativa reporta y publica en páginas oficiales estatales información relativa a cinco indicadores de la MIR federal</w:t>
      </w:r>
      <w:r w:rsidR="007972CC">
        <w:rPr>
          <w:rFonts w:ascii="Calibri" w:eastAsia="Calibri" w:hAnsi="Calibri" w:cs="Calibri"/>
          <w:bCs/>
        </w:rPr>
        <w:t xml:space="preserve">, 1 a </w:t>
      </w:r>
      <w:r w:rsidRPr="00A67D67">
        <w:rPr>
          <w:rFonts w:ascii="Calibri" w:eastAsia="Calibri" w:hAnsi="Calibri" w:cs="Calibri"/>
          <w:bCs/>
        </w:rPr>
        <w:t>nivel</w:t>
      </w:r>
      <w:r w:rsidR="007972CC">
        <w:rPr>
          <w:rFonts w:ascii="Calibri" w:eastAsia="Calibri" w:hAnsi="Calibri" w:cs="Calibri"/>
          <w:bCs/>
        </w:rPr>
        <w:t xml:space="preserve"> de Fin, 2 de </w:t>
      </w:r>
      <w:r w:rsidRPr="00A67D67">
        <w:rPr>
          <w:rFonts w:ascii="Calibri" w:eastAsia="Calibri" w:hAnsi="Calibri" w:cs="Calibri"/>
          <w:bCs/>
        </w:rPr>
        <w:t xml:space="preserve">Propósito, </w:t>
      </w:r>
      <w:r w:rsidR="007972CC">
        <w:rPr>
          <w:rFonts w:ascii="Calibri" w:eastAsia="Calibri" w:hAnsi="Calibri" w:cs="Calibri"/>
          <w:bCs/>
        </w:rPr>
        <w:t xml:space="preserve">1 de </w:t>
      </w:r>
      <w:r w:rsidRPr="00A67D67">
        <w:rPr>
          <w:rFonts w:ascii="Calibri" w:eastAsia="Calibri" w:hAnsi="Calibri" w:cs="Calibri"/>
          <w:bCs/>
        </w:rPr>
        <w:t>Componente y</w:t>
      </w:r>
      <w:r w:rsidR="007972CC">
        <w:rPr>
          <w:rFonts w:ascii="Calibri" w:eastAsia="Calibri" w:hAnsi="Calibri" w:cs="Calibri"/>
          <w:bCs/>
        </w:rPr>
        <w:t xml:space="preserve"> 1 de</w:t>
      </w:r>
      <w:r w:rsidRPr="00A67D67">
        <w:rPr>
          <w:rFonts w:ascii="Calibri" w:eastAsia="Calibri" w:hAnsi="Calibri" w:cs="Calibri"/>
          <w:bCs/>
        </w:rPr>
        <w:t xml:space="preserve"> Actividad</w:t>
      </w:r>
      <w:r>
        <w:rPr>
          <w:rFonts w:ascii="Calibri" w:eastAsia="Calibri" w:hAnsi="Calibri" w:cs="Calibri"/>
          <w:bCs/>
        </w:rPr>
        <w:t xml:space="preserve"> (</w:t>
      </w:r>
      <w:hyperlink r:id="rId16" w:history="1">
        <w:r w:rsidRPr="00B64C96">
          <w:rPr>
            <w:rStyle w:val="Hipervnculo"/>
            <w:rFonts w:cstheme="minorHAnsi"/>
          </w:rPr>
          <w:t>https://s-finanzas.hidalgo.gob.mx/servicios/informacinFinancieraSRFT.html</w:t>
        </w:r>
      </w:hyperlink>
      <w:r>
        <w:rPr>
          <w:rStyle w:val="Hipervnculo"/>
          <w:rFonts w:cstheme="minorHAnsi"/>
        </w:rPr>
        <w:t>)</w:t>
      </w:r>
      <w:r w:rsidRPr="00A67D67">
        <w:rPr>
          <w:rFonts w:ascii="Calibri" w:eastAsia="Calibri" w:hAnsi="Calibri" w:cs="Calibri"/>
          <w:bCs/>
        </w:rPr>
        <w:t xml:space="preserve">, es decir </w:t>
      </w:r>
      <w:r>
        <w:rPr>
          <w:rFonts w:ascii="Calibri" w:eastAsia="Calibri" w:hAnsi="Calibri" w:cs="Calibri"/>
          <w:bCs/>
        </w:rPr>
        <w:t xml:space="preserve">esta información </w:t>
      </w:r>
      <w:r w:rsidRPr="00A67D67">
        <w:rPr>
          <w:rFonts w:ascii="Calibri" w:eastAsia="Calibri" w:hAnsi="Calibri" w:cs="Calibri"/>
          <w:bCs/>
        </w:rPr>
        <w:t>es verificable públicamente</w:t>
      </w:r>
      <w:r>
        <w:rPr>
          <w:rFonts w:ascii="Calibri" w:eastAsia="Calibri" w:hAnsi="Calibri" w:cs="Calibri"/>
          <w:bCs/>
        </w:rPr>
        <w:t>.</w:t>
      </w:r>
      <w:r w:rsidR="005E38B3">
        <w:rPr>
          <w:rFonts w:ascii="Calibri" w:eastAsia="Calibri" w:hAnsi="Calibri" w:cs="Calibri"/>
          <w:bCs/>
        </w:rPr>
        <w:t xml:space="preserve"> </w:t>
      </w:r>
      <w:r w:rsidR="0021667F">
        <w:rPr>
          <w:rFonts w:ascii="Calibri" w:eastAsia="Calibri" w:hAnsi="Calibri" w:cs="Calibri"/>
          <w:bCs/>
        </w:rPr>
        <w:t>En la MIR estatal para el FAFEF 2018, se define un total de 29 Componentes ya que se coloca en este nivel</w:t>
      </w:r>
      <w:r w:rsidR="00317BFE">
        <w:rPr>
          <w:rFonts w:ascii="Calibri" w:eastAsia="Calibri" w:hAnsi="Calibri" w:cs="Calibri"/>
          <w:bCs/>
        </w:rPr>
        <w:t>,</w:t>
      </w:r>
      <w:r w:rsidR="0021667F">
        <w:rPr>
          <w:rFonts w:ascii="Calibri" w:eastAsia="Calibri" w:hAnsi="Calibri" w:cs="Calibri"/>
          <w:bCs/>
        </w:rPr>
        <w:t xml:space="preserve"> a cada tipo de proyecto ejecutado con los recursos del Fondo, sin embargo, la información referente a cada uno de estos, no se encuentra publicada en </w:t>
      </w:r>
      <w:r w:rsidR="0013399D">
        <w:rPr>
          <w:rFonts w:ascii="Calibri" w:eastAsia="Calibri" w:hAnsi="Calibri" w:cs="Calibri"/>
          <w:bCs/>
        </w:rPr>
        <w:t>ninguna</w:t>
      </w:r>
      <w:r w:rsidR="0021667F">
        <w:rPr>
          <w:rFonts w:ascii="Calibri" w:eastAsia="Calibri" w:hAnsi="Calibri" w:cs="Calibri"/>
          <w:bCs/>
        </w:rPr>
        <w:t xml:space="preserve"> página web del gobierno del Estado. En relación con los Pp que reciben recursos provenientes del FAFEF, los resultados de los indicadores son publicados en la página:</w:t>
      </w:r>
      <w:r w:rsidR="0013399D">
        <w:rPr>
          <w:rFonts w:ascii="Calibri" w:eastAsia="Calibri" w:hAnsi="Calibri" w:cs="Calibri"/>
          <w:bCs/>
        </w:rPr>
        <w:t xml:space="preserve"> </w:t>
      </w:r>
      <w:hyperlink r:id="rId17" w:history="1">
        <w:r w:rsidR="0021667F" w:rsidRPr="0021667F">
          <w:rPr>
            <w:rStyle w:val="Hipervnculo"/>
            <w:rFonts w:ascii="Calibri" w:eastAsia="Calibri" w:hAnsi="Calibri" w:cs="Calibri"/>
            <w:bCs/>
          </w:rPr>
          <w:t>https://s-finanzas.hidalgo.gob.mx/pag/presupuestoBasadoResultados.html</w:t>
        </w:r>
      </w:hyperlink>
      <w:r w:rsidR="0021667F" w:rsidRPr="0021667F">
        <w:rPr>
          <w:rFonts w:ascii="Calibri" w:eastAsia="Calibri" w:hAnsi="Calibri" w:cs="Calibri"/>
          <w:bCs/>
        </w:rPr>
        <w:t>,</w:t>
      </w:r>
      <w:r w:rsidR="0021667F">
        <w:rPr>
          <w:rFonts w:ascii="Calibri" w:eastAsia="Calibri" w:hAnsi="Calibri" w:cs="Calibri"/>
          <w:bCs/>
        </w:rPr>
        <w:t xml:space="preserve"> específicamente en el apartado de monitoreo</w:t>
      </w:r>
      <w:r w:rsidR="0013399D">
        <w:rPr>
          <w:rFonts w:ascii="Calibri" w:eastAsia="Calibri" w:hAnsi="Calibri" w:cs="Calibri"/>
          <w:bCs/>
        </w:rPr>
        <w:t>;</w:t>
      </w:r>
      <w:r w:rsidR="00BE23C6">
        <w:rPr>
          <w:rFonts w:ascii="Calibri" w:eastAsia="Calibri" w:hAnsi="Calibri" w:cs="Calibri"/>
          <w:bCs/>
        </w:rPr>
        <w:t xml:space="preserve"> </w:t>
      </w:r>
      <w:r w:rsidR="007D102E">
        <w:rPr>
          <w:rFonts w:ascii="Calibri" w:eastAsia="Calibri" w:hAnsi="Calibri" w:cs="Calibri"/>
          <w:bCs/>
        </w:rPr>
        <w:t>es importante resaltar que en la mayoría de estos Pp hay coincidencias de los indicadores</w:t>
      </w:r>
      <w:r w:rsidR="00771353">
        <w:rPr>
          <w:rFonts w:ascii="Calibri" w:eastAsia="Calibri" w:hAnsi="Calibri" w:cs="Calibri"/>
          <w:bCs/>
        </w:rPr>
        <w:t xml:space="preserve">  </w:t>
      </w:r>
      <w:r w:rsidR="007D102E">
        <w:rPr>
          <w:rFonts w:ascii="Calibri" w:eastAsia="Calibri" w:hAnsi="Calibri" w:cs="Calibri"/>
          <w:bCs/>
        </w:rPr>
        <w:t xml:space="preserve">de </w:t>
      </w:r>
      <w:r w:rsidR="00BE23C6">
        <w:rPr>
          <w:rFonts w:ascii="Calibri" w:eastAsia="Calibri" w:hAnsi="Calibri" w:cs="Calibri"/>
          <w:bCs/>
        </w:rPr>
        <w:t xml:space="preserve">Componente definidos en </w:t>
      </w:r>
      <w:r w:rsidR="007D102E">
        <w:rPr>
          <w:rFonts w:ascii="Calibri" w:eastAsia="Calibri" w:hAnsi="Calibri" w:cs="Calibri"/>
          <w:bCs/>
        </w:rPr>
        <w:t>sus propias</w:t>
      </w:r>
      <w:r w:rsidR="00BE23C6">
        <w:rPr>
          <w:rFonts w:ascii="Calibri" w:eastAsia="Calibri" w:hAnsi="Calibri" w:cs="Calibri"/>
          <w:bCs/>
        </w:rPr>
        <w:t xml:space="preserve"> MIR </w:t>
      </w:r>
      <w:r w:rsidR="007D102E">
        <w:rPr>
          <w:rFonts w:ascii="Calibri" w:eastAsia="Calibri" w:hAnsi="Calibri" w:cs="Calibri"/>
          <w:bCs/>
        </w:rPr>
        <w:t>con los</w:t>
      </w:r>
      <w:r w:rsidR="00BE23C6">
        <w:rPr>
          <w:rFonts w:ascii="Calibri" w:eastAsia="Calibri" w:hAnsi="Calibri" w:cs="Calibri"/>
          <w:bCs/>
        </w:rPr>
        <w:t xml:space="preserve"> Componentes de la MIR estatal del Fondo. </w:t>
      </w:r>
      <w:r w:rsidR="007D102E">
        <w:rPr>
          <w:rFonts w:ascii="Calibri" w:eastAsia="Calibri" w:hAnsi="Calibri" w:cs="Calibri"/>
          <w:bCs/>
        </w:rPr>
        <w:t>Sin embargo</w:t>
      </w:r>
      <w:r w:rsidR="00ED19CC">
        <w:rPr>
          <w:rFonts w:ascii="Calibri" w:eastAsia="Calibri" w:hAnsi="Calibri" w:cs="Calibri"/>
          <w:bCs/>
        </w:rPr>
        <w:t>,</w:t>
      </w:r>
      <w:r w:rsidR="00BE23C6">
        <w:rPr>
          <w:rFonts w:ascii="Calibri" w:eastAsia="Calibri" w:hAnsi="Calibri" w:cs="Calibri"/>
          <w:bCs/>
        </w:rPr>
        <w:t xml:space="preserve"> en estos reportes, </w:t>
      </w:r>
      <w:r w:rsidR="009F5603">
        <w:rPr>
          <w:rFonts w:ascii="Calibri" w:eastAsia="Calibri" w:hAnsi="Calibri" w:cs="Calibri"/>
          <w:bCs/>
        </w:rPr>
        <w:t>no es posible identificar indicadores relacionados con el Pp D02-Deuda, relativo al rubro de saneamiento financiero.</w:t>
      </w:r>
      <w:r w:rsidR="0021667F">
        <w:rPr>
          <w:rFonts w:ascii="Calibri" w:eastAsia="Calibri" w:hAnsi="Calibri" w:cs="Calibri"/>
          <w:bCs/>
        </w:rPr>
        <w:t xml:space="preserve"> </w:t>
      </w:r>
    </w:p>
    <w:p w14:paraId="6563F25E" w14:textId="4CEE8300" w:rsidR="00E76BC3" w:rsidRPr="00820532" w:rsidRDefault="00E76BC3" w:rsidP="001D2D41">
      <w:pPr>
        <w:pStyle w:val="Prrafodelista"/>
        <w:numPr>
          <w:ilvl w:val="0"/>
          <w:numId w:val="46"/>
        </w:numPr>
        <w:ind w:left="714" w:hanging="357"/>
        <w:contextualSpacing w:val="0"/>
      </w:pPr>
      <w:r w:rsidRPr="00820532">
        <w:t>La información que se reporta relac</w:t>
      </w:r>
      <w:r w:rsidR="009F5603">
        <w:t>i</w:t>
      </w:r>
      <w:r w:rsidRPr="00820532">
        <w:t>onada con los Componentes de la MIR federal</w:t>
      </w:r>
      <w:r w:rsidR="00954C94">
        <w:t xml:space="preserve"> </w:t>
      </w:r>
      <w:r w:rsidRPr="00D2072F">
        <w:t xml:space="preserve">y las MIR estatales de los Pp, cumplen con lo establecido en </w:t>
      </w:r>
      <w:r w:rsidRPr="00D2072F">
        <w:rPr>
          <w:rFonts w:cstheme="minorHAnsi"/>
          <w:bCs/>
        </w:rPr>
        <w:t>los artículos 85, fracción II de la LFPRH, 48 d</w:t>
      </w:r>
      <w:r w:rsidRPr="00820532">
        <w:rPr>
          <w:rFonts w:cstheme="minorHAnsi"/>
          <w:bCs/>
        </w:rPr>
        <w:t xml:space="preserve">e la LCF, 72 de la Ley General de Contabilidad Gubernamental y de la disposición vigésimo cuarto de los </w:t>
      </w:r>
      <w:r w:rsidR="009F5603">
        <w:rPr>
          <w:rFonts w:cstheme="minorHAnsi"/>
          <w:bCs/>
        </w:rPr>
        <w:t>L</w:t>
      </w:r>
      <w:r w:rsidRPr="00820532">
        <w:rPr>
          <w:rFonts w:cstheme="minorHAnsi"/>
          <w:bCs/>
        </w:rPr>
        <w:t>ineamientos para informar sobre los recursos federales transferidos a las entidades federativas, municipios y demarcaciones territoriales del Distrito Federal, y de operación de los recursos del Ramo General 33.</w:t>
      </w:r>
      <w:r w:rsidR="00A17036">
        <w:rPr>
          <w:rFonts w:cstheme="minorHAnsi"/>
          <w:bCs/>
        </w:rPr>
        <w:t xml:space="preserve"> Asimismo, la información de monitoreo que se reporta para los Pp corresponde con lo establecido en las Leyes, lineamientos, manuales, guías y formatos establecidos para la estandarización de la información en el marco normativo estatal.</w:t>
      </w:r>
    </w:p>
    <w:p w14:paraId="6F5E8A0D" w14:textId="3EA85ADB" w:rsidR="00A67D67" w:rsidRDefault="00954C94" w:rsidP="001D2D41">
      <w:pPr>
        <w:pStyle w:val="Prrafodelista"/>
        <w:numPr>
          <w:ilvl w:val="0"/>
          <w:numId w:val="46"/>
        </w:numPr>
        <w:ind w:left="714" w:hanging="357"/>
        <w:contextualSpacing w:val="0"/>
      </w:pPr>
      <w:r w:rsidRPr="00820532">
        <w:t xml:space="preserve">Para la MIR federal del FAFEF, el resultado del indicador a nivel de Componente denominado “Porcentaje de avance en las metas”, el cual mide el avance promedio en la ejecución física de los </w:t>
      </w:r>
      <w:r w:rsidR="00763E2E">
        <w:rPr>
          <w:color w:val="000000" w:themeColor="text1"/>
        </w:rPr>
        <w:t>Pp</w:t>
      </w:r>
      <w:r w:rsidRPr="00820532">
        <w:t>, obras o acciones que se realizan con recursos del FAFEF, no permite identificar la contribución del F</w:t>
      </w:r>
      <w:r w:rsidR="00A17036">
        <w:t>ondo</w:t>
      </w:r>
      <w:r w:rsidRPr="00820532">
        <w:t xml:space="preserve"> a la atenuación o solución de las problemáticas de la entidad; ya que no se define una problemática a ser atendida de manera específica por el Fondo</w:t>
      </w:r>
      <w:r>
        <w:t xml:space="preserve">. </w:t>
      </w:r>
      <w:r w:rsidR="00B82E61">
        <w:t xml:space="preserve">Como se ha explicado en el inciso a) los Componentes definidos en la MIR estatal del Fondo corresponden a cada proyecto financiado con recursos del FAFEF por lo que tampoco permiten identificar la contribución del Fondo a la solución de alguna problemática específica. </w:t>
      </w:r>
    </w:p>
    <w:p w14:paraId="5F6FC6D8" w14:textId="6EA8DEA6" w:rsidR="00D666B2" w:rsidRDefault="00ED19CC" w:rsidP="001D2D41">
      <w:pPr>
        <w:pStyle w:val="Prrafodelista"/>
        <w:numPr>
          <w:ilvl w:val="0"/>
          <w:numId w:val="46"/>
        </w:numPr>
        <w:ind w:left="714" w:hanging="357"/>
        <w:contextualSpacing w:val="0"/>
      </w:pPr>
      <w:r w:rsidRPr="007C3D7C">
        <w:rPr>
          <w:rFonts w:cstheme="minorHAnsi"/>
          <w:color w:val="000000" w:themeColor="text1"/>
        </w:rPr>
        <w:lastRenderedPageBreak/>
        <w:t>En la entidad</w:t>
      </w:r>
      <w:r>
        <w:rPr>
          <w:rFonts w:cstheme="minorHAnsi"/>
          <w:color w:val="000000" w:themeColor="text1"/>
        </w:rPr>
        <w:t xml:space="preserve"> federativa</w:t>
      </w:r>
      <w:r w:rsidRPr="007C3D7C">
        <w:rPr>
          <w:rFonts w:cstheme="minorHAnsi"/>
          <w:color w:val="000000" w:themeColor="text1"/>
        </w:rPr>
        <w:t>, no se dispone de una definición precisa de la población</w:t>
      </w:r>
      <w:r>
        <w:rPr>
          <w:rFonts w:cstheme="minorHAnsi"/>
          <w:color w:val="000000" w:themeColor="text1"/>
        </w:rPr>
        <w:t xml:space="preserve"> potencial, objetivo y</w:t>
      </w:r>
      <w:r w:rsidRPr="007C3D7C">
        <w:rPr>
          <w:rFonts w:cstheme="minorHAnsi"/>
          <w:color w:val="000000" w:themeColor="text1"/>
        </w:rPr>
        <w:t xml:space="preserve"> atendida </w:t>
      </w:r>
      <w:r>
        <w:rPr>
          <w:rFonts w:cstheme="minorHAnsi"/>
          <w:color w:val="000000" w:themeColor="text1"/>
        </w:rPr>
        <w:t>mediante los recursos del Fondo, l</w:t>
      </w:r>
      <w:r w:rsidRPr="0071285D">
        <w:rPr>
          <w:rFonts w:cstheme="minorHAnsi"/>
          <w:color w:val="000000" w:themeColor="text1"/>
        </w:rPr>
        <w:t xml:space="preserve">os recursos del FAFEF </w:t>
      </w:r>
      <w:r>
        <w:t>no fueron planeados sobre la base del beneficio y cobertura poblacional</w:t>
      </w:r>
      <w:r w:rsidR="001C6B72">
        <w:t xml:space="preserve"> para cada rubro de gasto</w:t>
      </w:r>
      <w:r>
        <w:t>, por lo que no es posible verificar que se beneficia efectivamente a la población objetivo del FAFEF.</w:t>
      </w:r>
    </w:p>
    <w:p w14:paraId="0DD9F128" w14:textId="1AC1D83C" w:rsidR="00EB1844" w:rsidRDefault="00EB1844" w:rsidP="00EB1844">
      <w:r>
        <w:br w:type="page"/>
      </w:r>
    </w:p>
    <w:p w14:paraId="7D053D0E" w14:textId="77777777" w:rsidR="00EB1844" w:rsidRPr="005018A3" w:rsidRDefault="00EB1844" w:rsidP="00EB1844">
      <w:pPr>
        <w:spacing w:before="0" w:after="0"/>
        <w:contextualSpacing/>
        <w:rPr>
          <w:rFonts w:cstheme="minorHAnsi"/>
        </w:rPr>
      </w:pPr>
      <w:r>
        <w:rPr>
          <w:rFonts w:cstheme="minorHAnsi"/>
          <w:b/>
        </w:rPr>
        <w:lastRenderedPageBreak/>
        <w:t xml:space="preserve">24. </w:t>
      </w:r>
      <w:r w:rsidRPr="005018A3">
        <w:rPr>
          <w:rFonts w:cstheme="minorHAnsi"/>
          <w:b/>
        </w:rPr>
        <w:t>En caso de que la entidad federativa cuente con mecanismos, dirigidos a la población atendida, para fortalecer la rendición de cuentas y la transparencia sobre la ejecución del FAFEF o de los proyectos que se financian con este fondo, explique el procedimiento para llevarlo a cabo, las variables o elementos que considera y la frecuencia de actualización de estos; asimismo, si estos mecanismos cumplen (o toman en cuenta) las siguientes características:</w:t>
      </w:r>
      <w:r w:rsidRPr="005018A3">
        <w:rPr>
          <w:rFonts w:cstheme="minorHAnsi"/>
        </w:rPr>
        <w:tab/>
      </w:r>
    </w:p>
    <w:p w14:paraId="4D0444C3" w14:textId="77777777" w:rsidR="00EB1844" w:rsidRPr="00774B66" w:rsidRDefault="00EB1844" w:rsidP="00EB1844">
      <w:pPr>
        <w:pStyle w:val="Pregunta"/>
        <w:numPr>
          <w:ilvl w:val="0"/>
          <w:numId w:val="21"/>
        </w:numPr>
      </w:pPr>
      <w:r w:rsidRPr="00774B66">
        <w:t>Los documentos normativos del FAFEF en la entidad federativa están disponibles en la página de Internet de la entidad federativa, y puedan ser localizados a través de un buscador funcional a partir de su página principal;</w:t>
      </w:r>
    </w:p>
    <w:p w14:paraId="37CEBE4A" w14:textId="77777777" w:rsidR="00EB1844" w:rsidRPr="00774B66" w:rsidRDefault="00EB1844" w:rsidP="00EB1844">
      <w:pPr>
        <w:pStyle w:val="Pregunta"/>
        <w:numPr>
          <w:ilvl w:val="0"/>
          <w:numId w:val="21"/>
        </w:numPr>
      </w:pPr>
      <w:r w:rsidRPr="00774B66">
        <w:t>Los resultados principales del FAFEF son difundidos en la página de Internet de la entidad federativa de manera accesible, y puedan ser localizados a través de un buscador funcional a partir de su página principal;</w:t>
      </w:r>
    </w:p>
    <w:p w14:paraId="1166E15F" w14:textId="77777777" w:rsidR="00EB1844" w:rsidRPr="005E1463" w:rsidRDefault="00EB1844" w:rsidP="00EB1844">
      <w:pPr>
        <w:pStyle w:val="Pregunta"/>
        <w:numPr>
          <w:ilvl w:val="0"/>
          <w:numId w:val="21"/>
        </w:numPr>
        <w:spacing w:after="120"/>
        <w:ind w:left="714" w:hanging="357"/>
      </w:pPr>
      <w:r w:rsidRPr="005E1463">
        <w:t>Difunde un teléfono o correo electrónico para informar y orientar tanto a la población beneficiaria o usuarios, como al ciudadano en general, en la página de Internet de la entidad federativa, y puedan ser localizados a través de un buscador funcional a partir de su página principal;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5"/>
        <w:gridCol w:w="763"/>
        <w:gridCol w:w="7854"/>
      </w:tblGrid>
      <w:tr w:rsidR="00EB1844" w:rsidRPr="00774B66" w14:paraId="6D3866A4" w14:textId="77777777" w:rsidTr="00927B4B">
        <w:trPr>
          <w:trHeight w:val="260"/>
          <w:jc w:val="center"/>
        </w:trPr>
        <w:tc>
          <w:tcPr>
            <w:tcW w:w="675" w:type="pct"/>
            <w:shd w:val="clear" w:color="auto" w:fill="FFFFFF"/>
            <w:vAlign w:val="center"/>
          </w:tcPr>
          <w:p w14:paraId="32E0ADBD" w14:textId="77777777" w:rsidR="00EB1844" w:rsidRPr="00774B66" w:rsidRDefault="00EB1844" w:rsidP="00927B4B">
            <w:pPr>
              <w:pBdr>
                <w:top w:val="nil"/>
                <w:left w:val="nil"/>
                <w:bottom w:val="nil"/>
                <w:right w:val="nil"/>
                <w:between w:val="nil"/>
              </w:pBdr>
              <w:spacing w:before="0"/>
              <w:ind w:left="12"/>
              <w:jc w:val="center"/>
              <w:rPr>
                <w:rFonts w:ascii="Calibri" w:eastAsia="Calibri" w:hAnsi="Calibri" w:cs="Calibri"/>
                <w:b/>
                <w:color w:val="000000"/>
                <w:sz w:val="20"/>
                <w:szCs w:val="20"/>
                <w:lang w:eastAsia="es-MX"/>
              </w:rPr>
            </w:pPr>
            <w:r w:rsidRPr="00774B66">
              <w:rPr>
                <w:rFonts w:ascii="Calibri" w:eastAsia="Calibri" w:hAnsi="Calibri" w:cs="Calibri"/>
                <w:b/>
                <w:color w:val="000000"/>
                <w:sz w:val="20"/>
                <w:szCs w:val="20"/>
                <w:lang w:eastAsia="es-MX"/>
              </w:rPr>
              <w:t>Respuesta</w:t>
            </w:r>
          </w:p>
        </w:tc>
        <w:tc>
          <w:tcPr>
            <w:tcW w:w="383" w:type="pct"/>
            <w:shd w:val="clear" w:color="auto" w:fill="FFFFFF"/>
            <w:vAlign w:val="center"/>
          </w:tcPr>
          <w:p w14:paraId="7075F649" w14:textId="77777777" w:rsidR="00EB1844" w:rsidRPr="00774B66" w:rsidRDefault="00EB1844" w:rsidP="00927B4B">
            <w:pPr>
              <w:pBdr>
                <w:top w:val="nil"/>
                <w:left w:val="nil"/>
                <w:bottom w:val="nil"/>
                <w:right w:val="nil"/>
                <w:between w:val="nil"/>
              </w:pBdr>
              <w:spacing w:before="0"/>
              <w:ind w:left="12"/>
              <w:jc w:val="center"/>
              <w:rPr>
                <w:rFonts w:ascii="Calibri" w:eastAsia="Calibri" w:hAnsi="Calibri" w:cs="Calibri"/>
                <w:b/>
                <w:color w:val="000000"/>
                <w:sz w:val="20"/>
                <w:szCs w:val="20"/>
                <w:lang w:eastAsia="es-MX"/>
              </w:rPr>
            </w:pPr>
            <w:r w:rsidRPr="00774B66">
              <w:rPr>
                <w:rFonts w:ascii="Calibri" w:eastAsia="Calibri" w:hAnsi="Calibri" w:cs="Calibri"/>
                <w:b/>
                <w:color w:val="000000"/>
                <w:sz w:val="20"/>
                <w:szCs w:val="20"/>
                <w:lang w:eastAsia="es-MX"/>
              </w:rPr>
              <w:t>Nivel</w:t>
            </w:r>
          </w:p>
        </w:tc>
        <w:tc>
          <w:tcPr>
            <w:tcW w:w="3942" w:type="pct"/>
            <w:shd w:val="clear" w:color="auto" w:fill="FFFFFF"/>
            <w:vAlign w:val="center"/>
          </w:tcPr>
          <w:p w14:paraId="78764B6C" w14:textId="77777777" w:rsidR="00EB1844" w:rsidRPr="00774B66" w:rsidRDefault="00EB1844" w:rsidP="00927B4B">
            <w:pPr>
              <w:pBdr>
                <w:top w:val="nil"/>
                <w:left w:val="nil"/>
                <w:bottom w:val="nil"/>
                <w:right w:val="nil"/>
                <w:between w:val="nil"/>
              </w:pBdr>
              <w:spacing w:before="0"/>
              <w:ind w:firstLine="20"/>
              <w:jc w:val="center"/>
              <w:rPr>
                <w:rFonts w:ascii="Calibri" w:eastAsia="Calibri" w:hAnsi="Calibri" w:cs="Calibri"/>
                <w:b/>
                <w:color w:val="000000"/>
                <w:sz w:val="20"/>
                <w:szCs w:val="20"/>
                <w:lang w:eastAsia="es-MX"/>
              </w:rPr>
            </w:pPr>
            <w:r w:rsidRPr="00774B66">
              <w:rPr>
                <w:rFonts w:ascii="Calibri" w:eastAsia="Calibri" w:hAnsi="Calibri" w:cs="Calibri"/>
                <w:b/>
                <w:color w:val="000000"/>
                <w:sz w:val="20"/>
                <w:szCs w:val="20"/>
                <w:lang w:eastAsia="es-MX"/>
              </w:rPr>
              <w:t>Criterios</w:t>
            </w:r>
          </w:p>
        </w:tc>
      </w:tr>
      <w:tr w:rsidR="00EB1844" w:rsidRPr="00774B66" w14:paraId="4610C3DA" w14:textId="77777777" w:rsidTr="00927B4B">
        <w:trPr>
          <w:trHeight w:val="400"/>
          <w:jc w:val="center"/>
        </w:trPr>
        <w:tc>
          <w:tcPr>
            <w:tcW w:w="675" w:type="pct"/>
            <w:shd w:val="clear" w:color="auto" w:fill="FFFFFF"/>
            <w:vAlign w:val="center"/>
          </w:tcPr>
          <w:p w14:paraId="27C69DE3" w14:textId="77777777" w:rsidR="00EB1844" w:rsidRPr="00774B66" w:rsidRDefault="00EB1844" w:rsidP="00927B4B">
            <w:pPr>
              <w:pBdr>
                <w:top w:val="nil"/>
                <w:left w:val="nil"/>
                <w:bottom w:val="nil"/>
                <w:right w:val="nil"/>
                <w:between w:val="nil"/>
              </w:pBdr>
              <w:shd w:val="clear" w:color="auto" w:fill="FFFFFF"/>
              <w:spacing w:before="0"/>
              <w:ind w:firstLine="7"/>
              <w:jc w:val="center"/>
              <w:rPr>
                <w:rFonts w:ascii="Calibri" w:eastAsia="Calibri" w:hAnsi="Calibri" w:cs="Calibri"/>
                <w:color w:val="000000"/>
                <w:sz w:val="20"/>
                <w:szCs w:val="20"/>
                <w:lang w:eastAsia="es-MX"/>
              </w:rPr>
            </w:pPr>
            <w:r w:rsidRPr="00774B66">
              <w:rPr>
                <w:rFonts w:ascii="Calibri" w:eastAsia="Calibri" w:hAnsi="Calibri" w:cs="Calibri"/>
                <w:color w:val="000000"/>
                <w:sz w:val="20"/>
                <w:szCs w:val="20"/>
                <w:lang w:eastAsia="es-MX"/>
              </w:rPr>
              <w:t>Sí</w:t>
            </w:r>
          </w:p>
        </w:tc>
        <w:tc>
          <w:tcPr>
            <w:tcW w:w="383" w:type="pct"/>
            <w:shd w:val="clear" w:color="auto" w:fill="FFFFFF"/>
            <w:vAlign w:val="center"/>
          </w:tcPr>
          <w:p w14:paraId="09A3CE22" w14:textId="64248EEA" w:rsidR="00EB1844" w:rsidRPr="00774B66" w:rsidRDefault="00F12303" w:rsidP="00927B4B">
            <w:pPr>
              <w:pBdr>
                <w:top w:val="nil"/>
                <w:left w:val="nil"/>
                <w:bottom w:val="nil"/>
                <w:right w:val="nil"/>
                <w:between w:val="nil"/>
              </w:pBdr>
              <w:shd w:val="clear" w:color="auto" w:fill="FFFFFF"/>
              <w:spacing w:before="0"/>
              <w:ind w:firstLine="7"/>
              <w:jc w:val="center"/>
              <w:rPr>
                <w:rFonts w:ascii="Calibri" w:eastAsia="Calibri" w:hAnsi="Calibri" w:cs="Calibri"/>
                <w:color w:val="000000"/>
                <w:sz w:val="20"/>
                <w:szCs w:val="20"/>
                <w:lang w:eastAsia="es-MX"/>
              </w:rPr>
            </w:pPr>
            <w:r>
              <w:rPr>
                <w:rFonts w:ascii="Calibri" w:eastAsia="Calibri" w:hAnsi="Calibri" w:cs="Calibri"/>
                <w:color w:val="000000"/>
                <w:sz w:val="20"/>
                <w:szCs w:val="20"/>
                <w:lang w:eastAsia="es-MX"/>
              </w:rPr>
              <w:t>2</w:t>
            </w:r>
          </w:p>
        </w:tc>
        <w:tc>
          <w:tcPr>
            <w:tcW w:w="3942" w:type="pct"/>
            <w:shd w:val="clear" w:color="auto" w:fill="FFFFFF"/>
            <w:vAlign w:val="center"/>
          </w:tcPr>
          <w:p w14:paraId="6C279875" w14:textId="698B8424" w:rsidR="00EB1844" w:rsidRPr="00774B66" w:rsidRDefault="00EB1844" w:rsidP="00927B4B">
            <w:pPr>
              <w:tabs>
                <w:tab w:val="left" w:pos="256"/>
              </w:tabs>
              <w:spacing w:before="0"/>
              <w:contextualSpacing/>
              <w:rPr>
                <w:rFonts w:ascii="Calibri" w:eastAsia="Calibri" w:hAnsi="Calibri" w:cs="Calibri"/>
                <w:color w:val="000000"/>
                <w:sz w:val="20"/>
                <w:szCs w:val="20"/>
                <w:lang w:eastAsia="es-MX"/>
              </w:rPr>
            </w:pPr>
            <w:r w:rsidRPr="00774B66">
              <w:rPr>
                <w:rFonts w:cstheme="minorHAnsi"/>
                <w:sz w:val="20"/>
                <w:szCs w:val="20"/>
                <w:lang w:eastAsia="es-MX"/>
              </w:rPr>
              <w:t xml:space="preserve">Los mecanismos de transparencia y rendición de cuentas cumplen con </w:t>
            </w:r>
            <w:r w:rsidR="00C87216" w:rsidRPr="00BB5835">
              <w:rPr>
                <w:rFonts w:cstheme="minorHAnsi"/>
                <w:b/>
                <w:bCs/>
                <w:sz w:val="20"/>
                <w:szCs w:val="20"/>
                <w:lang w:eastAsia="es-MX"/>
              </w:rPr>
              <w:t>dos</w:t>
            </w:r>
            <w:r w:rsidRPr="00774B66">
              <w:rPr>
                <w:rFonts w:cstheme="minorHAnsi"/>
                <w:sz w:val="20"/>
                <w:szCs w:val="20"/>
                <w:lang w:eastAsia="es-MX"/>
              </w:rPr>
              <w:t xml:space="preserve"> de las características indicadas en la pregunta.</w:t>
            </w:r>
          </w:p>
        </w:tc>
      </w:tr>
    </w:tbl>
    <w:p w14:paraId="0C366C13" w14:textId="285950D1" w:rsidR="00EB1844" w:rsidRPr="00FB6EA5" w:rsidRDefault="0076347B" w:rsidP="00EB1844">
      <w:pPr>
        <w:autoSpaceDE w:val="0"/>
        <w:autoSpaceDN w:val="0"/>
        <w:adjustRightInd w:val="0"/>
        <w:rPr>
          <w:rFonts w:cstheme="minorHAnsi"/>
          <w:color w:val="000000" w:themeColor="text1"/>
        </w:rPr>
      </w:pPr>
      <w:r>
        <w:rPr>
          <w:rFonts w:cstheme="minorHAnsi"/>
          <w:color w:val="000000" w:themeColor="text1"/>
        </w:rPr>
        <w:t xml:space="preserve">En el </w:t>
      </w:r>
      <w:r w:rsidR="00DC610F">
        <w:rPr>
          <w:rFonts w:cstheme="minorHAnsi"/>
          <w:color w:val="000000" w:themeColor="text1"/>
        </w:rPr>
        <w:t>E</w:t>
      </w:r>
      <w:r>
        <w:rPr>
          <w:rFonts w:cstheme="minorHAnsi"/>
          <w:color w:val="000000" w:themeColor="text1"/>
        </w:rPr>
        <w:t>stado de Hidalgo los recursos del FAFEF no han sido planeados sobre una base poblacional, puesto que no se ha dispuesto de una identificación ni cuantificación de la población potencial, objetivo y atendida. El documento diagnóstico del FAFEF en la entidad y la MIR estatal del Fondo consideran como población potencial, objetivo y atendida a los habitantes de los 84 municipios que conforman la entidad federativa</w:t>
      </w:r>
      <w:r w:rsidR="00CB236C">
        <w:rPr>
          <w:rFonts w:cstheme="minorHAnsi"/>
          <w:color w:val="000000" w:themeColor="text1"/>
        </w:rPr>
        <w:t>, por lo que</w:t>
      </w:r>
      <w:r w:rsidR="00CB236C" w:rsidRPr="007C3D7C">
        <w:rPr>
          <w:rFonts w:cstheme="minorHAnsi"/>
          <w:color w:val="000000" w:themeColor="text1"/>
        </w:rPr>
        <w:t xml:space="preserve"> no se dispone de una definición precisa</w:t>
      </w:r>
      <w:r w:rsidR="00CB236C">
        <w:rPr>
          <w:rFonts w:cstheme="minorHAnsi"/>
          <w:color w:val="000000" w:themeColor="text1"/>
        </w:rPr>
        <w:t xml:space="preserve"> de las mismas</w:t>
      </w:r>
      <w:r>
        <w:rPr>
          <w:rFonts w:cstheme="minorHAnsi"/>
          <w:color w:val="000000" w:themeColor="text1"/>
        </w:rPr>
        <w:t xml:space="preserve">. </w:t>
      </w:r>
      <w:r w:rsidR="00B64C96">
        <w:rPr>
          <w:rFonts w:cstheme="minorHAnsi"/>
          <w:color w:val="000000" w:themeColor="text1"/>
        </w:rPr>
        <w:t>Si bien no existen mecanismos específicos del FAFEF que fortalezcan la rendición de cuentas y la transparencia sobre su ejecución, el Estado de Hidalgo</w:t>
      </w:r>
      <w:r w:rsidR="005E5E36">
        <w:rPr>
          <w:rFonts w:cstheme="minorHAnsi"/>
          <w:color w:val="000000" w:themeColor="text1"/>
        </w:rPr>
        <w:t xml:space="preserve"> para la operación de los Pp que reciben financiamiento del FAFEF</w:t>
      </w:r>
      <w:r w:rsidR="00B64C96">
        <w:rPr>
          <w:rFonts w:cstheme="minorHAnsi"/>
          <w:color w:val="000000" w:themeColor="text1"/>
        </w:rPr>
        <w:t xml:space="preserve"> cue</w:t>
      </w:r>
      <w:r w:rsidR="00EB1844" w:rsidRPr="00FB6EA5">
        <w:rPr>
          <w:rFonts w:cstheme="minorHAnsi"/>
          <w:color w:val="000000" w:themeColor="text1"/>
        </w:rPr>
        <w:t>nta con</w:t>
      </w:r>
      <w:r w:rsidR="00B64C96">
        <w:rPr>
          <w:rFonts w:cstheme="minorHAnsi"/>
          <w:color w:val="000000" w:themeColor="text1"/>
        </w:rPr>
        <w:t xml:space="preserve"> los</w:t>
      </w:r>
      <w:r w:rsidR="00EB1844" w:rsidRPr="00FB6EA5">
        <w:rPr>
          <w:rFonts w:cstheme="minorHAnsi"/>
          <w:color w:val="000000" w:themeColor="text1"/>
        </w:rPr>
        <w:t xml:space="preserve"> mecanismos </w:t>
      </w:r>
      <w:r w:rsidR="00B64C96">
        <w:rPr>
          <w:rFonts w:cstheme="minorHAnsi"/>
          <w:color w:val="000000" w:themeColor="text1"/>
        </w:rPr>
        <w:t>en esta materia que</w:t>
      </w:r>
      <w:r w:rsidR="00EB1844" w:rsidRPr="00FB6EA5">
        <w:rPr>
          <w:rFonts w:cstheme="minorHAnsi"/>
          <w:color w:val="000000" w:themeColor="text1"/>
        </w:rPr>
        <w:t xml:space="preserve"> cumplen con cada una de las características establecidas en la pregunta</w:t>
      </w:r>
      <w:r w:rsidR="00B64C96">
        <w:rPr>
          <w:rFonts w:cstheme="minorHAnsi"/>
          <w:color w:val="000000" w:themeColor="text1"/>
        </w:rPr>
        <w:t>, pero que se aplican a la totalidad de su estructura programática estatal</w:t>
      </w:r>
      <w:r w:rsidR="00EB1844" w:rsidRPr="00FB6EA5">
        <w:rPr>
          <w:rFonts w:cstheme="minorHAnsi"/>
          <w:color w:val="000000" w:themeColor="text1"/>
        </w:rPr>
        <w:t xml:space="preserve">. </w:t>
      </w:r>
    </w:p>
    <w:p w14:paraId="1EDCBB45" w14:textId="3AE7C0DE" w:rsidR="00EB1844" w:rsidRDefault="00EB1844" w:rsidP="00EB1844">
      <w:pPr>
        <w:pStyle w:val="Prrafodelista"/>
        <w:numPr>
          <w:ilvl w:val="0"/>
          <w:numId w:val="30"/>
        </w:numPr>
        <w:autoSpaceDE w:val="0"/>
        <w:autoSpaceDN w:val="0"/>
        <w:adjustRightInd w:val="0"/>
        <w:contextualSpacing w:val="0"/>
        <w:rPr>
          <w:rFonts w:cstheme="minorHAnsi"/>
          <w:color w:val="000000" w:themeColor="text1"/>
        </w:rPr>
      </w:pPr>
      <w:r w:rsidRPr="001B5E47">
        <w:rPr>
          <w:rFonts w:cstheme="minorHAnsi"/>
          <w:color w:val="000000" w:themeColor="text1"/>
        </w:rPr>
        <w:t>Los documentos normativos relacionados con la operación d</w:t>
      </w:r>
      <w:r w:rsidR="00B64C96">
        <w:rPr>
          <w:rFonts w:cstheme="minorHAnsi"/>
          <w:color w:val="000000" w:themeColor="text1"/>
        </w:rPr>
        <w:t>e los Pp</w:t>
      </w:r>
      <w:r w:rsidRPr="001B5E47">
        <w:rPr>
          <w:rFonts w:cstheme="minorHAnsi"/>
          <w:color w:val="000000" w:themeColor="text1"/>
        </w:rPr>
        <w:t xml:space="preserve"> están disponibles en el Portal de Transparencia Financiera de la SFP de la entidad</w:t>
      </w:r>
      <w:r>
        <w:rPr>
          <w:rFonts w:cstheme="minorHAnsi"/>
          <w:color w:val="000000" w:themeColor="text1"/>
        </w:rPr>
        <w:t xml:space="preserve"> federativa</w:t>
      </w:r>
      <w:r w:rsidRPr="001B5E47">
        <w:rPr>
          <w:rFonts w:cstheme="minorHAnsi"/>
          <w:color w:val="000000" w:themeColor="text1"/>
        </w:rPr>
        <w:t xml:space="preserve">. En el apartado de </w:t>
      </w:r>
      <w:r w:rsidR="007B5B10">
        <w:rPr>
          <w:rFonts w:cstheme="minorHAnsi"/>
          <w:color w:val="000000" w:themeColor="text1"/>
        </w:rPr>
        <w:t>m</w:t>
      </w:r>
      <w:r w:rsidRPr="001B5E47">
        <w:rPr>
          <w:rFonts w:cstheme="minorHAnsi"/>
          <w:color w:val="000000" w:themeColor="text1"/>
        </w:rPr>
        <w:t xml:space="preserve">arco </w:t>
      </w:r>
      <w:r w:rsidR="007B5B10">
        <w:rPr>
          <w:rFonts w:cstheme="minorHAnsi"/>
          <w:color w:val="000000" w:themeColor="text1"/>
        </w:rPr>
        <w:t>r</w:t>
      </w:r>
      <w:r w:rsidRPr="001B5E47">
        <w:rPr>
          <w:rFonts w:cstheme="minorHAnsi"/>
          <w:color w:val="000000" w:themeColor="text1"/>
        </w:rPr>
        <w:t xml:space="preserve">egulatorio, se encuentra disponible la </w:t>
      </w:r>
      <w:r w:rsidR="007B5B10">
        <w:rPr>
          <w:rFonts w:cstheme="minorHAnsi"/>
          <w:color w:val="000000" w:themeColor="text1"/>
        </w:rPr>
        <w:t>l</w:t>
      </w:r>
      <w:r w:rsidRPr="001B5E47">
        <w:rPr>
          <w:rFonts w:cstheme="minorHAnsi"/>
          <w:color w:val="000000" w:themeColor="text1"/>
        </w:rPr>
        <w:t xml:space="preserve">egislación </w:t>
      </w:r>
      <w:r w:rsidR="007B5B10">
        <w:rPr>
          <w:rFonts w:cstheme="minorHAnsi"/>
          <w:color w:val="000000" w:themeColor="text1"/>
        </w:rPr>
        <w:t>e</w:t>
      </w:r>
      <w:r w:rsidRPr="001B5E47">
        <w:rPr>
          <w:rFonts w:cstheme="minorHAnsi"/>
          <w:color w:val="000000" w:themeColor="text1"/>
        </w:rPr>
        <w:t xml:space="preserve">statal y los manuales, normas, políticas y lineamientos que regulan la operación de los recursos del FAFEF en </w:t>
      </w:r>
      <w:r w:rsidR="005E5E36">
        <w:rPr>
          <w:rFonts w:cstheme="minorHAnsi"/>
          <w:color w:val="000000" w:themeColor="text1"/>
        </w:rPr>
        <w:t>la entidad federativa</w:t>
      </w:r>
      <w:r w:rsidRPr="001B5E47">
        <w:rPr>
          <w:rFonts w:cstheme="minorHAnsi"/>
          <w:color w:val="000000" w:themeColor="text1"/>
        </w:rPr>
        <w:t>.</w:t>
      </w:r>
      <w:r>
        <w:rPr>
          <w:rFonts w:cstheme="minorHAnsi"/>
          <w:color w:val="000000" w:themeColor="text1"/>
        </w:rPr>
        <w:t xml:space="preserve"> </w:t>
      </w:r>
      <w:r w:rsidRPr="001B5E47">
        <w:rPr>
          <w:rFonts w:cstheme="minorHAnsi"/>
          <w:color w:val="000000" w:themeColor="text1"/>
        </w:rPr>
        <w:t xml:space="preserve">Específicamente ubicado en el siguiente link: </w:t>
      </w:r>
      <w:hyperlink r:id="rId18" w:history="1">
        <w:r w:rsidR="007B5B10" w:rsidRPr="00540419">
          <w:rPr>
            <w:rStyle w:val="Hipervnculo"/>
            <w:rFonts w:cstheme="minorHAnsi"/>
          </w:rPr>
          <w:t>https://s-finanzas.hidalgo.gob.mx/transparenciaFinanciera/transparenciaFinancieraPorTema.html</w:t>
        </w:r>
      </w:hyperlink>
      <w:r w:rsidRPr="001B5E47">
        <w:rPr>
          <w:rFonts w:cstheme="minorHAnsi"/>
          <w:color w:val="000000" w:themeColor="text1"/>
        </w:rPr>
        <w:t xml:space="preserve">, </w:t>
      </w:r>
    </w:p>
    <w:p w14:paraId="5FD11A02" w14:textId="1A60A2CD" w:rsidR="00EB1844" w:rsidRPr="00B64C96" w:rsidRDefault="00EB1844" w:rsidP="009206F2">
      <w:pPr>
        <w:pStyle w:val="Prrafodelista"/>
        <w:numPr>
          <w:ilvl w:val="0"/>
          <w:numId w:val="30"/>
        </w:numPr>
        <w:autoSpaceDE w:val="0"/>
        <w:autoSpaceDN w:val="0"/>
        <w:adjustRightInd w:val="0"/>
        <w:contextualSpacing w:val="0"/>
        <w:rPr>
          <w:rFonts w:cstheme="minorHAnsi"/>
          <w:color w:val="000000" w:themeColor="text1"/>
        </w:rPr>
      </w:pPr>
      <w:r w:rsidRPr="00B64C96">
        <w:rPr>
          <w:rFonts w:cstheme="minorHAnsi"/>
          <w:color w:val="000000" w:themeColor="text1"/>
        </w:rPr>
        <w:tab/>
      </w:r>
      <w:r w:rsidR="00C60754">
        <w:rPr>
          <w:rFonts w:cstheme="minorHAnsi"/>
          <w:color w:val="000000" w:themeColor="text1"/>
        </w:rPr>
        <w:t>En la página de transparencia de</w:t>
      </w:r>
      <w:r w:rsidR="005E5E36">
        <w:rPr>
          <w:rFonts w:cstheme="minorHAnsi"/>
          <w:color w:val="000000" w:themeColor="text1"/>
        </w:rPr>
        <w:t>l Estado de</w:t>
      </w:r>
      <w:r w:rsidR="00C60754">
        <w:rPr>
          <w:rFonts w:cstheme="minorHAnsi"/>
          <w:color w:val="000000" w:themeColor="text1"/>
        </w:rPr>
        <w:t xml:space="preserve"> </w:t>
      </w:r>
      <w:r w:rsidR="005E5E36">
        <w:rPr>
          <w:rFonts w:cstheme="minorHAnsi"/>
          <w:color w:val="000000" w:themeColor="text1"/>
        </w:rPr>
        <w:t>Hidalgo</w:t>
      </w:r>
      <w:r w:rsidR="00C60754">
        <w:rPr>
          <w:rFonts w:cstheme="minorHAnsi"/>
          <w:color w:val="000000" w:themeColor="text1"/>
        </w:rPr>
        <w:t xml:space="preserve"> (</w:t>
      </w:r>
      <w:hyperlink r:id="rId19" w:history="1">
        <w:r w:rsidR="00C60754" w:rsidRPr="00B64C96">
          <w:rPr>
            <w:rStyle w:val="Hipervnculo"/>
            <w:rFonts w:cstheme="minorHAnsi"/>
          </w:rPr>
          <w:t>https://s-finanzas.hidalgo.gob.mx/servicios/informacinFinancieraSRFT.html</w:t>
        </w:r>
      </w:hyperlink>
      <w:r w:rsidR="00C60754" w:rsidRPr="007D7EA3">
        <w:rPr>
          <w:color w:val="000000" w:themeColor="text1"/>
        </w:rPr>
        <w:t xml:space="preserve">) </w:t>
      </w:r>
      <w:r w:rsidR="00C60754">
        <w:rPr>
          <w:rFonts w:cstheme="minorHAnsi"/>
          <w:color w:val="000000" w:themeColor="text1"/>
        </w:rPr>
        <w:t>se publican los reportes trimestrales que son enviados a la SHCP, a través del SRFT, que agrupa el ejercicio de la totalidad de los recursos federales transferidos</w:t>
      </w:r>
      <w:r w:rsidRPr="00B64C96">
        <w:rPr>
          <w:rFonts w:cstheme="minorHAnsi"/>
          <w:color w:val="000000" w:themeColor="text1"/>
        </w:rPr>
        <w:t xml:space="preserve">. En este sitio, se pueden consultar los informes trimestrales y definitivos, por ejercicio fiscal, en los </w:t>
      </w:r>
      <w:r w:rsidR="00C60754">
        <w:rPr>
          <w:rFonts w:cstheme="minorHAnsi"/>
          <w:color w:val="000000" w:themeColor="text1"/>
        </w:rPr>
        <w:t>temas de ejercicio del gasto, destino del gasto e indicadores del Ramo 33</w:t>
      </w:r>
      <w:r w:rsidRPr="00B64C96">
        <w:rPr>
          <w:rFonts w:cstheme="minorHAnsi"/>
          <w:color w:val="000000" w:themeColor="text1"/>
        </w:rPr>
        <w:t>.</w:t>
      </w:r>
      <w:r w:rsidRPr="00652BDF">
        <w:t xml:space="preserve"> </w:t>
      </w:r>
      <w:r>
        <w:t xml:space="preserve">Asimismo, en el portal de </w:t>
      </w:r>
      <w:r w:rsidR="001A7BE9">
        <w:t>t</w:t>
      </w:r>
      <w:r>
        <w:t xml:space="preserve">ransparencia financiera de la entidad federativa, se pude consultar información referente a la cuenta pública del ejercicio que se desee, mediante la cual se informa sobre los resultados logrados con la ejecución de la Ley de ingresos y el ejercicio del Presupuesto de Egresos. </w:t>
      </w:r>
    </w:p>
    <w:p w14:paraId="489B256D" w14:textId="7EB504D8" w:rsidR="00912DC5" w:rsidRPr="00BE7B7C" w:rsidRDefault="00C60754" w:rsidP="00C60754">
      <w:pPr>
        <w:pStyle w:val="Prrafodelista"/>
        <w:autoSpaceDE w:val="0"/>
        <w:autoSpaceDN w:val="0"/>
        <w:adjustRightInd w:val="0"/>
        <w:ind w:left="709"/>
        <w:contextualSpacing w:val="0"/>
      </w:pPr>
      <w:r>
        <w:rPr>
          <w:rFonts w:cstheme="minorHAnsi"/>
          <w:color w:val="000000" w:themeColor="text1"/>
        </w:rPr>
        <w:t>Los resultados de la ejecución de los Pp de la entidad</w:t>
      </w:r>
      <w:r w:rsidR="00BE7B7C">
        <w:rPr>
          <w:rFonts w:cstheme="minorHAnsi"/>
          <w:color w:val="000000" w:themeColor="text1"/>
        </w:rPr>
        <w:t>, entre ellos los que se financian con recursos del FAFEF,</w:t>
      </w:r>
      <w:r>
        <w:rPr>
          <w:rFonts w:cstheme="minorHAnsi"/>
          <w:color w:val="000000" w:themeColor="text1"/>
        </w:rPr>
        <w:t xml:space="preserve"> se publican</w:t>
      </w:r>
      <w:r w:rsidR="00EB1844" w:rsidRPr="00C60754">
        <w:rPr>
          <w:rFonts w:cstheme="minorHAnsi"/>
          <w:color w:val="000000" w:themeColor="text1"/>
        </w:rPr>
        <w:t xml:space="preserve"> en el portal de la Secretaria de Finanzas del Estado de Hidalgo</w:t>
      </w:r>
      <w:r w:rsidR="00BE7B7C">
        <w:rPr>
          <w:rFonts w:cstheme="minorHAnsi"/>
          <w:color w:val="000000" w:themeColor="text1"/>
        </w:rPr>
        <w:t xml:space="preserve"> a través d</w:t>
      </w:r>
      <w:r w:rsidR="00BE7B7C" w:rsidRPr="00C60754">
        <w:rPr>
          <w:rFonts w:cstheme="minorHAnsi"/>
          <w:color w:val="000000" w:themeColor="text1"/>
        </w:rPr>
        <w:t>el informe de resultados de Indicadores del desempeño del Gobierno del Estado</w:t>
      </w:r>
      <w:r w:rsidR="00BE7B7C">
        <w:rPr>
          <w:rFonts w:cstheme="minorHAnsi"/>
          <w:color w:val="000000" w:themeColor="text1"/>
        </w:rPr>
        <w:t xml:space="preserve">, </w:t>
      </w:r>
      <w:r w:rsidR="00EB1844" w:rsidRPr="00C60754">
        <w:rPr>
          <w:rFonts w:cstheme="minorHAnsi"/>
          <w:color w:val="000000" w:themeColor="text1"/>
        </w:rPr>
        <w:t xml:space="preserve">en su apartado </w:t>
      </w:r>
      <w:r w:rsidR="001A7BE9">
        <w:rPr>
          <w:rFonts w:cstheme="minorHAnsi"/>
          <w:color w:val="000000" w:themeColor="text1"/>
        </w:rPr>
        <w:t>PbR-SED</w:t>
      </w:r>
      <w:r w:rsidR="00EB1844" w:rsidRPr="00C60754">
        <w:rPr>
          <w:rFonts w:cstheme="minorHAnsi"/>
          <w:color w:val="000000" w:themeColor="text1"/>
        </w:rPr>
        <w:t xml:space="preserve"> en el sub apartado de Monitoreo,</w:t>
      </w:r>
      <w:r w:rsidR="00BE7B7C">
        <w:rPr>
          <w:rFonts w:cstheme="minorHAnsi"/>
          <w:color w:val="000000" w:themeColor="text1"/>
        </w:rPr>
        <w:t xml:space="preserve"> </w:t>
      </w:r>
      <w:r w:rsidR="00EB1844" w:rsidRPr="00C60754">
        <w:rPr>
          <w:rFonts w:cstheme="minorHAnsi"/>
          <w:color w:val="000000" w:themeColor="text1"/>
        </w:rPr>
        <w:t xml:space="preserve">específicamente en la página que se presenta a continuación: </w:t>
      </w:r>
      <w:hyperlink r:id="rId20" w:history="1">
        <w:r w:rsidR="00EB1844" w:rsidRPr="0031153E">
          <w:rPr>
            <w:rStyle w:val="Hipervnculo"/>
          </w:rPr>
          <w:t>http://s-finanzas.hidalgo.gob.mx/pag/presupuestoBasadoResultados.html</w:t>
        </w:r>
      </w:hyperlink>
      <w:r w:rsidR="00BE7B7C" w:rsidRPr="00BE7B7C">
        <w:rPr>
          <w:rStyle w:val="Hipervnculo"/>
          <w:u w:val="none"/>
        </w:rPr>
        <w:t xml:space="preserve">. </w:t>
      </w:r>
      <w:r w:rsidR="00BE7B7C" w:rsidRPr="00BE7B7C">
        <w:rPr>
          <w:rStyle w:val="Hipervnculo"/>
          <w:color w:val="000000" w:themeColor="text1"/>
          <w:u w:val="none"/>
        </w:rPr>
        <w:t>C</w:t>
      </w:r>
      <w:r w:rsidR="00BE7B7C" w:rsidRPr="00BE7B7C">
        <w:t xml:space="preserve">abe destacar que esta información no está particularizada para las acciones del Fondo porque en muchos Pp éste sólo constituye una parte del financiamiento presupuestal total. Esto dificulta siempre el tener una valoración global de los </w:t>
      </w:r>
      <w:r w:rsidR="00BE7B7C" w:rsidRPr="00BE7B7C">
        <w:lastRenderedPageBreak/>
        <w:t>resultados del Fondo en la entidad, y exige a la vez tener que poder desagregar y particularizar dicha información.</w:t>
      </w:r>
    </w:p>
    <w:p w14:paraId="7D2E935D" w14:textId="3F4E79C5" w:rsidR="006358D0" w:rsidRPr="006358D0" w:rsidRDefault="00BE7B7C" w:rsidP="006358D0">
      <w:pPr>
        <w:pStyle w:val="Prrafodelista"/>
        <w:numPr>
          <w:ilvl w:val="0"/>
          <w:numId w:val="30"/>
        </w:numPr>
        <w:rPr>
          <w:rFonts w:cstheme="minorHAnsi"/>
          <w:color w:val="000000" w:themeColor="text1"/>
        </w:rPr>
      </w:pPr>
      <w:r w:rsidRPr="006358D0">
        <w:rPr>
          <w:rFonts w:cstheme="minorHAnsi"/>
          <w:color w:val="000000" w:themeColor="text1"/>
        </w:rPr>
        <w:t>En las mismas ligas de las páginas web anteriores</w:t>
      </w:r>
      <w:r w:rsidR="00EB1844" w:rsidRPr="006358D0">
        <w:rPr>
          <w:rFonts w:cstheme="minorHAnsi"/>
          <w:color w:val="000000" w:themeColor="text1"/>
        </w:rPr>
        <w:t xml:space="preserve"> </w:t>
      </w:r>
      <w:r w:rsidRPr="006358D0">
        <w:rPr>
          <w:rFonts w:cstheme="minorHAnsi"/>
          <w:color w:val="000000" w:themeColor="text1"/>
        </w:rPr>
        <w:t>se visualiza</w:t>
      </w:r>
      <w:r w:rsidR="00EB1844" w:rsidRPr="006358D0">
        <w:rPr>
          <w:rFonts w:cstheme="minorHAnsi"/>
          <w:color w:val="000000" w:themeColor="text1"/>
        </w:rPr>
        <w:t xml:space="preserve"> información sobre el teléfono ((771)7176000) y la dirección (Plaza Juárez S/N, Colonia Centro, Pachuca de Soto, Hidalgo, México) en donde la población beneficiaria o el público en general puede informarse. Asimismo, la página de transparencia cuenta con un buzón ciudadano</w:t>
      </w:r>
      <w:r w:rsidRPr="006358D0">
        <w:rPr>
          <w:rFonts w:cstheme="minorHAnsi"/>
          <w:color w:val="000000" w:themeColor="text1"/>
        </w:rPr>
        <w:t xml:space="preserve"> (</w:t>
      </w:r>
      <w:hyperlink r:id="rId21" w:anchor="buzon" w:history="1">
        <w:r w:rsidRPr="006358D0">
          <w:rPr>
            <w:rStyle w:val="Hipervnculo"/>
            <w:rFonts w:cstheme="minorHAnsi"/>
          </w:rPr>
          <w:t>https://www.hidalgo.gob.mx/#buzon</w:t>
        </w:r>
      </w:hyperlink>
      <w:r w:rsidRPr="006358D0">
        <w:rPr>
          <w:rFonts w:cstheme="minorHAnsi"/>
          <w:color w:val="000000" w:themeColor="text1"/>
        </w:rPr>
        <w:t>)</w:t>
      </w:r>
      <w:r w:rsidR="00EB1844" w:rsidRPr="006358D0">
        <w:rPr>
          <w:rFonts w:cstheme="minorHAnsi"/>
          <w:color w:val="000000" w:themeColor="text1"/>
        </w:rPr>
        <w:t>, para dar atención a la ciudadanía en general.</w:t>
      </w:r>
      <w:r w:rsidR="008D1636">
        <w:rPr>
          <w:rFonts w:cstheme="minorHAnsi"/>
          <w:color w:val="000000" w:themeColor="text1"/>
        </w:rPr>
        <w:t xml:space="preserve"> </w:t>
      </w:r>
      <w:r w:rsidR="006358D0">
        <w:rPr>
          <w:rFonts w:cstheme="minorHAnsi"/>
          <w:color w:val="000000" w:themeColor="text1"/>
        </w:rPr>
        <w:t>S</w:t>
      </w:r>
      <w:r w:rsidR="006358D0" w:rsidRPr="006358D0">
        <w:rPr>
          <w:rFonts w:cstheme="minorHAnsi"/>
          <w:color w:val="000000" w:themeColor="text1"/>
        </w:rPr>
        <w:t>in embargo, no hay un contacto específico que esté relacionado con el FAFEF.</w:t>
      </w:r>
    </w:p>
    <w:p w14:paraId="67EEF62D" w14:textId="7ED8624C" w:rsidR="00EB1844" w:rsidRDefault="00EB1844" w:rsidP="00EB1844">
      <w:pPr>
        <w:pStyle w:val="Prrafodelista"/>
        <w:numPr>
          <w:ilvl w:val="0"/>
          <w:numId w:val="30"/>
        </w:numPr>
        <w:autoSpaceDE w:val="0"/>
        <w:autoSpaceDN w:val="0"/>
        <w:adjustRightInd w:val="0"/>
        <w:contextualSpacing w:val="0"/>
        <w:rPr>
          <w:rFonts w:cstheme="minorHAnsi"/>
          <w:color w:val="000000" w:themeColor="text1"/>
        </w:rPr>
      </w:pPr>
      <w:r>
        <w:rPr>
          <w:rFonts w:cstheme="minorHAnsi"/>
          <w:color w:val="000000" w:themeColor="text1"/>
        </w:rPr>
        <w:br w:type="page"/>
      </w:r>
    </w:p>
    <w:p w14:paraId="55670EC3" w14:textId="77777777" w:rsidR="00EB1844" w:rsidRPr="005E1463" w:rsidRDefault="00EB1844" w:rsidP="00EB1844">
      <w:pPr>
        <w:spacing w:before="0" w:after="0"/>
        <w:contextualSpacing/>
        <w:rPr>
          <w:rFonts w:cstheme="minorHAnsi"/>
          <w:b/>
        </w:rPr>
      </w:pPr>
      <w:r w:rsidRPr="005E1463">
        <w:rPr>
          <w:rFonts w:cstheme="minorHAnsi"/>
          <w:b/>
        </w:rPr>
        <w:lastRenderedPageBreak/>
        <w:t>25. ¿La información con que cuenta la entidad federativa para monitorear el desempeño del FAFEF cumple con las siguientes características:</w:t>
      </w:r>
    </w:p>
    <w:p w14:paraId="6DAE36B0" w14:textId="77777777" w:rsidR="00EB1844" w:rsidRPr="005E1463" w:rsidRDefault="00EB1844" w:rsidP="00EB1844">
      <w:pPr>
        <w:pStyle w:val="Pregunta"/>
        <w:numPr>
          <w:ilvl w:val="0"/>
          <w:numId w:val="23"/>
        </w:numPr>
      </w:pPr>
      <w:r w:rsidRPr="005E1463">
        <w:t>Es oportuna;</w:t>
      </w:r>
    </w:p>
    <w:p w14:paraId="4F74F4B3" w14:textId="77777777" w:rsidR="00EB1844" w:rsidRPr="00937A7A" w:rsidRDefault="00EB1844" w:rsidP="00EB1844">
      <w:pPr>
        <w:pStyle w:val="Pregunta"/>
        <w:numPr>
          <w:ilvl w:val="0"/>
          <w:numId w:val="23"/>
        </w:numPr>
      </w:pPr>
      <w:r w:rsidRPr="00937A7A">
        <w:t>Es confiable, es decir, está validada o revisada por quienes la integran;</w:t>
      </w:r>
    </w:p>
    <w:p w14:paraId="54DC4D1E" w14:textId="77777777" w:rsidR="00EB1844" w:rsidRPr="00937A7A" w:rsidRDefault="00EB1844" w:rsidP="00EB1844">
      <w:pPr>
        <w:pStyle w:val="Pregunta"/>
        <w:numPr>
          <w:ilvl w:val="0"/>
          <w:numId w:val="23"/>
        </w:numPr>
      </w:pPr>
      <w:r w:rsidRPr="00937A7A">
        <w:t>Está sistematizada;</w:t>
      </w:r>
    </w:p>
    <w:p w14:paraId="22876CCA" w14:textId="77777777" w:rsidR="00EB1844" w:rsidRPr="00937A7A" w:rsidRDefault="00EB1844" w:rsidP="00EB1844">
      <w:pPr>
        <w:pStyle w:val="Pregunta"/>
        <w:numPr>
          <w:ilvl w:val="0"/>
          <w:numId w:val="23"/>
        </w:numPr>
      </w:pPr>
      <w:r w:rsidRPr="00937A7A">
        <w:t>Es pertinente respecto de su gestión, es decir, permite medir los indicadores a nivel de actividades y componentes;</w:t>
      </w:r>
    </w:p>
    <w:p w14:paraId="406542A5" w14:textId="77777777" w:rsidR="00EB1844" w:rsidRPr="00937A7A" w:rsidRDefault="00EB1844" w:rsidP="00EB1844">
      <w:pPr>
        <w:pStyle w:val="Pregunta"/>
        <w:numPr>
          <w:ilvl w:val="0"/>
          <w:numId w:val="23"/>
        </w:numPr>
        <w:spacing w:after="120"/>
        <w:ind w:left="714" w:hanging="357"/>
      </w:pPr>
      <w:r w:rsidRPr="00937A7A">
        <w:t>Está actualizada y disponible para monitorear de manera permanente al Fondo?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5"/>
        <w:gridCol w:w="763"/>
        <w:gridCol w:w="7854"/>
      </w:tblGrid>
      <w:tr w:rsidR="00FD2247" w:rsidRPr="00700D46" w14:paraId="77032F65" w14:textId="77777777" w:rsidTr="00DC3648">
        <w:trPr>
          <w:trHeight w:val="260"/>
          <w:jc w:val="center"/>
        </w:trPr>
        <w:tc>
          <w:tcPr>
            <w:tcW w:w="675" w:type="pct"/>
            <w:shd w:val="clear" w:color="auto" w:fill="FFFFFF"/>
            <w:vAlign w:val="center"/>
          </w:tcPr>
          <w:p w14:paraId="04DB3D6C" w14:textId="77777777" w:rsidR="00FD2247" w:rsidRPr="00700D46" w:rsidRDefault="00FD2247" w:rsidP="00DC3648">
            <w:pPr>
              <w:pBdr>
                <w:top w:val="nil"/>
                <w:left w:val="nil"/>
                <w:bottom w:val="nil"/>
                <w:right w:val="nil"/>
                <w:between w:val="nil"/>
              </w:pBdr>
              <w:spacing w:before="0" w:after="0"/>
              <w:ind w:left="12"/>
              <w:jc w:val="center"/>
              <w:rPr>
                <w:rFonts w:ascii="Calibri" w:eastAsia="Calibri" w:hAnsi="Calibri" w:cs="Calibri"/>
                <w:b/>
                <w:color w:val="000000"/>
                <w:sz w:val="20"/>
                <w:szCs w:val="20"/>
                <w:lang w:eastAsia="es-MX"/>
              </w:rPr>
            </w:pPr>
            <w:r w:rsidRPr="00700D46">
              <w:rPr>
                <w:rFonts w:ascii="Calibri" w:eastAsia="Calibri" w:hAnsi="Calibri" w:cs="Calibri"/>
                <w:b/>
                <w:color w:val="000000"/>
                <w:sz w:val="20"/>
                <w:szCs w:val="20"/>
                <w:lang w:eastAsia="es-MX"/>
              </w:rPr>
              <w:t>Respuesta</w:t>
            </w:r>
          </w:p>
        </w:tc>
        <w:tc>
          <w:tcPr>
            <w:tcW w:w="383" w:type="pct"/>
            <w:shd w:val="clear" w:color="auto" w:fill="FFFFFF"/>
            <w:vAlign w:val="center"/>
          </w:tcPr>
          <w:p w14:paraId="69D009E9" w14:textId="77777777" w:rsidR="00FD2247" w:rsidRPr="00700D46" w:rsidRDefault="00FD2247" w:rsidP="00DC3648">
            <w:pPr>
              <w:pBdr>
                <w:top w:val="nil"/>
                <w:left w:val="nil"/>
                <w:bottom w:val="nil"/>
                <w:right w:val="nil"/>
                <w:between w:val="nil"/>
              </w:pBdr>
              <w:spacing w:before="0" w:after="0"/>
              <w:ind w:left="12"/>
              <w:jc w:val="center"/>
              <w:rPr>
                <w:rFonts w:ascii="Calibri" w:eastAsia="Calibri" w:hAnsi="Calibri" w:cs="Calibri"/>
                <w:b/>
                <w:color w:val="000000"/>
                <w:sz w:val="20"/>
                <w:szCs w:val="20"/>
                <w:lang w:eastAsia="es-MX"/>
              </w:rPr>
            </w:pPr>
            <w:r w:rsidRPr="00700D46">
              <w:rPr>
                <w:rFonts w:ascii="Calibri" w:eastAsia="Calibri" w:hAnsi="Calibri" w:cs="Calibri"/>
                <w:b/>
                <w:color w:val="000000"/>
                <w:sz w:val="20"/>
                <w:szCs w:val="20"/>
                <w:lang w:eastAsia="es-MX"/>
              </w:rPr>
              <w:t>Nivel</w:t>
            </w:r>
          </w:p>
        </w:tc>
        <w:tc>
          <w:tcPr>
            <w:tcW w:w="3942" w:type="pct"/>
            <w:shd w:val="clear" w:color="auto" w:fill="FFFFFF"/>
            <w:vAlign w:val="center"/>
          </w:tcPr>
          <w:p w14:paraId="6D1919E4" w14:textId="77777777" w:rsidR="00FD2247" w:rsidRPr="00700D46" w:rsidRDefault="00FD2247" w:rsidP="00DC3648">
            <w:pPr>
              <w:pBdr>
                <w:top w:val="nil"/>
                <w:left w:val="nil"/>
                <w:bottom w:val="nil"/>
                <w:right w:val="nil"/>
                <w:between w:val="nil"/>
              </w:pBdr>
              <w:spacing w:before="0" w:after="0"/>
              <w:ind w:firstLine="20"/>
              <w:jc w:val="center"/>
              <w:rPr>
                <w:rFonts w:ascii="Calibri" w:eastAsia="Calibri" w:hAnsi="Calibri" w:cs="Calibri"/>
                <w:b/>
                <w:color w:val="000000"/>
                <w:sz w:val="20"/>
                <w:szCs w:val="20"/>
                <w:lang w:eastAsia="es-MX"/>
              </w:rPr>
            </w:pPr>
            <w:r w:rsidRPr="00700D46">
              <w:rPr>
                <w:rFonts w:ascii="Calibri" w:eastAsia="Calibri" w:hAnsi="Calibri" w:cs="Calibri"/>
                <w:b/>
                <w:color w:val="000000"/>
                <w:sz w:val="20"/>
                <w:szCs w:val="20"/>
                <w:lang w:eastAsia="es-MX"/>
              </w:rPr>
              <w:t>Criterios</w:t>
            </w:r>
          </w:p>
        </w:tc>
      </w:tr>
      <w:tr w:rsidR="00FD2247" w:rsidRPr="00700D46" w14:paraId="0FD6C369" w14:textId="77777777" w:rsidTr="00DC3648">
        <w:trPr>
          <w:trHeight w:val="400"/>
          <w:jc w:val="center"/>
        </w:trPr>
        <w:tc>
          <w:tcPr>
            <w:tcW w:w="675" w:type="pct"/>
            <w:shd w:val="clear" w:color="auto" w:fill="FFFFFF"/>
            <w:vAlign w:val="center"/>
          </w:tcPr>
          <w:p w14:paraId="503E215D" w14:textId="77777777" w:rsidR="00FD2247" w:rsidRPr="00700D46" w:rsidRDefault="00FD2247" w:rsidP="00DC3648">
            <w:pPr>
              <w:pBdr>
                <w:top w:val="nil"/>
                <w:left w:val="nil"/>
                <w:bottom w:val="nil"/>
                <w:right w:val="nil"/>
                <w:between w:val="nil"/>
              </w:pBdr>
              <w:shd w:val="clear" w:color="auto" w:fill="FFFFFF"/>
              <w:spacing w:before="0" w:after="0"/>
              <w:ind w:firstLine="7"/>
              <w:jc w:val="center"/>
              <w:rPr>
                <w:rFonts w:ascii="Calibri" w:eastAsia="Calibri" w:hAnsi="Calibri" w:cs="Calibri"/>
                <w:color w:val="000000"/>
                <w:sz w:val="20"/>
                <w:szCs w:val="20"/>
                <w:lang w:eastAsia="es-MX"/>
              </w:rPr>
            </w:pPr>
            <w:r w:rsidRPr="00700D46">
              <w:rPr>
                <w:rFonts w:ascii="Calibri" w:eastAsia="Calibri" w:hAnsi="Calibri" w:cs="Calibri"/>
                <w:color w:val="000000"/>
                <w:sz w:val="20"/>
                <w:szCs w:val="20"/>
                <w:lang w:eastAsia="es-MX"/>
              </w:rPr>
              <w:t>No</w:t>
            </w:r>
          </w:p>
        </w:tc>
        <w:tc>
          <w:tcPr>
            <w:tcW w:w="383" w:type="pct"/>
            <w:shd w:val="clear" w:color="auto" w:fill="FFFFFF"/>
            <w:vAlign w:val="center"/>
          </w:tcPr>
          <w:p w14:paraId="7A92C75F" w14:textId="77777777" w:rsidR="00FD2247" w:rsidRPr="00700D46" w:rsidRDefault="00FD2247" w:rsidP="00DC3648">
            <w:pPr>
              <w:pBdr>
                <w:top w:val="nil"/>
                <w:left w:val="nil"/>
                <w:bottom w:val="nil"/>
                <w:right w:val="nil"/>
                <w:between w:val="nil"/>
              </w:pBdr>
              <w:shd w:val="clear" w:color="auto" w:fill="FFFFFF"/>
              <w:spacing w:before="0" w:after="0"/>
              <w:ind w:firstLine="7"/>
              <w:jc w:val="center"/>
              <w:rPr>
                <w:rFonts w:ascii="Calibri" w:eastAsia="Calibri" w:hAnsi="Calibri" w:cs="Calibri"/>
                <w:color w:val="000000"/>
                <w:sz w:val="20"/>
                <w:szCs w:val="20"/>
                <w:lang w:eastAsia="es-MX"/>
              </w:rPr>
            </w:pPr>
          </w:p>
        </w:tc>
        <w:tc>
          <w:tcPr>
            <w:tcW w:w="3942" w:type="pct"/>
            <w:shd w:val="clear" w:color="auto" w:fill="FFFFFF"/>
            <w:vAlign w:val="center"/>
          </w:tcPr>
          <w:p w14:paraId="6BF77880" w14:textId="77777777" w:rsidR="00FD2247" w:rsidRPr="00700D46" w:rsidRDefault="00FD2247" w:rsidP="00DC3648">
            <w:pPr>
              <w:tabs>
                <w:tab w:val="left" w:pos="256"/>
              </w:tabs>
              <w:spacing w:before="0" w:after="0"/>
              <w:contextualSpacing/>
              <w:rPr>
                <w:rFonts w:ascii="Calibri" w:eastAsia="Calibri" w:hAnsi="Calibri" w:cs="Calibri"/>
                <w:color w:val="000000"/>
                <w:sz w:val="20"/>
                <w:szCs w:val="20"/>
                <w:lang w:eastAsia="es-MX"/>
              </w:rPr>
            </w:pPr>
          </w:p>
        </w:tc>
      </w:tr>
    </w:tbl>
    <w:p w14:paraId="7E33EEE2" w14:textId="42956BBE" w:rsidR="008A2838" w:rsidRDefault="00E43283" w:rsidP="00EB1844">
      <w:r>
        <w:t xml:space="preserve">La entidad federativa no cuenta con información </w:t>
      </w:r>
      <w:r w:rsidRPr="00105AD6">
        <w:t>para monitorear</w:t>
      </w:r>
      <w:r w:rsidR="00B931C5">
        <w:t xml:space="preserve"> específicamente</w:t>
      </w:r>
      <w:r w:rsidRPr="00105AD6">
        <w:t xml:space="preserve"> el desempeño del FAFEF</w:t>
      </w:r>
      <w:r>
        <w:t>, el monitoreo de resultados s</w:t>
      </w:r>
      <w:r w:rsidR="00542706">
        <w:t>ó</w:t>
      </w:r>
      <w:r>
        <w:t xml:space="preserve">lo </w:t>
      </w:r>
      <w:r w:rsidR="00B931C5">
        <w:t>se</w:t>
      </w:r>
      <w:r>
        <w:t xml:space="preserve"> realiza</w:t>
      </w:r>
      <w:r w:rsidR="00B931C5">
        <w:t xml:space="preserve"> </w:t>
      </w:r>
      <w:r>
        <w:t>a través de la MIR Federal</w:t>
      </w:r>
      <w:r w:rsidR="00B931C5">
        <w:t xml:space="preserve"> y de las MIR de los Pp que son financiados con los recursos del Fondo</w:t>
      </w:r>
      <w:r>
        <w:t xml:space="preserve">. </w:t>
      </w:r>
    </w:p>
    <w:p w14:paraId="635ABBA5" w14:textId="6F54D317" w:rsidR="00EB1844" w:rsidRDefault="00041E8F" w:rsidP="00EB1844">
      <w:r>
        <w:t xml:space="preserve">En </w:t>
      </w:r>
      <w:r w:rsidR="00B400CF">
        <w:t xml:space="preserve">Hidalgo, </w:t>
      </w:r>
      <w:r w:rsidR="00EB1844" w:rsidRPr="00EE7897">
        <w:t>la información que se genera</w:t>
      </w:r>
      <w:r>
        <w:t xml:space="preserve"> a través de las plataformas SIDET, SIFAP y SIIPPED, </w:t>
      </w:r>
      <w:r w:rsidR="00EB1844" w:rsidRPr="00EE7897">
        <w:t xml:space="preserve">permite medir los indicadores </w:t>
      </w:r>
      <w:r>
        <w:t xml:space="preserve">de los Pp </w:t>
      </w:r>
      <w:r w:rsidR="00EB1844" w:rsidRPr="00EE7897">
        <w:t xml:space="preserve">a nivel de </w:t>
      </w:r>
      <w:r w:rsidR="00DE67FD">
        <w:t>C</w:t>
      </w:r>
      <w:r w:rsidR="00EB1844" w:rsidRPr="00EE7897">
        <w:t xml:space="preserve">omponente y </w:t>
      </w:r>
      <w:r w:rsidR="00DE67FD">
        <w:t>A</w:t>
      </w:r>
      <w:r w:rsidR="00EB1844" w:rsidRPr="00EE7897">
        <w:t>ctividad.</w:t>
      </w:r>
      <w:r w:rsidR="00EB1844">
        <w:t xml:space="preserve"> </w:t>
      </w:r>
      <w:r w:rsidR="00EB1844" w:rsidRPr="00BD5728">
        <w:t xml:space="preserve">En el Estado, el </w:t>
      </w:r>
      <w:r w:rsidR="00D6074A">
        <w:t>m</w:t>
      </w:r>
      <w:r w:rsidR="00EB1844" w:rsidRPr="00BD5728">
        <w:t xml:space="preserve">onitoreo de </w:t>
      </w:r>
      <w:r w:rsidR="004A1252">
        <w:t>i</w:t>
      </w:r>
      <w:r w:rsidR="00EB1844" w:rsidRPr="00BD5728">
        <w:t xml:space="preserve">ndicadores estatales, es el medio para dar seguimiento al cumplimiento de las metas establecidas en los </w:t>
      </w:r>
      <w:r>
        <w:t>Pp</w:t>
      </w:r>
      <w:r w:rsidR="00EB1844" w:rsidRPr="00BD5728">
        <w:t>, debido a que, una vez autorizado el recurso, éste se liga con los objetivos, indicadores y metas establecidos en el fondo y en su M</w:t>
      </w:r>
      <w:r w:rsidR="00D6074A">
        <w:t>IR</w:t>
      </w:r>
      <w:r w:rsidR="00EB1844" w:rsidRPr="00BD5728">
        <w:t xml:space="preserve">, se da seguimiento mensual a su avance y los resultados son publicados trimestralmente en la página de la </w:t>
      </w:r>
      <w:r w:rsidR="007A1CFB">
        <w:t>SFP</w:t>
      </w:r>
      <w:r w:rsidR="00A06EF7">
        <w:t xml:space="preserve"> (</w:t>
      </w:r>
      <w:hyperlink r:id="rId22" w:history="1">
        <w:r w:rsidR="00A06EF7" w:rsidRPr="00540419">
          <w:rPr>
            <w:rStyle w:val="Hipervnculo"/>
            <w:rFonts w:ascii="Calibri" w:hAnsi="Calibri"/>
          </w:rPr>
          <w:t>http://s-finanzas.hidalgo.gob.mx/pag/presupuestoBasadoResultados.html</w:t>
        </w:r>
      </w:hyperlink>
      <w:r w:rsidR="00A06EF7">
        <w:rPr>
          <w:rStyle w:val="Referenciasutil"/>
        </w:rPr>
        <w:t>)</w:t>
      </w:r>
      <w:r w:rsidR="00EB1844">
        <w:t>.</w:t>
      </w:r>
    </w:p>
    <w:p w14:paraId="2ADDA613" w14:textId="77777777" w:rsidR="00EB1844" w:rsidRPr="00E53EB4" w:rsidRDefault="00EB1844" w:rsidP="00EB1844">
      <w:pPr>
        <w:numPr>
          <w:ilvl w:val="0"/>
          <w:numId w:val="31"/>
        </w:numPr>
        <w:spacing w:before="0" w:after="0"/>
        <w:ind w:left="567" w:hanging="493"/>
        <w:rPr>
          <w:rFonts w:cstheme="minorHAnsi"/>
          <w:bCs/>
        </w:rPr>
      </w:pPr>
      <w:r w:rsidRPr="00E53EB4">
        <w:rPr>
          <w:rFonts w:cstheme="minorHAnsi"/>
        </w:rPr>
        <w:t>Se considera que la información con que cuenta la entidad</w:t>
      </w:r>
      <w:r>
        <w:rPr>
          <w:rFonts w:cstheme="minorHAnsi"/>
        </w:rPr>
        <w:t xml:space="preserve"> federativa</w:t>
      </w:r>
      <w:r w:rsidRPr="00E53EB4">
        <w:rPr>
          <w:rFonts w:cstheme="minorHAnsi"/>
        </w:rPr>
        <w:t xml:space="preserve"> es oportuna, dado que cada uno de los Pp que reciben recursos del FAFEF como parte de su presupuesto y que forman parte de la estructura programática estatal, reportan sus avances en el ejercicio de los recursos en forma trimestral semestral o anual.</w:t>
      </w:r>
    </w:p>
    <w:p w14:paraId="1438E76B" w14:textId="03AEBEF1" w:rsidR="00EB1844" w:rsidRPr="00E53EB4" w:rsidRDefault="00EB1844" w:rsidP="00EB1844">
      <w:pPr>
        <w:numPr>
          <w:ilvl w:val="0"/>
          <w:numId w:val="31"/>
        </w:numPr>
        <w:spacing w:before="0" w:after="0"/>
        <w:ind w:left="567" w:hanging="493"/>
        <w:rPr>
          <w:rFonts w:cstheme="minorHAnsi"/>
          <w:bCs/>
        </w:rPr>
      </w:pPr>
      <w:r w:rsidRPr="00E53EB4">
        <w:rPr>
          <w:rFonts w:cstheme="minorHAnsi"/>
        </w:rPr>
        <w:t>También</w:t>
      </w:r>
      <w:r>
        <w:rPr>
          <w:rFonts w:cstheme="minorHAnsi"/>
        </w:rPr>
        <w:t>,</w:t>
      </w:r>
      <w:r w:rsidRPr="00E53EB4">
        <w:rPr>
          <w:rFonts w:cstheme="minorHAnsi"/>
        </w:rPr>
        <w:t xml:space="preserve"> se considera que dicha información es confiable, puesto que es procesada y validada por las dependencias o entidades responsables de la ejecución de los Pp que reciben recursos del FAFEF. </w:t>
      </w:r>
      <w:r w:rsidRPr="00E53EB4">
        <w:rPr>
          <w:rFonts w:cstheme="minorHAnsi"/>
          <w:bCs/>
        </w:rPr>
        <w:t xml:space="preserve">Además de lo anterior, se asume que la información es confiable dado que también es validada por </w:t>
      </w:r>
      <w:r>
        <w:rPr>
          <w:rFonts w:cstheme="minorHAnsi"/>
          <w:bCs/>
        </w:rPr>
        <w:t xml:space="preserve">la SFP. </w:t>
      </w:r>
    </w:p>
    <w:p w14:paraId="6612B668" w14:textId="0DAAC3D8" w:rsidR="00EB1844" w:rsidRPr="00E53EB4" w:rsidRDefault="00EB1844" w:rsidP="00EB1844">
      <w:pPr>
        <w:numPr>
          <w:ilvl w:val="0"/>
          <w:numId w:val="31"/>
        </w:numPr>
        <w:spacing w:before="0" w:after="0"/>
        <w:ind w:left="567" w:hanging="493"/>
        <w:rPr>
          <w:rFonts w:cstheme="minorHAnsi"/>
        </w:rPr>
      </w:pPr>
      <w:r w:rsidRPr="00E53EB4">
        <w:rPr>
          <w:rFonts w:cstheme="minorHAnsi"/>
        </w:rPr>
        <w:t>Dicha información está sistematizada,</w:t>
      </w:r>
      <w:r w:rsidR="007A1CFB">
        <w:rPr>
          <w:rFonts w:cstheme="minorHAnsi"/>
        </w:rPr>
        <w:t xml:space="preserve"> tanto en el SIFAP como en el SIIPPED</w:t>
      </w:r>
      <w:r w:rsidRPr="00E53EB4">
        <w:rPr>
          <w:rFonts w:cstheme="minorHAnsi"/>
        </w:rPr>
        <w:t xml:space="preserve"> ya que como se refirió antes, es capturada por las dependencias o entidades ejecutoras de los recursos del FAFEF a través de los Pp </w:t>
      </w:r>
      <w:r w:rsidRPr="00E53EB4">
        <w:rPr>
          <w:rFonts w:cstheme="minorHAnsi"/>
          <w:bCs/>
        </w:rPr>
        <w:t xml:space="preserve">y permite medir los indicadores hasta </w:t>
      </w:r>
      <w:r w:rsidR="00B931C5">
        <w:rPr>
          <w:rFonts w:cstheme="minorHAnsi"/>
          <w:bCs/>
        </w:rPr>
        <w:t>los</w:t>
      </w:r>
      <w:r w:rsidRPr="00E53EB4">
        <w:rPr>
          <w:rFonts w:cstheme="minorHAnsi"/>
          <w:bCs/>
        </w:rPr>
        <w:t xml:space="preserve"> nivel</w:t>
      </w:r>
      <w:r w:rsidR="00B931C5">
        <w:rPr>
          <w:rFonts w:cstheme="minorHAnsi"/>
          <w:bCs/>
        </w:rPr>
        <w:t>es</w:t>
      </w:r>
      <w:r w:rsidRPr="00E53EB4">
        <w:rPr>
          <w:rFonts w:cstheme="minorHAnsi"/>
          <w:bCs/>
        </w:rPr>
        <w:t xml:space="preserve"> de </w:t>
      </w:r>
      <w:r w:rsidR="00B931C5">
        <w:rPr>
          <w:rFonts w:cstheme="minorHAnsi"/>
          <w:bCs/>
        </w:rPr>
        <w:t>C</w:t>
      </w:r>
      <w:r w:rsidRPr="00E53EB4">
        <w:rPr>
          <w:rFonts w:cstheme="minorHAnsi"/>
          <w:bCs/>
        </w:rPr>
        <w:t>omponente</w:t>
      </w:r>
      <w:r w:rsidR="00B931C5">
        <w:rPr>
          <w:rFonts w:cstheme="minorHAnsi"/>
          <w:bCs/>
        </w:rPr>
        <w:t>s</w:t>
      </w:r>
      <w:r w:rsidRPr="00E53EB4">
        <w:rPr>
          <w:rFonts w:cstheme="minorHAnsi"/>
          <w:bCs/>
        </w:rPr>
        <w:t xml:space="preserve"> </w:t>
      </w:r>
      <w:r>
        <w:rPr>
          <w:rFonts w:cstheme="minorHAnsi"/>
          <w:bCs/>
        </w:rPr>
        <w:t xml:space="preserve">y </w:t>
      </w:r>
      <w:r w:rsidR="00B931C5">
        <w:rPr>
          <w:rFonts w:cstheme="minorHAnsi"/>
          <w:bCs/>
        </w:rPr>
        <w:t>A</w:t>
      </w:r>
      <w:r w:rsidRPr="00E53EB4">
        <w:rPr>
          <w:rFonts w:cstheme="minorHAnsi"/>
          <w:bCs/>
        </w:rPr>
        <w:t>ctividad</w:t>
      </w:r>
      <w:r w:rsidR="00B931C5">
        <w:rPr>
          <w:rFonts w:cstheme="minorHAnsi"/>
          <w:bCs/>
        </w:rPr>
        <w:t>es</w:t>
      </w:r>
      <w:r>
        <w:rPr>
          <w:rFonts w:cstheme="minorHAnsi"/>
          <w:bCs/>
        </w:rPr>
        <w:t>.</w:t>
      </w:r>
    </w:p>
    <w:p w14:paraId="76EC9902" w14:textId="0914FC62" w:rsidR="00EB1844" w:rsidRPr="00E53EB4" w:rsidRDefault="00EB1844" w:rsidP="00EB1844">
      <w:pPr>
        <w:numPr>
          <w:ilvl w:val="0"/>
          <w:numId w:val="31"/>
        </w:numPr>
        <w:spacing w:before="0" w:after="0"/>
        <w:ind w:left="567" w:hanging="493"/>
        <w:rPr>
          <w:rFonts w:cstheme="minorHAnsi"/>
        </w:rPr>
      </w:pPr>
      <w:r w:rsidRPr="00E53EB4">
        <w:rPr>
          <w:rFonts w:cstheme="minorHAnsi"/>
        </w:rPr>
        <w:t xml:space="preserve">Respecto a la pertinencia, la información disponible permite medir </w:t>
      </w:r>
      <w:r>
        <w:rPr>
          <w:rFonts w:cstheme="minorHAnsi"/>
        </w:rPr>
        <w:t xml:space="preserve">el avance de </w:t>
      </w:r>
      <w:r w:rsidRPr="00E53EB4">
        <w:rPr>
          <w:rFonts w:cstheme="minorHAnsi"/>
        </w:rPr>
        <w:t>los indicadores</w:t>
      </w:r>
      <w:r>
        <w:rPr>
          <w:rFonts w:cstheme="minorHAnsi"/>
        </w:rPr>
        <w:t xml:space="preserve"> y metas</w:t>
      </w:r>
      <w:r w:rsidRPr="00E53EB4">
        <w:rPr>
          <w:rFonts w:cstheme="minorHAnsi"/>
        </w:rPr>
        <w:t xml:space="preserve"> a nivel de </w:t>
      </w:r>
      <w:r w:rsidR="00B931C5">
        <w:rPr>
          <w:rFonts w:cstheme="minorHAnsi"/>
        </w:rPr>
        <w:t>Componentes y A</w:t>
      </w:r>
      <w:r w:rsidRPr="00E53EB4">
        <w:rPr>
          <w:rFonts w:cstheme="minorHAnsi"/>
        </w:rPr>
        <w:t>ctividades.</w:t>
      </w:r>
    </w:p>
    <w:p w14:paraId="6DB6CAC6" w14:textId="0990E0B4" w:rsidR="00EB1844" w:rsidRPr="00E8037E" w:rsidRDefault="00EB1844" w:rsidP="00EB1844">
      <w:pPr>
        <w:numPr>
          <w:ilvl w:val="0"/>
          <w:numId w:val="31"/>
        </w:numPr>
        <w:spacing w:before="0" w:after="0"/>
        <w:ind w:left="567" w:hanging="493"/>
        <w:rPr>
          <w:rFonts w:ascii="Soberana Sans Light" w:hAnsi="Soberana Sans Light" w:cstheme="minorHAnsi"/>
          <w:sz w:val="24"/>
          <w:szCs w:val="24"/>
        </w:rPr>
      </w:pPr>
      <w:r w:rsidRPr="00E53EB4">
        <w:rPr>
          <w:rFonts w:cstheme="minorHAnsi"/>
        </w:rPr>
        <w:t>La información, está actualizada y disponible para monitorear de manera permanente el ejercicio de los recursos del Fondo</w:t>
      </w:r>
      <w:r w:rsidR="007A1CFB">
        <w:rPr>
          <w:rFonts w:cstheme="minorHAnsi"/>
        </w:rPr>
        <w:t>, a través de los Pp, sin embargo, no es posible diferenciar de manera directa el resultado específico del FAFEF ya que los Pp reciben recursos de otras fuentes de financiamiento</w:t>
      </w:r>
      <w:r w:rsidRPr="00E53EB4">
        <w:rPr>
          <w:rFonts w:cstheme="minorHAnsi"/>
        </w:rPr>
        <w:t>.</w:t>
      </w:r>
    </w:p>
    <w:p w14:paraId="188E013F" w14:textId="6B17C2DB" w:rsidR="00EB1844" w:rsidRDefault="00EB1844" w:rsidP="00EB1844">
      <w:pPr>
        <w:spacing w:after="0"/>
        <w:ind w:left="73"/>
      </w:pPr>
      <w:r>
        <w:rPr>
          <w:rFonts w:cstheme="minorHAnsi"/>
        </w:rPr>
        <w:t>Cabe señalar que, aunque Hidalgo cuenta con una MIR específica para el FAFEF, no fue posible localizar los resultados medidos a través de los indicadores de esta, en su portal de transparencia ni en la página web de la SFP, por lo que se recomienda que los resultados de dicha MIR se haga</w:t>
      </w:r>
      <w:r w:rsidR="007A1CFB">
        <w:rPr>
          <w:rFonts w:cstheme="minorHAnsi"/>
        </w:rPr>
        <w:t>n</w:t>
      </w:r>
      <w:r>
        <w:rPr>
          <w:rFonts w:cstheme="minorHAnsi"/>
        </w:rPr>
        <w:t xml:space="preserve"> públic</w:t>
      </w:r>
      <w:r w:rsidR="007A1CFB">
        <w:rPr>
          <w:rFonts w:cstheme="minorHAnsi"/>
        </w:rPr>
        <w:t>os a través de</w:t>
      </w:r>
      <w:r>
        <w:rPr>
          <w:rFonts w:cstheme="minorHAnsi"/>
        </w:rPr>
        <w:t xml:space="preserve"> la página de transparencia del gobierno del Estado</w:t>
      </w:r>
      <w:r w:rsidR="007A1CFB">
        <w:rPr>
          <w:rFonts w:cstheme="minorHAnsi"/>
        </w:rPr>
        <w:t xml:space="preserve"> </w:t>
      </w:r>
      <w:r w:rsidR="007A1CFB">
        <w:rPr>
          <w:rFonts w:eastAsia="Times New Roman" w:cstheme="minorHAnsi"/>
          <w:color w:val="000000"/>
          <w:lang w:eastAsia="es-MX"/>
        </w:rPr>
        <w:t>(</w:t>
      </w:r>
      <w:hyperlink r:id="rId23" w:history="1">
        <w:r w:rsidR="007A1CFB" w:rsidRPr="00271E20">
          <w:rPr>
            <w:rStyle w:val="Hipervnculo"/>
            <w:rFonts w:eastAsia="Times New Roman" w:cstheme="minorHAnsi"/>
            <w:lang w:eastAsia="es-MX"/>
          </w:rPr>
          <w:t>https://s-finanzas.hidalgo.gob.mx/transparenciaFinanciera/transparenciaFinancieraPorTema.html</w:t>
        </w:r>
      </w:hyperlink>
      <w:r w:rsidR="007A1CFB">
        <w:rPr>
          <w:rFonts w:eastAsia="Times New Roman" w:cstheme="minorHAnsi"/>
          <w:color w:val="000000"/>
          <w:lang w:eastAsia="es-MX"/>
        </w:rPr>
        <w:t>)</w:t>
      </w:r>
      <w:r>
        <w:rPr>
          <w:rFonts w:cstheme="minorHAnsi"/>
        </w:rPr>
        <w:t>, puesto que la misma presenta información de manera más resumida sobre el ejercicio y los resultados alcanzados con la aplicación de los recursos del Fondo en la entidad federativa</w:t>
      </w:r>
      <w:r w:rsidR="00041E8F">
        <w:rPr>
          <w:rFonts w:cstheme="minorHAnsi"/>
        </w:rPr>
        <w:t>. En futuros ejercicios será necesaria la publicación de los resultados que se obtengan a través de la medición de los indicadores de las MIR que se establezcan para el monitoreo del Fondo</w:t>
      </w:r>
      <w:r>
        <w:rPr>
          <w:rFonts w:cstheme="minorHAnsi"/>
        </w:rPr>
        <w:t xml:space="preserve">. </w:t>
      </w:r>
    </w:p>
    <w:p w14:paraId="1AD29658" w14:textId="77777777" w:rsidR="00EB1844" w:rsidRDefault="00EB1844" w:rsidP="00EB1844">
      <w:pPr>
        <w:sectPr w:rsidR="00EB1844" w:rsidSect="000F3860">
          <w:pgSz w:w="12240" w:h="15840" w:code="1"/>
          <w:pgMar w:top="1134" w:right="1134" w:bottom="568" w:left="1134" w:header="709" w:footer="709" w:gutter="0"/>
          <w:cols w:space="708"/>
          <w:docGrid w:linePitch="360"/>
        </w:sectPr>
      </w:pPr>
    </w:p>
    <w:p w14:paraId="1BDE7A40" w14:textId="77777777" w:rsidR="00EB1844" w:rsidRPr="005018A3" w:rsidRDefault="00EB1844" w:rsidP="00EB1844">
      <w:pPr>
        <w:spacing w:before="0" w:after="0"/>
        <w:contextualSpacing/>
        <w:rPr>
          <w:rFonts w:cstheme="minorHAnsi"/>
          <w:b/>
        </w:rPr>
      </w:pPr>
      <w:r>
        <w:rPr>
          <w:rFonts w:cstheme="minorHAnsi"/>
          <w:b/>
        </w:rPr>
        <w:lastRenderedPageBreak/>
        <w:t xml:space="preserve">26. </w:t>
      </w:r>
      <w:r w:rsidRPr="005018A3">
        <w:rPr>
          <w:rFonts w:cstheme="minorHAnsi"/>
          <w:b/>
        </w:rPr>
        <w:t>¿La información que se reporta sobre el ejercicio de los recursos del FAFEF en la entidad federativa permite verificar alguno de los siguientes atributos:</w:t>
      </w:r>
    </w:p>
    <w:p w14:paraId="41049948" w14:textId="77777777" w:rsidR="00EB1844" w:rsidRPr="00937A7A" w:rsidRDefault="00EB1844" w:rsidP="00EB1844">
      <w:pPr>
        <w:pStyle w:val="Pregunta"/>
        <w:numPr>
          <w:ilvl w:val="0"/>
          <w:numId w:val="24"/>
        </w:numPr>
      </w:pPr>
      <w:r w:rsidRPr="00937A7A">
        <w:t>La ejecución cumple con lo establecido en los documentos normativos o institucionales;</w:t>
      </w:r>
    </w:p>
    <w:p w14:paraId="68792330" w14:textId="77777777" w:rsidR="00EB1844" w:rsidRPr="00937A7A" w:rsidRDefault="00EB1844" w:rsidP="00EB1844">
      <w:pPr>
        <w:pStyle w:val="Pregunta"/>
        <w:numPr>
          <w:ilvl w:val="0"/>
          <w:numId w:val="24"/>
        </w:numPr>
      </w:pPr>
      <w:r w:rsidRPr="00937A7A">
        <w:t xml:space="preserve">La población atendida </w:t>
      </w:r>
      <w:r>
        <w:t>es</w:t>
      </w:r>
      <w:r w:rsidRPr="00937A7A">
        <w:t xml:space="preserve"> las que presentaban el problema antes de la intervención (dado que se encuentran en un documento o diagnóstico);</w:t>
      </w:r>
    </w:p>
    <w:p w14:paraId="0A47E5F2" w14:textId="77777777" w:rsidR="00EB1844" w:rsidRPr="00937A7A" w:rsidRDefault="00EB1844" w:rsidP="00EB1844">
      <w:pPr>
        <w:pStyle w:val="Pregunta"/>
        <w:numPr>
          <w:ilvl w:val="0"/>
          <w:numId w:val="24"/>
        </w:numPr>
      </w:pPr>
      <w:r w:rsidRPr="00937A7A">
        <w:t>Incluye las actividades, acciones o programas realizados o ejecutados;</w:t>
      </w:r>
    </w:p>
    <w:p w14:paraId="034D31E9" w14:textId="77777777" w:rsidR="00EB1844" w:rsidRPr="00937A7A" w:rsidRDefault="00EB1844" w:rsidP="00EB1844">
      <w:pPr>
        <w:pStyle w:val="Pregunta"/>
        <w:numPr>
          <w:ilvl w:val="0"/>
          <w:numId w:val="24"/>
        </w:numPr>
        <w:spacing w:after="120"/>
        <w:ind w:left="714" w:hanging="357"/>
      </w:pPr>
      <w:r w:rsidRPr="00937A7A">
        <w:t>Está sistematizada?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5"/>
        <w:gridCol w:w="763"/>
        <w:gridCol w:w="7854"/>
      </w:tblGrid>
      <w:tr w:rsidR="00FD2247" w:rsidRPr="00700D46" w14:paraId="03AECD45" w14:textId="77777777" w:rsidTr="00DC3648">
        <w:trPr>
          <w:trHeight w:val="260"/>
          <w:jc w:val="center"/>
        </w:trPr>
        <w:tc>
          <w:tcPr>
            <w:tcW w:w="675" w:type="pct"/>
            <w:shd w:val="clear" w:color="auto" w:fill="FFFFFF"/>
            <w:vAlign w:val="center"/>
          </w:tcPr>
          <w:p w14:paraId="65C0989C" w14:textId="77777777" w:rsidR="00FD2247" w:rsidRPr="00700D46" w:rsidRDefault="00FD2247" w:rsidP="00FD2247">
            <w:pPr>
              <w:pBdr>
                <w:top w:val="nil"/>
                <w:left w:val="nil"/>
                <w:bottom w:val="nil"/>
                <w:right w:val="nil"/>
                <w:between w:val="nil"/>
              </w:pBdr>
              <w:spacing w:before="0" w:after="0"/>
              <w:ind w:left="12"/>
              <w:jc w:val="center"/>
              <w:rPr>
                <w:rFonts w:ascii="Calibri" w:eastAsia="Calibri" w:hAnsi="Calibri" w:cs="Calibri"/>
                <w:b/>
                <w:color w:val="000000"/>
                <w:sz w:val="20"/>
                <w:szCs w:val="20"/>
                <w:lang w:eastAsia="es-MX"/>
              </w:rPr>
            </w:pPr>
            <w:r w:rsidRPr="00700D46">
              <w:rPr>
                <w:rFonts w:ascii="Calibri" w:eastAsia="Calibri" w:hAnsi="Calibri" w:cs="Calibri"/>
                <w:b/>
                <w:color w:val="000000"/>
                <w:sz w:val="20"/>
                <w:szCs w:val="20"/>
                <w:lang w:eastAsia="es-MX"/>
              </w:rPr>
              <w:t>Respuesta</w:t>
            </w:r>
          </w:p>
        </w:tc>
        <w:tc>
          <w:tcPr>
            <w:tcW w:w="383" w:type="pct"/>
            <w:shd w:val="clear" w:color="auto" w:fill="FFFFFF"/>
            <w:vAlign w:val="center"/>
          </w:tcPr>
          <w:p w14:paraId="28AB7FDA" w14:textId="77777777" w:rsidR="00FD2247" w:rsidRPr="00700D46" w:rsidRDefault="00FD2247" w:rsidP="00FD2247">
            <w:pPr>
              <w:pBdr>
                <w:top w:val="nil"/>
                <w:left w:val="nil"/>
                <w:bottom w:val="nil"/>
                <w:right w:val="nil"/>
                <w:between w:val="nil"/>
              </w:pBdr>
              <w:spacing w:before="0" w:after="0"/>
              <w:ind w:left="12"/>
              <w:jc w:val="center"/>
              <w:rPr>
                <w:rFonts w:ascii="Calibri" w:eastAsia="Calibri" w:hAnsi="Calibri" w:cs="Calibri"/>
                <w:b/>
                <w:color w:val="000000"/>
                <w:sz w:val="20"/>
                <w:szCs w:val="20"/>
                <w:lang w:eastAsia="es-MX"/>
              </w:rPr>
            </w:pPr>
            <w:r w:rsidRPr="00700D46">
              <w:rPr>
                <w:rFonts w:ascii="Calibri" w:eastAsia="Calibri" w:hAnsi="Calibri" w:cs="Calibri"/>
                <w:b/>
                <w:color w:val="000000"/>
                <w:sz w:val="20"/>
                <w:szCs w:val="20"/>
                <w:lang w:eastAsia="es-MX"/>
              </w:rPr>
              <w:t>Nivel</w:t>
            </w:r>
          </w:p>
        </w:tc>
        <w:tc>
          <w:tcPr>
            <w:tcW w:w="3942" w:type="pct"/>
            <w:shd w:val="clear" w:color="auto" w:fill="FFFFFF"/>
            <w:vAlign w:val="center"/>
          </w:tcPr>
          <w:p w14:paraId="5654863E" w14:textId="77777777" w:rsidR="00FD2247" w:rsidRPr="00700D46" w:rsidRDefault="00FD2247" w:rsidP="00FD2247">
            <w:pPr>
              <w:pBdr>
                <w:top w:val="nil"/>
                <w:left w:val="nil"/>
                <w:bottom w:val="nil"/>
                <w:right w:val="nil"/>
                <w:between w:val="nil"/>
              </w:pBdr>
              <w:spacing w:before="0" w:after="0"/>
              <w:ind w:firstLine="20"/>
              <w:jc w:val="center"/>
              <w:rPr>
                <w:rFonts w:ascii="Calibri" w:eastAsia="Calibri" w:hAnsi="Calibri" w:cs="Calibri"/>
                <w:b/>
                <w:color w:val="000000"/>
                <w:sz w:val="20"/>
                <w:szCs w:val="20"/>
                <w:lang w:eastAsia="es-MX"/>
              </w:rPr>
            </w:pPr>
            <w:r w:rsidRPr="00700D46">
              <w:rPr>
                <w:rFonts w:ascii="Calibri" w:eastAsia="Calibri" w:hAnsi="Calibri" w:cs="Calibri"/>
                <w:b/>
                <w:color w:val="000000"/>
                <w:sz w:val="20"/>
                <w:szCs w:val="20"/>
                <w:lang w:eastAsia="es-MX"/>
              </w:rPr>
              <w:t>Criterios</w:t>
            </w:r>
          </w:p>
        </w:tc>
      </w:tr>
      <w:tr w:rsidR="00FD2247" w:rsidRPr="00700D46" w14:paraId="68184288" w14:textId="77777777" w:rsidTr="00DC3648">
        <w:trPr>
          <w:trHeight w:val="400"/>
          <w:jc w:val="center"/>
        </w:trPr>
        <w:tc>
          <w:tcPr>
            <w:tcW w:w="675" w:type="pct"/>
            <w:shd w:val="clear" w:color="auto" w:fill="FFFFFF"/>
            <w:vAlign w:val="center"/>
          </w:tcPr>
          <w:p w14:paraId="64059440" w14:textId="243319C9" w:rsidR="00FD2247" w:rsidRPr="00700D46" w:rsidRDefault="001C0476" w:rsidP="00FD2247">
            <w:pPr>
              <w:pBdr>
                <w:top w:val="nil"/>
                <w:left w:val="nil"/>
                <w:bottom w:val="nil"/>
                <w:right w:val="nil"/>
                <w:between w:val="nil"/>
              </w:pBdr>
              <w:shd w:val="clear" w:color="auto" w:fill="FFFFFF"/>
              <w:spacing w:before="0" w:after="0"/>
              <w:ind w:firstLine="7"/>
              <w:jc w:val="center"/>
              <w:rPr>
                <w:rFonts w:ascii="Calibri" w:eastAsia="Calibri" w:hAnsi="Calibri" w:cs="Calibri"/>
                <w:color w:val="000000"/>
                <w:sz w:val="20"/>
                <w:szCs w:val="20"/>
                <w:lang w:eastAsia="es-MX"/>
              </w:rPr>
            </w:pPr>
            <w:r>
              <w:rPr>
                <w:rFonts w:ascii="Calibri" w:eastAsia="Calibri" w:hAnsi="Calibri" w:cs="Calibri"/>
                <w:color w:val="000000"/>
                <w:sz w:val="20"/>
                <w:szCs w:val="20"/>
                <w:lang w:eastAsia="es-MX"/>
              </w:rPr>
              <w:t>Sí</w:t>
            </w:r>
          </w:p>
        </w:tc>
        <w:tc>
          <w:tcPr>
            <w:tcW w:w="383" w:type="pct"/>
            <w:shd w:val="clear" w:color="auto" w:fill="FFFFFF"/>
            <w:vAlign w:val="center"/>
          </w:tcPr>
          <w:p w14:paraId="45154054" w14:textId="7117DD2F" w:rsidR="00FD2247" w:rsidRPr="00700D46" w:rsidRDefault="001C0476" w:rsidP="00FD2247">
            <w:pPr>
              <w:pBdr>
                <w:top w:val="nil"/>
                <w:left w:val="nil"/>
                <w:bottom w:val="nil"/>
                <w:right w:val="nil"/>
                <w:between w:val="nil"/>
              </w:pBdr>
              <w:shd w:val="clear" w:color="auto" w:fill="FFFFFF"/>
              <w:spacing w:before="0" w:after="0"/>
              <w:ind w:firstLine="7"/>
              <w:jc w:val="center"/>
              <w:rPr>
                <w:rFonts w:ascii="Calibri" w:eastAsia="Calibri" w:hAnsi="Calibri" w:cs="Calibri"/>
                <w:color w:val="000000"/>
                <w:sz w:val="20"/>
                <w:szCs w:val="20"/>
                <w:lang w:eastAsia="es-MX"/>
              </w:rPr>
            </w:pPr>
            <w:r>
              <w:rPr>
                <w:rFonts w:ascii="Calibri" w:eastAsia="Calibri" w:hAnsi="Calibri" w:cs="Calibri"/>
                <w:color w:val="000000"/>
                <w:sz w:val="20"/>
                <w:szCs w:val="20"/>
                <w:lang w:eastAsia="es-MX"/>
              </w:rPr>
              <w:t>3</w:t>
            </w:r>
          </w:p>
        </w:tc>
        <w:tc>
          <w:tcPr>
            <w:tcW w:w="3942" w:type="pct"/>
            <w:shd w:val="clear" w:color="auto" w:fill="FFFFFF"/>
            <w:vAlign w:val="center"/>
          </w:tcPr>
          <w:p w14:paraId="5B51B1A1" w14:textId="29545439" w:rsidR="00FD2247" w:rsidRPr="00700D46" w:rsidRDefault="001C0476" w:rsidP="00FD2247">
            <w:pPr>
              <w:tabs>
                <w:tab w:val="left" w:pos="256"/>
              </w:tabs>
              <w:spacing w:before="0" w:after="0"/>
              <w:contextualSpacing/>
              <w:rPr>
                <w:rFonts w:ascii="Calibri" w:eastAsia="Calibri" w:hAnsi="Calibri" w:cs="Calibri"/>
                <w:color w:val="000000"/>
                <w:sz w:val="20"/>
                <w:szCs w:val="20"/>
                <w:lang w:eastAsia="es-MX"/>
              </w:rPr>
            </w:pPr>
            <w:r w:rsidRPr="001C0476">
              <w:rPr>
                <w:rFonts w:ascii="Calibri" w:eastAsia="Calibri" w:hAnsi="Calibri" w:cs="Calibri"/>
                <w:color w:val="000000"/>
                <w:sz w:val="20"/>
                <w:szCs w:val="20"/>
                <w:lang w:eastAsia="es-MX"/>
              </w:rPr>
              <w:t xml:space="preserve">La información que reporta la entidad federativa cumple con </w:t>
            </w:r>
            <w:r w:rsidRPr="005E1463">
              <w:rPr>
                <w:rFonts w:ascii="Calibri" w:eastAsia="Calibri" w:hAnsi="Calibri" w:cs="Calibri"/>
                <w:b/>
                <w:color w:val="000000"/>
                <w:sz w:val="20"/>
                <w:szCs w:val="20"/>
                <w:lang w:eastAsia="es-MX"/>
              </w:rPr>
              <w:t>tres</w:t>
            </w:r>
            <w:r w:rsidRPr="001C0476">
              <w:rPr>
                <w:rFonts w:ascii="Calibri" w:eastAsia="Calibri" w:hAnsi="Calibri" w:cs="Calibri"/>
                <w:color w:val="000000"/>
                <w:sz w:val="20"/>
                <w:szCs w:val="20"/>
                <w:lang w:eastAsia="es-MX"/>
              </w:rPr>
              <w:t xml:space="preserve"> de las características establecidas en la pregunta</w:t>
            </w:r>
          </w:p>
        </w:tc>
      </w:tr>
    </w:tbl>
    <w:p w14:paraId="052C005C" w14:textId="2D770559" w:rsidR="00836D59" w:rsidRDefault="00836D59" w:rsidP="00D823E0">
      <w:r>
        <w:t>En contexto con la pregunta anterior, la entidad federativa solo reporta información sobre el ejercicio de los recursos</w:t>
      </w:r>
      <w:r w:rsidR="00247A2C">
        <w:t xml:space="preserve"> del FAFEF </w:t>
      </w:r>
      <w:r>
        <w:t>a través del SRFT</w:t>
      </w:r>
      <w:r w:rsidR="00247A2C">
        <w:t xml:space="preserve"> y de los indicadores de los Pp de la estructura programática estatal financiados por el Fondo</w:t>
      </w:r>
      <w:r>
        <w:t>.</w:t>
      </w:r>
    </w:p>
    <w:p w14:paraId="62454F06" w14:textId="235C2E91" w:rsidR="00EB1844" w:rsidRPr="008D1636" w:rsidRDefault="00D823E0" w:rsidP="005E1463">
      <w:pPr>
        <w:pStyle w:val="Prrafodelista"/>
        <w:numPr>
          <w:ilvl w:val="0"/>
          <w:numId w:val="32"/>
        </w:numPr>
        <w:contextualSpacing w:val="0"/>
      </w:pPr>
      <w:r w:rsidRPr="00181CAA">
        <w:t xml:space="preserve">Los resultados de las </w:t>
      </w:r>
      <w:r>
        <w:t>a</w:t>
      </w:r>
      <w:r w:rsidRPr="00181CAA">
        <w:t>portaciones del FAFEF en el Estado se documentan a través de c</w:t>
      </w:r>
      <w:r w:rsidR="00F84001">
        <w:t>inco</w:t>
      </w:r>
      <w:r w:rsidRPr="00181CAA">
        <w:t xml:space="preserve"> indicadores </w:t>
      </w:r>
      <w:r>
        <w:t>(</w:t>
      </w:r>
      <w:r w:rsidR="00F84001">
        <w:t xml:space="preserve">índice de impacto de deuda púbica, </w:t>
      </w:r>
      <w:r>
        <w:t xml:space="preserve">índice </w:t>
      </w:r>
      <w:r w:rsidRPr="005E1463">
        <w:t xml:space="preserve">de Impulso al </w:t>
      </w:r>
      <w:r w:rsidR="00F84001" w:rsidRPr="005E1463">
        <w:t>g</w:t>
      </w:r>
      <w:r w:rsidRPr="005E1463">
        <w:t xml:space="preserve">asto de </w:t>
      </w:r>
      <w:r w:rsidR="00F84001" w:rsidRPr="005E1463">
        <w:t>i</w:t>
      </w:r>
      <w:r w:rsidRPr="005E1463">
        <w:t xml:space="preserve">nversión, </w:t>
      </w:r>
      <w:r w:rsidR="00F84001" w:rsidRPr="005E1463">
        <w:t>í</w:t>
      </w:r>
      <w:r w:rsidRPr="005E1463">
        <w:t xml:space="preserve">ndice de </w:t>
      </w:r>
      <w:r w:rsidR="00F84001" w:rsidRPr="005E1463">
        <w:t>f</w:t>
      </w:r>
      <w:r w:rsidRPr="005E1463">
        <w:t xml:space="preserve">ortalecimiento </w:t>
      </w:r>
      <w:r w:rsidR="00F84001" w:rsidRPr="005E1463">
        <w:t>f</w:t>
      </w:r>
      <w:r w:rsidRPr="005E1463">
        <w:t xml:space="preserve">inanciero, </w:t>
      </w:r>
      <w:r w:rsidR="00F84001" w:rsidRPr="005E1463">
        <w:t>í</w:t>
      </w:r>
      <w:r w:rsidRPr="005E1463">
        <w:t xml:space="preserve">ndice en el </w:t>
      </w:r>
      <w:r w:rsidR="00F84001" w:rsidRPr="005E1463">
        <w:t>e</w:t>
      </w:r>
      <w:r w:rsidRPr="005E1463">
        <w:t xml:space="preserve">jercicio de </w:t>
      </w:r>
      <w:r w:rsidR="00F84001" w:rsidRPr="005E1463">
        <w:t>r</w:t>
      </w:r>
      <w:r w:rsidRPr="005E1463">
        <w:t>ecursos,</w:t>
      </w:r>
      <w:r w:rsidR="00F84001" w:rsidRPr="005E1463">
        <w:t xml:space="preserve"> y p</w:t>
      </w:r>
      <w:r w:rsidRPr="005E1463">
        <w:t>orcentaje de avance en las metas)</w:t>
      </w:r>
      <w:r>
        <w:t xml:space="preserve"> </w:t>
      </w:r>
      <w:r w:rsidRPr="00181CAA">
        <w:t>que se reportan en el SRFT, los cuales se rigen por los documentos normativos del ámbito federal y se encuentran sistematizados a través de los reportes trimestrales del SRFT.</w:t>
      </w:r>
      <w:r w:rsidR="001C0476">
        <w:t xml:space="preserve"> </w:t>
      </w:r>
      <w:r w:rsidR="00EB1844">
        <w:t xml:space="preserve">En el ámbito estatal, existen los informes de resultados del monitoreo de indicadores de desempeño, los cuales se publican trimestralmente en el apartado de Monitoreo de la página que informa sobre el </w:t>
      </w:r>
      <w:r w:rsidR="00EB1844" w:rsidRPr="008969C6">
        <w:t>P</w:t>
      </w:r>
      <w:r w:rsidR="00EB1844">
        <w:t>bR</w:t>
      </w:r>
      <w:r w:rsidR="00EB1844" w:rsidRPr="008969C6">
        <w:t xml:space="preserve"> y </w:t>
      </w:r>
      <w:r w:rsidR="00EB1844">
        <w:t>SED</w:t>
      </w:r>
      <w:r w:rsidR="00EB1844" w:rsidRPr="008969C6">
        <w:t xml:space="preserve"> del Estado de Hidalgo</w:t>
      </w:r>
      <w:r w:rsidR="00EB1844">
        <w:t>, en este sentido existe evidencia documental de que l</w:t>
      </w:r>
      <w:r w:rsidR="00EB1844" w:rsidRPr="008B6A41">
        <w:t>a ejecución de los recursos del FAFEF cumple con lo establecido en los documentos normativos o institucionale</w:t>
      </w:r>
      <w:r w:rsidR="00EB1844">
        <w:t xml:space="preserve">s: tales como Ley de Deuda Pública para el Estado de Hidalgo, Decreto de Presupuesto de Egresos de la entidad federativa, </w:t>
      </w:r>
      <w:r w:rsidR="00EB1844" w:rsidRPr="00F63D1F">
        <w:t xml:space="preserve">Ley de Obras Públicas y </w:t>
      </w:r>
      <w:r w:rsidR="00EB1844" w:rsidRPr="008D1636">
        <w:t>Servicios Relacionados con las mismas para el Estado de Hidalgo</w:t>
      </w:r>
      <w:r w:rsidR="00B400CF" w:rsidRPr="008D1636">
        <w:t>, entre otros</w:t>
      </w:r>
      <w:r w:rsidR="00EB1844" w:rsidRPr="008D1636">
        <w:t>.</w:t>
      </w:r>
    </w:p>
    <w:p w14:paraId="17F58108" w14:textId="570CD372" w:rsidR="00EB1844" w:rsidRPr="008D1636" w:rsidRDefault="00EB1844" w:rsidP="00EB1844">
      <w:pPr>
        <w:pStyle w:val="Prrafodelista"/>
        <w:numPr>
          <w:ilvl w:val="0"/>
          <w:numId w:val="32"/>
        </w:numPr>
        <w:contextualSpacing w:val="0"/>
      </w:pPr>
      <w:r w:rsidRPr="008D1636">
        <w:t xml:space="preserve">El documento diagnóstico del FAFEF para Hidalgo menciona que debido a que los recursos del Fondo se pueden dirigir a varios destinos y que no se puede diferenciar un tipo de específico de beneficiarios, toma como población objetivo a los habitantes de los 84 municipios de la entidad federativa. Asimismo, los </w:t>
      </w:r>
      <w:r w:rsidR="00763E2E" w:rsidRPr="008D1636">
        <w:rPr>
          <w:color w:val="000000" w:themeColor="text1"/>
        </w:rPr>
        <w:t>Pp</w:t>
      </w:r>
      <w:r w:rsidRPr="008D1636">
        <w:t xml:space="preserve"> a los que se destinan los recursos del Fondo no identifican a un población potencial u objetivo, por lo que tampoco se reporta en el monitoreo de indicadores mencionado en el párrafo anterior. </w:t>
      </w:r>
      <w:r w:rsidR="00062093" w:rsidRPr="008D1636">
        <w:t>En este sentido no hay forma de corroborar que la población atendida por el Fondo en la entidad, es la que presentaba el problema antes de la intervención.</w:t>
      </w:r>
    </w:p>
    <w:p w14:paraId="303AEFEE" w14:textId="227337C9" w:rsidR="001C0476" w:rsidRDefault="00EB1844" w:rsidP="005E1463">
      <w:pPr>
        <w:pStyle w:val="Prrafodelista"/>
        <w:numPr>
          <w:ilvl w:val="0"/>
          <w:numId w:val="32"/>
        </w:numPr>
        <w:contextualSpacing w:val="0"/>
      </w:pPr>
      <w:r w:rsidRPr="00BD5728">
        <w:t>La información que se reporta a la federación incluye las actividades, acciones o programas realizados o ejecutados,</w:t>
      </w:r>
      <w:r w:rsidR="001C0476">
        <w:t xml:space="preserve"> la cual puede ser consultada en los reportes de avances físicos y financieros y ejercicios del gasto, trimestrales y definitivos del SRFT.</w:t>
      </w:r>
    </w:p>
    <w:p w14:paraId="4063E04E" w14:textId="6B94A022" w:rsidR="00EB1844" w:rsidRPr="001B0E98" w:rsidRDefault="001C0476" w:rsidP="005E1463">
      <w:pPr>
        <w:pStyle w:val="Prrafodelista"/>
        <w:numPr>
          <w:ilvl w:val="0"/>
          <w:numId w:val="32"/>
        </w:numPr>
        <w:contextualSpacing w:val="0"/>
      </w:pPr>
      <w:r>
        <w:t xml:space="preserve">La información que reporta la entidad </w:t>
      </w:r>
      <w:r w:rsidR="002561D8">
        <w:t>federativa</w:t>
      </w:r>
      <w:r>
        <w:t xml:space="preserve"> </w:t>
      </w:r>
      <w:r w:rsidR="00EB1844" w:rsidRPr="00BD5728">
        <w:t xml:space="preserve">está debidamente sistematizada, dado que se cuenta con bases de datos actualizadas que permiten visualizar el origen y destino de los recursos, esto se corrobora con el Índice de Calidad de la Información reportada sobre los Recursos Federales Transferidos: Resultados globales, cuarto trimestre 2018, donde el </w:t>
      </w:r>
      <w:r w:rsidR="00DC610F">
        <w:t>E</w:t>
      </w:r>
      <w:r w:rsidR="00EB1844" w:rsidRPr="00BD5728">
        <w:t xml:space="preserve">stado de Hidalgo a nivel nacional obtuvo el primer lugar, empatado con el </w:t>
      </w:r>
      <w:r w:rsidR="00DC610F">
        <w:t>E</w:t>
      </w:r>
      <w:r w:rsidR="00EB1844" w:rsidRPr="00BD5728">
        <w:t>stado de Querétaro, alcanzando un 0.96.</w:t>
      </w:r>
      <w:r w:rsidR="00EB1844">
        <w:t xml:space="preserve"> </w:t>
      </w:r>
    </w:p>
    <w:p w14:paraId="239B8AC9" w14:textId="092596ED" w:rsidR="00EB1844" w:rsidRDefault="00EB1844" w:rsidP="00B103F5">
      <w:pPr>
        <w:ind w:left="360"/>
      </w:pPr>
      <w:r>
        <w:t>A nivel estatal</w:t>
      </w:r>
      <w:r w:rsidR="00B400CF">
        <w:t xml:space="preserve">, </w:t>
      </w:r>
      <w:r>
        <w:t>el FAFEF cuenta con una MIR que presenta de manera resumida la información sobre la aplicación de los recursos del Fondo mediante los indicadores de Componentes y Actividades, a través de los cuales</w:t>
      </w:r>
      <w:r w:rsidR="00B400CF">
        <w:t>,</w:t>
      </w:r>
      <w:r>
        <w:t xml:space="preserve"> retoma información de los P</w:t>
      </w:r>
      <w:r w:rsidR="004B4024">
        <w:t>p</w:t>
      </w:r>
      <w:r>
        <w:t xml:space="preserve"> financiados por el Fondo, la información para generar los indicadores es validada por los ejecutores de gasto que la integran en una ficha técnica del indicador, dichos indicadores se alinean con los objetivos del Fondo. Se considera que esta información está sistematizada puesto que se da seguimiento a las metas programadas de sus indicadores, mediante el SIIPPED. Sin embargo, </w:t>
      </w:r>
      <w:r w:rsidR="00B400CF">
        <w:t xml:space="preserve">los </w:t>
      </w:r>
      <w:r w:rsidR="00B400CF">
        <w:lastRenderedPageBreak/>
        <w:t xml:space="preserve">resultados medidos con </w:t>
      </w:r>
      <w:r>
        <w:t>esta MIR no se encuentra</w:t>
      </w:r>
      <w:r w:rsidR="00B400CF">
        <w:t>n</w:t>
      </w:r>
      <w:r>
        <w:t xml:space="preserve"> publicad</w:t>
      </w:r>
      <w:r w:rsidR="00B400CF">
        <w:t>os</w:t>
      </w:r>
      <w:r>
        <w:t xml:space="preserve"> en las páginas web de transparencia estatal ni en la página de la SFP.</w:t>
      </w:r>
      <w:r>
        <w:br w:type="page"/>
      </w:r>
    </w:p>
    <w:p w14:paraId="2127FC24" w14:textId="77777777" w:rsidR="00EB1844" w:rsidRPr="006D020E" w:rsidRDefault="00EB1844" w:rsidP="00EB1844">
      <w:pPr>
        <w:spacing w:before="0" w:after="0"/>
        <w:contextualSpacing/>
        <w:rPr>
          <w:rFonts w:cstheme="minorHAnsi"/>
          <w:b/>
        </w:rPr>
      </w:pPr>
      <w:r>
        <w:rPr>
          <w:rFonts w:cstheme="minorHAnsi"/>
          <w:b/>
        </w:rPr>
        <w:lastRenderedPageBreak/>
        <w:t xml:space="preserve">27. </w:t>
      </w:r>
      <w:r w:rsidRPr="006D020E">
        <w:rPr>
          <w:rFonts w:cstheme="minorHAnsi"/>
          <w:b/>
        </w:rPr>
        <w:t>¿La información del avance en la consecución de objetivos de la entidad federativa respecto al FAFEF…</w:t>
      </w:r>
    </w:p>
    <w:p w14:paraId="1600C7A0" w14:textId="77777777" w:rsidR="00EB1844" w:rsidRPr="003A45CD" w:rsidRDefault="00EB1844" w:rsidP="00EB1844">
      <w:pPr>
        <w:pStyle w:val="Pregunta"/>
        <w:numPr>
          <w:ilvl w:val="0"/>
          <w:numId w:val="25"/>
        </w:numPr>
      </w:pPr>
      <w:r w:rsidRPr="003A45CD">
        <w:t>Es verificable públicamente;</w:t>
      </w:r>
    </w:p>
    <w:p w14:paraId="36F6F0BC" w14:textId="77777777" w:rsidR="00EB1844" w:rsidRPr="006D020E" w:rsidRDefault="00EB1844" w:rsidP="00EB1844">
      <w:pPr>
        <w:pStyle w:val="Pregunta"/>
        <w:numPr>
          <w:ilvl w:val="0"/>
          <w:numId w:val="25"/>
        </w:numPr>
      </w:pPr>
      <w:r w:rsidRPr="006D020E">
        <w:t>Permite ubicar geográficamente su contribución al cumplimiento de objetivos;</w:t>
      </w:r>
    </w:p>
    <w:p w14:paraId="3A7E2B32" w14:textId="77777777" w:rsidR="00EB1844" w:rsidRPr="006D020E" w:rsidRDefault="00EB1844" w:rsidP="00EB1844">
      <w:pPr>
        <w:pStyle w:val="Pregunta"/>
        <w:numPr>
          <w:ilvl w:val="0"/>
          <w:numId w:val="25"/>
        </w:numPr>
      </w:pPr>
      <w:r w:rsidRPr="006D020E">
        <w:t>Permite cuantificar a los beneficiarios finales de las acciones que se realizan con recursos del Fondo;</w:t>
      </w:r>
    </w:p>
    <w:p w14:paraId="154C0145" w14:textId="77777777" w:rsidR="00EB1844" w:rsidRPr="006D020E" w:rsidRDefault="00EB1844" w:rsidP="007B5B10">
      <w:pPr>
        <w:pStyle w:val="Pregunta"/>
        <w:numPr>
          <w:ilvl w:val="0"/>
          <w:numId w:val="25"/>
        </w:numPr>
        <w:ind w:left="714" w:hanging="357"/>
      </w:pPr>
      <w:r w:rsidRPr="006D020E">
        <w:t>Permite la rastreabilidad de los recursos que se ejercieron para alcanzar los resultados;</w:t>
      </w:r>
    </w:p>
    <w:p w14:paraId="1FD98152" w14:textId="77777777" w:rsidR="00EB1844" w:rsidRPr="006D020E" w:rsidRDefault="00EB1844" w:rsidP="007B5B10">
      <w:pPr>
        <w:pStyle w:val="Pregunta"/>
        <w:numPr>
          <w:ilvl w:val="0"/>
          <w:numId w:val="25"/>
        </w:numPr>
        <w:spacing w:after="120"/>
        <w:ind w:left="714" w:hanging="357"/>
      </w:pPr>
      <w:r w:rsidRPr="006D020E">
        <w:t>Explica y justifica las razones de la modificación de las metas, en caso de hacerlo?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5"/>
        <w:gridCol w:w="1056"/>
        <w:gridCol w:w="7561"/>
      </w:tblGrid>
      <w:tr w:rsidR="00EB1844" w:rsidRPr="00EE7B33" w14:paraId="407F0B0F" w14:textId="77777777" w:rsidTr="00927B4B">
        <w:trPr>
          <w:trHeight w:val="260"/>
          <w:jc w:val="center"/>
        </w:trPr>
        <w:tc>
          <w:tcPr>
            <w:tcW w:w="675" w:type="pct"/>
            <w:shd w:val="clear" w:color="auto" w:fill="FFFFFF"/>
            <w:vAlign w:val="center"/>
          </w:tcPr>
          <w:p w14:paraId="7642E4AD" w14:textId="77777777" w:rsidR="00EB1844" w:rsidRPr="00EE7B33" w:rsidRDefault="00EB1844" w:rsidP="00FD2247">
            <w:pPr>
              <w:pBdr>
                <w:top w:val="nil"/>
                <w:left w:val="nil"/>
                <w:bottom w:val="nil"/>
                <w:right w:val="nil"/>
                <w:between w:val="nil"/>
              </w:pBdr>
              <w:spacing w:before="0" w:after="0"/>
              <w:ind w:left="12"/>
              <w:jc w:val="center"/>
              <w:rPr>
                <w:rFonts w:eastAsia="Calibri" w:cs="Calibri"/>
                <w:b/>
                <w:color w:val="000000"/>
                <w:sz w:val="20"/>
                <w:szCs w:val="20"/>
                <w:lang w:eastAsia="es-MX"/>
              </w:rPr>
            </w:pPr>
            <w:r w:rsidRPr="00EE7B33">
              <w:rPr>
                <w:rFonts w:eastAsia="Calibri" w:cs="Calibri"/>
                <w:b/>
                <w:color w:val="000000"/>
                <w:sz w:val="20"/>
                <w:szCs w:val="20"/>
                <w:lang w:eastAsia="es-MX"/>
              </w:rPr>
              <w:t>Respuesta</w:t>
            </w:r>
          </w:p>
        </w:tc>
        <w:tc>
          <w:tcPr>
            <w:tcW w:w="530" w:type="pct"/>
            <w:shd w:val="clear" w:color="auto" w:fill="FFFFFF"/>
            <w:vAlign w:val="center"/>
          </w:tcPr>
          <w:p w14:paraId="7F4BC265" w14:textId="77777777" w:rsidR="00EB1844" w:rsidRPr="00EE7B33" w:rsidRDefault="00EB1844" w:rsidP="00FD2247">
            <w:pPr>
              <w:pBdr>
                <w:top w:val="nil"/>
                <w:left w:val="nil"/>
                <w:bottom w:val="nil"/>
                <w:right w:val="nil"/>
                <w:between w:val="nil"/>
              </w:pBdr>
              <w:spacing w:before="0" w:after="0"/>
              <w:ind w:left="12"/>
              <w:jc w:val="center"/>
              <w:rPr>
                <w:rFonts w:eastAsia="Calibri" w:cs="Calibri"/>
                <w:b/>
                <w:color w:val="000000"/>
                <w:sz w:val="20"/>
                <w:szCs w:val="20"/>
                <w:lang w:eastAsia="es-MX"/>
              </w:rPr>
            </w:pPr>
            <w:r w:rsidRPr="00EE7B33">
              <w:rPr>
                <w:rFonts w:eastAsia="Calibri" w:cs="Calibri"/>
                <w:b/>
                <w:color w:val="000000"/>
                <w:sz w:val="20"/>
                <w:szCs w:val="20"/>
                <w:lang w:eastAsia="es-MX"/>
              </w:rPr>
              <w:t>Nivel</w:t>
            </w:r>
          </w:p>
        </w:tc>
        <w:tc>
          <w:tcPr>
            <w:tcW w:w="3795" w:type="pct"/>
            <w:shd w:val="clear" w:color="auto" w:fill="FFFFFF"/>
            <w:vAlign w:val="center"/>
          </w:tcPr>
          <w:p w14:paraId="186D9F25" w14:textId="77777777" w:rsidR="00EB1844" w:rsidRPr="00EE7B33" w:rsidRDefault="00EB1844" w:rsidP="00FD2247">
            <w:pPr>
              <w:pBdr>
                <w:top w:val="nil"/>
                <w:left w:val="nil"/>
                <w:bottom w:val="nil"/>
                <w:right w:val="nil"/>
                <w:between w:val="nil"/>
              </w:pBdr>
              <w:spacing w:before="0" w:after="0"/>
              <w:ind w:firstLine="20"/>
              <w:jc w:val="center"/>
              <w:rPr>
                <w:rFonts w:eastAsia="Calibri" w:cs="Calibri"/>
                <w:b/>
                <w:color w:val="000000"/>
                <w:sz w:val="20"/>
                <w:szCs w:val="20"/>
                <w:lang w:eastAsia="es-MX"/>
              </w:rPr>
            </w:pPr>
            <w:r w:rsidRPr="00EE7B33">
              <w:rPr>
                <w:rFonts w:eastAsia="Calibri" w:cs="Calibri"/>
                <w:b/>
                <w:color w:val="000000"/>
                <w:sz w:val="20"/>
                <w:szCs w:val="20"/>
                <w:lang w:eastAsia="es-MX"/>
              </w:rPr>
              <w:t>Criterios</w:t>
            </w:r>
          </w:p>
        </w:tc>
      </w:tr>
      <w:tr w:rsidR="00EB1844" w:rsidRPr="00EE7B33" w14:paraId="45510F92" w14:textId="77777777" w:rsidTr="00927B4B">
        <w:trPr>
          <w:trHeight w:val="400"/>
          <w:jc w:val="center"/>
        </w:trPr>
        <w:tc>
          <w:tcPr>
            <w:tcW w:w="675" w:type="pct"/>
            <w:shd w:val="clear" w:color="auto" w:fill="FFFFFF"/>
            <w:vAlign w:val="center"/>
          </w:tcPr>
          <w:p w14:paraId="64D81643" w14:textId="77777777" w:rsidR="00EB1844" w:rsidRPr="00EE7B33" w:rsidRDefault="00EB1844" w:rsidP="00FD2247">
            <w:pPr>
              <w:pBdr>
                <w:top w:val="nil"/>
                <w:left w:val="nil"/>
                <w:bottom w:val="nil"/>
                <w:right w:val="nil"/>
                <w:between w:val="nil"/>
              </w:pBdr>
              <w:shd w:val="clear" w:color="auto" w:fill="FFFFFF"/>
              <w:spacing w:before="0" w:after="0"/>
              <w:ind w:firstLine="7"/>
              <w:jc w:val="center"/>
              <w:rPr>
                <w:rFonts w:eastAsia="Calibri" w:cs="Calibri"/>
                <w:color w:val="000000"/>
                <w:sz w:val="20"/>
                <w:szCs w:val="20"/>
                <w:lang w:eastAsia="es-MX"/>
              </w:rPr>
            </w:pPr>
            <w:r w:rsidRPr="00EE7B33">
              <w:rPr>
                <w:rFonts w:eastAsia="Calibri" w:cs="Calibri"/>
                <w:color w:val="000000"/>
                <w:sz w:val="20"/>
                <w:szCs w:val="20"/>
                <w:lang w:eastAsia="es-MX"/>
              </w:rPr>
              <w:t>Sí</w:t>
            </w:r>
          </w:p>
        </w:tc>
        <w:tc>
          <w:tcPr>
            <w:tcW w:w="530" w:type="pct"/>
            <w:shd w:val="clear" w:color="auto" w:fill="FFFFFF"/>
            <w:vAlign w:val="center"/>
          </w:tcPr>
          <w:p w14:paraId="50DB040C" w14:textId="021BC576" w:rsidR="00EB1844" w:rsidRPr="00EE7B33" w:rsidRDefault="00AB7726" w:rsidP="00FD2247">
            <w:pPr>
              <w:pBdr>
                <w:top w:val="nil"/>
                <w:left w:val="nil"/>
                <w:bottom w:val="nil"/>
                <w:right w:val="nil"/>
                <w:between w:val="nil"/>
              </w:pBdr>
              <w:shd w:val="clear" w:color="auto" w:fill="FFFFFF"/>
              <w:spacing w:before="0" w:after="0"/>
              <w:ind w:firstLine="7"/>
              <w:jc w:val="center"/>
              <w:rPr>
                <w:rFonts w:eastAsia="Calibri" w:cs="Calibri"/>
                <w:color w:val="000000"/>
                <w:sz w:val="20"/>
                <w:szCs w:val="20"/>
                <w:lang w:eastAsia="es-MX"/>
              </w:rPr>
            </w:pPr>
            <w:r>
              <w:rPr>
                <w:rFonts w:ascii="Calibri" w:eastAsia="Calibri" w:hAnsi="Calibri" w:cs="Calibri"/>
                <w:color w:val="000000"/>
                <w:sz w:val="20"/>
                <w:szCs w:val="20"/>
                <w:lang w:eastAsia="es-MX"/>
              </w:rPr>
              <w:t>2</w:t>
            </w:r>
          </w:p>
        </w:tc>
        <w:tc>
          <w:tcPr>
            <w:tcW w:w="3795" w:type="pct"/>
            <w:shd w:val="clear" w:color="auto" w:fill="FFFFFF"/>
            <w:vAlign w:val="center"/>
          </w:tcPr>
          <w:p w14:paraId="7D3715ED" w14:textId="77777777" w:rsidR="00EB1844" w:rsidRPr="00EE7B33" w:rsidRDefault="00EB1844" w:rsidP="002561D8">
            <w:pPr>
              <w:pBdr>
                <w:top w:val="nil"/>
                <w:left w:val="nil"/>
                <w:bottom w:val="nil"/>
                <w:right w:val="nil"/>
                <w:between w:val="nil"/>
              </w:pBdr>
              <w:tabs>
                <w:tab w:val="left" w:pos="256"/>
              </w:tabs>
              <w:spacing w:before="0" w:after="0"/>
              <w:contextualSpacing/>
              <w:rPr>
                <w:rFonts w:eastAsia="Calibri" w:cs="Calibri"/>
                <w:color w:val="000000"/>
                <w:sz w:val="20"/>
                <w:szCs w:val="20"/>
                <w:lang w:eastAsia="es-MX"/>
              </w:rPr>
            </w:pPr>
            <w:r w:rsidRPr="00EE7B33">
              <w:rPr>
                <w:rFonts w:cstheme="minorHAnsi"/>
                <w:sz w:val="20"/>
                <w:szCs w:val="20"/>
                <w:lang w:eastAsia="es-MX"/>
              </w:rPr>
              <w:t xml:space="preserve">La información del avance del FAFEF en la entidad federativa cumple con </w:t>
            </w:r>
            <w:r w:rsidRPr="002561D8">
              <w:rPr>
                <w:rFonts w:cstheme="minorHAnsi"/>
                <w:b/>
                <w:sz w:val="20"/>
                <w:szCs w:val="20"/>
                <w:lang w:eastAsia="es-MX"/>
              </w:rPr>
              <w:t>tres</w:t>
            </w:r>
            <w:r w:rsidRPr="00190C8C">
              <w:rPr>
                <w:rFonts w:cstheme="minorHAnsi"/>
                <w:bCs/>
                <w:sz w:val="20"/>
                <w:szCs w:val="20"/>
                <w:lang w:eastAsia="es-MX"/>
              </w:rPr>
              <w:t xml:space="preserve"> </w:t>
            </w:r>
            <w:r w:rsidRPr="00EE7B33">
              <w:rPr>
                <w:rFonts w:cstheme="minorHAnsi"/>
                <w:sz w:val="20"/>
                <w:szCs w:val="20"/>
                <w:lang w:eastAsia="es-MX"/>
              </w:rPr>
              <w:t>de las características establecidas en la pregunta.</w:t>
            </w:r>
          </w:p>
        </w:tc>
      </w:tr>
    </w:tbl>
    <w:p w14:paraId="51CF3239" w14:textId="77C591F3" w:rsidR="00EB1844" w:rsidRDefault="00EB1844" w:rsidP="00EB1844">
      <w:r>
        <w:t>Los recursos del FAFEF en Hidalgo en el ejercicio 2018, se destinaron a</w:t>
      </w:r>
      <w:r w:rsidR="00F50DA5">
        <w:t>: i</w:t>
      </w:r>
      <w:r>
        <w:t>nversión en infraestructura física</w:t>
      </w:r>
      <w:r w:rsidR="00F50DA5">
        <w:t>, s</w:t>
      </w:r>
      <w:r>
        <w:t>aneamiento financiero a través de la amortización de la deuda pública</w:t>
      </w:r>
      <w:r w:rsidR="00F50DA5">
        <w:t>, p</w:t>
      </w:r>
      <w:r>
        <w:t xml:space="preserve">ara apoyar la educación pública </w:t>
      </w:r>
      <w:r w:rsidR="00F50DA5">
        <w:t>y a la m</w:t>
      </w:r>
      <w:r>
        <w:t>odernización de los registros públicos de la propiedad y del comercio locales.</w:t>
      </w:r>
    </w:p>
    <w:p w14:paraId="4722481F" w14:textId="2968F3EE" w:rsidR="00CC640D" w:rsidRPr="00CC640D" w:rsidRDefault="001B104D" w:rsidP="001D2D41">
      <w:pPr>
        <w:pStyle w:val="Prrafodelista"/>
        <w:numPr>
          <w:ilvl w:val="0"/>
          <w:numId w:val="48"/>
        </w:numPr>
        <w:ind w:left="714" w:hanging="357"/>
        <w:contextualSpacing w:val="0"/>
        <w:rPr>
          <w:rStyle w:val="Hipervnculo"/>
          <w:color w:val="000000" w:themeColor="text1"/>
          <w:u w:val="none"/>
        </w:rPr>
      </w:pPr>
      <w:r>
        <w:t xml:space="preserve">La información del avance en la consecución </w:t>
      </w:r>
      <w:r w:rsidR="004C4CB1">
        <w:t>de los</w:t>
      </w:r>
      <w:r>
        <w:t xml:space="preserve"> objetivos </w:t>
      </w:r>
      <w:r w:rsidR="004C4CB1">
        <w:t xml:space="preserve">del FAFEF en la entidad </w:t>
      </w:r>
      <w:r>
        <w:t xml:space="preserve">se presentan de manera agregada a </w:t>
      </w:r>
      <w:r w:rsidR="00A45550">
        <w:t>través</w:t>
      </w:r>
      <w:r>
        <w:t xml:space="preserve"> de los formatos del SRFT, específicamente en el </w:t>
      </w:r>
      <w:r w:rsidR="00506E8D">
        <w:t>informe definitivo sobre los indicadores del SRFT,</w:t>
      </w:r>
      <w:r>
        <w:t xml:space="preserve"> se hace público en la entidad en la página:</w:t>
      </w:r>
      <w:r w:rsidR="00506E8D" w:rsidRPr="00CC640D">
        <w:rPr>
          <w:rStyle w:val="Hipervnculo"/>
          <w:color w:val="000000" w:themeColor="text1"/>
          <w:u w:val="none"/>
        </w:rPr>
        <w:t xml:space="preserve"> </w:t>
      </w:r>
      <w:hyperlink r:id="rId24" w:history="1">
        <w:r w:rsidR="00506E8D" w:rsidRPr="00540419">
          <w:rPr>
            <w:rStyle w:val="Hipervnculo"/>
          </w:rPr>
          <w:t>https://s-finanzas.hidalgo.gob.mx/pag/presupuestoBasadoResultados.html</w:t>
        </w:r>
      </w:hyperlink>
      <w:r w:rsidR="004C4CB1" w:rsidRPr="00CC640D">
        <w:rPr>
          <w:rStyle w:val="Hipervnculo"/>
          <w:color w:val="000000" w:themeColor="text1"/>
          <w:u w:val="none"/>
        </w:rPr>
        <w:t>,</w:t>
      </w:r>
      <w:r w:rsidR="00F17E85" w:rsidRPr="00CC640D">
        <w:rPr>
          <w:rStyle w:val="Hipervnculo"/>
          <w:color w:val="000000" w:themeColor="text1"/>
          <w:u w:val="none"/>
        </w:rPr>
        <w:t xml:space="preserve"> en</w:t>
      </w:r>
      <w:r w:rsidR="004C4CB1" w:rsidRPr="00CC640D">
        <w:rPr>
          <w:rStyle w:val="Hipervnculo"/>
          <w:color w:val="000000" w:themeColor="text1"/>
          <w:u w:val="none"/>
        </w:rPr>
        <w:t xml:space="preserve"> este reporte</w:t>
      </w:r>
      <w:r w:rsidR="00506E8D" w:rsidRPr="00CC640D">
        <w:rPr>
          <w:rStyle w:val="Hipervnculo"/>
          <w:color w:val="000000" w:themeColor="text1"/>
          <w:u w:val="none"/>
        </w:rPr>
        <w:t xml:space="preserve"> </w:t>
      </w:r>
      <w:r w:rsidR="00F17E85" w:rsidRPr="00BD5728">
        <w:t>se puede constatar el avance en la consecución de las metas planteadas por el Fondo.</w:t>
      </w:r>
      <w:r w:rsidR="00CC640D">
        <w:t xml:space="preserve"> </w:t>
      </w:r>
      <w:r w:rsidR="00A45550" w:rsidRPr="00CC640D">
        <w:rPr>
          <w:rStyle w:val="Hipervnculo"/>
          <w:color w:val="000000" w:themeColor="text1"/>
          <w:u w:val="none"/>
        </w:rPr>
        <w:t>Respecto a la información para los Pp</w:t>
      </w:r>
      <w:r w:rsidR="0028344A">
        <w:rPr>
          <w:rStyle w:val="Hipervnculo"/>
          <w:color w:val="000000" w:themeColor="text1"/>
          <w:u w:val="none"/>
        </w:rPr>
        <w:t xml:space="preserve"> relacionados con el rubro de inversión en infraestructura</w:t>
      </w:r>
      <w:r w:rsidR="00506E8D" w:rsidRPr="00CC640D">
        <w:rPr>
          <w:rStyle w:val="Hipervnculo"/>
          <w:color w:val="000000" w:themeColor="text1"/>
          <w:u w:val="none"/>
        </w:rPr>
        <w:t>, la información sobre la consecución de objetivos es verificable púbicamente a través de los informes de resultados de indicadores de desempeño de los Pp</w:t>
      </w:r>
      <w:r w:rsidR="0028344A">
        <w:rPr>
          <w:rStyle w:val="Hipervnculo"/>
          <w:color w:val="000000" w:themeColor="text1"/>
          <w:u w:val="none"/>
        </w:rPr>
        <w:t xml:space="preserve"> agrupados en el programa sectorial inversión</w:t>
      </w:r>
      <w:r w:rsidR="00506E8D" w:rsidRPr="00CC640D">
        <w:rPr>
          <w:rStyle w:val="Hipervnculo"/>
          <w:color w:val="000000" w:themeColor="text1"/>
          <w:u w:val="none"/>
        </w:rPr>
        <w:t>, que se realizan trimestralmente y se publican en el apartado de “Monitoreo” de la misma página web referida en este párrafo.</w:t>
      </w:r>
      <w:r w:rsidR="00F17E85" w:rsidRPr="00CC640D">
        <w:rPr>
          <w:rStyle w:val="Hipervnculo"/>
          <w:color w:val="000000" w:themeColor="text1"/>
          <w:u w:val="none"/>
        </w:rPr>
        <w:t xml:space="preserve"> </w:t>
      </w:r>
    </w:p>
    <w:p w14:paraId="49F93AF2" w14:textId="789477DE" w:rsidR="00A45550" w:rsidRPr="00506E8D" w:rsidRDefault="00F17E85" w:rsidP="00CC640D">
      <w:pPr>
        <w:pStyle w:val="Prrafodelista"/>
        <w:ind w:left="714"/>
        <w:contextualSpacing w:val="0"/>
        <w:rPr>
          <w:rStyle w:val="Hipervnculo"/>
          <w:color w:val="auto"/>
          <w:u w:val="none"/>
        </w:rPr>
      </w:pPr>
      <w:r>
        <w:rPr>
          <w:rStyle w:val="Hipervnculo"/>
          <w:color w:val="000000" w:themeColor="text1"/>
          <w:u w:val="none"/>
        </w:rPr>
        <w:t xml:space="preserve">En relación con el rubro de saneamiento financiero la información sobre el manejo de la deuda pública puede consultarse de manera trimestral en el informe analítico de la deuda y </w:t>
      </w:r>
      <w:r w:rsidR="0028344A">
        <w:rPr>
          <w:rStyle w:val="Hipervnculo"/>
          <w:color w:val="000000" w:themeColor="text1"/>
          <w:u w:val="none"/>
        </w:rPr>
        <w:t>otros pasivos</w:t>
      </w:r>
      <w:r>
        <w:rPr>
          <w:rStyle w:val="Hipervnculo"/>
          <w:color w:val="000000" w:themeColor="text1"/>
          <w:u w:val="none"/>
        </w:rPr>
        <w:t xml:space="preserve"> mediante la página: </w:t>
      </w:r>
      <w:hyperlink r:id="rId25" w:history="1">
        <w:r w:rsidRPr="00540419">
          <w:rPr>
            <w:rStyle w:val="Hipervnculo"/>
          </w:rPr>
          <w:t>https://s-finanzas.hidalgo.gob.mx/transparenciaFinanciera/transparenciaFinancieraPorTema.html</w:t>
        </w:r>
      </w:hyperlink>
      <w:r w:rsidR="00D84EB1">
        <w:rPr>
          <w:rStyle w:val="Hipervnculo"/>
          <w:color w:val="000000" w:themeColor="text1"/>
          <w:u w:val="none"/>
        </w:rPr>
        <w:t>.</w:t>
      </w:r>
      <w:r w:rsidR="0014730D">
        <w:rPr>
          <w:rStyle w:val="Hipervnculo"/>
          <w:color w:val="000000" w:themeColor="text1"/>
          <w:u w:val="none"/>
        </w:rPr>
        <w:t xml:space="preserve"> A</w:t>
      </w:r>
      <w:r w:rsidR="0014730D">
        <w:t>simismo, en la MIR estatal para el FAFEF se tiene definido un indicador referente a medir la capacidad de pago del servicio de la deuda denominado “</w:t>
      </w:r>
      <w:r w:rsidR="0014730D" w:rsidRPr="00795210">
        <w:t>porcentaje que representa el servicio de la deuda sobre los ingresos de libre disposición</w:t>
      </w:r>
      <w:r w:rsidR="0014730D">
        <w:t>”, el cual también se informa mediante el Pp M-03-Seguimiento control y optimización de la deuda, en el informe de resultado del monitoreo de indicadores del desempeño del Gobierno del Estado de Hidalgo</w:t>
      </w:r>
      <w:r w:rsidR="00D02550">
        <w:t>. En relación con el monto destinado a apoyar la educación pública los recursos fueron destinados para la entrega de becas para la educación superior, el avance en la consecución de los objetivos para este rubro se informa mediante el Pp k-35-Becas para educación, en el informe de resultado del monitoreo de indicadores del desempeño del Gobierno del Estado de Hidalgo. Para este Pp no se definió ningún indicador en la MIR estatal del Fondo en 2018.</w:t>
      </w:r>
    </w:p>
    <w:p w14:paraId="57DE179B" w14:textId="5D1DC6FF" w:rsidR="00F17E85" w:rsidRDefault="00D84EB1" w:rsidP="001D2D41">
      <w:pPr>
        <w:pStyle w:val="Prrafodelista"/>
        <w:numPr>
          <w:ilvl w:val="0"/>
          <w:numId w:val="48"/>
        </w:numPr>
        <w:ind w:left="714" w:hanging="357"/>
        <w:contextualSpacing w:val="0"/>
      </w:pPr>
      <w:r>
        <w:t xml:space="preserve">En la página web </w:t>
      </w:r>
      <w:hyperlink r:id="rId26" w:history="1">
        <w:r w:rsidRPr="00540419">
          <w:rPr>
            <w:rStyle w:val="Hipervnculo"/>
          </w:rPr>
          <w:t>https://s-finanzas.hidalgo.gob.mx/servicios/informacinFinancieraSRFT.html</w:t>
        </w:r>
      </w:hyperlink>
      <w:r>
        <w:t xml:space="preserve"> </w:t>
      </w:r>
      <w:r w:rsidR="00AF409F">
        <w:t>se puede</w:t>
      </w:r>
      <w:r>
        <w:t xml:space="preserve"> descargar el reporte sobre destino del gasto al cierre de ejercicio fiscal, mediante el cual es </w:t>
      </w:r>
      <w:r w:rsidRPr="00D84EB1">
        <w:t xml:space="preserve">posible ubicar geográficamente </w:t>
      </w:r>
      <w:r>
        <w:t>las obras y acciones ejecutadas</w:t>
      </w:r>
      <w:r w:rsidRPr="00D84EB1">
        <w:t xml:space="preserve"> los recursos del FAFEF</w:t>
      </w:r>
      <w:r w:rsidR="00CC640D">
        <w:t xml:space="preserve"> en materia de proyectos de inversión</w:t>
      </w:r>
      <w:r w:rsidRPr="00D84EB1">
        <w:t xml:space="preserve">, dado que todos los proyectos apoyados cuentan </w:t>
      </w:r>
      <w:r>
        <w:t xml:space="preserve">datos de </w:t>
      </w:r>
      <w:r w:rsidRPr="00D84EB1">
        <w:t>municipio, localidad</w:t>
      </w:r>
      <w:r>
        <w:t xml:space="preserve">, </w:t>
      </w:r>
      <w:r w:rsidRPr="00D84EB1">
        <w:t>dirección e incluso se cuenta con las coordenadas geográficas</w:t>
      </w:r>
      <w:r w:rsidR="00AF409F">
        <w:t>; estos reportes abarcan los recursos ejercidos en los rubros agrupados en el programa sectorial inversión</w:t>
      </w:r>
      <w:r>
        <w:t>.</w:t>
      </w:r>
      <w:r w:rsidR="00AF409F">
        <w:t xml:space="preserve"> En lo referente al rubro de saneamiento financiero, l</w:t>
      </w:r>
      <w:r w:rsidR="00AF409F" w:rsidRPr="007F71C2">
        <w:t>a ubicación geográfica es una variable que no resulta pertinente</w:t>
      </w:r>
      <w:r w:rsidR="00CC640D">
        <w:t xml:space="preserve"> ni necesaria</w:t>
      </w:r>
      <w:r w:rsidR="00AF409F" w:rsidRPr="007F71C2">
        <w:t xml:space="preserve">, </w:t>
      </w:r>
      <w:r w:rsidR="00AF409F">
        <w:t xml:space="preserve">ya que las acciones realizadas para pago de deuda benefician a toda la Administración Pública de la </w:t>
      </w:r>
      <w:r w:rsidR="00AF409F" w:rsidRPr="00990A91">
        <w:rPr>
          <w:rFonts w:cstheme="minorHAnsi"/>
          <w:bCs/>
        </w:rPr>
        <w:t>entidad federativa</w:t>
      </w:r>
      <w:r w:rsidR="00AF409F">
        <w:t>.</w:t>
      </w:r>
    </w:p>
    <w:p w14:paraId="4A85B112" w14:textId="028EBF3A" w:rsidR="00AF409F" w:rsidRDefault="00AF409F" w:rsidP="001D2D41">
      <w:pPr>
        <w:pStyle w:val="Prrafodelista"/>
        <w:numPr>
          <w:ilvl w:val="0"/>
          <w:numId w:val="48"/>
        </w:numPr>
        <w:ind w:left="714" w:hanging="357"/>
        <w:contextualSpacing w:val="0"/>
      </w:pPr>
      <w:r>
        <w:t>Los datos que se presentan en el reporte referido en el inciso anterior, respecto al destino del gasto, p</w:t>
      </w:r>
      <w:r w:rsidRPr="00AF409F">
        <w:t>ermite</w:t>
      </w:r>
      <w:r>
        <w:t>n</w:t>
      </w:r>
      <w:r w:rsidRPr="00AF409F">
        <w:t xml:space="preserve"> estimar el cumplimiento de los objetivos y cuantificar los beneficios que se obtienen con la aplicación de</w:t>
      </w:r>
      <w:r>
        <w:t xml:space="preserve"> </w:t>
      </w:r>
      <w:r w:rsidRPr="00AF409F">
        <w:t>l</w:t>
      </w:r>
      <w:r>
        <w:t xml:space="preserve">os recursos del </w:t>
      </w:r>
      <w:r w:rsidRPr="00AF409F">
        <w:t xml:space="preserve">Fondo. </w:t>
      </w:r>
      <w:r>
        <w:t>Sin embargo, c</w:t>
      </w:r>
      <w:r w:rsidRPr="00AF409F">
        <w:t>abe señalar que, de un total de 234 intervenciones reportadas</w:t>
      </w:r>
      <w:r w:rsidR="00CC640D">
        <w:t xml:space="preserve"> como proyectos de infraestructura</w:t>
      </w:r>
      <w:r w:rsidRPr="00AF409F">
        <w:t xml:space="preserve">, sólo se contabilizó a la población beneficiaria en 66 de </w:t>
      </w:r>
      <w:r w:rsidRPr="00AF409F">
        <w:lastRenderedPageBreak/>
        <w:t>estas</w:t>
      </w:r>
      <w:r w:rsidR="0025370B">
        <w:t>, por lo que se considera que no se cumple con el criterio de cuantificar a los beneficiarios finales de las acciones que se realizan con los recursos del Fondo</w:t>
      </w:r>
      <w:r w:rsidRPr="00AF409F">
        <w:t>.</w:t>
      </w:r>
    </w:p>
    <w:p w14:paraId="3EFD90B8" w14:textId="1BBD9FD7" w:rsidR="00D84EB1" w:rsidRDefault="00D02550" w:rsidP="001D2D41">
      <w:pPr>
        <w:pStyle w:val="Prrafodelista"/>
        <w:numPr>
          <w:ilvl w:val="0"/>
          <w:numId w:val="48"/>
        </w:numPr>
        <w:ind w:left="714" w:hanging="357"/>
        <w:contextualSpacing w:val="0"/>
      </w:pPr>
      <w:r>
        <w:t xml:space="preserve">Los recursos aportados por el FAFEF en la entidad federativa son rastreables en su ejercicio a través de los reportes referidos en el inciso a) y de los estados analíticos del ejercicio del presupuesto de egresos integrados en los informes de resultados de la cuenta pública registrados en el sitio web: </w:t>
      </w:r>
      <w:hyperlink r:id="rId27" w:history="1">
        <w:r w:rsidRPr="00540419">
          <w:rPr>
            <w:rStyle w:val="Hipervnculo"/>
          </w:rPr>
          <w:t>https://sif.hidalgo.gob.mx/WebCPublica2018/tomo3.html</w:t>
        </w:r>
      </w:hyperlink>
      <w:r>
        <w:t>.</w:t>
      </w:r>
    </w:p>
    <w:p w14:paraId="54A9CA14" w14:textId="36AD2032" w:rsidR="00D02550" w:rsidRDefault="00D02550" w:rsidP="001D2D41">
      <w:pPr>
        <w:pStyle w:val="Prrafodelista"/>
        <w:numPr>
          <w:ilvl w:val="0"/>
          <w:numId w:val="48"/>
        </w:numPr>
      </w:pPr>
      <w:r>
        <w:t xml:space="preserve">No se encontró información que </w:t>
      </w:r>
      <w:r w:rsidR="007D1704">
        <w:t xml:space="preserve">explique o justifique las razones para la modificación de metas de los indicadores de ninguna de las tres fuentes de información que al respecto tiene la entidad, es decir MIR federal del FAFEF reportada en el SRFT, MIR estatal del Fondo y MIR de los Pp que reciben financiamiento del Fondo, reportados en las páginas web referidas en el inciso a). </w:t>
      </w:r>
    </w:p>
    <w:p w14:paraId="66CE14C1" w14:textId="4D574676" w:rsidR="00EB1844" w:rsidRDefault="00EB1844" w:rsidP="00EB1844">
      <w:r>
        <w:t>.</w:t>
      </w:r>
      <w:r>
        <w:br w:type="page"/>
      </w:r>
    </w:p>
    <w:p w14:paraId="0AFF15CB" w14:textId="77777777" w:rsidR="00EB1844" w:rsidRDefault="00EB1844" w:rsidP="00EB1844">
      <w:pPr>
        <w:spacing w:before="0"/>
        <w:rPr>
          <w:rFonts w:cstheme="minorHAnsi"/>
          <w:b/>
        </w:rPr>
      </w:pPr>
      <w:r>
        <w:rPr>
          <w:rFonts w:cstheme="minorHAnsi"/>
          <w:b/>
        </w:rPr>
        <w:lastRenderedPageBreak/>
        <w:t xml:space="preserve">28. </w:t>
      </w:r>
      <w:r w:rsidRPr="00462B90">
        <w:rPr>
          <w:rFonts w:cstheme="minorHAnsi"/>
          <w:b/>
        </w:rPr>
        <w:t>¿Cuáles han sido los resultados de la aplicación de los recursos del FAFEF en la entidad federativa, medidos con indicadores estatales, considerando tales resultados durante la administración actual y por lo menos una anterior?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5"/>
        <w:gridCol w:w="1056"/>
        <w:gridCol w:w="7561"/>
      </w:tblGrid>
      <w:tr w:rsidR="00EB1844" w:rsidRPr="002D74AD" w14:paraId="67546713" w14:textId="77777777" w:rsidTr="00927B4B">
        <w:trPr>
          <w:trHeight w:val="260"/>
          <w:jc w:val="center"/>
        </w:trPr>
        <w:tc>
          <w:tcPr>
            <w:tcW w:w="675" w:type="pct"/>
            <w:shd w:val="clear" w:color="auto" w:fill="FFFFFF"/>
            <w:vAlign w:val="center"/>
          </w:tcPr>
          <w:p w14:paraId="76F3D2E0" w14:textId="77777777" w:rsidR="00EB1844" w:rsidRPr="002D74AD" w:rsidRDefault="00EB1844" w:rsidP="00FD2247">
            <w:pPr>
              <w:pBdr>
                <w:top w:val="nil"/>
                <w:left w:val="nil"/>
                <w:bottom w:val="nil"/>
                <w:right w:val="nil"/>
                <w:between w:val="nil"/>
              </w:pBdr>
              <w:spacing w:before="0" w:after="0"/>
              <w:ind w:left="12"/>
              <w:jc w:val="center"/>
              <w:rPr>
                <w:rFonts w:eastAsia="Calibri" w:cs="Calibri"/>
                <w:b/>
                <w:color w:val="000000"/>
                <w:sz w:val="20"/>
                <w:szCs w:val="20"/>
                <w:lang w:eastAsia="es-MX"/>
              </w:rPr>
            </w:pPr>
            <w:r w:rsidRPr="002D74AD">
              <w:rPr>
                <w:rFonts w:eastAsia="Calibri" w:cs="Calibri"/>
                <w:b/>
                <w:color w:val="000000"/>
                <w:sz w:val="20"/>
                <w:szCs w:val="20"/>
                <w:lang w:eastAsia="es-MX"/>
              </w:rPr>
              <w:t>Respuesta</w:t>
            </w:r>
          </w:p>
        </w:tc>
        <w:tc>
          <w:tcPr>
            <w:tcW w:w="530" w:type="pct"/>
            <w:shd w:val="clear" w:color="auto" w:fill="FFFFFF"/>
            <w:vAlign w:val="center"/>
          </w:tcPr>
          <w:p w14:paraId="02EDDC2E" w14:textId="77777777" w:rsidR="00EB1844" w:rsidRPr="002D74AD" w:rsidRDefault="00EB1844" w:rsidP="00FD2247">
            <w:pPr>
              <w:pBdr>
                <w:top w:val="nil"/>
                <w:left w:val="nil"/>
                <w:bottom w:val="nil"/>
                <w:right w:val="nil"/>
                <w:between w:val="nil"/>
              </w:pBdr>
              <w:spacing w:before="0" w:after="0"/>
              <w:ind w:left="12"/>
              <w:jc w:val="center"/>
              <w:rPr>
                <w:rFonts w:eastAsia="Calibri" w:cs="Calibri"/>
                <w:b/>
                <w:color w:val="000000"/>
                <w:sz w:val="20"/>
                <w:szCs w:val="20"/>
                <w:lang w:eastAsia="es-MX"/>
              </w:rPr>
            </w:pPr>
            <w:r w:rsidRPr="002D74AD">
              <w:rPr>
                <w:rFonts w:eastAsia="Calibri" w:cs="Calibri"/>
                <w:b/>
                <w:color w:val="000000"/>
                <w:sz w:val="20"/>
                <w:szCs w:val="20"/>
                <w:lang w:eastAsia="es-MX"/>
              </w:rPr>
              <w:t>Nivel</w:t>
            </w:r>
          </w:p>
        </w:tc>
        <w:tc>
          <w:tcPr>
            <w:tcW w:w="3795" w:type="pct"/>
            <w:shd w:val="clear" w:color="auto" w:fill="FFFFFF"/>
            <w:vAlign w:val="center"/>
          </w:tcPr>
          <w:p w14:paraId="7A248D79" w14:textId="77777777" w:rsidR="00EB1844" w:rsidRPr="002D74AD" w:rsidRDefault="00EB1844" w:rsidP="00FD2247">
            <w:pPr>
              <w:pBdr>
                <w:top w:val="nil"/>
                <w:left w:val="nil"/>
                <w:bottom w:val="nil"/>
                <w:right w:val="nil"/>
                <w:between w:val="nil"/>
              </w:pBdr>
              <w:spacing w:before="0" w:after="0"/>
              <w:ind w:firstLine="20"/>
              <w:jc w:val="center"/>
              <w:rPr>
                <w:rFonts w:eastAsia="Calibri" w:cs="Calibri"/>
                <w:b/>
                <w:color w:val="000000"/>
                <w:sz w:val="20"/>
                <w:szCs w:val="20"/>
                <w:lang w:eastAsia="es-MX"/>
              </w:rPr>
            </w:pPr>
            <w:r w:rsidRPr="002D74AD">
              <w:rPr>
                <w:rFonts w:eastAsia="Calibri" w:cs="Calibri"/>
                <w:b/>
                <w:color w:val="000000"/>
                <w:sz w:val="20"/>
                <w:szCs w:val="20"/>
                <w:lang w:eastAsia="es-MX"/>
              </w:rPr>
              <w:t>Criterios</w:t>
            </w:r>
          </w:p>
        </w:tc>
      </w:tr>
      <w:tr w:rsidR="00EB1844" w:rsidRPr="002D74AD" w14:paraId="54367C4B" w14:textId="77777777" w:rsidTr="00927B4B">
        <w:trPr>
          <w:trHeight w:val="400"/>
          <w:jc w:val="center"/>
        </w:trPr>
        <w:tc>
          <w:tcPr>
            <w:tcW w:w="675" w:type="pct"/>
            <w:shd w:val="clear" w:color="auto" w:fill="FFFFFF"/>
            <w:vAlign w:val="center"/>
          </w:tcPr>
          <w:p w14:paraId="2C032815" w14:textId="4F6AFB95" w:rsidR="00EB1844" w:rsidRPr="002D74AD" w:rsidRDefault="00704C52" w:rsidP="00FD2247">
            <w:pPr>
              <w:pBdr>
                <w:top w:val="nil"/>
                <w:left w:val="nil"/>
                <w:bottom w:val="nil"/>
                <w:right w:val="nil"/>
                <w:between w:val="nil"/>
              </w:pBdr>
              <w:shd w:val="clear" w:color="auto" w:fill="FFFFFF"/>
              <w:spacing w:before="0" w:after="0"/>
              <w:ind w:firstLine="7"/>
              <w:jc w:val="center"/>
              <w:rPr>
                <w:rFonts w:eastAsia="Calibri" w:cs="Calibri"/>
                <w:color w:val="000000"/>
                <w:sz w:val="20"/>
                <w:szCs w:val="20"/>
                <w:lang w:eastAsia="es-MX"/>
              </w:rPr>
            </w:pPr>
            <w:r>
              <w:rPr>
                <w:rFonts w:eastAsia="Calibri" w:cs="Calibri"/>
                <w:color w:val="000000"/>
                <w:sz w:val="20"/>
                <w:szCs w:val="20"/>
                <w:lang w:eastAsia="es-MX"/>
              </w:rPr>
              <w:t>Sí</w:t>
            </w:r>
          </w:p>
        </w:tc>
        <w:tc>
          <w:tcPr>
            <w:tcW w:w="530" w:type="pct"/>
            <w:shd w:val="clear" w:color="auto" w:fill="FFFFFF"/>
            <w:vAlign w:val="center"/>
          </w:tcPr>
          <w:p w14:paraId="102581DA" w14:textId="0F7D6750" w:rsidR="00EB1844" w:rsidRPr="002D74AD" w:rsidRDefault="00704C52" w:rsidP="00FD2247">
            <w:pPr>
              <w:pBdr>
                <w:top w:val="nil"/>
                <w:left w:val="nil"/>
                <w:bottom w:val="nil"/>
                <w:right w:val="nil"/>
                <w:between w:val="nil"/>
              </w:pBdr>
              <w:shd w:val="clear" w:color="auto" w:fill="FFFFFF"/>
              <w:spacing w:before="0" w:after="0"/>
              <w:ind w:firstLine="7"/>
              <w:jc w:val="center"/>
              <w:rPr>
                <w:rFonts w:eastAsia="Calibri" w:cs="Calibri"/>
                <w:color w:val="000000"/>
                <w:sz w:val="20"/>
                <w:szCs w:val="20"/>
                <w:lang w:eastAsia="es-MX"/>
              </w:rPr>
            </w:pPr>
            <w:r>
              <w:rPr>
                <w:rFonts w:eastAsia="Calibri" w:cs="Calibri"/>
                <w:color w:val="000000"/>
                <w:sz w:val="20"/>
                <w:szCs w:val="20"/>
                <w:lang w:eastAsia="es-MX"/>
              </w:rPr>
              <w:t>3</w:t>
            </w:r>
          </w:p>
        </w:tc>
        <w:tc>
          <w:tcPr>
            <w:tcW w:w="3795" w:type="pct"/>
            <w:shd w:val="clear" w:color="auto" w:fill="FFFFFF"/>
            <w:vAlign w:val="center"/>
          </w:tcPr>
          <w:p w14:paraId="09F341F8" w14:textId="359B8B6C" w:rsidR="00EB1844" w:rsidRPr="002D74AD" w:rsidRDefault="00704C52" w:rsidP="00371592">
            <w:pPr>
              <w:pBdr>
                <w:top w:val="nil"/>
                <w:left w:val="nil"/>
                <w:bottom w:val="nil"/>
                <w:right w:val="nil"/>
                <w:between w:val="nil"/>
              </w:pBdr>
              <w:tabs>
                <w:tab w:val="left" w:pos="256"/>
              </w:tabs>
              <w:spacing w:before="0" w:after="0"/>
              <w:contextualSpacing/>
              <w:rPr>
                <w:rFonts w:eastAsia="Calibri" w:cs="Calibri"/>
                <w:bCs/>
                <w:color w:val="000000"/>
                <w:sz w:val="20"/>
                <w:szCs w:val="20"/>
                <w:lang w:eastAsia="es-MX"/>
              </w:rPr>
            </w:pPr>
            <w:r w:rsidRPr="00371592">
              <w:rPr>
                <w:rFonts w:eastAsia="Calibri" w:cs="Calibri"/>
                <w:b/>
                <w:color w:val="000000"/>
                <w:sz w:val="20"/>
                <w:szCs w:val="20"/>
                <w:lang w:eastAsia="es-MX"/>
              </w:rPr>
              <w:t>Hay un avance significativo en los indicadores del FAFEF a nivel estatal</w:t>
            </w:r>
            <w:r w:rsidRPr="00704C52">
              <w:rPr>
                <w:rFonts w:eastAsia="Calibri" w:cs="Calibri"/>
                <w:bCs/>
                <w:color w:val="000000"/>
                <w:sz w:val="20"/>
                <w:szCs w:val="20"/>
                <w:lang w:eastAsia="es-MX"/>
              </w:rPr>
              <w:t xml:space="preserve"> (mayor de 80% respecto de la meta) a nivel de Fin y de Propósito.</w:t>
            </w:r>
          </w:p>
        </w:tc>
      </w:tr>
    </w:tbl>
    <w:p w14:paraId="494B21BC" w14:textId="157CD4A9" w:rsidR="00EB1844" w:rsidRDefault="00EB1844" w:rsidP="00EE2FAA">
      <w:r w:rsidRPr="00383BC6">
        <w:t xml:space="preserve">En la </w:t>
      </w:r>
      <w:r>
        <w:t xml:space="preserve">Hidalgo </w:t>
      </w:r>
      <w:r w:rsidRPr="00383BC6">
        <w:t xml:space="preserve">el </w:t>
      </w:r>
      <w:r w:rsidRPr="00150221">
        <w:rPr>
          <w:rFonts w:eastAsia="Times" w:cstheme="minorHAnsi"/>
          <w:bCs/>
        </w:rPr>
        <w:t>FAFEF</w:t>
      </w:r>
      <w:r w:rsidRPr="00383BC6">
        <w:t xml:space="preserve"> cuenta con una </w:t>
      </w:r>
      <w:r w:rsidRPr="00D62DEC">
        <w:t>MIR a</w:t>
      </w:r>
      <w:r w:rsidRPr="00383BC6">
        <w:t xml:space="preserve"> nivel estatal con objetivos, indicadores y metas establecidas para su monitoreo y seguimient</w:t>
      </w:r>
      <w:r w:rsidR="001B14BE">
        <w:t>o</w:t>
      </w:r>
      <w:r>
        <w:t>. Sin embargo, la implementación</w:t>
      </w:r>
      <w:r w:rsidR="008D1636">
        <w:t xml:space="preserve"> de</w:t>
      </w:r>
      <w:r>
        <w:t xml:space="preserve"> </w:t>
      </w:r>
      <w:r w:rsidR="001B14BE">
        <w:t>esta</w:t>
      </w:r>
      <w:r>
        <w:t xml:space="preserve"> MIR específica para el Fondo se dio en el ejercicio fiscal 2018 por lo que no es posible realizar un análisis de los resultados alcanzados</w:t>
      </w:r>
      <w:r w:rsidR="00CC02EB">
        <w:t xml:space="preserve"> respecto a una administración anterior</w:t>
      </w:r>
      <w:r>
        <w:t>,</w:t>
      </w:r>
      <w:r w:rsidR="001B14BE">
        <w:t xml:space="preserve"> con los indicadores</w:t>
      </w:r>
      <w:r>
        <w:t xml:space="preserve"> medidos a través de est</w:t>
      </w:r>
      <w:r w:rsidR="00CC02EB">
        <w:t>a</w:t>
      </w:r>
      <w:r>
        <w:t xml:space="preserve"> MIR. </w:t>
      </w:r>
    </w:p>
    <w:p w14:paraId="625A16FD" w14:textId="6BAA4628" w:rsidR="00EB1844" w:rsidRDefault="00EB1844" w:rsidP="00EE2FAA">
      <w:r w:rsidRPr="00181CAA">
        <w:t xml:space="preserve">Los resultados de las </w:t>
      </w:r>
      <w:r w:rsidR="001B14BE">
        <w:t>a</w:t>
      </w:r>
      <w:r w:rsidRPr="00181CAA">
        <w:t xml:space="preserve">portaciones del FAFEF en el Estado se documentan a través de </w:t>
      </w:r>
      <w:r>
        <w:t xml:space="preserve">los </w:t>
      </w:r>
      <w:r w:rsidRPr="00181CAA">
        <w:t xml:space="preserve">indicadores </w:t>
      </w:r>
      <w:r>
        <w:t xml:space="preserve">de la MIR federal, que se reportan a través del SRFT. </w:t>
      </w:r>
      <w:r w:rsidR="00EE2FAA" w:rsidRPr="00A649B1">
        <w:t xml:space="preserve">De acuerdo </w:t>
      </w:r>
      <w:r w:rsidR="00EE2FAA">
        <w:t>con</w:t>
      </w:r>
      <w:r w:rsidR="001B14BE">
        <w:t xml:space="preserve"> estos indicadores </w:t>
      </w:r>
      <w:r w:rsidRPr="00A649B1">
        <w:t>los resultados de la aplicación de los recursos del FAFEF</w:t>
      </w:r>
      <w:r w:rsidR="001B14BE">
        <w:t>, han sido los siguientes:</w:t>
      </w:r>
      <w:r>
        <w:t xml:space="preserve"> </w:t>
      </w:r>
    </w:p>
    <w:p w14:paraId="3530E51E" w14:textId="68EC69E5" w:rsidR="00EB1844" w:rsidRDefault="00955CA7" w:rsidP="00EE2FAA">
      <w:r>
        <w:t xml:space="preserve">El </w:t>
      </w:r>
      <w:r w:rsidR="00EB1844" w:rsidRPr="00383BC6">
        <w:t>indicador a nivel</w:t>
      </w:r>
      <w:r>
        <w:t xml:space="preserve"> de F</w:t>
      </w:r>
      <w:r w:rsidR="00EB1844" w:rsidRPr="00383BC6">
        <w:t>in</w:t>
      </w:r>
      <w:r w:rsidR="00542706">
        <w:t xml:space="preserve"> denominado </w:t>
      </w:r>
      <w:r w:rsidR="001B14BE">
        <w:t>í</w:t>
      </w:r>
      <w:r w:rsidR="00EB1844" w:rsidRPr="00383BC6">
        <w:t>ndice de impacto de deuda</w:t>
      </w:r>
      <w:r w:rsidR="00542706">
        <w:t xml:space="preserve"> pública,</w:t>
      </w:r>
      <w:r w:rsidR="001F2764">
        <w:t xml:space="preserve"> </w:t>
      </w:r>
      <w:r w:rsidR="00062093">
        <w:t xml:space="preserve">que </w:t>
      </w:r>
      <w:r w:rsidR="001F2764">
        <w:t xml:space="preserve">se asocia con el rubro de </w:t>
      </w:r>
      <w:r w:rsidR="00062093">
        <w:t>saneamiento</w:t>
      </w:r>
      <w:r w:rsidR="001F2764">
        <w:t xml:space="preserve"> financiero</w:t>
      </w:r>
      <w:r w:rsidR="00062093">
        <w:rPr>
          <w:rStyle w:val="Refdecomentario"/>
        </w:rPr>
        <w:t xml:space="preserve">, </w:t>
      </w:r>
      <w:r w:rsidR="00062093">
        <w:rPr>
          <w:rStyle w:val="Refdecomentario"/>
          <w:sz w:val="22"/>
          <w:szCs w:val="22"/>
        </w:rPr>
        <w:t>e</w:t>
      </w:r>
      <w:r>
        <w:t>l cual expresa el porcentaje de la deuda respecto al total del ingreso disponible en la entidad</w:t>
      </w:r>
      <w:r w:rsidR="001B14BE">
        <w:t xml:space="preserve">, </w:t>
      </w:r>
      <w:r>
        <w:t>reporta para los ejercicios 2017 y 2018 valores de,</w:t>
      </w:r>
      <w:r w:rsidR="00EB1844" w:rsidRPr="00383BC6">
        <w:t xml:space="preserve"> </w:t>
      </w:r>
      <w:r w:rsidR="00042BDE">
        <w:t xml:space="preserve">12.11 y 10, </w:t>
      </w:r>
      <w:r w:rsidR="00026363">
        <w:t xml:space="preserve">con un </w:t>
      </w:r>
      <w:bookmarkStart w:id="81" w:name="_Hlk56405897"/>
      <w:r w:rsidR="00026363">
        <w:t xml:space="preserve">avance respecto a las metas de 129.8 y 110% </w:t>
      </w:r>
      <w:bookmarkEnd w:id="81"/>
      <w:r w:rsidR="00026363">
        <w:t>respectivamente</w:t>
      </w:r>
      <w:bookmarkStart w:id="82" w:name="_Hlk56405939"/>
      <w:r w:rsidR="00026363">
        <w:t>,</w:t>
      </w:r>
      <w:r w:rsidR="00042BDE">
        <w:t xml:space="preserve"> lo </w:t>
      </w:r>
      <w:r w:rsidR="00062093">
        <w:t xml:space="preserve">que </w:t>
      </w:r>
      <w:r w:rsidR="00042BDE">
        <w:t xml:space="preserve">refleja un menor impacto de la deuda en las finanzas públicas de la entidad federativa </w:t>
      </w:r>
      <w:bookmarkEnd w:id="82"/>
      <w:r w:rsidR="00042BDE">
        <w:t>en el ejercicio 2018 respecto al 2017. En este indicador, u</w:t>
      </w:r>
      <w:r w:rsidR="00042BDE" w:rsidRPr="004275A6">
        <w:t>na tendencia decreciente implica la eficacia de una política de desendeudamiento, atribuible, entre otros factores, a la fortaleza financiera que se induce en las entidades federativas con los recursos de origen federal, entre los que se encuentran las aportaciones del Ramo 33, en particular las del FAFEF</w:t>
      </w:r>
      <w:r w:rsidR="00042BDE">
        <w:t>.</w:t>
      </w:r>
      <w:r w:rsidR="00EB1844" w:rsidRPr="00383BC6">
        <w:t xml:space="preserve"> </w:t>
      </w:r>
      <w:r w:rsidR="00026363">
        <w:t xml:space="preserve">En la MIR estatal del FAFEF existe un indicador </w:t>
      </w:r>
      <w:r w:rsidR="006F5979">
        <w:t xml:space="preserve">similar </w:t>
      </w:r>
      <w:r w:rsidR="00026363">
        <w:t>a nivel de Componente expresado como “</w:t>
      </w:r>
      <w:r w:rsidR="001B14BE">
        <w:t>s</w:t>
      </w:r>
      <w:r w:rsidR="00026363">
        <w:t xml:space="preserve">olvencia de la deuda pública ejecutada” que mide </w:t>
      </w:r>
      <w:r w:rsidR="007B3373">
        <w:t xml:space="preserve">el </w:t>
      </w:r>
      <w:r w:rsidR="007B3373" w:rsidRPr="007B3373">
        <w:t>porcentaje que representa el servicio de la deuda sobre los ingresos de libre disposición</w:t>
      </w:r>
      <w:r w:rsidR="007B3373">
        <w:t xml:space="preserve"> en </w:t>
      </w:r>
      <w:r w:rsidR="00294928">
        <w:t>el Estado, este indicador reporta para el ejercicio 2018 un valor de 4.8 sobre una meta de 7, lo que también refleja un avance positivo en el saneamiento de las finanzas de la entidad</w:t>
      </w:r>
      <w:r w:rsidR="00026363">
        <w:t>.</w:t>
      </w:r>
    </w:p>
    <w:p w14:paraId="1E4D3DDF" w14:textId="27A1DAE9" w:rsidR="0004527F" w:rsidRDefault="007C1160" w:rsidP="00EE2FAA">
      <w:bookmarkStart w:id="83" w:name="_Hlk56406022"/>
      <w:r>
        <w:t xml:space="preserve">A nivel de Propósito se </w:t>
      </w:r>
      <w:r w:rsidR="00345031">
        <w:t>mide</w:t>
      </w:r>
      <w:r>
        <w:t xml:space="preserve">n dos indicadores: </w:t>
      </w:r>
      <w:r w:rsidR="009206F2" w:rsidRPr="009206F2">
        <w:rPr>
          <w:i/>
          <w:iCs/>
        </w:rPr>
        <w:t>í</w:t>
      </w:r>
      <w:r w:rsidRPr="009206F2">
        <w:rPr>
          <w:i/>
          <w:iCs/>
        </w:rPr>
        <w:t xml:space="preserve">ndice de </w:t>
      </w:r>
      <w:r w:rsidR="009206F2">
        <w:rPr>
          <w:i/>
          <w:iCs/>
        </w:rPr>
        <w:t>f</w:t>
      </w:r>
      <w:r w:rsidRPr="009206F2">
        <w:rPr>
          <w:i/>
          <w:iCs/>
        </w:rPr>
        <w:t xml:space="preserve">ortalecimiento </w:t>
      </w:r>
      <w:r w:rsidR="009206F2">
        <w:rPr>
          <w:i/>
          <w:iCs/>
        </w:rPr>
        <w:t>f</w:t>
      </w:r>
      <w:r w:rsidRPr="009206F2">
        <w:rPr>
          <w:i/>
          <w:iCs/>
        </w:rPr>
        <w:t>inanciero</w:t>
      </w:r>
      <w:r w:rsidRPr="007C1160">
        <w:t xml:space="preserve"> e </w:t>
      </w:r>
      <w:r w:rsidR="009206F2" w:rsidRPr="009206F2">
        <w:rPr>
          <w:i/>
          <w:iCs/>
        </w:rPr>
        <w:t>índice</w:t>
      </w:r>
      <w:r w:rsidRPr="009206F2">
        <w:rPr>
          <w:i/>
          <w:iCs/>
        </w:rPr>
        <w:t xml:space="preserve"> de </w:t>
      </w:r>
      <w:r w:rsidR="009206F2" w:rsidRPr="009206F2">
        <w:rPr>
          <w:i/>
          <w:iCs/>
        </w:rPr>
        <w:t>i</w:t>
      </w:r>
      <w:r w:rsidRPr="009206F2">
        <w:rPr>
          <w:i/>
          <w:iCs/>
        </w:rPr>
        <w:t xml:space="preserve">mpulso al </w:t>
      </w:r>
      <w:r w:rsidR="009206F2" w:rsidRPr="009206F2">
        <w:rPr>
          <w:i/>
          <w:iCs/>
        </w:rPr>
        <w:t>g</w:t>
      </w:r>
      <w:r w:rsidRPr="009206F2">
        <w:rPr>
          <w:i/>
          <w:iCs/>
        </w:rPr>
        <w:t xml:space="preserve">asto de </w:t>
      </w:r>
      <w:r w:rsidR="009206F2" w:rsidRPr="009206F2">
        <w:rPr>
          <w:i/>
          <w:iCs/>
        </w:rPr>
        <w:t>i</w:t>
      </w:r>
      <w:r w:rsidRPr="009206F2">
        <w:rPr>
          <w:i/>
          <w:iCs/>
        </w:rPr>
        <w:t>nversión</w:t>
      </w:r>
      <w:r w:rsidR="00235EB4">
        <w:t>. El primero i</w:t>
      </w:r>
      <w:r w:rsidR="00235EB4" w:rsidRPr="004C0D9D">
        <w:t>dentifica la fortaleza de la recaudación local, comparada con los ingresos disponibles</w:t>
      </w:r>
      <w:r w:rsidR="001B14BE">
        <w:t xml:space="preserve"> </w:t>
      </w:r>
      <w:r w:rsidR="00235EB4">
        <w:t>y</w:t>
      </w:r>
      <w:r w:rsidR="00E80A52">
        <w:t>,</w:t>
      </w:r>
      <w:r w:rsidR="00235EB4">
        <w:t xml:space="preserve"> el segundo se refiere a</w:t>
      </w:r>
      <w:r w:rsidR="00235EB4" w:rsidRPr="004C0D9D">
        <w:t xml:space="preserve"> la cantidad de recursos que </w:t>
      </w:r>
      <w:r w:rsidR="00235EB4">
        <w:t>l</w:t>
      </w:r>
      <w:r w:rsidR="00235EB4" w:rsidRPr="004C0D9D">
        <w:t>a entidad federativa canaliza de su ingreso estatal disponible a la inversión</w:t>
      </w:r>
      <w:r w:rsidR="00235EB4">
        <w:t xml:space="preserve"> para fortalecer su infraestructura pública</w:t>
      </w:r>
      <w:bookmarkEnd w:id="83"/>
      <w:r w:rsidR="00235EB4">
        <w:t xml:space="preserve">. </w:t>
      </w:r>
      <w:r w:rsidR="00E80A52">
        <w:t xml:space="preserve">El índice de fortalecimiento financiero reporta un valor de </w:t>
      </w:r>
      <w:r w:rsidR="00647913">
        <w:t>5.24</w:t>
      </w:r>
      <w:r w:rsidR="00E80A52">
        <w:t xml:space="preserve"> sobre una meta de </w:t>
      </w:r>
      <w:r w:rsidR="00647913">
        <w:t>5.67</w:t>
      </w:r>
      <w:r w:rsidR="00E80A52">
        <w:t xml:space="preserve"> en el ejercicio 2017 y de 6 sobre una meta de 4.8 para </w:t>
      </w:r>
      <w:r w:rsidR="00647913">
        <w:t xml:space="preserve">el </w:t>
      </w:r>
      <w:r w:rsidR="00E80A52">
        <w:t>ejercicio 2018, lo cual refleja un logro de</w:t>
      </w:r>
      <w:r w:rsidR="00647913">
        <w:t xml:space="preserve">l 92.41% y 125%, respectivamente, respecto a sus metas y a su vez da cuenta del fortalecimiento en la recaudación local. </w:t>
      </w:r>
      <w:r w:rsidR="002057C9">
        <w:t xml:space="preserve">Este indicador se vincula con el rubro de modernización de los registros públicos de la propiedad y del comercio locales, en la medida que tener actualizados los registros de valores y bienes, contribuye a un sistema de recaudación de contribuciones más eficiente, sin </w:t>
      </w:r>
      <w:r w:rsidR="00C62EE0">
        <w:t>embargo,</w:t>
      </w:r>
      <w:r w:rsidR="002057C9">
        <w:t xml:space="preserve"> </w:t>
      </w:r>
      <w:r w:rsidR="00C70B62">
        <w:t>ta</w:t>
      </w:r>
      <w:r w:rsidR="002057C9">
        <w:t xml:space="preserve">nto en la MIR estatal del FAFEF como en </w:t>
      </w:r>
      <w:r w:rsidR="00C70B62">
        <w:t xml:space="preserve">la MIR del Pp K-15 </w:t>
      </w:r>
      <w:r w:rsidR="00C70B62" w:rsidRPr="00C70B62">
        <w:t>Inversión para el Fortalecimiento de la Gobernabilidad Democrática y Gobernanza</w:t>
      </w:r>
      <w:r w:rsidR="0004527F">
        <w:t xml:space="preserve">, </w:t>
      </w:r>
      <w:r w:rsidR="00C70B62">
        <w:t>los indicadores asociados a este rubro sólo dan cuenta del porcentaje de avance en la modernización de los sistemas, ya que para el primer caso se mide como</w:t>
      </w:r>
      <w:r w:rsidR="00771353">
        <w:t xml:space="preserve">  </w:t>
      </w:r>
      <w:r w:rsidR="00C70B62" w:rsidRPr="005E1463">
        <w:rPr>
          <w:i/>
          <w:iCs/>
        </w:rPr>
        <w:t>porcentaje de avance de modernización de los registros públicos de la propiedad del Estado de Hidalgo</w:t>
      </w:r>
      <w:r w:rsidR="0004527F">
        <w:rPr>
          <w:i/>
          <w:iCs/>
        </w:rPr>
        <w:t xml:space="preserve"> </w:t>
      </w:r>
      <w:r w:rsidR="0004527F">
        <w:t>(el cual reporta un avance del 50% sobre una meta programada de 85%)</w:t>
      </w:r>
      <w:r w:rsidR="00C70B62">
        <w:t xml:space="preserve"> y en el segundo como </w:t>
      </w:r>
      <w:r w:rsidR="00C70B62" w:rsidRPr="005E1463">
        <w:rPr>
          <w:i/>
          <w:iCs/>
        </w:rPr>
        <w:t>porcentaje de regularización del acervo registral</w:t>
      </w:r>
      <w:r w:rsidR="0004527F">
        <w:rPr>
          <w:i/>
          <w:iCs/>
        </w:rPr>
        <w:t xml:space="preserve"> </w:t>
      </w:r>
      <w:r w:rsidR="0004527F">
        <w:t>(No presenta avances en 2018)</w:t>
      </w:r>
      <w:r w:rsidR="00C70B62">
        <w:rPr>
          <w:i/>
          <w:iCs/>
        </w:rPr>
        <w:t xml:space="preserve">, </w:t>
      </w:r>
      <w:r w:rsidR="00C70B62">
        <w:t>sin dar cuenta de la medida en que estas acciones fortalecen la recaudación local.</w:t>
      </w:r>
    </w:p>
    <w:p w14:paraId="005E1821" w14:textId="77777777" w:rsidR="0004527F" w:rsidRDefault="00D67AAE" w:rsidP="00EE2FAA">
      <w:r>
        <w:t>El í</w:t>
      </w:r>
      <w:r w:rsidRPr="00D67AAE">
        <w:t xml:space="preserve">ndice de </w:t>
      </w:r>
      <w:r>
        <w:t>i</w:t>
      </w:r>
      <w:r w:rsidRPr="00D67AAE">
        <w:t xml:space="preserve">mpulso al </w:t>
      </w:r>
      <w:r>
        <w:t>g</w:t>
      </w:r>
      <w:r w:rsidRPr="00D67AAE">
        <w:t xml:space="preserve">asto de </w:t>
      </w:r>
      <w:r>
        <w:t>i</w:t>
      </w:r>
      <w:r w:rsidRPr="00D67AAE">
        <w:t>nversión</w:t>
      </w:r>
      <w:r>
        <w:t xml:space="preserve"> reporta un incremento importante entre los ejercicios 2017 y 2018, de 0.53 a 7.4% lo cual representa un aumento del 1,396% </w:t>
      </w:r>
      <w:r w:rsidR="001D52C6">
        <w:t>en</w:t>
      </w:r>
      <w:r>
        <w:t xml:space="preserve"> la cantidad de recursos que Hidalgo destina al gasto </w:t>
      </w:r>
      <w:r w:rsidR="00D3476C">
        <w:t xml:space="preserve">o rubro </w:t>
      </w:r>
      <w:r>
        <w:t xml:space="preserve">de inversión. </w:t>
      </w:r>
      <w:r w:rsidR="006F5979">
        <w:t>Este último indicador está vinculado con el indicador a nivel de Fin de la MIR estatal del FAFEF expresado como</w:t>
      </w:r>
      <w:r w:rsidR="00A555FA">
        <w:t xml:space="preserve">: </w:t>
      </w:r>
      <w:r w:rsidR="006F5979" w:rsidRPr="00A555FA">
        <w:rPr>
          <w:i/>
          <w:iCs/>
        </w:rPr>
        <w:t>porcentaje en inversión pública realizada con recursos del FAFEF</w:t>
      </w:r>
      <w:r w:rsidR="00A555FA" w:rsidRPr="00A555FA">
        <w:rPr>
          <w:i/>
          <w:iCs/>
        </w:rPr>
        <w:t xml:space="preserve"> en el Estado</w:t>
      </w:r>
      <w:r w:rsidR="00A555FA">
        <w:t>, medido como la relación entre la inversión pública realizada con recursos del FAFEF entre el total de la inversión pública del P</w:t>
      </w:r>
      <w:r w:rsidR="001B14BE">
        <w:t xml:space="preserve">resupuesto de </w:t>
      </w:r>
      <w:r w:rsidR="00A555FA">
        <w:t>E</w:t>
      </w:r>
      <w:r w:rsidR="001B14BE">
        <w:t xml:space="preserve">gresos del </w:t>
      </w:r>
      <w:r w:rsidR="00A555FA">
        <w:t>E</w:t>
      </w:r>
      <w:r w:rsidR="001B14BE">
        <w:t xml:space="preserve">stado de </w:t>
      </w:r>
      <w:r w:rsidR="00333A97">
        <w:t>H</w:t>
      </w:r>
      <w:r w:rsidR="001B14BE">
        <w:t>idalgo</w:t>
      </w:r>
      <w:r w:rsidR="00333A97">
        <w:t>,</w:t>
      </w:r>
      <w:r w:rsidR="002A6E20">
        <w:t xml:space="preserve"> el</w:t>
      </w:r>
      <w:r w:rsidR="00333A97">
        <w:t xml:space="preserve"> </w:t>
      </w:r>
      <w:r w:rsidR="00A555FA">
        <w:t xml:space="preserve">cual reporta un valor </w:t>
      </w:r>
      <w:r w:rsidR="00333A97">
        <w:t>de 20.68</w:t>
      </w:r>
      <w:r w:rsidR="002A6E20">
        <w:t xml:space="preserve"> %</w:t>
      </w:r>
      <w:r w:rsidR="00267E67">
        <w:t xml:space="preserve"> sin tener un valor de </w:t>
      </w:r>
      <w:r w:rsidR="00267E67">
        <w:lastRenderedPageBreak/>
        <w:t>referencia</w:t>
      </w:r>
      <w:r w:rsidR="001B14BE">
        <w:t>;</w:t>
      </w:r>
      <w:r w:rsidR="003A3D35">
        <w:t xml:space="preserve"> este indicador sintetiza la información de los indicadores a nivel de Componente de la MIR estatal relacionados con la ejecución de proyectos de inversión</w:t>
      </w:r>
      <w:r w:rsidR="00267E67">
        <w:t xml:space="preserve">, </w:t>
      </w:r>
      <w:r w:rsidR="003A3D35">
        <w:t>que dan cuenta del avance en la ejecución de las obras y/o acciones programadas y que a su vez se relacionan con los indicadores de las MIR de los Pp de modalidad K que se reportan a través de los mecanismo de monitoreo del desempeño estatal</w:t>
      </w:r>
      <w:r w:rsidR="009206F2">
        <w:t>.</w:t>
      </w:r>
    </w:p>
    <w:p w14:paraId="7BA3D29C" w14:textId="4FCEC9CD" w:rsidR="00EB1844" w:rsidRDefault="0004527F" w:rsidP="00EE2FAA">
      <w:r>
        <w:t>Cabe señalar que no se encuentra vinculación del rubro de apoyos a la educación con ningún indicador de la MIR federal</w:t>
      </w:r>
      <w:r w:rsidR="00F206C8">
        <w:t xml:space="preserve">, ni existe algún indicador asociado a la MIR estatal del Fondo con este rubro. La MIR para el Pp K-35 Becas para la Educación cuenta con un indicador a nivel de Propósito definido como </w:t>
      </w:r>
      <w:r w:rsidR="00F206C8" w:rsidRPr="005E1463">
        <w:rPr>
          <w:i/>
          <w:iCs/>
        </w:rPr>
        <w:t>porcentaje de alumnos del sistema educativo estatal beneficiados con becas</w:t>
      </w:r>
      <w:r w:rsidR="00F206C8">
        <w:t xml:space="preserve">, sin embargo, tampoco cuenta con reporte de avances en el informe de resultados del monitoreo del desempeño del gobierno del Estado de Hidalgo en el ejercicio 2018. </w:t>
      </w:r>
      <w:r w:rsidR="00F206C8">
        <w:br w:type="page"/>
      </w:r>
    </w:p>
    <w:p w14:paraId="56D3AF98" w14:textId="77777777" w:rsidR="00EB1844" w:rsidRPr="00D105A8" w:rsidRDefault="00EB1844" w:rsidP="00EB1844">
      <w:pPr>
        <w:spacing w:before="0" w:after="0"/>
        <w:contextualSpacing/>
        <w:rPr>
          <w:rFonts w:cstheme="minorHAnsi"/>
          <w:b/>
        </w:rPr>
      </w:pPr>
      <w:r>
        <w:rPr>
          <w:rFonts w:cstheme="minorHAnsi"/>
          <w:b/>
        </w:rPr>
        <w:lastRenderedPageBreak/>
        <w:t xml:space="preserve">29. </w:t>
      </w:r>
      <w:r w:rsidRPr="00D105A8">
        <w:rPr>
          <w:rFonts w:cstheme="minorHAnsi"/>
          <w:b/>
        </w:rPr>
        <w:t>A partir de análisis externos (evaluaciones, auditorías al desempeño, informes de organizaciones independientes, u otros relevantes) realizados al FAFEF (a nivel estatal) y de su experiencia en la temática ¿qué temas del Fondo considera importante analizar mediante evaluaciones u otros ejercicios conducidos por instancias externas?</w:t>
      </w:r>
    </w:p>
    <w:p w14:paraId="12043D0D" w14:textId="77777777" w:rsidR="00EB1844" w:rsidRPr="002D74AD" w:rsidRDefault="00EB1844" w:rsidP="00ED1C7F">
      <w:pPr>
        <w:rPr>
          <w:b/>
          <w:bCs/>
        </w:rPr>
      </w:pPr>
      <w:r w:rsidRPr="002D74AD">
        <w:rPr>
          <w:b/>
          <w:bCs/>
        </w:rPr>
        <w:t>No procede valoración cuantitativa.</w:t>
      </w:r>
    </w:p>
    <w:p w14:paraId="47A6E59A" w14:textId="285D9FC7" w:rsidR="00EB1844" w:rsidRDefault="00EB1844" w:rsidP="00ED1C7F">
      <w:r>
        <w:t>Algunas de las recomendaciones derivadas de las evaluaciones realizadas al FAFEF en Hidalgo condujeron</w:t>
      </w:r>
      <w:r w:rsidRPr="00EE04F7">
        <w:t xml:space="preserve"> a la elaboración del diagnóstico para el F</w:t>
      </w:r>
      <w:r w:rsidR="001B14BE">
        <w:t>ondo</w:t>
      </w:r>
      <w:r w:rsidRPr="00EE04F7">
        <w:t xml:space="preserve"> en la entidad</w:t>
      </w:r>
      <w:r>
        <w:t xml:space="preserve"> federativa</w:t>
      </w:r>
      <w:r w:rsidRPr="00EE04F7">
        <w:t>, sin embargo, este diagnóstico se limitan a señalar que la población beneficiaria por el Fondo será toda la población d</w:t>
      </w:r>
      <w:r>
        <w:t>el Estado y</w:t>
      </w:r>
      <w:r w:rsidRPr="00D62DEC">
        <w:t xml:space="preserve"> explica el</w:t>
      </w:r>
      <w:r w:rsidRPr="00EE04F7">
        <w:t xml:space="preserve"> fin y el propósito de la MIR</w:t>
      </w:r>
      <w:r>
        <w:t xml:space="preserve">, </w:t>
      </w:r>
      <w:r w:rsidRPr="00EE04F7">
        <w:t>p</w:t>
      </w:r>
      <w:r>
        <w:t>o</w:t>
      </w:r>
      <w:r w:rsidRPr="00EE04F7">
        <w:t>r</w:t>
      </w:r>
      <w:r>
        <w:t xml:space="preserve"> l</w:t>
      </w:r>
      <w:r w:rsidRPr="00EE04F7">
        <w:t>o</w:t>
      </w:r>
      <w:r>
        <w:t xml:space="preserve"> que</w:t>
      </w:r>
      <w:r w:rsidRPr="00EE04F7">
        <w:t xml:space="preserve"> se requiere realizar un diagnóstico más </w:t>
      </w:r>
      <w:r w:rsidRPr="00D62DEC">
        <w:t>profundo,</w:t>
      </w:r>
      <w:r w:rsidRPr="00EE04F7">
        <w:t xml:space="preserve"> que permita a los responsables del Fondo estimar a nivel estatal el tamaño de las necesidades de la población</w:t>
      </w:r>
      <w:r>
        <w:t xml:space="preserve"> por rubro de gasto de la LCF</w:t>
      </w:r>
      <w:r w:rsidRPr="00EE04F7">
        <w:t>, para poder saber que tanto se está avanzando en la atención de la problemática existente en la entidad</w:t>
      </w:r>
      <w:r>
        <w:t xml:space="preserve"> federativa</w:t>
      </w:r>
      <w:r w:rsidRPr="00EE04F7">
        <w:t xml:space="preserve"> y determinar que tanto ha contrib</w:t>
      </w:r>
      <w:r>
        <w:t>uido</w:t>
      </w:r>
      <w:r w:rsidRPr="00EE04F7">
        <w:t xml:space="preserve"> el </w:t>
      </w:r>
      <w:r>
        <w:t>Fondo,</w:t>
      </w:r>
      <w:r w:rsidRPr="00EE04F7">
        <w:t xml:space="preserve"> en lo individual o en forma conjunta con otros </w:t>
      </w:r>
      <w:r w:rsidR="00840872">
        <w:rPr>
          <w:color w:val="000000" w:themeColor="text1"/>
        </w:rPr>
        <w:t>Pp</w:t>
      </w:r>
      <w:r w:rsidR="00840872" w:rsidRPr="00EE04F7">
        <w:t xml:space="preserve"> </w:t>
      </w:r>
      <w:r w:rsidRPr="00EE04F7">
        <w:t xml:space="preserve">o proyectos que se implementan en </w:t>
      </w:r>
      <w:r>
        <w:t>el Estado de Hidalgo</w:t>
      </w:r>
      <w:r w:rsidRPr="00EE04F7">
        <w:t>.</w:t>
      </w:r>
      <w:r>
        <w:t xml:space="preserve"> </w:t>
      </w:r>
    </w:p>
    <w:p w14:paraId="68C32287" w14:textId="11DEA72F" w:rsidR="00EB1844" w:rsidRDefault="00DC04F5" w:rsidP="00ED1C7F">
      <w:r>
        <w:rPr>
          <w:rFonts w:cstheme="minorHAnsi"/>
          <w:bCs/>
        </w:rPr>
        <w:t>No obstante que se han llevado a cabo ejercicios de evaluaciones externas al FAFEF, aún se hace necesario que éstas abunden más en el desempeño y resultados obtenidos por el Fondo</w:t>
      </w:r>
      <w:r w:rsidRPr="00FC70B9">
        <w:t>.</w:t>
      </w:r>
      <w:r>
        <w:t xml:space="preserve"> </w:t>
      </w:r>
      <w:r w:rsidR="00EB1844" w:rsidRPr="00FC70B9">
        <w:t>De manera general, uno de los aspectos a considerar en ejercicios futuros de evaluación para el FAFEF, se refiere a la valoración de los resultados de la implementación de la estrategia del PbR en el desempeño del F</w:t>
      </w:r>
      <w:r w:rsidR="00CA683C">
        <w:t>ondo</w:t>
      </w:r>
      <w:r w:rsidR="00EB1844" w:rsidRPr="00FC70B9">
        <w:t xml:space="preserve"> en la entidad</w:t>
      </w:r>
      <w:r w:rsidR="00EB1844">
        <w:t xml:space="preserve"> federativa</w:t>
      </w:r>
      <w:r w:rsidR="00EB1844" w:rsidRPr="00FC70B9">
        <w:t>. Es decir, se debe analizar si la operación de este esquema cumple con su objetivo de consolidar la utilización de una estructura programática con base en Pp para orientar la asignación de recursos al cumplimiento de objetivos específicos y claros para resolver problemas públicos, atender necesidades o aprovechar oportunidades, de tal forma que los resultados del análisis permitan conocer con mayor precisión los impactos de la</w:t>
      </w:r>
      <w:r w:rsidR="00EB1844">
        <w:t xml:space="preserve"> </w:t>
      </w:r>
      <w:r w:rsidR="00EB1844" w:rsidRPr="00FC70B9">
        <w:t>ejecución de los recursos del Fondo en</w:t>
      </w:r>
      <w:r w:rsidR="00EB1844">
        <w:t xml:space="preserve"> el Estado</w:t>
      </w:r>
      <w:r w:rsidR="00EB1844" w:rsidRPr="00FC70B9">
        <w:t>.</w:t>
      </w:r>
    </w:p>
    <w:p w14:paraId="2110903A" w14:textId="4F6C8141" w:rsidR="00EB1844" w:rsidRDefault="00EB1844" w:rsidP="00ED1C7F">
      <w:r>
        <w:t xml:space="preserve">En este mismo sentido se recomienda realizar evaluaciones de diseño a los Pp que son financiados con recursos del Fondo, en la cual se identifiquen plenamente las fuentes de financiamiento y se valore la pertinencia de los indicadores de su MIR, así como la vinculación de estos indicadores con los objetivos establecidos para el FAFEF en la LCF y en la MIR federal del Fondo. La realización de este tipo de evaluación complementa la recomendación de integrar las problemáticas que se atienden con los recursos del Fondo mediante </w:t>
      </w:r>
      <w:r w:rsidRPr="009A3209">
        <w:t xml:space="preserve">la </w:t>
      </w:r>
      <w:r w:rsidR="004C0EA9">
        <w:t>vinculación de indicadores de los Pp, la MIR estatal del Fondo y la MIR federal del FAFEF</w:t>
      </w:r>
      <w:r>
        <w:t>.</w:t>
      </w:r>
    </w:p>
    <w:p w14:paraId="1379CC3A" w14:textId="2645C12D" w:rsidR="00EB1844" w:rsidRDefault="00EB1844" w:rsidP="00ED1C7F">
      <w:r>
        <w:rPr>
          <w:rFonts w:cstheme="minorHAnsi"/>
          <w:color w:val="000000"/>
          <w:szCs w:val="20"/>
        </w:rPr>
        <w:t xml:space="preserve">Asimismo, es conveniente realizar una evaluación de </w:t>
      </w:r>
      <w:r w:rsidRPr="007F71C2">
        <w:rPr>
          <w:rFonts w:cstheme="minorHAnsi"/>
          <w:color w:val="000000"/>
          <w:szCs w:val="20"/>
        </w:rPr>
        <w:t xml:space="preserve">procesos, </w:t>
      </w:r>
      <w:r>
        <w:rPr>
          <w:rFonts w:cstheme="minorHAnsi"/>
          <w:color w:val="000000"/>
          <w:szCs w:val="20"/>
        </w:rPr>
        <w:t xml:space="preserve">en la que </w:t>
      </w:r>
      <w:r w:rsidRPr="007F71C2">
        <w:rPr>
          <w:rFonts w:cstheme="minorHAnsi"/>
          <w:color w:val="000000"/>
          <w:szCs w:val="20"/>
        </w:rPr>
        <w:t xml:space="preserve">valdría la </w:t>
      </w:r>
      <w:r w:rsidR="00CA683C" w:rsidRPr="007F71C2">
        <w:rPr>
          <w:rFonts w:cstheme="minorHAnsi"/>
          <w:color w:val="000000"/>
          <w:szCs w:val="20"/>
        </w:rPr>
        <w:t>pena analizar</w:t>
      </w:r>
      <w:r w:rsidRPr="007F71C2">
        <w:rPr>
          <w:rFonts w:cstheme="minorHAnsi"/>
          <w:color w:val="000000"/>
          <w:szCs w:val="20"/>
        </w:rPr>
        <w:t xml:space="preserve"> todas las posibilidades de apoyo (los 9 rubros) del FAFEF y ver si hay áreas de oportunidad </w:t>
      </w:r>
      <w:r>
        <w:rPr>
          <w:rFonts w:cstheme="minorHAnsi"/>
          <w:color w:val="000000"/>
          <w:szCs w:val="20"/>
        </w:rPr>
        <w:t xml:space="preserve">para </w:t>
      </w:r>
      <w:r w:rsidRPr="007F71C2">
        <w:rPr>
          <w:rFonts w:cstheme="minorHAnsi"/>
          <w:color w:val="000000"/>
          <w:szCs w:val="20"/>
        </w:rPr>
        <w:t>mejora</w:t>
      </w:r>
      <w:r>
        <w:rPr>
          <w:rFonts w:cstheme="minorHAnsi"/>
          <w:color w:val="000000"/>
          <w:szCs w:val="20"/>
        </w:rPr>
        <w:t>r los procesos de</w:t>
      </w:r>
      <w:r w:rsidRPr="007F71C2">
        <w:rPr>
          <w:rFonts w:cstheme="minorHAnsi"/>
          <w:color w:val="000000"/>
          <w:szCs w:val="20"/>
        </w:rPr>
        <w:t xml:space="preserve"> asignación o reasignación de recursos entre rubros. Esto porque quizá la asignación actual de recursos sea más producto de la inercia que de un análisis multifactorial y multi-rubro. En esa misma línea será relevante realizar todo un análisis a nivel del diseño y arreglo institucional y ver si esa dependencia de Pp para ejecutar las acciones y recursos es acertada o </w:t>
      </w:r>
      <w:r w:rsidR="00CA683C">
        <w:rPr>
          <w:rFonts w:cstheme="minorHAnsi"/>
          <w:color w:val="000000"/>
          <w:szCs w:val="20"/>
        </w:rPr>
        <w:t>en caso contrario que se requiere para</w:t>
      </w:r>
      <w:r w:rsidRPr="007F71C2">
        <w:rPr>
          <w:rFonts w:cstheme="minorHAnsi"/>
          <w:color w:val="000000"/>
          <w:szCs w:val="20"/>
        </w:rPr>
        <w:t xml:space="preserve"> complementarla.</w:t>
      </w:r>
    </w:p>
    <w:p w14:paraId="429C87AA" w14:textId="77777777" w:rsidR="00EB1844" w:rsidRDefault="00EB1844" w:rsidP="00ED1C7F">
      <w:pPr>
        <w:rPr>
          <w:rFonts w:cstheme="minorHAnsi"/>
          <w:bCs/>
        </w:rPr>
      </w:pPr>
      <w:r>
        <w:rPr>
          <w:rFonts w:cstheme="minorHAnsi"/>
          <w:bCs/>
        </w:rPr>
        <w:t>De manera concreta, se recomienda que se efectúe una evaluación Específica de Desempeño, por medio de la cual se analice el FAFEF a través de los Pp que reciben recursos de éste, en donde se determine el origen y destino del financiamiento de los Pp, el comportamiento del presupuesto en el tiempo, se revise el proceso de planificación para el cumplimiento de los objetivos del Fondo y de los Pp, se elabore un reporte sobre los principales resultados de la operación de cada uno de los Pp en términos de eficacia y eficiencia, se obtenga la evolución en el tiempo de la cobertura de los Pp y se elabore el avance y evolución de los indicadores de resultados que se encuentran establecidos en las MIR federal y en las MIR de los Pp, estableciendo el vínculo que permita conocer cómo los Pp contribuyen al logro de objetivos de la MIR federal. En este sentido, se recomienda realizar al FAFEF en la entidad federativa, las evaluaciones externas que se muestran en el siguiente Cuadro.</w:t>
      </w:r>
    </w:p>
    <w:p w14:paraId="6A5FFC9B" w14:textId="77777777" w:rsidR="00ED1C7F" w:rsidRDefault="00ED1C7F">
      <w:pPr>
        <w:spacing w:before="0" w:after="160" w:line="259" w:lineRule="auto"/>
        <w:jc w:val="left"/>
        <w:rPr>
          <w:b/>
        </w:rPr>
      </w:pPr>
      <w:bookmarkStart w:id="84" w:name="_Toc51660757"/>
      <w:bookmarkStart w:id="85" w:name="_Toc56741063"/>
      <w:r>
        <w:br w:type="page"/>
      </w:r>
    </w:p>
    <w:p w14:paraId="3E322269" w14:textId="31858585" w:rsidR="00EB1844" w:rsidRDefault="00EB1844" w:rsidP="00EB1844">
      <w:pPr>
        <w:pStyle w:val="Cuadro"/>
      </w:pPr>
      <w:r>
        <w:lastRenderedPageBreak/>
        <w:t xml:space="preserve">Cuadro </w:t>
      </w:r>
      <w:r w:rsidR="005D3F1B">
        <w:t>1</w:t>
      </w:r>
      <w:r w:rsidR="00A82DA8">
        <w:t>0</w:t>
      </w:r>
      <w:r>
        <w:t>. Tipo de evaluaciones o análisis externos sugeridos al FAFEF en Hidalgo.</w:t>
      </w:r>
      <w:bookmarkEnd w:id="84"/>
      <w:bookmarkEnd w:id="85"/>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3969"/>
        <w:gridCol w:w="1276"/>
        <w:gridCol w:w="3021"/>
      </w:tblGrid>
      <w:tr w:rsidR="00EB1844" w:rsidRPr="005D3F1B" w14:paraId="29431896" w14:textId="77777777" w:rsidTr="00FF2AA5">
        <w:trPr>
          <w:trHeight w:val="537"/>
          <w:tblHeader/>
        </w:trPr>
        <w:tc>
          <w:tcPr>
            <w:tcW w:w="1696" w:type="dxa"/>
            <w:shd w:val="clear" w:color="auto" w:fill="9CC2E5"/>
            <w:vAlign w:val="center"/>
          </w:tcPr>
          <w:p w14:paraId="245EE199" w14:textId="77777777" w:rsidR="00EB1844" w:rsidRPr="005D3F1B" w:rsidRDefault="00EB1844" w:rsidP="00CA683C">
            <w:pPr>
              <w:spacing w:before="0" w:after="0"/>
              <w:jc w:val="center"/>
              <w:rPr>
                <w:rFonts w:cstheme="minorHAnsi"/>
                <w:b/>
                <w:bCs/>
                <w:sz w:val="20"/>
                <w:szCs w:val="20"/>
              </w:rPr>
            </w:pPr>
            <w:r w:rsidRPr="005D3F1B">
              <w:rPr>
                <w:rFonts w:cstheme="minorHAnsi"/>
                <w:b/>
                <w:bCs/>
                <w:sz w:val="20"/>
                <w:szCs w:val="20"/>
              </w:rPr>
              <w:t>Tipo de evaluación</w:t>
            </w:r>
          </w:p>
        </w:tc>
        <w:tc>
          <w:tcPr>
            <w:tcW w:w="3969" w:type="dxa"/>
            <w:shd w:val="clear" w:color="auto" w:fill="9CC2E5"/>
            <w:vAlign w:val="center"/>
          </w:tcPr>
          <w:p w14:paraId="6701810C" w14:textId="77777777" w:rsidR="00EB1844" w:rsidRPr="005D3F1B" w:rsidRDefault="00EB1844" w:rsidP="00CA683C">
            <w:pPr>
              <w:spacing w:before="0" w:after="0"/>
              <w:jc w:val="center"/>
              <w:rPr>
                <w:rFonts w:cstheme="minorHAnsi"/>
                <w:b/>
                <w:bCs/>
                <w:sz w:val="20"/>
                <w:szCs w:val="20"/>
              </w:rPr>
            </w:pPr>
            <w:r w:rsidRPr="005D3F1B">
              <w:rPr>
                <w:rFonts w:cstheme="minorHAnsi"/>
                <w:b/>
                <w:bCs/>
                <w:sz w:val="20"/>
                <w:szCs w:val="20"/>
              </w:rPr>
              <w:t>Objetivo</w:t>
            </w:r>
          </w:p>
        </w:tc>
        <w:tc>
          <w:tcPr>
            <w:tcW w:w="1276" w:type="dxa"/>
            <w:shd w:val="clear" w:color="auto" w:fill="9CC2E5"/>
            <w:vAlign w:val="center"/>
          </w:tcPr>
          <w:p w14:paraId="3FC09ABA" w14:textId="77777777" w:rsidR="00EB1844" w:rsidRPr="005D3F1B" w:rsidRDefault="00EB1844" w:rsidP="00CA683C">
            <w:pPr>
              <w:spacing w:before="0" w:after="0"/>
              <w:jc w:val="center"/>
              <w:rPr>
                <w:rFonts w:cstheme="minorHAnsi"/>
                <w:b/>
                <w:bCs/>
                <w:sz w:val="20"/>
                <w:szCs w:val="20"/>
              </w:rPr>
            </w:pPr>
            <w:r w:rsidRPr="005D3F1B">
              <w:rPr>
                <w:rFonts w:cstheme="minorHAnsi"/>
                <w:b/>
                <w:bCs/>
                <w:sz w:val="20"/>
                <w:szCs w:val="20"/>
              </w:rPr>
              <w:t>Ámbito de aplicación</w:t>
            </w:r>
          </w:p>
        </w:tc>
        <w:tc>
          <w:tcPr>
            <w:tcW w:w="3021" w:type="dxa"/>
            <w:shd w:val="clear" w:color="auto" w:fill="9CC2E5"/>
            <w:vAlign w:val="center"/>
          </w:tcPr>
          <w:p w14:paraId="5AFCA497" w14:textId="77777777" w:rsidR="00EB1844" w:rsidRPr="005D3F1B" w:rsidRDefault="00EB1844" w:rsidP="00CA683C">
            <w:pPr>
              <w:spacing w:before="0" w:after="0"/>
              <w:jc w:val="center"/>
              <w:rPr>
                <w:rFonts w:cstheme="minorHAnsi"/>
                <w:b/>
                <w:bCs/>
                <w:sz w:val="20"/>
                <w:szCs w:val="20"/>
              </w:rPr>
            </w:pPr>
            <w:r w:rsidRPr="005D3F1B">
              <w:rPr>
                <w:rFonts w:cstheme="minorHAnsi"/>
                <w:b/>
                <w:bCs/>
                <w:sz w:val="20"/>
                <w:szCs w:val="20"/>
              </w:rPr>
              <w:t>Resultados</w:t>
            </w:r>
          </w:p>
        </w:tc>
      </w:tr>
      <w:tr w:rsidR="00EB1844" w:rsidRPr="005D3F1B" w14:paraId="52F1C771" w14:textId="77777777" w:rsidTr="005D3F1B">
        <w:tc>
          <w:tcPr>
            <w:tcW w:w="1696" w:type="dxa"/>
            <w:vAlign w:val="center"/>
          </w:tcPr>
          <w:p w14:paraId="0E130345" w14:textId="77777777" w:rsidR="00EB1844" w:rsidRPr="005D3F1B" w:rsidRDefault="00EB1844" w:rsidP="005420A0">
            <w:pPr>
              <w:spacing w:before="0" w:after="0"/>
              <w:rPr>
                <w:rFonts w:cstheme="minorHAnsi"/>
                <w:sz w:val="20"/>
                <w:szCs w:val="20"/>
              </w:rPr>
            </w:pPr>
            <w:r w:rsidRPr="005D3F1B">
              <w:rPr>
                <w:rFonts w:cstheme="minorHAnsi"/>
                <w:sz w:val="20"/>
                <w:szCs w:val="20"/>
              </w:rPr>
              <w:t>Evaluación de Diseño</w:t>
            </w:r>
          </w:p>
        </w:tc>
        <w:tc>
          <w:tcPr>
            <w:tcW w:w="3969" w:type="dxa"/>
            <w:vAlign w:val="center"/>
          </w:tcPr>
          <w:p w14:paraId="0A711A34" w14:textId="77777777" w:rsidR="00EB1844" w:rsidRPr="005D3F1B" w:rsidRDefault="00EB1844" w:rsidP="00CA683C">
            <w:pPr>
              <w:pStyle w:val="ms-rteelement-parrafo"/>
              <w:shd w:val="clear" w:color="auto" w:fill="FFFFFF"/>
              <w:spacing w:before="0" w:beforeAutospacing="0" w:after="0" w:afterAutospacing="0"/>
              <w:jc w:val="both"/>
              <w:rPr>
                <w:rFonts w:asciiTheme="minorHAnsi" w:hAnsiTheme="minorHAnsi" w:cstheme="minorHAnsi"/>
                <w:sz w:val="20"/>
                <w:szCs w:val="20"/>
              </w:rPr>
            </w:pPr>
            <w:r w:rsidRPr="005D3F1B">
              <w:rPr>
                <w:rFonts w:asciiTheme="minorHAnsi" w:hAnsiTheme="minorHAnsi" w:cstheme="minorHAnsi"/>
                <w:sz w:val="20"/>
                <w:szCs w:val="20"/>
              </w:rPr>
              <w:t>Identificar plenamente las fuentes de financiamiento y que se valore la pertinencia de los indicadores de su MIR, así como la vinculación de estos indicadores con los objetivos establecidos para el FAFEF en la LCF y en la MIR federal del Fondo</w:t>
            </w:r>
          </w:p>
        </w:tc>
        <w:tc>
          <w:tcPr>
            <w:tcW w:w="1276" w:type="dxa"/>
            <w:vAlign w:val="center"/>
          </w:tcPr>
          <w:p w14:paraId="3006EFD8" w14:textId="77777777" w:rsidR="00EB1844" w:rsidRPr="005D3F1B" w:rsidRDefault="00EB1844" w:rsidP="005420A0">
            <w:pPr>
              <w:tabs>
                <w:tab w:val="center" w:pos="1137"/>
              </w:tabs>
              <w:spacing w:before="0" w:after="0"/>
              <w:rPr>
                <w:rFonts w:cstheme="minorHAnsi"/>
                <w:sz w:val="20"/>
                <w:szCs w:val="20"/>
              </w:rPr>
            </w:pPr>
            <w:r w:rsidRPr="005D3F1B">
              <w:rPr>
                <w:rFonts w:cstheme="minorHAnsi"/>
                <w:sz w:val="20"/>
                <w:szCs w:val="20"/>
              </w:rPr>
              <w:t xml:space="preserve">FAFEF y </w:t>
            </w:r>
            <w:r w:rsidRPr="005D3F1B">
              <w:rPr>
                <w:rFonts w:cstheme="minorHAnsi"/>
                <w:color w:val="000000"/>
                <w:sz w:val="20"/>
                <w:szCs w:val="20"/>
                <w:shd w:val="clear" w:color="auto" w:fill="FFFFFF"/>
              </w:rPr>
              <w:t>Pp financiados con recursos del Fondo</w:t>
            </w:r>
          </w:p>
        </w:tc>
        <w:tc>
          <w:tcPr>
            <w:tcW w:w="3021" w:type="dxa"/>
            <w:vAlign w:val="center"/>
          </w:tcPr>
          <w:p w14:paraId="152BF8BA" w14:textId="77777777" w:rsidR="00EB1844" w:rsidRPr="005D3F1B" w:rsidRDefault="00EB1844" w:rsidP="00CA683C">
            <w:pPr>
              <w:spacing w:before="0" w:after="0"/>
              <w:rPr>
                <w:rFonts w:cstheme="minorHAnsi"/>
                <w:sz w:val="20"/>
                <w:szCs w:val="20"/>
              </w:rPr>
            </w:pPr>
            <w:r w:rsidRPr="005D3F1B">
              <w:rPr>
                <w:rFonts w:cstheme="minorHAnsi"/>
                <w:sz w:val="20"/>
                <w:szCs w:val="20"/>
              </w:rPr>
              <w:t xml:space="preserve">La implementación de mejoras en el diseño de la gestión y operación del Fondo y de </w:t>
            </w:r>
            <w:r w:rsidRPr="005D3F1B">
              <w:rPr>
                <w:rFonts w:cstheme="minorHAnsi"/>
                <w:color w:val="000000"/>
                <w:sz w:val="20"/>
                <w:szCs w:val="20"/>
                <w:shd w:val="clear" w:color="auto" w:fill="FFFFFF"/>
              </w:rPr>
              <w:t>los Pp que contribuyan a potenciar los resultados del FAFEF de manera integral.</w:t>
            </w:r>
          </w:p>
        </w:tc>
      </w:tr>
      <w:tr w:rsidR="00EB1844" w:rsidRPr="005D3F1B" w14:paraId="1E440C87" w14:textId="77777777" w:rsidTr="005D3F1B">
        <w:tc>
          <w:tcPr>
            <w:tcW w:w="1696" w:type="dxa"/>
            <w:vAlign w:val="center"/>
          </w:tcPr>
          <w:p w14:paraId="207D2C05" w14:textId="77777777" w:rsidR="00EB1844" w:rsidRPr="005D3F1B" w:rsidRDefault="00EB1844" w:rsidP="005420A0">
            <w:pPr>
              <w:spacing w:before="0" w:after="0"/>
              <w:rPr>
                <w:rFonts w:cstheme="minorHAnsi"/>
                <w:sz w:val="20"/>
                <w:szCs w:val="20"/>
              </w:rPr>
            </w:pPr>
            <w:r w:rsidRPr="005D3F1B">
              <w:rPr>
                <w:rFonts w:cstheme="minorHAnsi"/>
                <w:sz w:val="20"/>
                <w:szCs w:val="20"/>
              </w:rPr>
              <w:t>Evaluación de procesos</w:t>
            </w:r>
          </w:p>
        </w:tc>
        <w:tc>
          <w:tcPr>
            <w:tcW w:w="3969" w:type="dxa"/>
            <w:vAlign w:val="center"/>
          </w:tcPr>
          <w:p w14:paraId="7D0E79DB" w14:textId="77777777" w:rsidR="00EB1844" w:rsidRPr="005D3F1B" w:rsidRDefault="00EB1844" w:rsidP="00CA683C">
            <w:pPr>
              <w:pStyle w:val="ms-rteelement-parrafo"/>
              <w:shd w:val="clear" w:color="auto" w:fill="FFFFFF"/>
              <w:spacing w:before="0" w:beforeAutospacing="0" w:after="0" w:afterAutospacing="0"/>
              <w:jc w:val="both"/>
              <w:rPr>
                <w:rFonts w:asciiTheme="minorHAnsi" w:eastAsia="Calibri" w:hAnsiTheme="minorHAnsi" w:cstheme="minorHAnsi"/>
                <w:sz w:val="20"/>
                <w:szCs w:val="20"/>
              </w:rPr>
            </w:pPr>
            <w:r w:rsidRPr="005D3F1B">
              <w:rPr>
                <w:rFonts w:asciiTheme="minorHAnsi" w:hAnsiTheme="minorHAnsi" w:cs="Arial"/>
                <w:color w:val="000000"/>
                <w:sz w:val="20"/>
                <w:szCs w:val="20"/>
                <w:shd w:val="clear" w:color="auto" w:fill="FFFFFF"/>
              </w:rPr>
              <w:t>Contribuir al análisis sistemático de la gestión operativa del FAFEF que permita valorar si dicha gestión cumple con lo necesario para el logro del su objetivo.</w:t>
            </w:r>
          </w:p>
        </w:tc>
        <w:tc>
          <w:tcPr>
            <w:tcW w:w="1276" w:type="dxa"/>
            <w:vAlign w:val="center"/>
          </w:tcPr>
          <w:p w14:paraId="2F65AFAF" w14:textId="77777777" w:rsidR="00EB1844" w:rsidRPr="005D3F1B" w:rsidRDefault="00EB1844" w:rsidP="005420A0">
            <w:pPr>
              <w:tabs>
                <w:tab w:val="center" w:pos="1137"/>
              </w:tabs>
              <w:spacing w:before="0" w:after="0"/>
              <w:rPr>
                <w:rFonts w:cstheme="minorHAnsi"/>
                <w:sz w:val="20"/>
                <w:szCs w:val="20"/>
              </w:rPr>
            </w:pPr>
            <w:r w:rsidRPr="005D3F1B">
              <w:rPr>
                <w:rFonts w:cs="Arial"/>
                <w:color w:val="000000"/>
                <w:sz w:val="20"/>
                <w:szCs w:val="20"/>
                <w:shd w:val="clear" w:color="auto" w:fill="FFFFFF"/>
              </w:rPr>
              <w:t>FAFEF</w:t>
            </w:r>
          </w:p>
        </w:tc>
        <w:tc>
          <w:tcPr>
            <w:tcW w:w="3021" w:type="dxa"/>
            <w:vAlign w:val="center"/>
          </w:tcPr>
          <w:p w14:paraId="6B11A06B" w14:textId="77777777" w:rsidR="00EB1844" w:rsidRPr="005D3F1B" w:rsidRDefault="00EB1844" w:rsidP="00CA683C">
            <w:pPr>
              <w:spacing w:before="0" w:after="0" w:line="259" w:lineRule="auto"/>
              <w:contextualSpacing/>
              <w:rPr>
                <w:rFonts w:cstheme="minorHAnsi"/>
                <w:sz w:val="20"/>
                <w:szCs w:val="20"/>
              </w:rPr>
            </w:pPr>
            <w:r w:rsidRPr="005D3F1B">
              <w:rPr>
                <w:rFonts w:cs="Arial"/>
                <w:color w:val="000000"/>
                <w:sz w:val="20"/>
                <w:szCs w:val="20"/>
                <w:shd w:val="clear" w:color="auto" w:fill="FFFFFF"/>
              </w:rPr>
              <w:t>La generación de información que sustente la instrumentación de mejoras en los procesos de gestión del Fondo y dar solidez a los procesos de asignación, presupuestación, ejercicio, control y seguimiento de los recursos del Fondo.</w:t>
            </w:r>
          </w:p>
        </w:tc>
      </w:tr>
      <w:tr w:rsidR="00EB1844" w:rsidRPr="005D3F1B" w14:paraId="5FA40610" w14:textId="77777777" w:rsidTr="005D3F1B">
        <w:tc>
          <w:tcPr>
            <w:tcW w:w="1696" w:type="dxa"/>
            <w:vAlign w:val="center"/>
          </w:tcPr>
          <w:p w14:paraId="33A16100" w14:textId="77777777" w:rsidR="00EB1844" w:rsidRPr="005D3F1B" w:rsidRDefault="00EB1844" w:rsidP="005420A0">
            <w:pPr>
              <w:spacing w:before="0" w:after="0"/>
              <w:rPr>
                <w:rFonts w:cstheme="minorHAnsi"/>
                <w:sz w:val="20"/>
                <w:szCs w:val="20"/>
              </w:rPr>
            </w:pPr>
            <w:r w:rsidRPr="005D3F1B">
              <w:rPr>
                <w:rFonts w:cstheme="minorHAnsi"/>
                <w:sz w:val="20"/>
                <w:szCs w:val="20"/>
              </w:rPr>
              <w:t>Evaluación específica de desempeño</w:t>
            </w:r>
          </w:p>
        </w:tc>
        <w:tc>
          <w:tcPr>
            <w:tcW w:w="3969" w:type="dxa"/>
            <w:vAlign w:val="center"/>
          </w:tcPr>
          <w:p w14:paraId="5112FB31" w14:textId="77777777" w:rsidR="00EB1844" w:rsidRPr="005D3F1B" w:rsidRDefault="00EB1844" w:rsidP="00CA683C">
            <w:pPr>
              <w:pStyle w:val="ms-rteelement-parrafo"/>
              <w:shd w:val="clear" w:color="auto" w:fill="FFFFFF"/>
              <w:spacing w:before="0" w:beforeAutospacing="0" w:after="0" w:afterAutospacing="0"/>
              <w:jc w:val="both"/>
              <w:rPr>
                <w:rFonts w:asciiTheme="minorHAnsi" w:hAnsiTheme="minorHAnsi" w:cstheme="minorHAnsi"/>
                <w:color w:val="000000"/>
                <w:sz w:val="20"/>
                <w:szCs w:val="20"/>
                <w:shd w:val="clear" w:color="auto" w:fill="FFFFFF"/>
              </w:rPr>
            </w:pPr>
            <w:r w:rsidRPr="005D3F1B">
              <w:rPr>
                <w:rFonts w:asciiTheme="minorHAnsi" w:eastAsia="Calibri" w:hAnsiTheme="minorHAnsi" w:cstheme="minorHAnsi"/>
                <w:sz w:val="20"/>
                <w:szCs w:val="20"/>
              </w:rPr>
              <w:t>Contar con una valoración del desempeño y de los resultados del FAFEF en la entidad federativa, con base en la información generada en los procesos de ejecución de los recursos del Fondo</w:t>
            </w:r>
          </w:p>
        </w:tc>
        <w:tc>
          <w:tcPr>
            <w:tcW w:w="1276" w:type="dxa"/>
            <w:vAlign w:val="center"/>
          </w:tcPr>
          <w:p w14:paraId="603B577F" w14:textId="77777777" w:rsidR="00EB1844" w:rsidRPr="005D3F1B" w:rsidRDefault="00EB1844" w:rsidP="005420A0">
            <w:pPr>
              <w:tabs>
                <w:tab w:val="center" w:pos="1137"/>
              </w:tabs>
              <w:spacing w:before="0" w:after="0"/>
              <w:rPr>
                <w:rFonts w:cstheme="minorHAnsi"/>
                <w:color w:val="000000"/>
                <w:sz w:val="20"/>
                <w:szCs w:val="20"/>
                <w:shd w:val="clear" w:color="auto" w:fill="FFFFFF"/>
              </w:rPr>
            </w:pPr>
            <w:r w:rsidRPr="005D3F1B">
              <w:rPr>
                <w:rFonts w:cstheme="minorHAnsi"/>
                <w:sz w:val="20"/>
                <w:szCs w:val="20"/>
              </w:rPr>
              <w:t xml:space="preserve">FAFEF y </w:t>
            </w:r>
            <w:r w:rsidRPr="005D3F1B">
              <w:rPr>
                <w:rFonts w:cstheme="minorHAnsi"/>
                <w:color w:val="000000"/>
                <w:sz w:val="20"/>
                <w:szCs w:val="20"/>
                <w:shd w:val="clear" w:color="auto" w:fill="FFFFFF"/>
              </w:rPr>
              <w:t xml:space="preserve">Pp </w:t>
            </w:r>
            <w:r w:rsidRPr="005D3F1B">
              <w:rPr>
                <w:rFonts w:cstheme="minorHAnsi"/>
                <w:sz w:val="20"/>
                <w:szCs w:val="20"/>
              </w:rPr>
              <w:t>financiados</w:t>
            </w:r>
            <w:r w:rsidRPr="005D3F1B">
              <w:rPr>
                <w:rFonts w:cstheme="minorHAnsi"/>
                <w:color w:val="000000"/>
                <w:sz w:val="20"/>
                <w:szCs w:val="20"/>
                <w:shd w:val="clear" w:color="auto" w:fill="FFFFFF"/>
              </w:rPr>
              <w:t xml:space="preserve"> con recursos del Fondo</w:t>
            </w:r>
          </w:p>
        </w:tc>
        <w:tc>
          <w:tcPr>
            <w:tcW w:w="3021" w:type="dxa"/>
            <w:vAlign w:val="center"/>
          </w:tcPr>
          <w:p w14:paraId="5F989507" w14:textId="77777777" w:rsidR="00EB1844" w:rsidRPr="005D3F1B" w:rsidRDefault="00EB1844" w:rsidP="00CA683C">
            <w:pPr>
              <w:spacing w:before="0" w:after="0" w:line="259" w:lineRule="auto"/>
              <w:contextualSpacing/>
              <w:rPr>
                <w:rFonts w:cstheme="minorHAnsi"/>
                <w:sz w:val="20"/>
                <w:szCs w:val="20"/>
              </w:rPr>
            </w:pPr>
            <w:r w:rsidRPr="005D3F1B">
              <w:rPr>
                <w:rFonts w:cstheme="minorHAnsi"/>
                <w:sz w:val="20"/>
                <w:szCs w:val="20"/>
              </w:rPr>
              <w:t xml:space="preserve">La evaluación específica de desempeño arrojará claridad sobre cómo se generan los resultados en la entidad federativa y cómo se logra beneficiar a la población objetivo, entre otros aspectos de utilidad. </w:t>
            </w:r>
          </w:p>
          <w:p w14:paraId="7B9A0AFA" w14:textId="77777777" w:rsidR="00EB1844" w:rsidRPr="005D3F1B" w:rsidRDefault="00EB1844" w:rsidP="00CA683C">
            <w:pPr>
              <w:pStyle w:val="ms-rteelement-parrafo"/>
              <w:shd w:val="clear" w:color="auto" w:fill="FFFFFF"/>
              <w:spacing w:before="0" w:beforeAutospacing="0" w:after="0" w:afterAutospacing="0"/>
              <w:jc w:val="center"/>
              <w:rPr>
                <w:rFonts w:asciiTheme="minorHAnsi" w:hAnsiTheme="minorHAnsi" w:cstheme="minorHAnsi"/>
                <w:color w:val="000000"/>
                <w:sz w:val="20"/>
                <w:szCs w:val="20"/>
                <w:shd w:val="clear" w:color="auto" w:fill="FFFFFF"/>
              </w:rPr>
            </w:pPr>
          </w:p>
        </w:tc>
      </w:tr>
    </w:tbl>
    <w:p w14:paraId="32898DB9" w14:textId="77777777" w:rsidR="00EB1844" w:rsidRDefault="00EB1844" w:rsidP="00EB1844">
      <w:pPr>
        <w:spacing w:before="0" w:after="160" w:line="259" w:lineRule="auto"/>
      </w:pPr>
    </w:p>
    <w:p w14:paraId="620EB9FD" w14:textId="77777777" w:rsidR="00EB1844" w:rsidRPr="00EE04F7" w:rsidRDefault="00EB1844" w:rsidP="00EB1844">
      <w:pPr>
        <w:spacing w:before="0" w:after="160" w:line="259" w:lineRule="auto"/>
      </w:pPr>
      <w:r w:rsidRPr="00EE04F7">
        <w:br w:type="page"/>
      </w:r>
    </w:p>
    <w:p w14:paraId="6A01F932" w14:textId="77777777" w:rsidR="00EB1844" w:rsidRPr="00D105A8" w:rsidRDefault="00EB1844" w:rsidP="00EB1844">
      <w:pPr>
        <w:spacing w:before="0" w:after="0"/>
        <w:contextualSpacing/>
        <w:rPr>
          <w:rFonts w:cstheme="minorHAnsi"/>
          <w:b/>
        </w:rPr>
      </w:pPr>
      <w:r>
        <w:rPr>
          <w:rFonts w:cstheme="minorHAnsi"/>
          <w:b/>
        </w:rPr>
        <w:lastRenderedPageBreak/>
        <w:t xml:space="preserve">30. </w:t>
      </w:r>
      <w:r w:rsidRPr="00D105A8">
        <w:rPr>
          <w:rFonts w:cstheme="minorHAnsi"/>
          <w:b/>
        </w:rPr>
        <w:t>En caso de que la entidad federativa cuente con evaluaciones externas del FAFEF que permitan identificar hallazgos relacionados con el Fin y/o Propósito de su MIR, ¿cuáles son los resultados de las evaluaciones?</w:t>
      </w:r>
    </w:p>
    <w:p w14:paraId="68C1EEA5" w14:textId="77777777" w:rsidR="00EB1844" w:rsidRPr="002D74AD" w:rsidRDefault="00EB1844" w:rsidP="00EB1844">
      <w:pPr>
        <w:rPr>
          <w:b/>
          <w:bCs/>
        </w:rPr>
      </w:pPr>
      <w:r w:rsidRPr="002D74AD">
        <w:rPr>
          <w:b/>
          <w:bCs/>
        </w:rPr>
        <w:t>No procede valoración cuantitativa.</w:t>
      </w:r>
    </w:p>
    <w:p w14:paraId="72ED16F7" w14:textId="769C6A85" w:rsidR="00EB1844" w:rsidRDefault="00EB1844" w:rsidP="00EB1844">
      <w:pPr>
        <w:rPr>
          <w:color w:val="211D1E"/>
        </w:rPr>
      </w:pPr>
      <w:r w:rsidRPr="004A78F4">
        <w:t xml:space="preserve">A partir de la creación de la Unidad Técnica de Evaluación del Desempeño (UTED) en </w:t>
      </w:r>
      <w:r>
        <w:t>el Estado de Hidalgo</w:t>
      </w:r>
      <w:r w:rsidRPr="004A78F4">
        <w:t xml:space="preserve">, se han coordinado tres evaluaciones </w:t>
      </w:r>
      <w:r w:rsidRPr="004A78F4">
        <w:rPr>
          <w:color w:val="211D1E"/>
        </w:rPr>
        <w:t>Específica de Desempeño</w:t>
      </w:r>
      <w:r w:rsidRPr="004A78F4">
        <w:t xml:space="preserve"> al FAFEF, realizadas por instancias externas, </w:t>
      </w:r>
      <w:r w:rsidRPr="004A78F4">
        <w:rPr>
          <w:color w:val="211D1E"/>
        </w:rPr>
        <w:t xml:space="preserve">para los ejercicios fiscales 2014, 2015 y 2018. </w:t>
      </w:r>
    </w:p>
    <w:p w14:paraId="69AF5F6F" w14:textId="2092F4C8" w:rsidR="00441E9C" w:rsidRPr="004A78F4" w:rsidRDefault="00441E9C" w:rsidP="00441E9C">
      <w:pPr>
        <w:pStyle w:val="Cuadro"/>
      </w:pPr>
      <w:bookmarkStart w:id="86" w:name="_Toc56741064"/>
      <w:r>
        <w:t>Cuadro 1</w:t>
      </w:r>
      <w:r w:rsidR="00A82DA8">
        <w:t>1</w:t>
      </w:r>
      <w:r>
        <w:t>. Principales resultados de evaluaciones externas realizadas al FAFEF en Hidalgo</w:t>
      </w:r>
      <w:bookmarkEnd w:id="8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3827"/>
        <w:gridCol w:w="2410"/>
        <w:gridCol w:w="3021"/>
      </w:tblGrid>
      <w:tr w:rsidR="00EB1844" w:rsidRPr="00946B6B" w14:paraId="10D3832E" w14:textId="77777777" w:rsidTr="00FD2247">
        <w:trPr>
          <w:tblHeader/>
        </w:trPr>
        <w:tc>
          <w:tcPr>
            <w:tcW w:w="704" w:type="dxa"/>
            <w:shd w:val="clear" w:color="auto" w:fill="9CC2E5"/>
            <w:vAlign w:val="center"/>
          </w:tcPr>
          <w:p w14:paraId="0C96F892" w14:textId="77777777" w:rsidR="00EB1844" w:rsidRPr="00946B6B" w:rsidRDefault="00EB1844" w:rsidP="00FD2247">
            <w:pPr>
              <w:spacing w:before="0" w:after="0"/>
              <w:jc w:val="center"/>
              <w:rPr>
                <w:rFonts w:ascii="Calibri" w:hAnsi="Calibri" w:cs="Calibri"/>
                <w:b/>
                <w:bCs/>
                <w:sz w:val="20"/>
                <w:szCs w:val="20"/>
              </w:rPr>
            </w:pPr>
            <w:r w:rsidRPr="00946B6B">
              <w:rPr>
                <w:rFonts w:ascii="Calibri" w:hAnsi="Calibri" w:cs="Calibri"/>
                <w:b/>
                <w:bCs/>
                <w:sz w:val="20"/>
                <w:szCs w:val="20"/>
              </w:rPr>
              <w:t>Año</w:t>
            </w:r>
          </w:p>
        </w:tc>
        <w:tc>
          <w:tcPr>
            <w:tcW w:w="3827" w:type="dxa"/>
            <w:shd w:val="clear" w:color="auto" w:fill="9CC2E5"/>
            <w:vAlign w:val="center"/>
          </w:tcPr>
          <w:p w14:paraId="16CAAFD1" w14:textId="77777777" w:rsidR="00EB1844" w:rsidRPr="00946B6B" w:rsidRDefault="00EB1844" w:rsidP="00FD2247">
            <w:pPr>
              <w:spacing w:before="0" w:after="0"/>
              <w:jc w:val="center"/>
              <w:rPr>
                <w:rFonts w:ascii="Calibri" w:hAnsi="Calibri" w:cs="Calibri"/>
                <w:b/>
                <w:bCs/>
                <w:sz w:val="20"/>
                <w:szCs w:val="20"/>
              </w:rPr>
            </w:pPr>
            <w:r w:rsidRPr="00946B6B">
              <w:rPr>
                <w:rFonts w:ascii="Calibri" w:hAnsi="Calibri" w:cs="Calibri"/>
                <w:b/>
                <w:bCs/>
                <w:sz w:val="20"/>
                <w:szCs w:val="20"/>
              </w:rPr>
              <w:t>Hallazgo o área de oportunidad</w:t>
            </w:r>
          </w:p>
        </w:tc>
        <w:tc>
          <w:tcPr>
            <w:tcW w:w="2410" w:type="dxa"/>
            <w:shd w:val="clear" w:color="auto" w:fill="9CC2E5"/>
            <w:vAlign w:val="center"/>
          </w:tcPr>
          <w:p w14:paraId="78C78FEE" w14:textId="77777777" w:rsidR="00EB1844" w:rsidRPr="00946B6B" w:rsidRDefault="00EB1844" w:rsidP="00FD2247">
            <w:pPr>
              <w:spacing w:before="0" w:after="0"/>
              <w:jc w:val="center"/>
              <w:rPr>
                <w:rFonts w:ascii="Calibri" w:hAnsi="Calibri" w:cs="Calibri"/>
                <w:b/>
                <w:bCs/>
                <w:sz w:val="20"/>
                <w:szCs w:val="20"/>
              </w:rPr>
            </w:pPr>
            <w:r w:rsidRPr="00946B6B">
              <w:rPr>
                <w:rFonts w:ascii="Calibri" w:hAnsi="Calibri" w:cs="Calibri"/>
                <w:b/>
                <w:bCs/>
                <w:sz w:val="20"/>
                <w:szCs w:val="20"/>
              </w:rPr>
              <w:t>Estatus y seguimiento de atención al 2018</w:t>
            </w:r>
          </w:p>
        </w:tc>
        <w:tc>
          <w:tcPr>
            <w:tcW w:w="3021" w:type="dxa"/>
            <w:shd w:val="clear" w:color="auto" w:fill="9CC2E5"/>
            <w:vAlign w:val="center"/>
          </w:tcPr>
          <w:p w14:paraId="1AE9A7B5" w14:textId="77777777" w:rsidR="00EB1844" w:rsidRPr="00946B6B" w:rsidRDefault="00EB1844" w:rsidP="00FD2247">
            <w:pPr>
              <w:spacing w:before="0" w:after="0"/>
              <w:jc w:val="center"/>
              <w:rPr>
                <w:rFonts w:ascii="Calibri" w:hAnsi="Calibri" w:cs="Calibri"/>
                <w:b/>
                <w:bCs/>
                <w:sz w:val="20"/>
                <w:szCs w:val="20"/>
              </w:rPr>
            </w:pPr>
            <w:r w:rsidRPr="00946B6B">
              <w:rPr>
                <w:rFonts w:ascii="Calibri" w:hAnsi="Calibri" w:cs="Calibri"/>
                <w:b/>
                <w:bCs/>
                <w:sz w:val="20"/>
                <w:szCs w:val="20"/>
              </w:rPr>
              <w:t>Efecto</w:t>
            </w:r>
          </w:p>
        </w:tc>
      </w:tr>
      <w:tr w:rsidR="00EB1844" w:rsidRPr="00946B6B" w14:paraId="33582531" w14:textId="77777777" w:rsidTr="00FD2247">
        <w:tc>
          <w:tcPr>
            <w:tcW w:w="704" w:type="dxa"/>
            <w:vMerge w:val="restart"/>
            <w:vAlign w:val="center"/>
          </w:tcPr>
          <w:p w14:paraId="1D5C2693" w14:textId="77777777" w:rsidR="00EB1844" w:rsidRPr="00946B6B" w:rsidRDefault="00EB1844" w:rsidP="001432A5">
            <w:pPr>
              <w:spacing w:before="0" w:after="0"/>
              <w:jc w:val="center"/>
              <w:rPr>
                <w:rFonts w:ascii="Calibri" w:hAnsi="Calibri" w:cs="Calibri"/>
                <w:sz w:val="20"/>
                <w:szCs w:val="20"/>
              </w:rPr>
            </w:pPr>
            <w:r w:rsidRPr="00946B6B">
              <w:rPr>
                <w:rFonts w:ascii="Calibri" w:hAnsi="Calibri" w:cs="Calibri"/>
                <w:sz w:val="20"/>
                <w:szCs w:val="20"/>
              </w:rPr>
              <w:t>2014</w:t>
            </w:r>
          </w:p>
        </w:tc>
        <w:tc>
          <w:tcPr>
            <w:tcW w:w="3827" w:type="dxa"/>
            <w:vAlign w:val="center"/>
          </w:tcPr>
          <w:p w14:paraId="734084FB" w14:textId="77777777" w:rsidR="00EB1844" w:rsidRPr="00946B6B" w:rsidRDefault="00EB1844" w:rsidP="00FD2247">
            <w:pPr>
              <w:spacing w:before="0" w:after="0"/>
              <w:rPr>
                <w:rFonts w:ascii="Calibri" w:hAnsi="Calibri" w:cs="Calibri"/>
                <w:sz w:val="20"/>
                <w:szCs w:val="20"/>
              </w:rPr>
            </w:pPr>
            <w:r w:rsidRPr="00946B6B">
              <w:rPr>
                <w:rFonts w:ascii="Calibri" w:hAnsi="Calibri" w:cs="Calibri"/>
                <w:sz w:val="20"/>
                <w:szCs w:val="20"/>
              </w:rPr>
              <w:t>Derivado del análisis de la población potencial y objetivo, se recomienda que la SEPLADERYM, quien es la dependencia que se encarga de la planeación del Estado, coordine a los ejecutores del Fondo en la entidad federativa e integre un documento metodológico en el cual defina y cuantifique a la población potencial y objetivo a nivel local. D</w:t>
            </w:r>
            <w:r w:rsidRPr="00946B6B">
              <w:rPr>
                <w:rFonts w:ascii="Calibri" w:hAnsi="Calibri" w:cs="Calibri"/>
                <w:color w:val="000000"/>
                <w:sz w:val="20"/>
                <w:szCs w:val="20"/>
              </w:rPr>
              <w:t xml:space="preserve">e ese modo se podrá determinar una estrategia de cobertura, y monitorear de forma adecuada los alcances y objetivos del fondo. </w:t>
            </w:r>
          </w:p>
        </w:tc>
        <w:tc>
          <w:tcPr>
            <w:tcW w:w="2410" w:type="dxa"/>
            <w:vAlign w:val="center"/>
          </w:tcPr>
          <w:p w14:paraId="0D3A7823" w14:textId="290F9D19" w:rsidR="00EB1844" w:rsidRPr="00946B6B" w:rsidRDefault="00EB1844" w:rsidP="00FD2247">
            <w:pPr>
              <w:spacing w:before="0" w:after="0"/>
              <w:rPr>
                <w:rFonts w:ascii="Calibri" w:hAnsi="Calibri" w:cs="Calibri"/>
                <w:sz w:val="20"/>
                <w:szCs w:val="20"/>
              </w:rPr>
            </w:pPr>
            <w:r w:rsidRPr="00946B6B">
              <w:rPr>
                <w:rFonts w:ascii="Calibri" w:hAnsi="Calibri" w:cs="Calibri"/>
                <w:sz w:val="20"/>
                <w:szCs w:val="20"/>
              </w:rPr>
              <w:t xml:space="preserve">Al 31 de marzo de 2017, se integró un documento relacionado con la integración de las poblaciones </w:t>
            </w:r>
            <w:r w:rsidR="00F62B09" w:rsidRPr="00946B6B">
              <w:rPr>
                <w:rFonts w:ascii="Calibri" w:hAnsi="Calibri" w:cs="Calibri"/>
                <w:sz w:val="20"/>
                <w:szCs w:val="20"/>
              </w:rPr>
              <w:t>p</w:t>
            </w:r>
            <w:r w:rsidRPr="00946B6B">
              <w:rPr>
                <w:rFonts w:ascii="Calibri" w:hAnsi="Calibri" w:cs="Calibri"/>
                <w:sz w:val="20"/>
                <w:szCs w:val="20"/>
              </w:rPr>
              <w:t xml:space="preserve">otencial, </w:t>
            </w:r>
            <w:r w:rsidR="00F62B09" w:rsidRPr="00946B6B">
              <w:rPr>
                <w:rFonts w:ascii="Calibri" w:hAnsi="Calibri" w:cs="Calibri"/>
                <w:sz w:val="20"/>
                <w:szCs w:val="20"/>
              </w:rPr>
              <w:t>o</w:t>
            </w:r>
            <w:r w:rsidRPr="00946B6B">
              <w:rPr>
                <w:rFonts w:ascii="Calibri" w:hAnsi="Calibri" w:cs="Calibri"/>
                <w:sz w:val="20"/>
                <w:szCs w:val="20"/>
              </w:rPr>
              <w:t xml:space="preserve">bjetivo y </w:t>
            </w:r>
            <w:r w:rsidR="00F62B09" w:rsidRPr="00946B6B">
              <w:rPr>
                <w:rFonts w:ascii="Calibri" w:hAnsi="Calibri" w:cs="Calibri"/>
                <w:sz w:val="20"/>
                <w:szCs w:val="20"/>
              </w:rPr>
              <w:t>a</w:t>
            </w:r>
            <w:r w:rsidRPr="00946B6B">
              <w:rPr>
                <w:rFonts w:ascii="Calibri" w:hAnsi="Calibri" w:cs="Calibri"/>
                <w:sz w:val="20"/>
                <w:szCs w:val="20"/>
              </w:rPr>
              <w:t>tendida</w:t>
            </w:r>
            <w:r w:rsidR="00F62B09" w:rsidRPr="00946B6B">
              <w:rPr>
                <w:rFonts w:ascii="Calibri" w:hAnsi="Calibri" w:cs="Calibri"/>
                <w:sz w:val="20"/>
                <w:szCs w:val="20"/>
              </w:rPr>
              <w:t>,</w:t>
            </w:r>
            <w:r w:rsidRPr="00946B6B">
              <w:rPr>
                <w:rFonts w:ascii="Calibri" w:hAnsi="Calibri" w:cs="Calibri"/>
                <w:sz w:val="20"/>
                <w:szCs w:val="20"/>
              </w:rPr>
              <w:t xml:space="preserve"> con los recursos del Fondo</w:t>
            </w:r>
          </w:p>
        </w:tc>
        <w:tc>
          <w:tcPr>
            <w:tcW w:w="3021" w:type="dxa"/>
            <w:vAlign w:val="center"/>
          </w:tcPr>
          <w:p w14:paraId="171FA05F" w14:textId="3CBA709D" w:rsidR="00EB1844" w:rsidRPr="00946B6B" w:rsidRDefault="00EB1844" w:rsidP="00FD2247">
            <w:pPr>
              <w:spacing w:before="0" w:after="0"/>
              <w:rPr>
                <w:rFonts w:ascii="Calibri" w:hAnsi="Calibri" w:cs="Calibri"/>
                <w:sz w:val="20"/>
                <w:szCs w:val="20"/>
              </w:rPr>
            </w:pPr>
            <w:r w:rsidRPr="00946B6B">
              <w:rPr>
                <w:rFonts w:ascii="Calibri" w:hAnsi="Calibri" w:cs="Calibri"/>
                <w:sz w:val="20"/>
                <w:szCs w:val="20"/>
              </w:rPr>
              <w:t>S</w:t>
            </w:r>
            <w:r w:rsidR="00554018" w:rsidRPr="00946B6B">
              <w:rPr>
                <w:rFonts w:ascii="Calibri" w:hAnsi="Calibri" w:cs="Calibri"/>
                <w:sz w:val="20"/>
                <w:szCs w:val="20"/>
              </w:rPr>
              <w:t>e</w:t>
            </w:r>
            <w:r w:rsidRPr="00946B6B">
              <w:rPr>
                <w:rFonts w:ascii="Calibri" w:hAnsi="Calibri" w:cs="Calibri"/>
                <w:sz w:val="20"/>
                <w:szCs w:val="20"/>
              </w:rPr>
              <w:t xml:space="preserve"> define a las </w:t>
            </w:r>
            <w:r w:rsidR="00F62B09" w:rsidRPr="00946B6B">
              <w:rPr>
                <w:rFonts w:ascii="Calibri" w:hAnsi="Calibri" w:cs="Calibri"/>
                <w:sz w:val="20"/>
                <w:szCs w:val="20"/>
              </w:rPr>
              <w:t>poblaciones</w:t>
            </w:r>
            <w:r w:rsidRPr="00946B6B">
              <w:rPr>
                <w:rFonts w:ascii="Calibri" w:hAnsi="Calibri" w:cs="Calibri"/>
                <w:sz w:val="20"/>
                <w:szCs w:val="20"/>
              </w:rPr>
              <w:t>,</w:t>
            </w:r>
            <w:r w:rsidR="00F62B09" w:rsidRPr="00946B6B">
              <w:rPr>
                <w:rFonts w:ascii="Calibri" w:hAnsi="Calibri" w:cs="Calibri"/>
                <w:sz w:val="20"/>
                <w:szCs w:val="20"/>
              </w:rPr>
              <w:t xml:space="preserve"> objetivo</w:t>
            </w:r>
            <w:r w:rsidRPr="00946B6B">
              <w:rPr>
                <w:rFonts w:ascii="Calibri" w:hAnsi="Calibri" w:cs="Calibri"/>
                <w:sz w:val="20"/>
                <w:szCs w:val="20"/>
              </w:rPr>
              <w:t xml:space="preserve"> y</w:t>
            </w:r>
            <w:r w:rsidR="00F62B09" w:rsidRPr="00946B6B">
              <w:rPr>
                <w:rFonts w:ascii="Calibri" w:hAnsi="Calibri" w:cs="Calibri"/>
                <w:sz w:val="20"/>
                <w:szCs w:val="20"/>
              </w:rPr>
              <w:t xml:space="preserve"> atendida</w:t>
            </w:r>
            <w:r w:rsidRPr="00946B6B">
              <w:rPr>
                <w:rFonts w:ascii="Calibri" w:hAnsi="Calibri" w:cs="Calibri"/>
                <w:sz w:val="20"/>
                <w:szCs w:val="20"/>
              </w:rPr>
              <w:t xml:space="preserve"> como el número de proyectos o programas apoyados con los recursos del Fondo.</w:t>
            </w:r>
          </w:p>
        </w:tc>
      </w:tr>
      <w:tr w:rsidR="00EB1844" w:rsidRPr="00946B6B" w14:paraId="35A5649F" w14:textId="77777777" w:rsidTr="00FD2247">
        <w:tc>
          <w:tcPr>
            <w:tcW w:w="704" w:type="dxa"/>
            <w:vMerge/>
            <w:vAlign w:val="center"/>
          </w:tcPr>
          <w:p w14:paraId="5797A9FB" w14:textId="77777777" w:rsidR="00EB1844" w:rsidRPr="00946B6B" w:rsidRDefault="00EB1844" w:rsidP="00FD2247">
            <w:pPr>
              <w:spacing w:before="0" w:after="0"/>
              <w:rPr>
                <w:rFonts w:ascii="Calibri" w:hAnsi="Calibri" w:cs="Calibri"/>
                <w:sz w:val="20"/>
                <w:szCs w:val="20"/>
              </w:rPr>
            </w:pPr>
          </w:p>
        </w:tc>
        <w:tc>
          <w:tcPr>
            <w:tcW w:w="3827" w:type="dxa"/>
            <w:vAlign w:val="center"/>
          </w:tcPr>
          <w:p w14:paraId="7060F293" w14:textId="77777777" w:rsidR="00EB1844" w:rsidRPr="00946B6B" w:rsidRDefault="00EB1844" w:rsidP="00FD2247">
            <w:pPr>
              <w:spacing w:before="0" w:after="0"/>
              <w:rPr>
                <w:rFonts w:ascii="Calibri" w:hAnsi="Calibri" w:cs="Calibri"/>
                <w:sz w:val="20"/>
                <w:szCs w:val="20"/>
              </w:rPr>
            </w:pPr>
            <w:r w:rsidRPr="00946B6B">
              <w:rPr>
                <w:rFonts w:ascii="Calibri" w:hAnsi="Calibri" w:cs="Calibri"/>
                <w:sz w:val="20"/>
                <w:szCs w:val="20"/>
              </w:rPr>
              <w:t>Aun cuando se cuente con indicadores sectoriales, no se identificaron la línea base y las metas definidas para el Ejercicio Fiscal 2014, en ese sentido, se recomienda que la entidad federativa considere un mecanismo de transparencia de dicha información, esto debido a que se realizó una investigación en los principales portales de internet y no se identificó dicha información.</w:t>
            </w:r>
          </w:p>
        </w:tc>
        <w:tc>
          <w:tcPr>
            <w:tcW w:w="2410" w:type="dxa"/>
            <w:vAlign w:val="center"/>
          </w:tcPr>
          <w:p w14:paraId="5246DCEC" w14:textId="3DE00AD7" w:rsidR="00EB1844" w:rsidRPr="00946B6B" w:rsidRDefault="00EB1844" w:rsidP="00FD2247">
            <w:pPr>
              <w:spacing w:before="0" w:after="0"/>
              <w:rPr>
                <w:rFonts w:ascii="Calibri" w:hAnsi="Calibri" w:cs="Calibri"/>
                <w:sz w:val="20"/>
                <w:szCs w:val="20"/>
              </w:rPr>
            </w:pPr>
            <w:r w:rsidRPr="00946B6B">
              <w:rPr>
                <w:rFonts w:ascii="Calibri" w:hAnsi="Calibri" w:cs="Calibri"/>
                <w:sz w:val="20"/>
                <w:szCs w:val="20"/>
              </w:rPr>
              <w:t xml:space="preserve">Sistema de monitoreo y seguimiento de avance de las metas de los </w:t>
            </w:r>
            <w:r w:rsidR="004503DA" w:rsidRPr="004503DA">
              <w:rPr>
                <w:rFonts w:ascii="Calibri" w:hAnsi="Calibri" w:cs="Calibri"/>
                <w:sz w:val="20"/>
                <w:szCs w:val="20"/>
              </w:rPr>
              <w:t>Pp</w:t>
            </w:r>
            <w:r w:rsidRPr="00946B6B">
              <w:rPr>
                <w:rFonts w:ascii="Calibri" w:hAnsi="Calibri" w:cs="Calibri"/>
                <w:sz w:val="20"/>
                <w:szCs w:val="20"/>
              </w:rPr>
              <w:t xml:space="preserve">. Reportes del PASH con metas integradas. Reporte Sistema Formato Único con captura de metas para el Ejercicio Fiscal 2016 con fecha de corte al 26 de abril de 2016 </w:t>
            </w:r>
          </w:p>
        </w:tc>
        <w:tc>
          <w:tcPr>
            <w:tcW w:w="3021" w:type="dxa"/>
            <w:vAlign w:val="center"/>
          </w:tcPr>
          <w:p w14:paraId="03963CC1" w14:textId="11AFE8C1" w:rsidR="00EB1844" w:rsidRPr="00946B6B" w:rsidRDefault="00EB1844" w:rsidP="00FD2247">
            <w:pPr>
              <w:spacing w:before="0" w:after="0"/>
              <w:rPr>
                <w:rFonts w:ascii="Calibri" w:hAnsi="Calibri" w:cs="Calibri"/>
                <w:sz w:val="20"/>
                <w:szCs w:val="20"/>
              </w:rPr>
            </w:pPr>
            <w:r w:rsidRPr="00946B6B">
              <w:rPr>
                <w:rFonts w:ascii="Calibri" w:hAnsi="Calibri" w:cs="Calibri"/>
                <w:sz w:val="20"/>
                <w:szCs w:val="20"/>
              </w:rPr>
              <w:t xml:space="preserve">Se inicia con la construcción del Sistema de monitoreo y seguimiento de avance de las metas de los </w:t>
            </w:r>
            <w:r w:rsidR="004503DA" w:rsidRPr="004503DA">
              <w:rPr>
                <w:rFonts w:ascii="Calibri" w:hAnsi="Calibri" w:cs="Calibri"/>
                <w:sz w:val="20"/>
                <w:szCs w:val="20"/>
              </w:rPr>
              <w:t>Pp</w:t>
            </w:r>
            <w:r w:rsidRPr="00946B6B">
              <w:rPr>
                <w:rFonts w:ascii="Calibri" w:hAnsi="Calibri" w:cs="Calibri"/>
                <w:sz w:val="20"/>
                <w:szCs w:val="20"/>
              </w:rPr>
              <w:t>, que antecede al SIIPPED.</w:t>
            </w:r>
          </w:p>
        </w:tc>
      </w:tr>
      <w:tr w:rsidR="00EB1844" w:rsidRPr="00946B6B" w14:paraId="2CFF2580" w14:textId="77777777" w:rsidTr="00FD2247">
        <w:tc>
          <w:tcPr>
            <w:tcW w:w="704" w:type="dxa"/>
            <w:vMerge w:val="restart"/>
            <w:vAlign w:val="center"/>
          </w:tcPr>
          <w:p w14:paraId="2511FD8E" w14:textId="77777777" w:rsidR="00EB1844" w:rsidRPr="00946B6B" w:rsidRDefault="00EB1844" w:rsidP="00FD2247">
            <w:pPr>
              <w:spacing w:before="0" w:after="0"/>
              <w:jc w:val="center"/>
              <w:rPr>
                <w:rFonts w:ascii="Calibri" w:hAnsi="Calibri" w:cs="Calibri"/>
                <w:sz w:val="20"/>
                <w:szCs w:val="20"/>
              </w:rPr>
            </w:pPr>
            <w:r w:rsidRPr="00946B6B">
              <w:rPr>
                <w:rFonts w:ascii="Calibri" w:hAnsi="Calibri" w:cs="Calibri"/>
                <w:sz w:val="20"/>
                <w:szCs w:val="20"/>
              </w:rPr>
              <w:t>2015</w:t>
            </w:r>
          </w:p>
        </w:tc>
        <w:tc>
          <w:tcPr>
            <w:tcW w:w="3827" w:type="dxa"/>
            <w:vAlign w:val="center"/>
          </w:tcPr>
          <w:p w14:paraId="3E39099A" w14:textId="77777777" w:rsidR="00EB1844" w:rsidRPr="00946B6B" w:rsidRDefault="00EB1844" w:rsidP="00FD2247">
            <w:pPr>
              <w:spacing w:before="0" w:after="0"/>
              <w:rPr>
                <w:rFonts w:ascii="Calibri" w:hAnsi="Calibri" w:cs="Calibri"/>
                <w:sz w:val="20"/>
                <w:szCs w:val="20"/>
              </w:rPr>
            </w:pPr>
            <w:r w:rsidRPr="00946B6B">
              <w:rPr>
                <w:rFonts w:ascii="Calibri" w:hAnsi="Calibri" w:cs="Calibri"/>
                <w:sz w:val="20"/>
                <w:szCs w:val="20"/>
              </w:rPr>
              <w:t>Definir una unidad coordinadora que cumpla la función de unir a las instancias ejecutoras, coordinar la elaboración de reportes respecto a la ejecución de los recursos de FAFEF y a la formalización de información respecto a las acciones y ejecución de presupuesto de FAFEF</w:t>
            </w:r>
          </w:p>
        </w:tc>
        <w:tc>
          <w:tcPr>
            <w:tcW w:w="2410" w:type="dxa"/>
            <w:vAlign w:val="center"/>
          </w:tcPr>
          <w:p w14:paraId="2D322AB2" w14:textId="77777777" w:rsidR="00EB1844" w:rsidRPr="00946B6B" w:rsidRDefault="00EB1844" w:rsidP="00FD2247">
            <w:pPr>
              <w:spacing w:before="0" w:after="0"/>
              <w:rPr>
                <w:rFonts w:ascii="Calibri" w:hAnsi="Calibri" w:cs="Calibri"/>
                <w:sz w:val="20"/>
                <w:szCs w:val="20"/>
              </w:rPr>
            </w:pPr>
            <w:r w:rsidRPr="00946B6B">
              <w:rPr>
                <w:rFonts w:ascii="Calibri" w:hAnsi="Calibri" w:cs="Calibri"/>
                <w:sz w:val="20"/>
                <w:szCs w:val="20"/>
              </w:rPr>
              <w:t>Minuta de trabajo donde se establezca la unidad responsable de administrar el Fondo. (31 de marzo de 2017).</w:t>
            </w:r>
          </w:p>
        </w:tc>
        <w:tc>
          <w:tcPr>
            <w:tcW w:w="3021" w:type="dxa"/>
            <w:vAlign w:val="center"/>
          </w:tcPr>
          <w:p w14:paraId="789CA8A8" w14:textId="77777777" w:rsidR="00EB1844" w:rsidRPr="00946B6B" w:rsidRDefault="00EB1844" w:rsidP="00FD2247">
            <w:pPr>
              <w:spacing w:before="0" w:after="0"/>
              <w:rPr>
                <w:rFonts w:ascii="Calibri" w:hAnsi="Calibri" w:cs="Calibri"/>
                <w:sz w:val="20"/>
                <w:szCs w:val="20"/>
              </w:rPr>
            </w:pPr>
            <w:r w:rsidRPr="00946B6B">
              <w:rPr>
                <w:rFonts w:ascii="Calibri" w:hAnsi="Calibri" w:cs="Calibri"/>
                <w:sz w:val="20"/>
                <w:szCs w:val="20"/>
              </w:rPr>
              <w:t>Actualmente al interior del Gobierno del Estado de Hidalgo, la Unidad Coordinadora del Fondo es la SFP.</w:t>
            </w:r>
          </w:p>
        </w:tc>
      </w:tr>
      <w:tr w:rsidR="00EB1844" w:rsidRPr="00946B6B" w14:paraId="7E3E5990" w14:textId="77777777" w:rsidTr="00FD2247">
        <w:tc>
          <w:tcPr>
            <w:tcW w:w="704" w:type="dxa"/>
            <w:vMerge/>
            <w:vAlign w:val="center"/>
          </w:tcPr>
          <w:p w14:paraId="534E6BB4" w14:textId="77777777" w:rsidR="00EB1844" w:rsidRPr="00946B6B" w:rsidRDefault="00EB1844" w:rsidP="00FD2247">
            <w:pPr>
              <w:spacing w:before="0" w:after="0"/>
              <w:jc w:val="center"/>
              <w:rPr>
                <w:rFonts w:ascii="Calibri" w:hAnsi="Calibri" w:cs="Calibri"/>
                <w:sz w:val="20"/>
                <w:szCs w:val="20"/>
              </w:rPr>
            </w:pPr>
          </w:p>
        </w:tc>
        <w:tc>
          <w:tcPr>
            <w:tcW w:w="3827" w:type="dxa"/>
            <w:vAlign w:val="center"/>
          </w:tcPr>
          <w:p w14:paraId="0286A7D2" w14:textId="77777777" w:rsidR="00EB1844" w:rsidRPr="00946B6B" w:rsidRDefault="00EB1844" w:rsidP="00FD2247">
            <w:pPr>
              <w:spacing w:before="0" w:after="0"/>
              <w:rPr>
                <w:rFonts w:ascii="Calibri" w:hAnsi="Calibri" w:cs="Calibri"/>
                <w:sz w:val="20"/>
                <w:szCs w:val="20"/>
              </w:rPr>
            </w:pPr>
            <w:r w:rsidRPr="00946B6B">
              <w:rPr>
                <w:rFonts w:ascii="Calibri" w:hAnsi="Calibri" w:cs="Calibri"/>
                <w:sz w:val="20"/>
                <w:szCs w:val="20"/>
              </w:rPr>
              <w:t>Definir una MIR estatal, con indicadores alineados a la MIR federal, con el fin de que las acciones de FAFEF, contribuyan al logro de objetivos nacionales del Fondo.</w:t>
            </w:r>
          </w:p>
        </w:tc>
        <w:tc>
          <w:tcPr>
            <w:tcW w:w="2410" w:type="dxa"/>
            <w:vAlign w:val="center"/>
          </w:tcPr>
          <w:p w14:paraId="02E0C516" w14:textId="77777777" w:rsidR="00EB1844" w:rsidRPr="00946B6B" w:rsidRDefault="00EB1844" w:rsidP="00FD2247">
            <w:pPr>
              <w:spacing w:before="0" w:after="0"/>
              <w:jc w:val="left"/>
              <w:rPr>
                <w:rFonts w:ascii="Calibri" w:hAnsi="Calibri" w:cs="Calibri"/>
                <w:sz w:val="20"/>
                <w:szCs w:val="20"/>
              </w:rPr>
            </w:pPr>
            <w:r w:rsidRPr="00946B6B">
              <w:rPr>
                <w:rFonts w:ascii="Calibri" w:hAnsi="Calibri" w:cs="Calibri"/>
                <w:sz w:val="20"/>
                <w:szCs w:val="20"/>
              </w:rPr>
              <w:t>Se integró en marzo de 2017 una MIR estatal para el FAFEF.</w:t>
            </w:r>
          </w:p>
        </w:tc>
        <w:tc>
          <w:tcPr>
            <w:tcW w:w="3021" w:type="dxa"/>
            <w:vAlign w:val="center"/>
          </w:tcPr>
          <w:p w14:paraId="03F58D67" w14:textId="77777777" w:rsidR="00EB1844" w:rsidRPr="00946B6B" w:rsidRDefault="00EB1844" w:rsidP="00FD2247">
            <w:pPr>
              <w:spacing w:before="0" w:after="0"/>
              <w:rPr>
                <w:rFonts w:ascii="Calibri" w:hAnsi="Calibri" w:cs="Calibri"/>
                <w:sz w:val="20"/>
                <w:szCs w:val="20"/>
              </w:rPr>
            </w:pPr>
            <w:r w:rsidRPr="00946B6B">
              <w:rPr>
                <w:rFonts w:ascii="Calibri" w:hAnsi="Calibri" w:cs="Calibri"/>
                <w:sz w:val="20"/>
                <w:szCs w:val="20"/>
              </w:rPr>
              <w:t>Se cuenta con una MIR específica para el Fondo</w:t>
            </w:r>
          </w:p>
        </w:tc>
      </w:tr>
      <w:tr w:rsidR="00EB1844" w:rsidRPr="00946B6B" w14:paraId="3777F30B" w14:textId="77777777" w:rsidTr="00FD2247">
        <w:tc>
          <w:tcPr>
            <w:tcW w:w="704" w:type="dxa"/>
            <w:vMerge/>
            <w:vAlign w:val="center"/>
          </w:tcPr>
          <w:p w14:paraId="38FEE7E2" w14:textId="77777777" w:rsidR="00EB1844" w:rsidRPr="00946B6B" w:rsidRDefault="00EB1844" w:rsidP="00FD2247">
            <w:pPr>
              <w:spacing w:before="0" w:after="0"/>
              <w:jc w:val="center"/>
              <w:rPr>
                <w:rFonts w:ascii="Calibri" w:hAnsi="Calibri" w:cs="Calibri"/>
                <w:sz w:val="20"/>
                <w:szCs w:val="20"/>
              </w:rPr>
            </w:pPr>
          </w:p>
        </w:tc>
        <w:tc>
          <w:tcPr>
            <w:tcW w:w="3827" w:type="dxa"/>
            <w:vAlign w:val="center"/>
          </w:tcPr>
          <w:p w14:paraId="26128B91" w14:textId="77777777" w:rsidR="00EB1844" w:rsidRPr="00946B6B" w:rsidRDefault="00EB1844" w:rsidP="00FD2247">
            <w:pPr>
              <w:spacing w:before="0" w:after="0"/>
              <w:rPr>
                <w:rFonts w:ascii="Calibri" w:hAnsi="Calibri" w:cs="Calibri"/>
                <w:sz w:val="20"/>
                <w:szCs w:val="20"/>
              </w:rPr>
            </w:pPr>
            <w:r w:rsidRPr="00946B6B">
              <w:rPr>
                <w:rFonts w:ascii="Calibri" w:hAnsi="Calibri" w:cs="Calibri"/>
                <w:sz w:val="20"/>
                <w:szCs w:val="20"/>
              </w:rPr>
              <w:t>Incluir fichas técnicas de los indicadores con datos sobre metas, medición y periodicidad.</w:t>
            </w:r>
          </w:p>
        </w:tc>
        <w:tc>
          <w:tcPr>
            <w:tcW w:w="2410" w:type="dxa"/>
            <w:vAlign w:val="center"/>
          </w:tcPr>
          <w:p w14:paraId="3080F193" w14:textId="77777777" w:rsidR="00EB1844" w:rsidRPr="00946B6B" w:rsidRDefault="00EB1844" w:rsidP="00FD2247">
            <w:pPr>
              <w:spacing w:before="0" w:after="0"/>
              <w:rPr>
                <w:rFonts w:ascii="Calibri" w:hAnsi="Calibri" w:cs="Calibri"/>
                <w:sz w:val="20"/>
                <w:szCs w:val="20"/>
              </w:rPr>
            </w:pPr>
            <w:r w:rsidRPr="00946B6B">
              <w:rPr>
                <w:rFonts w:ascii="Calibri" w:hAnsi="Calibri" w:cs="Calibri"/>
                <w:sz w:val="20"/>
                <w:szCs w:val="20"/>
              </w:rPr>
              <w:t>A marzo de 2017 se integraron Fichas técnica de los indicadores</w:t>
            </w:r>
          </w:p>
        </w:tc>
        <w:tc>
          <w:tcPr>
            <w:tcW w:w="3021" w:type="dxa"/>
            <w:vAlign w:val="center"/>
          </w:tcPr>
          <w:p w14:paraId="5DC05B35" w14:textId="77777777" w:rsidR="00EB1844" w:rsidRPr="00946B6B" w:rsidRDefault="00EB1844" w:rsidP="00FD2247">
            <w:pPr>
              <w:spacing w:before="0" w:after="0"/>
              <w:rPr>
                <w:rFonts w:ascii="Calibri" w:hAnsi="Calibri" w:cs="Calibri"/>
                <w:sz w:val="20"/>
                <w:szCs w:val="20"/>
              </w:rPr>
            </w:pPr>
            <w:r w:rsidRPr="00946B6B">
              <w:rPr>
                <w:rFonts w:ascii="Calibri" w:hAnsi="Calibri" w:cs="Calibri"/>
                <w:sz w:val="20"/>
                <w:szCs w:val="20"/>
              </w:rPr>
              <w:t>Tanto la MIR como las fichas técnicas de indicadores se han actualizado en el ejercicio 2018, 2019 y 2020 y se han requisitado en estos últimos 3 ejercicios.</w:t>
            </w:r>
          </w:p>
        </w:tc>
      </w:tr>
      <w:tr w:rsidR="00EB1844" w:rsidRPr="00946B6B" w14:paraId="01E8943E" w14:textId="77777777" w:rsidTr="00FD2247">
        <w:tc>
          <w:tcPr>
            <w:tcW w:w="704" w:type="dxa"/>
            <w:vMerge/>
            <w:vAlign w:val="center"/>
          </w:tcPr>
          <w:p w14:paraId="0FB3D154" w14:textId="77777777" w:rsidR="00EB1844" w:rsidRPr="00946B6B" w:rsidRDefault="00EB1844" w:rsidP="00FD2247">
            <w:pPr>
              <w:spacing w:before="0" w:after="0"/>
              <w:jc w:val="center"/>
              <w:rPr>
                <w:rFonts w:ascii="Calibri" w:hAnsi="Calibri" w:cs="Calibri"/>
                <w:sz w:val="20"/>
                <w:szCs w:val="20"/>
              </w:rPr>
            </w:pPr>
          </w:p>
        </w:tc>
        <w:tc>
          <w:tcPr>
            <w:tcW w:w="3827" w:type="dxa"/>
            <w:vAlign w:val="center"/>
          </w:tcPr>
          <w:p w14:paraId="00723F50" w14:textId="77777777" w:rsidR="00EB1844" w:rsidRPr="00946B6B" w:rsidRDefault="00EB1844" w:rsidP="00FD2247">
            <w:pPr>
              <w:spacing w:before="0" w:after="0"/>
              <w:rPr>
                <w:rFonts w:ascii="Calibri" w:hAnsi="Calibri" w:cs="Calibri"/>
                <w:sz w:val="20"/>
                <w:szCs w:val="20"/>
              </w:rPr>
            </w:pPr>
            <w:r w:rsidRPr="00946B6B">
              <w:rPr>
                <w:rFonts w:ascii="Calibri" w:hAnsi="Calibri" w:cs="Calibri"/>
                <w:sz w:val="20"/>
                <w:szCs w:val="20"/>
              </w:rPr>
              <w:t>Definir y cuantificar a la población potencial, objetiva y atendida por el Fondo.</w:t>
            </w:r>
          </w:p>
        </w:tc>
        <w:tc>
          <w:tcPr>
            <w:tcW w:w="2410" w:type="dxa"/>
            <w:vAlign w:val="center"/>
          </w:tcPr>
          <w:p w14:paraId="39F39197" w14:textId="6AC7EC79" w:rsidR="00EB1844" w:rsidRPr="00946B6B" w:rsidRDefault="00EB1844" w:rsidP="00FD2247">
            <w:pPr>
              <w:spacing w:before="0" w:after="0"/>
              <w:rPr>
                <w:rFonts w:ascii="Calibri" w:hAnsi="Calibri" w:cs="Calibri"/>
                <w:sz w:val="20"/>
                <w:szCs w:val="20"/>
              </w:rPr>
            </w:pPr>
            <w:r w:rsidRPr="00946B6B">
              <w:rPr>
                <w:rFonts w:ascii="Calibri" w:hAnsi="Calibri" w:cs="Calibri"/>
                <w:sz w:val="20"/>
                <w:szCs w:val="20"/>
              </w:rPr>
              <w:t>Documento relacionado con la definición y cuantificación de</w:t>
            </w:r>
            <w:r w:rsidR="00F62B09" w:rsidRPr="00946B6B">
              <w:rPr>
                <w:rFonts w:ascii="Calibri" w:hAnsi="Calibri" w:cs="Calibri"/>
                <w:sz w:val="20"/>
                <w:szCs w:val="20"/>
              </w:rPr>
              <w:t xml:space="preserve"> la </w:t>
            </w:r>
            <w:r w:rsidR="00F62B09" w:rsidRPr="00946B6B">
              <w:rPr>
                <w:rFonts w:ascii="Calibri" w:hAnsi="Calibri" w:cs="Calibri"/>
                <w:sz w:val="20"/>
                <w:szCs w:val="20"/>
              </w:rPr>
              <w:lastRenderedPageBreak/>
              <w:t>población potencial, objetivo y atendida</w:t>
            </w:r>
            <w:r w:rsidRPr="00946B6B">
              <w:rPr>
                <w:rFonts w:ascii="Calibri" w:hAnsi="Calibri" w:cs="Calibri"/>
                <w:sz w:val="20"/>
                <w:szCs w:val="20"/>
              </w:rPr>
              <w:t xml:space="preserve"> </w:t>
            </w:r>
          </w:p>
          <w:p w14:paraId="50252A2B" w14:textId="77777777" w:rsidR="00EB1844" w:rsidRPr="00946B6B" w:rsidRDefault="00EB1844" w:rsidP="00FD2247">
            <w:pPr>
              <w:spacing w:before="0" w:after="0"/>
              <w:rPr>
                <w:rFonts w:ascii="Calibri" w:hAnsi="Calibri" w:cs="Calibri"/>
                <w:sz w:val="20"/>
                <w:szCs w:val="20"/>
              </w:rPr>
            </w:pPr>
          </w:p>
        </w:tc>
        <w:tc>
          <w:tcPr>
            <w:tcW w:w="3021" w:type="dxa"/>
            <w:vAlign w:val="center"/>
          </w:tcPr>
          <w:p w14:paraId="3CCF9088" w14:textId="3FD13E27" w:rsidR="00EB1844" w:rsidRPr="00946B6B" w:rsidRDefault="00EB1844" w:rsidP="00FD2247">
            <w:pPr>
              <w:spacing w:before="0" w:after="0"/>
              <w:rPr>
                <w:rFonts w:ascii="Calibri" w:hAnsi="Calibri" w:cs="Calibri"/>
                <w:sz w:val="20"/>
                <w:szCs w:val="20"/>
              </w:rPr>
            </w:pPr>
            <w:r w:rsidRPr="00946B6B">
              <w:rPr>
                <w:rFonts w:ascii="Calibri" w:hAnsi="Calibri" w:cs="Calibri"/>
                <w:sz w:val="20"/>
                <w:szCs w:val="20"/>
              </w:rPr>
              <w:lastRenderedPageBreak/>
              <w:t>Anqué se defin</w:t>
            </w:r>
            <w:r w:rsidR="006E3487" w:rsidRPr="00946B6B">
              <w:rPr>
                <w:rFonts w:ascii="Calibri" w:hAnsi="Calibri" w:cs="Calibri"/>
                <w:sz w:val="20"/>
                <w:szCs w:val="20"/>
              </w:rPr>
              <w:t>ió</w:t>
            </w:r>
            <w:r w:rsidRPr="00946B6B">
              <w:rPr>
                <w:rFonts w:ascii="Calibri" w:hAnsi="Calibri" w:cs="Calibri"/>
                <w:sz w:val="20"/>
                <w:szCs w:val="20"/>
              </w:rPr>
              <w:t xml:space="preserve"> la</w:t>
            </w:r>
            <w:r w:rsidR="00F62B09" w:rsidRPr="00946B6B">
              <w:rPr>
                <w:rFonts w:ascii="Calibri" w:hAnsi="Calibri" w:cs="Calibri"/>
                <w:sz w:val="20"/>
                <w:szCs w:val="20"/>
              </w:rPr>
              <w:t xml:space="preserve"> </w:t>
            </w:r>
            <w:r w:rsidR="006E3487" w:rsidRPr="00946B6B">
              <w:rPr>
                <w:rFonts w:ascii="Calibri" w:hAnsi="Calibri" w:cs="Calibri"/>
                <w:sz w:val="20"/>
                <w:szCs w:val="20"/>
              </w:rPr>
              <w:t>población</w:t>
            </w:r>
            <w:r w:rsidR="00F62B09" w:rsidRPr="00946B6B">
              <w:rPr>
                <w:rFonts w:ascii="Calibri" w:hAnsi="Calibri" w:cs="Calibri"/>
                <w:sz w:val="20"/>
                <w:szCs w:val="20"/>
              </w:rPr>
              <w:t xml:space="preserve"> potencial, objetivo y atendida,</w:t>
            </w:r>
            <w:r w:rsidRPr="00946B6B">
              <w:rPr>
                <w:rFonts w:ascii="Calibri" w:hAnsi="Calibri" w:cs="Calibri"/>
                <w:sz w:val="20"/>
                <w:szCs w:val="20"/>
              </w:rPr>
              <w:t xml:space="preserve"> estas se limitan a señalar que la </w:t>
            </w:r>
            <w:r w:rsidRPr="00946B6B">
              <w:rPr>
                <w:rFonts w:ascii="Calibri" w:hAnsi="Calibri" w:cs="Calibri"/>
                <w:sz w:val="20"/>
                <w:szCs w:val="20"/>
              </w:rPr>
              <w:lastRenderedPageBreak/>
              <w:t>población beneficiaria por el Fondo será toda la población de la entidad, Por lo que está definición no cumple con el objetivo de contar con una base poblacional para la planeación de los recursos.</w:t>
            </w:r>
          </w:p>
        </w:tc>
      </w:tr>
      <w:tr w:rsidR="00EB1844" w:rsidRPr="00946B6B" w14:paraId="3A197B89" w14:textId="77777777" w:rsidTr="00FD2247">
        <w:tc>
          <w:tcPr>
            <w:tcW w:w="704" w:type="dxa"/>
            <w:vMerge/>
            <w:vAlign w:val="center"/>
          </w:tcPr>
          <w:p w14:paraId="528BB20A" w14:textId="77777777" w:rsidR="00EB1844" w:rsidRPr="00946B6B" w:rsidRDefault="00EB1844" w:rsidP="00FD2247">
            <w:pPr>
              <w:spacing w:before="0" w:after="0"/>
              <w:jc w:val="center"/>
              <w:rPr>
                <w:rFonts w:ascii="Calibri" w:hAnsi="Calibri" w:cs="Calibri"/>
                <w:sz w:val="20"/>
                <w:szCs w:val="20"/>
              </w:rPr>
            </w:pPr>
          </w:p>
        </w:tc>
        <w:tc>
          <w:tcPr>
            <w:tcW w:w="3827" w:type="dxa"/>
            <w:vAlign w:val="center"/>
          </w:tcPr>
          <w:p w14:paraId="543A0738" w14:textId="77777777" w:rsidR="00EB1844" w:rsidRPr="00946B6B" w:rsidRDefault="00EB1844" w:rsidP="00FD2247">
            <w:pPr>
              <w:spacing w:before="0" w:after="0"/>
              <w:rPr>
                <w:rFonts w:ascii="Calibri" w:hAnsi="Calibri" w:cs="Calibri"/>
                <w:sz w:val="20"/>
                <w:szCs w:val="20"/>
              </w:rPr>
            </w:pPr>
            <w:r w:rsidRPr="00946B6B">
              <w:rPr>
                <w:rFonts w:ascii="Calibri" w:hAnsi="Calibri" w:cs="Calibri"/>
                <w:sz w:val="20"/>
                <w:szCs w:val="20"/>
              </w:rPr>
              <w:t>Definir el método de cálculo de las poblaciones</w:t>
            </w:r>
          </w:p>
        </w:tc>
        <w:tc>
          <w:tcPr>
            <w:tcW w:w="2410" w:type="dxa"/>
            <w:vAlign w:val="center"/>
          </w:tcPr>
          <w:p w14:paraId="5133DB2A" w14:textId="77777777" w:rsidR="00EB1844" w:rsidRPr="00946B6B" w:rsidRDefault="00EB1844" w:rsidP="00FD2247">
            <w:pPr>
              <w:spacing w:before="0" w:after="0"/>
              <w:rPr>
                <w:rFonts w:ascii="Calibri" w:hAnsi="Calibri" w:cs="Calibri"/>
                <w:sz w:val="20"/>
                <w:szCs w:val="20"/>
              </w:rPr>
            </w:pPr>
            <w:r w:rsidRPr="00946B6B">
              <w:rPr>
                <w:rFonts w:ascii="Calibri" w:hAnsi="Calibri" w:cs="Calibri"/>
                <w:sz w:val="20"/>
                <w:szCs w:val="20"/>
              </w:rPr>
              <w:t>Sin seguimiento</w:t>
            </w:r>
          </w:p>
        </w:tc>
        <w:tc>
          <w:tcPr>
            <w:tcW w:w="3021" w:type="dxa"/>
            <w:vAlign w:val="center"/>
          </w:tcPr>
          <w:p w14:paraId="4D6BC2B5" w14:textId="77777777" w:rsidR="00EB1844" w:rsidRPr="00946B6B" w:rsidRDefault="00EB1844" w:rsidP="00FD2247">
            <w:pPr>
              <w:spacing w:before="0" w:after="0"/>
              <w:rPr>
                <w:rFonts w:ascii="Calibri" w:hAnsi="Calibri" w:cs="Calibri"/>
                <w:sz w:val="20"/>
                <w:szCs w:val="20"/>
              </w:rPr>
            </w:pPr>
          </w:p>
        </w:tc>
      </w:tr>
      <w:tr w:rsidR="00EB1844" w:rsidRPr="00946B6B" w14:paraId="69BDB6B2" w14:textId="77777777" w:rsidTr="00FD2247">
        <w:tc>
          <w:tcPr>
            <w:tcW w:w="704" w:type="dxa"/>
            <w:vMerge/>
            <w:vAlign w:val="center"/>
          </w:tcPr>
          <w:p w14:paraId="7EA5122E" w14:textId="77777777" w:rsidR="00EB1844" w:rsidRPr="00946B6B" w:rsidRDefault="00EB1844" w:rsidP="00FD2247">
            <w:pPr>
              <w:spacing w:before="0" w:after="0"/>
              <w:jc w:val="center"/>
              <w:rPr>
                <w:rFonts w:ascii="Calibri" w:hAnsi="Calibri" w:cs="Calibri"/>
                <w:sz w:val="20"/>
                <w:szCs w:val="20"/>
              </w:rPr>
            </w:pPr>
          </w:p>
        </w:tc>
        <w:tc>
          <w:tcPr>
            <w:tcW w:w="3827" w:type="dxa"/>
            <w:vAlign w:val="center"/>
          </w:tcPr>
          <w:p w14:paraId="1DB75FA1" w14:textId="77777777" w:rsidR="00EB1844" w:rsidRPr="00946B6B" w:rsidRDefault="00EB1844" w:rsidP="00FD2247">
            <w:pPr>
              <w:spacing w:before="0" w:after="0"/>
              <w:rPr>
                <w:rFonts w:ascii="Calibri" w:hAnsi="Calibri" w:cs="Calibri"/>
                <w:sz w:val="20"/>
                <w:szCs w:val="20"/>
              </w:rPr>
            </w:pPr>
            <w:r w:rsidRPr="00946B6B">
              <w:rPr>
                <w:rFonts w:ascii="Calibri" w:hAnsi="Calibri" w:cs="Calibri"/>
                <w:sz w:val="20"/>
                <w:szCs w:val="20"/>
              </w:rPr>
              <w:t>Establecer un método de medición de la cobertura para poder realizar un análisis de la evolución de la cobertura del FAFEF.</w:t>
            </w:r>
          </w:p>
        </w:tc>
        <w:tc>
          <w:tcPr>
            <w:tcW w:w="2410" w:type="dxa"/>
            <w:vAlign w:val="center"/>
          </w:tcPr>
          <w:p w14:paraId="1EDC7324" w14:textId="77777777" w:rsidR="00EB1844" w:rsidRPr="00946B6B" w:rsidRDefault="00EB1844" w:rsidP="00FD2247">
            <w:pPr>
              <w:spacing w:before="0" w:after="0"/>
              <w:rPr>
                <w:rFonts w:ascii="Calibri" w:hAnsi="Calibri" w:cs="Calibri"/>
                <w:sz w:val="20"/>
                <w:szCs w:val="20"/>
              </w:rPr>
            </w:pPr>
            <w:r w:rsidRPr="00946B6B">
              <w:rPr>
                <w:rFonts w:ascii="Calibri" w:hAnsi="Calibri" w:cs="Calibri"/>
                <w:sz w:val="20"/>
                <w:szCs w:val="20"/>
              </w:rPr>
              <w:t>Sin seguimiento</w:t>
            </w:r>
          </w:p>
        </w:tc>
        <w:tc>
          <w:tcPr>
            <w:tcW w:w="3021" w:type="dxa"/>
            <w:vAlign w:val="center"/>
          </w:tcPr>
          <w:p w14:paraId="0A39E2C8" w14:textId="77777777" w:rsidR="00EB1844" w:rsidRPr="00946B6B" w:rsidRDefault="00EB1844" w:rsidP="00FD2247">
            <w:pPr>
              <w:spacing w:before="0" w:after="0"/>
              <w:rPr>
                <w:rFonts w:ascii="Calibri" w:hAnsi="Calibri" w:cs="Calibri"/>
                <w:sz w:val="20"/>
                <w:szCs w:val="20"/>
              </w:rPr>
            </w:pPr>
          </w:p>
        </w:tc>
      </w:tr>
      <w:tr w:rsidR="00EB1844" w:rsidRPr="00946B6B" w14:paraId="2A5F83C2" w14:textId="77777777" w:rsidTr="00FD2247">
        <w:tc>
          <w:tcPr>
            <w:tcW w:w="704" w:type="dxa"/>
            <w:vMerge/>
            <w:vAlign w:val="center"/>
          </w:tcPr>
          <w:p w14:paraId="2E16B2AA" w14:textId="77777777" w:rsidR="00EB1844" w:rsidRPr="00946B6B" w:rsidRDefault="00EB1844" w:rsidP="00FD2247">
            <w:pPr>
              <w:spacing w:before="0" w:after="0"/>
              <w:jc w:val="center"/>
              <w:rPr>
                <w:rFonts w:ascii="Calibri" w:hAnsi="Calibri" w:cs="Calibri"/>
                <w:sz w:val="20"/>
                <w:szCs w:val="20"/>
              </w:rPr>
            </w:pPr>
          </w:p>
        </w:tc>
        <w:tc>
          <w:tcPr>
            <w:tcW w:w="3827" w:type="dxa"/>
            <w:vAlign w:val="center"/>
          </w:tcPr>
          <w:p w14:paraId="37D10218" w14:textId="77777777" w:rsidR="00EB1844" w:rsidRPr="00946B6B" w:rsidRDefault="00EB1844" w:rsidP="00FD2247">
            <w:pPr>
              <w:spacing w:before="0" w:after="0"/>
              <w:rPr>
                <w:rFonts w:ascii="Calibri" w:hAnsi="Calibri" w:cs="Calibri"/>
                <w:sz w:val="20"/>
                <w:szCs w:val="20"/>
              </w:rPr>
            </w:pPr>
            <w:r w:rsidRPr="00946B6B">
              <w:rPr>
                <w:rFonts w:ascii="Calibri" w:hAnsi="Calibri" w:cs="Calibri"/>
                <w:sz w:val="20"/>
                <w:szCs w:val="20"/>
              </w:rPr>
              <w:t>Elaborar Reglas de operación del Fondo.</w:t>
            </w:r>
          </w:p>
        </w:tc>
        <w:tc>
          <w:tcPr>
            <w:tcW w:w="2410" w:type="dxa"/>
            <w:vAlign w:val="center"/>
          </w:tcPr>
          <w:p w14:paraId="684A207E" w14:textId="77777777" w:rsidR="00EB1844" w:rsidRPr="00946B6B" w:rsidRDefault="00EB1844" w:rsidP="00FD2247">
            <w:pPr>
              <w:spacing w:before="0" w:after="0"/>
              <w:rPr>
                <w:rFonts w:ascii="Calibri" w:hAnsi="Calibri" w:cs="Calibri"/>
                <w:sz w:val="20"/>
                <w:szCs w:val="20"/>
              </w:rPr>
            </w:pPr>
            <w:r w:rsidRPr="00946B6B">
              <w:rPr>
                <w:rFonts w:ascii="Calibri" w:hAnsi="Calibri" w:cs="Calibri"/>
                <w:sz w:val="20"/>
                <w:szCs w:val="20"/>
              </w:rPr>
              <w:t>Sin seguimiento</w:t>
            </w:r>
          </w:p>
        </w:tc>
        <w:tc>
          <w:tcPr>
            <w:tcW w:w="3021" w:type="dxa"/>
            <w:vAlign w:val="center"/>
          </w:tcPr>
          <w:p w14:paraId="7ECD7070" w14:textId="77777777" w:rsidR="00EB1844" w:rsidRPr="00946B6B" w:rsidRDefault="00EB1844" w:rsidP="00FD2247">
            <w:pPr>
              <w:spacing w:before="0" w:after="0"/>
              <w:rPr>
                <w:rFonts w:ascii="Calibri" w:hAnsi="Calibri" w:cs="Calibri"/>
                <w:sz w:val="20"/>
                <w:szCs w:val="20"/>
              </w:rPr>
            </w:pPr>
          </w:p>
        </w:tc>
      </w:tr>
      <w:tr w:rsidR="00EB1844" w:rsidRPr="00946B6B" w14:paraId="456A3584" w14:textId="77777777" w:rsidTr="00FD2247">
        <w:tc>
          <w:tcPr>
            <w:tcW w:w="704" w:type="dxa"/>
            <w:vMerge/>
            <w:vAlign w:val="center"/>
          </w:tcPr>
          <w:p w14:paraId="2D4E61C0" w14:textId="77777777" w:rsidR="00EB1844" w:rsidRPr="00946B6B" w:rsidRDefault="00EB1844" w:rsidP="00FD2247">
            <w:pPr>
              <w:spacing w:before="0" w:after="0"/>
              <w:jc w:val="center"/>
              <w:rPr>
                <w:rFonts w:ascii="Calibri" w:hAnsi="Calibri" w:cs="Calibri"/>
                <w:sz w:val="20"/>
                <w:szCs w:val="20"/>
              </w:rPr>
            </w:pPr>
          </w:p>
        </w:tc>
        <w:tc>
          <w:tcPr>
            <w:tcW w:w="3827" w:type="dxa"/>
            <w:vAlign w:val="center"/>
          </w:tcPr>
          <w:p w14:paraId="3308C609" w14:textId="77777777" w:rsidR="00EB1844" w:rsidRPr="00946B6B" w:rsidRDefault="00EB1844" w:rsidP="00FD2247">
            <w:pPr>
              <w:spacing w:before="0" w:after="0"/>
              <w:rPr>
                <w:rFonts w:ascii="Calibri" w:hAnsi="Calibri" w:cs="Calibri"/>
                <w:sz w:val="20"/>
                <w:szCs w:val="20"/>
              </w:rPr>
            </w:pPr>
            <w:r w:rsidRPr="00946B6B">
              <w:rPr>
                <w:rFonts w:ascii="Calibri" w:hAnsi="Calibri" w:cs="Calibri"/>
                <w:sz w:val="20"/>
                <w:szCs w:val="20"/>
              </w:rPr>
              <w:t>Se sugiere definir una Unidad Coordinadora que sea la encargada de presentar la información general de las Unidades Ejecutoras, en formatos homogéneos, previamente establecidos de conformidad con los ejecutores.</w:t>
            </w:r>
          </w:p>
        </w:tc>
        <w:tc>
          <w:tcPr>
            <w:tcW w:w="2410" w:type="dxa"/>
            <w:vAlign w:val="center"/>
          </w:tcPr>
          <w:p w14:paraId="72A22574" w14:textId="77777777" w:rsidR="00EB1844" w:rsidRPr="00946B6B" w:rsidRDefault="00EB1844" w:rsidP="00FD2247">
            <w:pPr>
              <w:spacing w:before="0" w:after="0"/>
              <w:rPr>
                <w:rFonts w:ascii="Calibri" w:hAnsi="Calibri" w:cs="Calibri"/>
                <w:sz w:val="20"/>
                <w:szCs w:val="20"/>
              </w:rPr>
            </w:pPr>
            <w:r w:rsidRPr="00946B6B">
              <w:rPr>
                <w:rFonts w:ascii="Calibri" w:hAnsi="Calibri" w:cs="Calibri"/>
                <w:sz w:val="20"/>
                <w:szCs w:val="20"/>
              </w:rPr>
              <w:t>Sin seguimiento</w:t>
            </w:r>
          </w:p>
        </w:tc>
        <w:tc>
          <w:tcPr>
            <w:tcW w:w="3021" w:type="dxa"/>
            <w:vAlign w:val="center"/>
          </w:tcPr>
          <w:p w14:paraId="5183B958" w14:textId="77777777" w:rsidR="00EB1844" w:rsidRPr="00946B6B" w:rsidRDefault="00EB1844" w:rsidP="00FD2247">
            <w:pPr>
              <w:spacing w:before="0" w:after="0"/>
              <w:rPr>
                <w:rFonts w:ascii="Calibri" w:hAnsi="Calibri" w:cs="Calibri"/>
                <w:sz w:val="20"/>
                <w:szCs w:val="20"/>
              </w:rPr>
            </w:pPr>
          </w:p>
        </w:tc>
      </w:tr>
      <w:tr w:rsidR="00EB1844" w:rsidRPr="00946B6B" w14:paraId="5501B63E" w14:textId="77777777" w:rsidTr="00FD2247">
        <w:trPr>
          <w:trHeight w:val="1099"/>
        </w:trPr>
        <w:tc>
          <w:tcPr>
            <w:tcW w:w="704" w:type="dxa"/>
            <w:vMerge w:val="restart"/>
            <w:vAlign w:val="center"/>
          </w:tcPr>
          <w:p w14:paraId="1693ECE9" w14:textId="77777777" w:rsidR="00EB1844" w:rsidRPr="00946B6B" w:rsidRDefault="00EB1844" w:rsidP="00FD2247">
            <w:pPr>
              <w:spacing w:before="0" w:after="0"/>
              <w:jc w:val="center"/>
              <w:rPr>
                <w:rFonts w:ascii="Calibri" w:hAnsi="Calibri" w:cs="Calibri"/>
                <w:sz w:val="20"/>
                <w:szCs w:val="20"/>
              </w:rPr>
            </w:pPr>
            <w:r w:rsidRPr="00946B6B">
              <w:rPr>
                <w:rFonts w:ascii="Calibri" w:hAnsi="Calibri" w:cs="Calibri"/>
                <w:sz w:val="20"/>
                <w:szCs w:val="20"/>
              </w:rPr>
              <w:t>2018</w:t>
            </w:r>
          </w:p>
        </w:tc>
        <w:tc>
          <w:tcPr>
            <w:tcW w:w="3827" w:type="dxa"/>
            <w:vAlign w:val="center"/>
          </w:tcPr>
          <w:p w14:paraId="43F465F6" w14:textId="77777777" w:rsidR="00EB1844" w:rsidRPr="00946B6B" w:rsidRDefault="00EB1844" w:rsidP="00FD2247">
            <w:pPr>
              <w:spacing w:before="0" w:after="0"/>
              <w:rPr>
                <w:rFonts w:ascii="Calibri" w:hAnsi="Calibri" w:cs="Calibri"/>
                <w:sz w:val="20"/>
                <w:szCs w:val="20"/>
              </w:rPr>
            </w:pPr>
            <w:r w:rsidRPr="00946B6B">
              <w:rPr>
                <w:rFonts w:ascii="Calibri" w:hAnsi="Calibri" w:cs="Calibri"/>
                <w:sz w:val="20"/>
                <w:szCs w:val="20"/>
              </w:rPr>
              <w:t>Elaborar un Diagnóstico del Fondo de Aportaciones para el Fortalecimiento de las Entidades Federativas (FAFEF) del Estado de Hidalgo acerca de la problemática que atiende el Fondo, y que contenga los elementos señalados por el CONEVAL</w:t>
            </w:r>
          </w:p>
        </w:tc>
        <w:tc>
          <w:tcPr>
            <w:tcW w:w="2410" w:type="dxa"/>
            <w:vAlign w:val="center"/>
          </w:tcPr>
          <w:p w14:paraId="11F85481" w14:textId="77777777" w:rsidR="00EB1844" w:rsidRPr="00946B6B" w:rsidRDefault="00EB1844" w:rsidP="00FD2247">
            <w:pPr>
              <w:spacing w:before="0" w:after="0"/>
              <w:rPr>
                <w:rFonts w:ascii="Calibri" w:hAnsi="Calibri" w:cs="Calibri"/>
                <w:sz w:val="20"/>
                <w:szCs w:val="20"/>
              </w:rPr>
            </w:pPr>
            <w:r w:rsidRPr="00946B6B">
              <w:rPr>
                <w:rFonts w:ascii="Calibri" w:hAnsi="Calibri" w:cs="Calibri"/>
                <w:sz w:val="20"/>
                <w:szCs w:val="20"/>
              </w:rPr>
              <w:t xml:space="preserve">Generación de documento diagnóstico. Que contenga los elementos mínimos señalados por el CONEVAL </w:t>
            </w:r>
          </w:p>
        </w:tc>
        <w:tc>
          <w:tcPr>
            <w:tcW w:w="3021" w:type="dxa"/>
            <w:vAlign w:val="center"/>
          </w:tcPr>
          <w:p w14:paraId="7ECE8CEF" w14:textId="77777777" w:rsidR="00EB1844" w:rsidRPr="00946B6B" w:rsidRDefault="00EB1844" w:rsidP="00FD2247">
            <w:pPr>
              <w:spacing w:before="0" w:after="0"/>
              <w:rPr>
                <w:rFonts w:ascii="Calibri" w:hAnsi="Calibri" w:cs="Calibri"/>
                <w:sz w:val="20"/>
                <w:szCs w:val="20"/>
              </w:rPr>
            </w:pPr>
            <w:r w:rsidRPr="00946B6B">
              <w:rPr>
                <w:rFonts w:ascii="Calibri" w:hAnsi="Calibri" w:cs="Calibri"/>
                <w:sz w:val="20"/>
                <w:szCs w:val="20"/>
              </w:rPr>
              <w:t>Si bien existe un documento diagnóstico este un cumple con los elementos mínimos señalados por el CONEVAL.</w:t>
            </w:r>
          </w:p>
        </w:tc>
      </w:tr>
      <w:tr w:rsidR="00EB1844" w:rsidRPr="00946B6B" w14:paraId="03201CB8" w14:textId="77777777" w:rsidTr="00FD2247">
        <w:trPr>
          <w:trHeight w:val="1099"/>
        </w:trPr>
        <w:tc>
          <w:tcPr>
            <w:tcW w:w="704" w:type="dxa"/>
            <w:vMerge/>
            <w:vAlign w:val="center"/>
          </w:tcPr>
          <w:p w14:paraId="3DB94775" w14:textId="77777777" w:rsidR="00EB1844" w:rsidRPr="00946B6B" w:rsidRDefault="00EB1844" w:rsidP="00FD2247">
            <w:pPr>
              <w:spacing w:before="0" w:after="0"/>
              <w:jc w:val="center"/>
              <w:rPr>
                <w:rFonts w:ascii="Calibri" w:hAnsi="Calibri" w:cs="Calibri"/>
                <w:sz w:val="20"/>
                <w:szCs w:val="20"/>
              </w:rPr>
            </w:pPr>
          </w:p>
        </w:tc>
        <w:tc>
          <w:tcPr>
            <w:tcW w:w="3827" w:type="dxa"/>
            <w:vAlign w:val="center"/>
          </w:tcPr>
          <w:p w14:paraId="07F732AB" w14:textId="77777777" w:rsidR="00EB1844" w:rsidRPr="00946B6B" w:rsidRDefault="00EB1844" w:rsidP="00FD2247">
            <w:pPr>
              <w:spacing w:before="0" w:after="0"/>
              <w:rPr>
                <w:rFonts w:ascii="Calibri" w:hAnsi="Calibri" w:cs="Calibri"/>
                <w:sz w:val="20"/>
                <w:szCs w:val="20"/>
              </w:rPr>
            </w:pPr>
            <w:r w:rsidRPr="00946B6B">
              <w:rPr>
                <w:rFonts w:ascii="Calibri" w:hAnsi="Calibri" w:cs="Calibri"/>
                <w:sz w:val="20"/>
                <w:szCs w:val="20"/>
              </w:rPr>
              <w:t>Elaborar los Manuales de Organización y de Procedimientos para la operación del FAFEF.</w:t>
            </w:r>
          </w:p>
        </w:tc>
        <w:tc>
          <w:tcPr>
            <w:tcW w:w="2410" w:type="dxa"/>
            <w:vAlign w:val="center"/>
          </w:tcPr>
          <w:p w14:paraId="315F7176" w14:textId="77777777" w:rsidR="00EB1844" w:rsidRPr="00946B6B" w:rsidRDefault="00EB1844" w:rsidP="00FD2247">
            <w:pPr>
              <w:spacing w:before="0" w:after="0"/>
              <w:rPr>
                <w:rFonts w:ascii="Calibri" w:hAnsi="Calibri" w:cs="Calibri"/>
                <w:sz w:val="20"/>
                <w:szCs w:val="20"/>
              </w:rPr>
            </w:pPr>
            <w:r w:rsidRPr="00946B6B">
              <w:rPr>
                <w:rFonts w:ascii="Calibri" w:hAnsi="Calibri" w:cs="Calibri"/>
                <w:sz w:val="20"/>
                <w:szCs w:val="20"/>
              </w:rPr>
              <w:t>En los ASM fue atendido como: Mecanismo del procedimiento para la autorización y ejercicio de los recursos del fondo.</w:t>
            </w:r>
          </w:p>
        </w:tc>
        <w:tc>
          <w:tcPr>
            <w:tcW w:w="3021" w:type="dxa"/>
            <w:vAlign w:val="center"/>
          </w:tcPr>
          <w:p w14:paraId="35907D35" w14:textId="77777777" w:rsidR="00EB1844" w:rsidRPr="00946B6B" w:rsidRDefault="00EB1844" w:rsidP="00FD2247">
            <w:pPr>
              <w:spacing w:before="0" w:after="0"/>
              <w:rPr>
                <w:rFonts w:ascii="Calibri" w:hAnsi="Calibri" w:cs="Calibri"/>
                <w:sz w:val="20"/>
                <w:szCs w:val="20"/>
              </w:rPr>
            </w:pPr>
            <w:r w:rsidRPr="00946B6B">
              <w:rPr>
                <w:rFonts w:ascii="Calibri" w:hAnsi="Calibri" w:cs="Calibri"/>
                <w:sz w:val="20"/>
                <w:szCs w:val="20"/>
              </w:rPr>
              <w:t>Si bien en el seguimiento a los ASM se menciona que se creó un Mecanismo del procedimiento para la autorización y ejercicio de los recursos del fondo y aparece cómo atendido al 100% por la UTED, durante la presente evaluación no se pudo identificar dicho mecanismo.</w:t>
            </w:r>
          </w:p>
        </w:tc>
      </w:tr>
      <w:tr w:rsidR="00EB1844" w:rsidRPr="00946B6B" w14:paraId="63A8E5BC" w14:textId="77777777" w:rsidTr="00FD2247">
        <w:trPr>
          <w:trHeight w:val="1099"/>
        </w:trPr>
        <w:tc>
          <w:tcPr>
            <w:tcW w:w="704" w:type="dxa"/>
            <w:vMerge/>
            <w:vAlign w:val="center"/>
          </w:tcPr>
          <w:p w14:paraId="01FA76BF" w14:textId="77777777" w:rsidR="00EB1844" w:rsidRPr="00946B6B" w:rsidRDefault="00EB1844" w:rsidP="00FD2247">
            <w:pPr>
              <w:spacing w:before="0" w:after="0"/>
              <w:jc w:val="center"/>
              <w:rPr>
                <w:rFonts w:ascii="Calibri" w:hAnsi="Calibri" w:cs="Calibri"/>
                <w:sz w:val="20"/>
                <w:szCs w:val="20"/>
              </w:rPr>
            </w:pPr>
          </w:p>
        </w:tc>
        <w:tc>
          <w:tcPr>
            <w:tcW w:w="3827" w:type="dxa"/>
            <w:vAlign w:val="center"/>
          </w:tcPr>
          <w:p w14:paraId="00AA1DD6" w14:textId="77777777" w:rsidR="00EB1844" w:rsidRPr="00946B6B" w:rsidRDefault="00EB1844" w:rsidP="00FD2247">
            <w:pPr>
              <w:spacing w:before="0" w:after="0"/>
              <w:rPr>
                <w:rFonts w:ascii="Calibri" w:hAnsi="Calibri" w:cs="Calibri"/>
                <w:sz w:val="20"/>
                <w:szCs w:val="20"/>
              </w:rPr>
            </w:pPr>
            <w:r w:rsidRPr="00946B6B">
              <w:rPr>
                <w:rFonts w:ascii="Calibri" w:hAnsi="Calibri" w:cs="Calibri"/>
                <w:sz w:val="20"/>
                <w:szCs w:val="20"/>
              </w:rPr>
              <w:t>Crear una Base de Datos clara y precisa, que contenga todas las obras y acciones realizadas con los recursos del Fondo, por monto, momentos contables, beneficiarios y área ejecutora.</w:t>
            </w:r>
          </w:p>
        </w:tc>
        <w:tc>
          <w:tcPr>
            <w:tcW w:w="2410" w:type="dxa"/>
            <w:vAlign w:val="center"/>
          </w:tcPr>
          <w:p w14:paraId="194757CF" w14:textId="77777777" w:rsidR="00EB1844" w:rsidRPr="00946B6B" w:rsidRDefault="00EB1844" w:rsidP="00FD2247">
            <w:pPr>
              <w:spacing w:before="0" w:after="0"/>
              <w:rPr>
                <w:rFonts w:ascii="Calibri" w:hAnsi="Calibri" w:cs="Calibri"/>
                <w:sz w:val="20"/>
                <w:szCs w:val="20"/>
              </w:rPr>
            </w:pPr>
            <w:r w:rsidRPr="00946B6B">
              <w:rPr>
                <w:rFonts w:ascii="Calibri" w:hAnsi="Calibri" w:cs="Calibri"/>
                <w:sz w:val="20"/>
                <w:szCs w:val="20"/>
              </w:rPr>
              <w:t>Sin seguimiento</w:t>
            </w:r>
          </w:p>
        </w:tc>
        <w:tc>
          <w:tcPr>
            <w:tcW w:w="3021" w:type="dxa"/>
            <w:vAlign w:val="center"/>
          </w:tcPr>
          <w:p w14:paraId="61004D78" w14:textId="77777777" w:rsidR="00EB1844" w:rsidRPr="00946B6B" w:rsidRDefault="00EB1844" w:rsidP="00FD2247">
            <w:pPr>
              <w:spacing w:before="0" w:after="0"/>
              <w:rPr>
                <w:rFonts w:ascii="Calibri" w:hAnsi="Calibri" w:cs="Calibri"/>
                <w:sz w:val="20"/>
                <w:szCs w:val="20"/>
              </w:rPr>
            </w:pPr>
          </w:p>
        </w:tc>
      </w:tr>
      <w:tr w:rsidR="00EB1844" w:rsidRPr="00946B6B" w14:paraId="0AE9DDAC" w14:textId="77777777" w:rsidTr="00FD2247">
        <w:trPr>
          <w:trHeight w:val="1099"/>
        </w:trPr>
        <w:tc>
          <w:tcPr>
            <w:tcW w:w="704" w:type="dxa"/>
            <w:vMerge/>
            <w:vAlign w:val="center"/>
          </w:tcPr>
          <w:p w14:paraId="618241C6" w14:textId="77777777" w:rsidR="00EB1844" w:rsidRPr="00946B6B" w:rsidRDefault="00EB1844" w:rsidP="00FD2247">
            <w:pPr>
              <w:spacing w:before="0" w:after="0"/>
              <w:jc w:val="center"/>
              <w:rPr>
                <w:rFonts w:ascii="Calibri" w:hAnsi="Calibri" w:cs="Calibri"/>
                <w:sz w:val="20"/>
                <w:szCs w:val="20"/>
              </w:rPr>
            </w:pPr>
          </w:p>
        </w:tc>
        <w:tc>
          <w:tcPr>
            <w:tcW w:w="3827" w:type="dxa"/>
            <w:vAlign w:val="center"/>
          </w:tcPr>
          <w:p w14:paraId="5D223905" w14:textId="77777777" w:rsidR="00EB1844" w:rsidRPr="00946B6B" w:rsidRDefault="00EB1844" w:rsidP="00FD2247">
            <w:pPr>
              <w:spacing w:before="0" w:after="0"/>
              <w:rPr>
                <w:rFonts w:ascii="Calibri" w:hAnsi="Calibri" w:cs="Calibri"/>
                <w:sz w:val="20"/>
                <w:szCs w:val="20"/>
              </w:rPr>
            </w:pPr>
            <w:r w:rsidRPr="00946B6B">
              <w:rPr>
                <w:rFonts w:ascii="Calibri" w:hAnsi="Calibri" w:cs="Calibri"/>
                <w:sz w:val="20"/>
                <w:szCs w:val="20"/>
              </w:rPr>
              <w:t>Realizar una evaluación de Consistencia y Resultados al Fondo, que permita redefinir sus atributos, mejorar sus procesos y elevar su efectividad al interior del Estado.</w:t>
            </w:r>
          </w:p>
        </w:tc>
        <w:tc>
          <w:tcPr>
            <w:tcW w:w="2410" w:type="dxa"/>
            <w:vAlign w:val="center"/>
          </w:tcPr>
          <w:p w14:paraId="04F26AD5" w14:textId="77777777" w:rsidR="00EB1844" w:rsidRPr="00946B6B" w:rsidRDefault="00EB1844" w:rsidP="00FD2247">
            <w:pPr>
              <w:spacing w:before="0" w:after="0"/>
              <w:rPr>
                <w:rFonts w:ascii="Calibri" w:hAnsi="Calibri" w:cs="Calibri"/>
                <w:sz w:val="20"/>
                <w:szCs w:val="20"/>
              </w:rPr>
            </w:pPr>
            <w:r w:rsidRPr="00946B6B">
              <w:rPr>
                <w:rFonts w:ascii="Calibri" w:hAnsi="Calibri" w:cs="Calibri"/>
                <w:sz w:val="20"/>
                <w:szCs w:val="20"/>
              </w:rPr>
              <w:t>Sin seguimiento</w:t>
            </w:r>
          </w:p>
        </w:tc>
        <w:tc>
          <w:tcPr>
            <w:tcW w:w="3021" w:type="dxa"/>
            <w:vAlign w:val="center"/>
          </w:tcPr>
          <w:p w14:paraId="62F92413" w14:textId="77777777" w:rsidR="00EB1844" w:rsidRPr="00946B6B" w:rsidRDefault="00EB1844" w:rsidP="00FD2247">
            <w:pPr>
              <w:spacing w:before="0" w:after="0"/>
              <w:rPr>
                <w:rFonts w:ascii="Calibri" w:hAnsi="Calibri" w:cs="Calibri"/>
                <w:sz w:val="20"/>
                <w:szCs w:val="20"/>
              </w:rPr>
            </w:pPr>
          </w:p>
        </w:tc>
      </w:tr>
    </w:tbl>
    <w:p w14:paraId="21B7234D" w14:textId="56B84B37" w:rsidR="00441E9C" w:rsidRDefault="00441E9C" w:rsidP="00441E9C">
      <w:r w:rsidRPr="00455C8A">
        <w:rPr>
          <w:rStyle w:val="FuenteCar"/>
        </w:rPr>
        <w:t xml:space="preserve">Fuente: Elaboración propia con base en </w:t>
      </w:r>
      <w:r>
        <w:rPr>
          <w:rStyle w:val="FuenteCar"/>
        </w:rPr>
        <w:t>resultados de evaluaciones externas 2014,2015 y 2018.</w:t>
      </w:r>
    </w:p>
    <w:p w14:paraId="48E9D11F" w14:textId="77777777" w:rsidR="00EB1844" w:rsidRPr="00147A15" w:rsidRDefault="00EB1844" w:rsidP="00EB1844">
      <w:pPr>
        <w:spacing w:before="0" w:after="160" w:line="259" w:lineRule="auto"/>
        <w:ind w:left="360"/>
      </w:pPr>
    </w:p>
    <w:p w14:paraId="4D087099" w14:textId="77777777" w:rsidR="00EB1844" w:rsidRPr="00147A15" w:rsidRDefault="00EB1844" w:rsidP="00EB1844">
      <w:pPr>
        <w:spacing w:before="0" w:after="160" w:line="259" w:lineRule="auto"/>
      </w:pPr>
      <w:bookmarkStart w:id="87" w:name="_Toc485329964"/>
      <w:r>
        <w:br w:type="page"/>
      </w:r>
    </w:p>
    <w:p w14:paraId="57D46B5B" w14:textId="77777777" w:rsidR="00EB1844" w:rsidRDefault="00EB1844" w:rsidP="00EB1844">
      <w:pPr>
        <w:pStyle w:val="Ttulo1"/>
      </w:pPr>
      <w:bookmarkStart w:id="88" w:name="_Toc56423711"/>
      <w:r>
        <w:lastRenderedPageBreak/>
        <w:t>X. Análisis de Fortalezas, Oportunidades, Debilidades, Amenazas y Recomendaciones</w:t>
      </w:r>
      <w:bookmarkEnd w:id="88"/>
    </w:p>
    <w:tbl>
      <w:tblPr>
        <w:tblW w:w="0" w:type="auto"/>
        <w:jc w:val="center"/>
        <w:tblBorders>
          <w:insideH w:val="single" w:sz="24" w:space="0" w:color="4472C4" w:themeColor="accent5"/>
          <w:insideV w:val="single" w:sz="24" w:space="0" w:color="4472C4" w:themeColor="accent5"/>
        </w:tblBorders>
        <w:shd w:val="clear" w:color="auto" w:fill="F2F2F2" w:themeFill="background1" w:themeFillShade="F2"/>
        <w:tblLook w:val="04A0" w:firstRow="1" w:lastRow="0" w:firstColumn="1" w:lastColumn="0" w:noHBand="0" w:noVBand="1"/>
      </w:tblPr>
      <w:tblGrid>
        <w:gridCol w:w="4962"/>
        <w:gridCol w:w="4961"/>
      </w:tblGrid>
      <w:tr w:rsidR="00EB1844" w:rsidRPr="00B12DC3" w14:paraId="6D7EA890" w14:textId="77777777" w:rsidTr="00927B4B">
        <w:trPr>
          <w:jc w:val="center"/>
        </w:trPr>
        <w:tc>
          <w:tcPr>
            <w:tcW w:w="4962" w:type="dxa"/>
            <w:shd w:val="clear" w:color="auto" w:fill="F2F2F2" w:themeFill="background1" w:themeFillShade="F2"/>
          </w:tcPr>
          <w:p w14:paraId="0B2770BB" w14:textId="77777777" w:rsidR="00EB1844" w:rsidRPr="00B12DC3" w:rsidRDefault="00EB1844" w:rsidP="00873F11">
            <w:pPr>
              <w:spacing w:after="200"/>
              <w:jc w:val="left"/>
              <w:rPr>
                <w:rFonts w:ascii="Calibri" w:eastAsia="Times" w:hAnsi="Calibri" w:cs="Calibri"/>
                <w:b/>
                <w:iCs/>
              </w:rPr>
            </w:pPr>
            <w:r w:rsidRPr="00B12DC3">
              <w:rPr>
                <w:rFonts w:ascii="Calibri" w:eastAsia="Times" w:hAnsi="Calibri" w:cs="Calibri"/>
                <w:b/>
                <w:iCs/>
              </w:rPr>
              <w:t>FORTALEZAS</w:t>
            </w:r>
          </w:p>
          <w:p w14:paraId="171EF118" w14:textId="7AA4E26F" w:rsidR="00EB1844" w:rsidRPr="00D64131" w:rsidRDefault="0028397F" w:rsidP="00D64131">
            <w:pPr>
              <w:pStyle w:val="Prrafodelista"/>
              <w:numPr>
                <w:ilvl w:val="0"/>
                <w:numId w:val="8"/>
              </w:numPr>
              <w:spacing w:after="0"/>
              <w:ind w:left="318" w:hanging="425"/>
              <w:rPr>
                <w:rFonts w:ascii="Calibri" w:eastAsia="Calibri" w:hAnsi="Calibri" w:cs="Calibri"/>
              </w:rPr>
            </w:pPr>
            <w:r w:rsidRPr="00D64131">
              <w:rPr>
                <w:rFonts w:ascii="Calibri" w:eastAsia="Calibri" w:hAnsi="Calibri" w:cs="Calibri"/>
              </w:rPr>
              <w:t xml:space="preserve">Los resultados de las Aportaciones del FAFEF se documentan a través de tres fuentes de información; </w:t>
            </w:r>
            <w:r w:rsidR="00767085">
              <w:rPr>
                <w:rFonts w:ascii="Calibri" w:eastAsia="Calibri" w:hAnsi="Calibri" w:cs="Calibri"/>
              </w:rPr>
              <w:t>1) I</w:t>
            </w:r>
            <w:r w:rsidRPr="00D64131">
              <w:rPr>
                <w:rFonts w:ascii="Calibri" w:eastAsia="Calibri" w:hAnsi="Calibri" w:cs="Calibri"/>
              </w:rPr>
              <w:t xml:space="preserve">ndicadores de la MIR Federal del FAFEF, reportados mediante el SRFT; </w:t>
            </w:r>
            <w:r w:rsidR="00767085">
              <w:rPr>
                <w:rFonts w:ascii="Calibri" w:eastAsia="Calibri" w:hAnsi="Calibri" w:cs="Calibri"/>
              </w:rPr>
              <w:t>2) I</w:t>
            </w:r>
            <w:r w:rsidRPr="00D64131">
              <w:rPr>
                <w:rFonts w:ascii="Calibri" w:eastAsia="Calibri" w:hAnsi="Calibri" w:cs="Calibri"/>
              </w:rPr>
              <w:t xml:space="preserve">ndicadores de la MIR estatal específica para el FAFEF </w:t>
            </w:r>
            <w:r w:rsidR="00767085">
              <w:rPr>
                <w:rFonts w:ascii="Calibri" w:eastAsia="Calibri" w:hAnsi="Calibri" w:cs="Calibri"/>
              </w:rPr>
              <w:t xml:space="preserve">e </w:t>
            </w:r>
            <w:r w:rsidRPr="00D64131">
              <w:rPr>
                <w:rFonts w:ascii="Calibri" w:eastAsia="Calibri" w:hAnsi="Calibri" w:cs="Calibri"/>
              </w:rPr>
              <w:t xml:space="preserve">indicadores de los Pp que reciben financiamiento del Fondo; y </w:t>
            </w:r>
            <w:r w:rsidR="00767085">
              <w:rPr>
                <w:rFonts w:ascii="Calibri" w:eastAsia="Calibri" w:hAnsi="Calibri" w:cs="Calibri"/>
              </w:rPr>
              <w:t>3) R</w:t>
            </w:r>
            <w:r w:rsidRPr="00D64131">
              <w:rPr>
                <w:rFonts w:ascii="Calibri" w:eastAsia="Calibri" w:hAnsi="Calibri" w:cs="Calibri"/>
              </w:rPr>
              <w:t>esultados de las evaluaciones externas.</w:t>
            </w:r>
          </w:p>
          <w:p w14:paraId="20014F55" w14:textId="6C9A067C" w:rsidR="00EB1844" w:rsidRPr="00D64131" w:rsidRDefault="00767085" w:rsidP="00D64131">
            <w:pPr>
              <w:pStyle w:val="Prrafodelista"/>
              <w:numPr>
                <w:ilvl w:val="0"/>
                <w:numId w:val="8"/>
              </w:numPr>
              <w:spacing w:after="0"/>
              <w:ind w:left="318" w:hanging="318"/>
              <w:rPr>
                <w:rFonts w:ascii="Calibri" w:eastAsia="Calibri" w:hAnsi="Calibri" w:cs="Calibri"/>
              </w:rPr>
            </w:pPr>
            <w:r>
              <w:rPr>
                <w:rFonts w:eastAsia="Times New Roman" w:cstheme="minorHAnsi"/>
                <w:color w:val="000000"/>
                <w:lang w:eastAsia="es-MX"/>
              </w:rPr>
              <w:t>E</w:t>
            </w:r>
            <w:r w:rsidR="00161796" w:rsidRPr="00D64131">
              <w:rPr>
                <w:rFonts w:eastAsia="Times New Roman" w:cstheme="minorHAnsi"/>
                <w:color w:val="000000"/>
                <w:lang w:eastAsia="es-MX"/>
              </w:rPr>
              <w:t xml:space="preserve">xiste evidencia de que los hallazgos y recomendaciones derivadas de las evaluaciones externas han sido elementos a considerar para la toma de decisiones sobre la operación del </w:t>
            </w:r>
            <w:r>
              <w:rPr>
                <w:rFonts w:eastAsia="Times New Roman" w:cstheme="minorHAnsi"/>
                <w:color w:val="000000"/>
                <w:lang w:eastAsia="es-MX"/>
              </w:rPr>
              <w:t>FAFEF</w:t>
            </w:r>
            <w:r w:rsidRPr="00D64131">
              <w:rPr>
                <w:rFonts w:eastAsia="Times New Roman" w:cstheme="minorHAnsi"/>
                <w:color w:val="000000"/>
                <w:lang w:eastAsia="es-MX"/>
              </w:rPr>
              <w:t xml:space="preserve"> </w:t>
            </w:r>
            <w:r w:rsidR="00161796" w:rsidRPr="00D64131">
              <w:rPr>
                <w:rFonts w:eastAsia="Times New Roman" w:cstheme="minorHAnsi"/>
                <w:color w:val="000000"/>
                <w:lang w:eastAsia="es-MX"/>
              </w:rPr>
              <w:t>de manera regular e institucionalizada, lo que ha contribuido a mejorar la operación del Fondo y sus resultados</w:t>
            </w:r>
            <w:r w:rsidR="00603159" w:rsidRPr="00D64131">
              <w:rPr>
                <w:rFonts w:eastAsia="Times New Roman" w:cstheme="minorHAnsi"/>
                <w:color w:val="000000"/>
                <w:lang w:eastAsia="es-MX"/>
              </w:rPr>
              <w:t>.</w:t>
            </w:r>
          </w:p>
          <w:p w14:paraId="3F54B8F9" w14:textId="19F64C6A" w:rsidR="00603159" w:rsidRPr="00D64131" w:rsidRDefault="00603159" w:rsidP="00D64131">
            <w:pPr>
              <w:pStyle w:val="Prrafodelista"/>
              <w:numPr>
                <w:ilvl w:val="0"/>
                <w:numId w:val="8"/>
              </w:numPr>
              <w:spacing w:after="0"/>
              <w:ind w:left="318" w:hanging="318"/>
              <w:rPr>
                <w:rFonts w:ascii="Calibri" w:eastAsia="Calibri" w:hAnsi="Calibri" w:cs="Calibri"/>
              </w:rPr>
            </w:pPr>
            <w:r w:rsidRPr="00D64131">
              <w:rPr>
                <w:rFonts w:eastAsia="Times New Roman" w:cstheme="minorHAnsi"/>
                <w:color w:val="000000"/>
                <w:lang w:eastAsia="es-MX"/>
              </w:rPr>
              <w:t>Los rubros de gasto del FAFEF a los cuales se han destinado los recursos se alinean con el PEDH 2016-2022, con el PND 2013-2018 y con los ODS de la agenda 2030.</w:t>
            </w:r>
          </w:p>
          <w:p w14:paraId="01ED65F0" w14:textId="22FD8B72" w:rsidR="00603159" w:rsidRPr="00D64131" w:rsidRDefault="00603159" w:rsidP="00D64131">
            <w:pPr>
              <w:pStyle w:val="Prrafodelista"/>
              <w:numPr>
                <w:ilvl w:val="0"/>
                <w:numId w:val="8"/>
              </w:numPr>
              <w:spacing w:after="0"/>
              <w:ind w:left="318" w:hanging="318"/>
              <w:rPr>
                <w:rFonts w:ascii="Calibri" w:eastAsia="Calibri" w:hAnsi="Calibri" w:cs="Calibri"/>
              </w:rPr>
            </w:pPr>
            <w:r w:rsidRPr="00D64131">
              <w:rPr>
                <w:rFonts w:eastAsia="Times New Roman" w:cstheme="minorHAnsi"/>
                <w:color w:val="000000"/>
                <w:lang w:eastAsia="es-MX"/>
              </w:rPr>
              <w:t>A nivel estatal se cuenta con distintas plataformas (SIDET, SIFAP y SIIPPED) desarrolladas para vincular los procesos inherentes a la asignación, presupuestación, ejercicio, control y seguimiento de los de recursos que ejercen los distintos Pp.</w:t>
            </w:r>
          </w:p>
          <w:p w14:paraId="73DB64BC" w14:textId="0A8F71C6" w:rsidR="00815F6E" w:rsidRPr="00B74B08" w:rsidRDefault="00815F6E" w:rsidP="00D64131">
            <w:pPr>
              <w:pStyle w:val="Prrafodelista"/>
              <w:numPr>
                <w:ilvl w:val="0"/>
                <w:numId w:val="8"/>
              </w:numPr>
              <w:spacing w:after="0"/>
              <w:ind w:left="318" w:hanging="318"/>
              <w:rPr>
                <w:rFonts w:ascii="Calibri" w:eastAsia="Calibri" w:hAnsi="Calibri" w:cs="Calibri"/>
              </w:rPr>
            </w:pPr>
            <w:r w:rsidRPr="00D64131">
              <w:rPr>
                <w:rFonts w:eastAsia="Times New Roman" w:cstheme="minorHAnsi"/>
                <w:color w:val="000000"/>
                <w:lang w:eastAsia="es-MX"/>
              </w:rPr>
              <w:t xml:space="preserve">Los resultados </w:t>
            </w:r>
            <w:r w:rsidR="005C652F">
              <w:rPr>
                <w:rFonts w:eastAsia="Times New Roman" w:cstheme="minorHAnsi"/>
                <w:color w:val="000000"/>
                <w:lang w:eastAsia="es-MX"/>
              </w:rPr>
              <w:t>s</w:t>
            </w:r>
            <w:r w:rsidRPr="00D64131">
              <w:rPr>
                <w:rFonts w:eastAsia="Times New Roman" w:cstheme="minorHAnsi"/>
                <w:color w:val="000000"/>
                <w:lang w:eastAsia="es-MX"/>
              </w:rPr>
              <w:t xml:space="preserve">e documentan a través de indicadores reportados </w:t>
            </w:r>
            <w:r w:rsidR="005C652F">
              <w:rPr>
                <w:rFonts w:eastAsia="Times New Roman" w:cstheme="minorHAnsi"/>
                <w:color w:val="000000"/>
                <w:lang w:eastAsia="es-MX"/>
              </w:rPr>
              <w:t xml:space="preserve">en el SRFT, </w:t>
            </w:r>
            <w:r w:rsidRPr="00D64131">
              <w:rPr>
                <w:rFonts w:eastAsia="Times New Roman" w:cstheme="minorHAnsi"/>
                <w:color w:val="000000"/>
                <w:lang w:eastAsia="es-MX"/>
              </w:rPr>
              <w:t xml:space="preserve">SIIPPED y las evaluaciones externas que se han realizado al </w:t>
            </w:r>
            <w:r w:rsidRPr="00B74B08">
              <w:rPr>
                <w:rFonts w:eastAsia="Times New Roman" w:cstheme="minorHAnsi"/>
                <w:color w:val="000000"/>
                <w:lang w:eastAsia="es-MX"/>
              </w:rPr>
              <w:t>Fondo.</w:t>
            </w:r>
          </w:p>
          <w:p w14:paraId="19A8F8F7" w14:textId="75798CBE" w:rsidR="00815F6E" w:rsidRPr="00B74B08" w:rsidRDefault="008128BC" w:rsidP="00D64131">
            <w:pPr>
              <w:pStyle w:val="Prrafodelista"/>
              <w:numPr>
                <w:ilvl w:val="0"/>
                <w:numId w:val="8"/>
              </w:numPr>
              <w:spacing w:after="0"/>
              <w:ind w:left="318" w:hanging="318"/>
              <w:rPr>
                <w:rFonts w:ascii="Calibri" w:eastAsia="Calibri" w:hAnsi="Calibri" w:cs="Calibri"/>
              </w:rPr>
            </w:pPr>
            <w:r w:rsidRPr="00B74B08">
              <w:rPr>
                <w:rFonts w:eastAsia="Times New Roman" w:cstheme="minorHAnsi"/>
                <w:color w:val="000000"/>
                <w:lang w:eastAsia="es-MX"/>
              </w:rPr>
              <w:t xml:space="preserve">El Fondo complementa </w:t>
            </w:r>
            <w:r w:rsidR="00815F6E" w:rsidRPr="00B74B08">
              <w:rPr>
                <w:rFonts w:eastAsia="Times New Roman" w:cstheme="minorHAnsi"/>
                <w:color w:val="000000"/>
                <w:lang w:eastAsia="es-MX"/>
              </w:rPr>
              <w:t>diversos Pp del Estado dado que complementa los recursos para llevar a cabo la implementación de obra pública a nivel estatal.</w:t>
            </w:r>
          </w:p>
          <w:p w14:paraId="66615A4D" w14:textId="02929A77" w:rsidR="00815F6E" w:rsidRPr="00D64131" w:rsidRDefault="005C652F" w:rsidP="00D64131">
            <w:pPr>
              <w:pStyle w:val="Prrafodelista"/>
              <w:numPr>
                <w:ilvl w:val="0"/>
                <w:numId w:val="8"/>
              </w:numPr>
              <w:spacing w:after="0"/>
              <w:ind w:left="318" w:hanging="318"/>
              <w:rPr>
                <w:rFonts w:ascii="Calibri" w:eastAsia="Calibri" w:hAnsi="Calibri" w:cs="Calibri"/>
              </w:rPr>
            </w:pPr>
            <w:r>
              <w:rPr>
                <w:rFonts w:eastAsia="Times New Roman" w:cstheme="minorHAnsi"/>
                <w:color w:val="000000"/>
                <w:lang w:eastAsia="es-MX"/>
              </w:rPr>
              <w:t>S</w:t>
            </w:r>
            <w:r w:rsidR="00815F6E" w:rsidRPr="00D64131">
              <w:rPr>
                <w:rFonts w:eastAsia="Times New Roman" w:cstheme="minorHAnsi"/>
                <w:color w:val="000000"/>
                <w:lang w:eastAsia="es-MX"/>
              </w:rPr>
              <w:t>e cuenta con mecanismos que permite la adecuada transparencia el manejo de los recursos, dad</w:t>
            </w:r>
            <w:r>
              <w:rPr>
                <w:rFonts w:eastAsia="Times New Roman" w:cstheme="minorHAnsi"/>
                <w:color w:val="000000"/>
                <w:lang w:eastAsia="es-MX"/>
              </w:rPr>
              <w:t>o que</w:t>
            </w:r>
            <w:r w:rsidR="00815F6E" w:rsidRPr="00D64131">
              <w:rPr>
                <w:rFonts w:eastAsia="Times New Roman" w:cstheme="minorHAnsi"/>
                <w:color w:val="000000"/>
                <w:lang w:eastAsia="es-MX"/>
              </w:rPr>
              <w:t xml:space="preserve"> la información sobre el ejercicio de los recursos se reporta tanto por medios federales como estatales y están disponibles para su consulta en la página web de transparencia del gobierno del Estado.</w:t>
            </w:r>
          </w:p>
          <w:p w14:paraId="0EE34806" w14:textId="4D3C7B3B" w:rsidR="00815F6E" w:rsidRPr="00D64131" w:rsidRDefault="00815F6E" w:rsidP="00D64131">
            <w:pPr>
              <w:pStyle w:val="Prrafodelista"/>
              <w:numPr>
                <w:ilvl w:val="0"/>
                <w:numId w:val="8"/>
              </w:numPr>
              <w:spacing w:after="0"/>
              <w:ind w:left="318" w:hanging="318"/>
              <w:rPr>
                <w:rFonts w:ascii="Calibri" w:eastAsia="Calibri" w:hAnsi="Calibri" w:cs="Calibri"/>
              </w:rPr>
            </w:pPr>
            <w:r w:rsidRPr="00D64131">
              <w:rPr>
                <w:rFonts w:eastAsia="Times New Roman" w:cstheme="minorHAnsi"/>
                <w:color w:val="000000"/>
                <w:lang w:eastAsia="es-MX"/>
              </w:rPr>
              <w:t xml:space="preserve">En el PTFSFP se puede constatar el avance en la consecución de los objetivos planteados por el Fondo tanto en su MIR federal como en las MIR de </w:t>
            </w:r>
            <w:r w:rsidRPr="00D64131">
              <w:rPr>
                <w:rFonts w:eastAsia="Times New Roman" w:cstheme="minorHAnsi"/>
                <w:color w:val="000000"/>
                <w:lang w:eastAsia="es-MX"/>
              </w:rPr>
              <w:lastRenderedPageBreak/>
              <w:t>los Pp a través de los informes de avances y el monitoreo de indicadores, respectivamente.</w:t>
            </w:r>
          </w:p>
          <w:p w14:paraId="7C48747E" w14:textId="02AA12DE" w:rsidR="00815F6E" w:rsidRPr="00B12DC3" w:rsidRDefault="00815F6E" w:rsidP="00D64131">
            <w:pPr>
              <w:pStyle w:val="Prrafodelista"/>
              <w:numPr>
                <w:ilvl w:val="0"/>
                <w:numId w:val="8"/>
              </w:numPr>
              <w:spacing w:after="0"/>
              <w:ind w:left="318" w:hanging="318"/>
              <w:rPr>
                <w:rFonts w:ascii="Calibri" w:eastAsia="Calibri" w:hAnsi="Calibri" w:cs="Calibri"/>
              </w:rPr>
            </w:pPr>
            <w:r w:rsidRPr="00D64131">
              <w:rPr>
                <w:rFonts w:eastAsia="Times New Roman" w:cstheme="minorHAnsi"/>
                <w:color w:val="000000"/>
                <w:lang w:eastAsia="es-MX"/>
              </w:rPr>
              <w:t>Los resultados de la aplicación de los recursos del FAFEF, medidos a través de los indicadores que se reportan al SRFT, reflejan un avance significativo a nivel de Fin y Propósito</w:t>
            </w:r>
          </w:p>
          <w:p w14:paraId="6D4D2573" w14:textId="77777777" w:rsidR="00EB1844" w:rsidRPr="00B12DC3" w:rsidRDefault="00EB1844" w:rsidP="00927B4B">
            <w:pPr>
              <w:rPr>
                <w:rFonts w:ascii="Calibri" w:eastAsia="Calibri" w:hAnsi="Calibri" w:cs="Calibri"/>
              </w:rPr>
            </w:pPr>
          </w:p>
        </w:tc>
        <w:tc>
          <w:tcPr>
            <w:tcW w:w="4961" w:type="dxa"/>
            <w:shd w:val="clear" w:color="auto" w:fill="F2F2F2" w:themeFill="background1" w:themeFillShade="F2"/>
          </w:tcPr>
          <w:p w14:paraId="43A2A81C" w14:textId="77777777" w:rsidR="00EB1844" w:rsidRPr="00B12DC3" w:rsidRDefault="00EB1844" w:rsidP="00873F11">
            <w:pPr>
              <w:spacing w:after="200"/>
              <w:jc w:val="left"/>
              <w:rPr>
                <w:rFonts w:ascii="Calibri" w:eastAsia="Times" w:hAnsi="Calibri" w:cs="Calibri"/>
                <w:b/>
                <w:iCs/>
              </w:rPr>
            </w:pPr>
            <w:r w:rsidRPr="00B12DC3">
              <w:rPr>
                <w:rFonts w:ascii="Calibri" w:eastAsia="Times" w:hAnsi="Calibri" w:cs="Calibri"/>
                <w:b/>
                <w:iCs/>
              </w:rPr>
              <w:lastRenderedPageBreak/>
              <w:t>DEBILIDADES</w:t>
            </w:r>
          </w:p>
          <w:p w14:paraId="5092599B" w14:textId="05BA464F" w:rsidR="00EB1844" w:rsidRPr="00873F11" w:rsidRDefault="0028397F" w:rsidP="00873F11">
            <w:pPr>
              <w:pStyle w:val="Prrafodelista"/>
              <w:numPr>
                <w:ilvl w:val="0"/>
                <w:numId w:val="8"/>
              </w:numPr>
              <w:spacing w:after="0"/>
              <w:ind w:left="312" w:hanging="312"/>
              <w:rPr>
                <w:rFonts w:ascii="Calibri" w:hAnsi="Calibri" w:cs="Calibri"/>
              </w:rPr>
            </w:pPr>
            <w:r w:rsidRPr="00873F11">
              <w:rPr>
                <w:rFonts w:ascii="Calibri" w:hAnsi="Calibri" w:cs="Calibri"/>
              </w:rPr>
              <w:t>Aunque se cuenta con un documento diagnóstico, este no se estructura en un árbol de problemas, no se identifica un problema central dentro del entorno de política pública al que respondería el FAFEF y tampoco se presenta un árbol de objetivos. En este documento tampoco se realiza un diagnóstico específico sobre las problemáticas que se atienden con los recursos del FAFEF.</w:t>
            </w:r>
          </w:p>
          <w:p w14:paraId="4F8F0282" w14:textId="77777777" w:rsidR="00EB1844" w:rsidRPr="00873F11" w:rsidRDefault="0028397F" w:rsidP="00873F11">
            <w:pPr>
              <w:pStyle w:val="Prrafodelista"/>
              <w:numPr>
                <w:ilvl w:val="0"/>
                <w:numId w:val="8"/>
              </w:numPr>
              <w:spacing w:after="0"/>
              <w:ind w:left="312" w:hanging="312"/>
              <w:rPr>
                <w:rFonts w:ascii="Calibri" w:hAnsi="Calibri" w:cs="Calibri"/>
              </w:rPr>
            </w:pPr>
            <w:r w:rsidRPr="00873F11">
              <w:rPr>
                <w:rFonts w:ascii="Calibri" w:hAnsi="Calibri" w:cs="Calibri"/>
              </w:rPr>
              <w:t>No existe un documento de planeación estratégica específico para el FAFEF en la entidad federativa. La planeación de los recursos de este Fondo obedece al PEDH 2016-2022.</w:t>
            </w:r>
          </w:p>
          <w:p w14:paraId="59EFA8B4" w14:textId="77777777" w:rsidR="00603159" w:rsidRPr="00873F11" w:rsidRDefault="00603159" w:rsidP="00873F11">
            <w:pPr>
              <w:pStyle w:val="Prrafodelista"/>
              <w:numPr>
                <w:ilvl w:val="0"/>
                <w:numId w:val="8"/>
              </w:numPr>
              <w:spacing w:after="0"/>
              <w:ind w:left="312" w:hanging="312"/>
              <w:rPr>
                <w:rFonts w:ascii="Calibri" w:hAnsi="Calibri" w:cs="Calibri"/>
              </w:rPr>
            </w:pPr>
            <w:r w:rsidRPr="00873F11">
              <w:rPr>
                <w:rFonts w:eastAsia="Times New Roman" w:cstheme="minorHAnsi"/>
                <w:lang w:eastAsia="es-MX"/>
              </w:rPr>
              <w:t>No se identificó evidencia que sustente la consideración de la información de desempeño del FAFEF para la toma de decisiones relacionada con el establecimiento de metas, la asignación de recursos, la distribución de actividades o la selección geográfica de población o área a atenderse. Los ASM derivados de las evaluaciones se han centrado sobre todo en mejorar la operación del FAFEF en la entidad federativa, lo que limita el uso de la información para el establecimiento de metas, asignación de recursos, distribución de actividades y selección geográfica de la población a atenderse.</w:t>
            </w:r>
          </w:p>
          <w:p w14:paraId="4A4E1CD6" w14:textId="77777777" w:rsidR="00603159" w:rsidRPr="00873F11" w:rsidRDefault="00603159" w:rsidP="00873F11">
            <w:pPr>
              <w:pStyle w:val="Prrafodelista"/>
              <w:numPr>
                <w:ilvl w:val="0"/>
                <w:numId w:val="8"/>
              </w:numPr>
              <w:spacing w:after="0"/>
              <w:ind w:left="312" w:hanging="312"/>
              <w:rPr>
                <w:rFonts w:ascii="Calibri" w:hAnsi="Calibri" w:cs="Calibri"/>
              </w:rPr>
            </w:pPr>
            <w:r w:rsidRPr="00873F11">
              <w:rPr>
                <w:rFonts w:eastAsia="Times New Roman" w:cstheme="minorHAnsi"/>
                <w:lang w:eastAsia="es-MX"/>
              </w:rPr>
              <w:t>No se encontró evidencia documental de la definición de un plan estratégico para el FAFEF en la entidad federativa.</w:t>
            </w:r>
          </w:p>
          <w:p w14:paraId="2BA7417B" w14:textId="3AE0823A" w:rsidR="00603159" w:rsidRPr="00873F11" w:rsidRDefault="00603159" w:rsidP="00873F11">
            <w:pPr>
              <w:pStyle w:val="Prrafodelista"/>
              <w:numPr>
                <w:ilvl w:val="0"/>
                <w:numId w:val="8"/>
              </w:numPr>
              <w:spacing w:after="0"/>
              <w:ind w:left="312" w:hanging="312"/>
              <w:rPr>
                <w:rFonts w:ascii="Calibri" w:hAnsi="Calibri" w:cs="Calibri"/>
              </w:rPr>
            </w:pPr>
            <w:r w:rsidRPr="00873F11">
              <w:rPr>
                <w:rFonts w:eastAsia="Times New Roman" w:cstheme="minorHAnsi"/>
                <w:lang w:eastAsia="es-MX"/>
              </w:rPr>
              <w:t xml:space="preserve">El FAFEF no cuenta con un Plan Anual de Trabajo (PAT) que sea producto de ejercicios de planeación institucionalizados, considere los entregables o </w:t>
            </w:r>
            <w:r w:rsidR="00DE67FD">
              <w:rPr>
                <w:rFonts w:eastAsia="Times New Roman" w:cstheme="minorHAnsi"/>
                <w:lang w:eastAsia="es-MX"/>
              </w:rPr>
              <w:t>C</w:t>
            </w:r>
            <w:r w:rsidRPr="00873F11">
              <w:rPr>
                <w:rFonts w:eastAsia="Times New Roman" w:cstheme="minorHAnsi"/>
                <w:lang w:eastAsia="es-MX"/>
              </w:rPr>
              <w:t>omponentes que se producen con el presupuesto del FAFEF, establezca metas u objetivos para el logo del propósito del Fondo y se revise y actualice periódicamente.</w:t>
            </w:r>
          </w:p>
          <w:p w14:paraId="639FF290" w14:textId="51F0B2DA" w:rsidR="00603159" w:rsidRPr="00873F11" w:rsidRDefault="00CF7374" w:rsidP="00873F11">
            <w:pPr>
              <w:pStyle w:val="Prrafodelista"/>
              <w:numPr>
                <w:ilvl w:val="0"/>
                <w:numId w:val="8"/>
              </w:numPr>
              <w:spacing w:after="0"/>
              <w:ind w:left="312" w:hanging="312"/>
              <w:rPr>
                <w:rFonts w:ascii="Calibri" w:hAnsi="Calibri" w:cs="Calibri"/>
              </w:rPr>
            </w:pPr>
            <w:r>
              <w:rPr>
                <w:rFonts w:eastAsia="Times New Roman" w:cstheme="minorHAnsi"/>
                <w:lang w:eastAsia="es-MX"/>
              </w:rPr>
              <w:t>N</w:t>
            </w:r>
            <w:r w:rsidR="00603159" w:rsidRPr="00873F11">
              <w:rPr>
                <w:rFonts w:eastAsia="Times New Roman" w:cstheme="minorHAnsi"/>
                <w:lang w:eastAsia="es-MX"/>
              </w:rPr>
              <w:t>o se dispone de una definición, identificación ni cuantificación precisa de la población potencial, objetivo y atendida mediante los recursos del Fondo.</w:t>
            </w:r>
          </w:p>
          <w:p w14:paraId="2715C169" w14:textId="13CC7D2B" w:rsidR="00815F6E" w:rsidRPr="00873F11" w:rsidRDefault="00F44511" w:rsidP="00873F11">
            <w:pPr>
              <w:pStyle w:val="Prrafodelista"/>
              <w:numPr>
                <w:ilvl w:val="0"/>
                <w:numId w:val="8"/>
              </w:numPr>
              <w:spacing w:after="0"/>
              <w:ind w:left="312" w:hanging="312"/>
              <w:rPr>
                <w:rFonts w:ascii="Calibri" w:hAnsi="Calibri" w:cs="Calibri"/>
              </w:rPr>
            </w:pPr>
            <w:r>
              <w:rPr>
                <w:rFonts w:eastAsia="Times New Roman" w:cstheme="minorHAnsi"/>
                <w:color w:val="000000"/>
                <w:lang w:eastAsia="es-MX"/>
              </w:rPr>
              <w:t>N</w:t>
            </w:r>
            <w:r w:rsidR="00815F6E" w:rsidRPr="00873F11">
              <w:rPr>
                <w:rFonts w:eastAsia="Times New Roman" w:cstheme="minorHAnsi"/>
                <w:color w:val="000000"/>
                <w:lang w:eastAsia="es-MX"/>
              </w:rPr>
              <w:t xml:space="preserve">o se cuenta con un mecanismo o proceso exclusivo del FAFEF para la generación o </w:t>
            </w:r>
            <w:r w:rsidR="00815F6E" w:rsidRPr="00873F11">
              <w:rPr>
                <w:rFonts w:eastAsia="Times New Roman" w:cstheme="minorHAnsi"/>
                <w:color w:val="000000"/>
                <w:lang w:eastAsia="es-MX"/>
              </w:rPr>
              <w:lastRenderedPageBreak/>
              <w:t>administración de información sobre su operación con la intención de mejorar su desempeño.</w:t>
            </w:r>
          </w:p>
          <w:p w14:paraId="4A10227C" w14:textId="6807D7DF" w:rsidR="00815F6E" w:rsidRPr="00873F11" w:rsidRDefault="00815F6E" w:rsidP="00873F11">
            <w:pPr>
              <w:pStyle w:val="Prrafodelista"/>
              <w:numPr>
                <w:ilvl w:val="0"/>
                <w:numId w:val="8"/>
              </w:numPr>
              <w:spacing w:after="0"/>
              <w:ind w:left="312" w:hanging="312"/>
              <w:rPr>
                <w:rFonts w:ascii="Calibri" w:hAnsi="Calibri" w:cs="Calibri"/>
              </w:rPr>
            </w:pPr>
            <w:r w:rsidRPr="00873F11">
              <w:rPr>
                <w:rFonts w:eastAsia="Times New Roman" w:cstheme="minorHAnsi"/>
                <w:color w:val="000000"/>
                <w:lang w:eastAsia="es-MX"/>
              </w:rPr>
              <w:t>Si bien para la integración del PPEE se consideran las decisiones de las mesas de trabajo y en la asignación de los recursos del Fondo participan diferentes dependencias, la asignación de los recursos se da de manera global y para cada sector estratégico del PEDH 2016-2022.</w:t>
            </w:r>
          </w:p>
          <w:p w14:paraId="0A249974" w14:textId="77777777" w:rsidR="00815F6E" w:rsidRPr="00873F11" w:rsidRDefault="00815F6E" w:rsidP="00873F11">
            <w:pPr>
              <w:pStyle w:val="Prrafodelista"/>
              <w:numPr>
                <w:ilvl w:val="0"/>
                <w:numId w:val="8"/>
              </w:numPr>
              <w:spacing w:after="0"/>
              <w:ind w:left="312" w:hanging="312"/>
              <w:rPr>
                <w:rFonts w:ascii="Calibri" w:hAnsi="Calibri" w:cs="Calibri"/>
              </w:rPr>
            </w:pPr>
            <w:r w:rsidRPr="00873F11">
              <w:rPr>
                <w:rFonts w:eastAsia="Times New Roman" w:cstheme="minorHAnsi"/>
                <w:color w:val="000000"/>
                <w:lang w:eastAsia="es-MX"/>
              </w:rPr>
              <w:t>No se define con claridad los procesos que se deben seguir para la ejecución de todos los rubros de gasto del FAFEF en la entidad, por lo tanto, los procedimientos para el ejercicio, no se encuentran homologados.</w:t>
            </w:r>
          </w:p>
          <w:p w14:paraId="06D9D2F5" w14:textId="391F9EA1" w:rsidR="00815F6E" w:rsidRPr="00B12DC3" w:rsidRDefault="00815F6E" w:rsidP="00873F11">
            <w:pPr>
              <w:pStyle w:val="Prrafodelista"/>
              <w:numPr>
                <w:ilvl w:val="0"/>
                <w:numId w:val="8"/>
              </w:numPr>
              <w:spacing w:after="0"/>
              <w:ind w:left="312" w:hanging="312"/>
              <w:rPr>
                <w:rFonts w:ascii="Calibri" w:hAnsi="Calibri" w:cs="Calibri"/>
              </w:rPr>
            </w:pPr>
            <w:r w:rsidRPr="00873F11">
              <w:rPr>
                <w:rFonts w:eastAsia="Times New Roman" w:cstheme="minorHAnsi"/>
                <w:color w:val="000000"/>
                <w:lang w:eastAsia="es-MX"/>
              </w:rPr>
              <w:t>La entidad federativa no cuenta con procesos institucionalizados y estandarizados para supervisar el ejercicio de los recursos del FAFEF de una manera integral, es decir procesos homogéneos que consideren la posibilidad de utilizar los recursos en cualquiera de los nueve rubros establecidos en la LCF, independientemente del uso que se le dé en el Estado.</w:t>
            </w:r>
          </w:p>
        </w:tc>
      </w:tr>
      <w:tr w:rsidR="00EB1844" w:rsidRPr="00B12DC3" w14:paraId="6CDB0195" w14:textId="77777777" w:rsidTr="00927B4B">
        <w:trPr>
          <w:jc w:val="center"/>
        </w:trPr>
        <w:tc>
          <w:tcPr>
            <w:tcW w:w="4962" w:type="dxa"/>
            <w:shd w:val="clear" w:color="auto" w:fill="F2F2F2" w:themeFill="background1" w:themeFillShade="F2"/>
          </w:tcPr>
          <w:p w14:paraId="2F1598EB" w14:textId="77777777" w:rsidR="00EB1844" w:rsidRPr="00B12DC3" w:rsidRDefault="00EB1844" w:rsidP="00FB07A9">
            <w:pPr>
              <w:spacing w:after="200"/>
              <w:jc w:val="left"/>
              <w:rPr>
                <w:rFonts w:ascii="Calibri" w:eastAsia="Times" w:hAnsi="Calibri" w:cs="Calibri"/>
                <w:b/>
                <w:iCs/>
              </w:rPr>
            </w:pPr>
            <w:r w:rsidRPr="00B12DC3">
              <w:rPr>
                <w:rFonts w:ascii="Calibri" w:eastAsia="Times" w:hAnsi="Calibri" w:cs="Calibri"/>
                <w:b/>
                <w:iCs/>
              </w:rPr>
              <w:lastRenderedPageBreak/>
              <w:t>OPORTUNIDADES</w:t>
            </w:r>
          </w:p>
          <w:p w14:paraId="6FA4E9A1" w14:textId="040A4D7B" w:rsidR="00EB1844" w:rsidRPr="00DF719F" w:rsidRDefault="0028397F" w:rsidP="00DF719F">
            <w:pPr>
              <w:pStyle w:val="Prrafodelista"/>
              <w:numPr>
                <w:ilvl w:val="0"/>
                <w:numId w:val="8"/>
              </w:numPr>
              <w:spacing w:after="0"/>
              <w:ind w:left="318" w:hanging="426"/>
              <w:rPr>
                <w:rFonts w:ascii="Calibri" w:hAnsi="Calibri" w:cs="Calibri"/>
              </w:rPr>
            </w:pPr>
            <w:r w:rsidRPr="00DF719F">
              <w:rPr>
                <w:rFonts w:ascii="Calibri" w:hAnsi="Calibri" w:cs="Calibri"/>
              </w:rPr>
              <w:t>En la construcción de la MIR estatal para el FAFEF no se visualiza que se haya seguido la metodología SHCP-CONEVAL, puesto que no se estructura a partir de un árbol de problemas y objetivos</w:t>
            </w:r>
          </w:p>
          <w:p w14:paraId="7EA8617B" w14:textId="77777777" w:rsidR="00EB1844" w:rsidRPr="00DF719F" w:rsidRDefault="0028397F" w:rsidP="00DF719F">
            <w:pPr>
              <w:pStyle w:val="Prrafodelista"/>
              <w:numPr>
                <w:ilvl w:val="0"/>
                <w:numId w:val="8"/>
              </w:numPr>
              <w:spacing w:after="0"/>
              <w:ind w:left="318"/>
              <w:rPr>
                <w:rFonts w:ascii="Calibri" w:eastAsia="Times" w:hAnsi="Calibri" w:cs="Calibri"/>
                <w:iCs/>
              </w:rPr>
            </w:pPr>
            <w:r w:rsidRPr="00DF719F">
              <w:rPr>
                <w:rFonts w:ascii="Calibri" w:eastAsia="Times" w:hAnsi="Calibri" w:cs="Calibri"/>
                <w:iCs/>
              </w:rPr>
              <w:t>No se contó con información en la que se puede verificar los criterios para el establecimiento de metas para los indicadores de la MIR federal, MIR estatal del Fondo y Mir de los Pp</w:t>
            </w:r>
            <w:r w:rsidR="00161796" w:rsidRPr="00DF719F">
              <w:rPr>
                <w:rFonts w:ascii="Calibri" w:eastAsia="Times" w:hAnsi="Calibri" w:cs="Calibri"/>
                <w:iCs/>
              </w:rPr>
              <w:t>.</w:t>
            </w:r>
          </w:p>
          <w:p w14:paraId="7F4DFE19" w14:textId="2CAD5105" w:rsidR="00161796" w:rsidRPr="00DF719F" w:rsidRDefault="00161796" w:rsidP="00DF719F">
            <w:pPr>
              <w:pStyle w:val="Prrafodelista"/>
              <w:numPr>
                <w:ilvl w:val="0"/>
                <w:numId w:val="8"/>
              </w:numPr>
              <w:spacing w:after="0"/>
              <w:ind w:left="318"/>
              <w:rPr>
                <w:rFonts w:ascii="Calibri" w:eastAsia="Times" w:hAnsi="Calibri" w:cs="Calibri"/>
                <w:iCs/>
              </w:rPr>
            </w:pPr>
            <w:r w:rsidRPr="00DF719F">
              <w:rPr>
                <w:rFonts w:eastAsia="Times New Roman" w:cstheme="minorHAnsi"/>
                <w:color w:val="000000"/>
                <w:lang w:eastAsia="es-MX"/>
              </w:rPr>
              <w:t>L</w:t>
            </w:r>
            <w:r w:rsidRPr="00DF719F">
              <w:t xml:space="preserve">os indicadores a nivel de Fin y Propósito de la MIR estatal para el </w:t>
            </w:r>
            <w:r w:rsidR="009E71EB" w:rsidRPr="00DF719F">
              <w:t>FAFEF</w:t>
            </w:r>
            <w:r w:rsidRPr="00DF719F">
              <w:t xml:space="preserve"> son adecuados y se vinculan con los indicadores de la MIR federal, sin embargo, a nivel de Componentes y Actividades sólo miden la ejecución de los proyectos de inversión ejecutados en el ejercicio fiscal.</w:t>
            </w:r>
          </w:p>
          <w:p w14:paraId="7741F4B6" w14:textId="77777777" w:rsidR="00161796" w:rsidRPr="00DF719F" w:rsidRDefault="00161796" w:rsidP="00DF719F">
            <w:pPr>
              <w:pStyle w:val="Prrafodelista"/>
              <w:numPr>
                <w:ilvl w:val="0"/>
                <w:numId w:val="8"/>
              </w:numPr>
              <w:spacing w:after="0"/>
              <w:ind w:left="318"/>
              <w:rPr>
                <w:rFonts w:ascii="Calibri" w:eastAsia="Times" w:hAnsi="Calibri" w:cs="Calibri"/>
                <w:iCs/>
              </w:rPr>
            </w:pPr>
            <w:r w:rsidRPr="00DF719F">
              <w:rPr>
                <w:rFonts w:eastAsia="Times New Roman" w:cstheme="minorHAnsi"/>
                <w:color w:val="000000"/>
                <w:lang w:eastAsia="es-MX"/>
              </w:rPr>
              <w:t>Los planes anuales de trabajo son establecidos por las dependencias del Estado, y el FAFEF representa una de las fuentes de financiamiento con las que se operan dichos planes. No obstante, lo anterior, no se encontró evidencia documental de un PAT de la SFPGEH, específico para el Fondo</w:t>
            </w:r>
            <w:r w:rsidR="00815F6E" w:rsidRPr="00DF719F">
              <w:rPr>
                <w:rFonts w:eastAsia="Times New Roman" w:cstheme="minorHAnsi"/>
                <w:color w:val="000000"/>
                <w:lang w:eastAsia="es-MX"/>
              </w:rPr>
              <w:t>.</w:t>
            </w:r>
          </w:p>
          <w:p w14:paraId="5DFCECF1" w14:textId="77777777" w:rsidR="00815F6E" w:rsidRPr="00DF719F" w:rsidRDefault="00815F6E" w:rsidP="00DF719F">
            <w:pPr>
              <w:pStyle w:val="Prrafodelista"/>
              <w:numPr>
                <w:ilvl w:val="0"/>
                <w:numId w:val="8"/>
              </w:numPr>
              <w:spacing w:after="0"/>
              <w:ind w:left="318"/>
              <w:rPr>
                <w:rFonts w:ascii="Calibri" w:eastAsia="Times" w:hAnsi="Calibri" w:cs="Calibri"/>
                <w:iCs/>
              </w:rPr>
            </w:pPr>
            <w:r w:rsidRPr="00DF719F">
              <w:rPr>
                <w:rFonts w:eastAsia="Times New Roman" w:cstheme="minorHAnsi"/>
                <w:color w:val="000000"/>
                <w:lang w:eastAsia="es-MX"/>
              </w:rPr>
              <w:t>No se identificaron ejercicios para fomentar una coordinación eficaz y continua entre la dependencia coordinadora, el gobierno de la entidad federativa y las instancias ejecutoras.</w:t>
            </w:r>
          </w:p>
          <w:p w14:paraId="66F6072B" w14:textId="77777777" w:rsidR="00815F6E" w:rsidRPr="00DF719F" w:rsidRDefault="00815F6E" w:rsidP="00DF719F">
            <w:pPr>
              <w:pStyle w:val="Prrafodelista"/>
              <w:numPr>
                <w:ilvl w:val="0"/>
                <w:numId w:val="8"/>
              </w:numPr>
              <w:spacing w:after="0"/>
              <w:ind w:left="318"/>
              <w:rPr>
                <w:rFonts w:ascii="Calibri" w:eastAsia="Times" w:hAnsi="Calibri" w:cs="Calibri"/>
                <w:iCs/>
              </w:rPr>
            </w:pPr>
            <w:r w:rsidRPr="00DF719F">
              <w:rPr>
                <w:rFonts w:eastAsia="Times New Roman" w:cstheme="minorHAnsi"/>
                <w:color w:val="000000"/>
                <w:lang w:eastAsia="es-MX"/>
              </w:rPr>
              <w:lastRenderedPageBreak/>
              <w:t>Los resultados que se miden a través de la MIR estatal del FAFEF no se encuentran publicados en la página web transparencia del gobierno del Estado.</w:t>
            </w:r>
          </w:p>
          <w:p w14:paraId="77B59DE8" w14:textId="77777777" w:rsidR="00815F6E" w:rsidRPr="00DF719F" w:rsidRDefault="00815F6E" w:rsidP="00DF719F">
            <w:pPr>
              <w:pStyle w:val="Prrafodelista"/>
              <w:numPr>
                <w:ilvl w:val="0"/>
                <w:numId w:val="8"/>
              </w:numPr>
              <w:spacing w:after="0"/>
              <w:ind w:left="318"/>
              <w:rPr>
                <w:rFonts w:ascii="Calibri" w:eastAsia="Times" w:hAnsi="Calibri" w:cs="Calibri"/>
                <w:iCs/>
              </w:rPr>
            </w:pPr>
            <w:r w:rsidRPr="00DF719F">
              <w:rPr>
                <w:rFonts w:eastAsia="Times New Roman" w:cstheme="minorHAnsi"/>
                <w:color w:val="000000"/>
                <w:lang w:eastAsia="es-MX"/>
              </w:rPr>
              <w:t>Aunque la entidad federativa cuenta con una MIR específica para el FAFEF, no fue posible localizar los resultados medidos a través de los indicadores de esta, en su portal de transparencia ni en la página web de la SFP.</w:t>
            </w:r>
          </w:p>
          <w:p w14:paraId="2C7DF6F1" w14:textId="0D77CB3D" w:rsidR="00815F6E" w:rsidRPr="00B12DC3" w:rsidRDefault="00815F6E" w:rsidP="00DF719F">
            <w:pPr>
              <w:pStyle w:val="Prrafodelista"/>
              <w:numPr>
                <w:ilvl w:val="0"/>
                <w:numId w:val="8"/>
              </w:numPr>
              <w:spacing w:after="0"/>
              <w:ind w:left="318"/>
              <w:rPr>
                <w:rFonts w:ascii="Calibri" w:eastAsia="Times" w:hAnsi="Calibri" w:cs="Calibri"/>
                <w:iCs/>
              </w:rPr>
            </w:pPr>
            <w:r w:rsidRPr="00DF719F">
              <w:rPr>
                <w:rFonts w:eastAsia="Times New Roman" w:cstheme="minorHAnsi"/>
                <w:color w:val="000000"/>
                <w:lang w:eastAsia="es-MX"/>
              </w:rPr>
              <w:t>No obstante que se han llevado a cabo ejercicios de evaluaciones externas al FAFEF, aún se hace necesario que éstas abunden más en el desempeño y resultados obtenidos por el Fondo.</w:t>
            </w:r>
          </w:p>
        </w:tc>
        <w:tc>
          <w:tcPr>
            <w:tcW w:w="4961" w:type="dxa"/>
            <w:shd w:val="clear" w:color="auto" w:fill="F2F2F2" w:themeFill="background1" w:themeFillShade="F2"/>
          </w:tcPr>
          <w:p w14:paraId="77773684" w14:textId="77777777" w:rsidR="00EB1844" w:rsidRPr="00B12DC3" w:rsidRDefault="00EB1844" w:rsidP="00FB07A9">
            <w:pPr>
              <w:spacing w:after="200"/>
              <w:jc w:val="left"/>
              <w:rPr>
                <w:rFonts w:ascii="Calibri" w:eastAsia="Times" w:hAnsi="Calibri" w:cs="Calibri"/>
                <w:b/>
                <w:iCs/>
              </w:rPr>
            </w:pPr>
            <w:r w:rsidRPr="00B12DC3">
              <w:rPr>
                <w:rFonts w:ascii="Calibri" w:eastAsia="Times" w:hAnsi="Calibri" w:cs="Calibri"/>
                <w:b/>
                <w:iCs/>
              </w:rPr>
              <w:lastRenderedPageBreak/>
              <w:t>AMENAZAS</w:t>
            </w:r>
          </w:p>
          <w:p w14:paraId="33736449" w14:textId="0B14AAF9" w:rsidR="00EB1844" w:rsidRPr="00CB3EB0" w:rsidRDefault="00F41A19" w:rsidP="00CB3EB0">
            <w:pPr>
              <w:pStyle w:val="Prrafodelista"/>
              <w:numPr>
                <w:ilvl w:val="0"/>
                <w:numId w:val="8"/>
              </w:numPr>
              <w:spacing w:after="200"/>
              <w:contextualSpacing w:val="0"/>
              <w:rPr>
                <w:rFonts w:ascii="Calibri" w:eastAsia="Times" w:hAnsi="Calibri" w:cs="Calibri"/>
                <w:iCs/>
              </w:rPr>
            </w:pPr>
            <w:r w:rsidRPr="004D0549">
              <w:rPr>
                <w:rFonts w:eastAsia="Calibri" w:cs="Calibri"/>
                <w:color w:val="000000" w:themeColor="text1"/>
              </w:rPr>
              <w:t>Cambios legislativos en materia de federalismo fiscal podrían afectar la operación o la existencia del Fondo</w:t>
            </w:r>
            <w:r>
              <w:rPr>
                <w:rFonts w:eastAsia="Calibri" w:cs="Calibri"/>
                <w:color w:val="000000" w:themeColor="text1"/>
              </w:rPr>
              <w:t>.</w:t>
            </w:r>
          </w:p>
        </w:tc>
      </w:tr>
    </w:tbl>
    <w:p w14:paraId="28D8B2C2" w14:textId="77777777" w:rsidR="00EB1844" w:rsidRDefault="00EB1844" w:rsidP="00EB1844">
      <w:pPr>
        <w:spacing w:before="0" w:after="160" w:line="259" w:lineRule="auto"/>
        <w:jc w:val="left"/>
      </w:pPr>
    </w:p>
    <w:p w14:paraId="1C4E793F" w14:textId="77777777" w:rsidR="00EB1844" w:rsidRDefault="00EB1844" w:rsidP="00EB1844">
      <w:pPr>
        <w:spacing w:before="0" w:after="160" w:line="259" w:lineRule="auto"/>
        <w:jc w:val="left"/>
        <w:rPr>
          <w:b/>
          <w:sz w:val="32"/>
          <w:szCs w:val="32"/>
        </w:rPr>
      </w:pPr>
      <w:r>
        <w:br w:type="page"/>
      </w:r>
    </w:p>
    <w:p w14:paraId="098E2548" w14:textId="6E8E5791" w:rsidR="00EB1844" w:rsidRDefault="00EB1844" w:rsidP="00EB1844">
      <w:pPr>
        <w:pStyle w:val="Ttulo1"/>
      </w:pPr>
      <w:bookmarkStart w:id="89" w:name="_Toc56423712"/>
      <w:r>
        <w:lastRenderedPageBreak/>
        <w:t xml:space="preserve">XI. Conclusiones y valoración de la pertinencia del </w:t>
      </w:r>
      <w:r w:rsidR="001E038D">
        <w:t>Fondo</w:t>
      </w:r>
      <w:bookmarkEnd w:id="89"/>
    </w:p>
    <w:p w14:paraId="2D38E1E5" w14:textId="26EA9B49" w:rsidR="00EB1844" w:rsidRDefault="00EB1844" w:rsidP="00EB1844">
      <w:r>
        <w:rPr>
          <w:rFonts w:ascii="Calibri" w:eastAsia="Calibri" w:hAnsi="Calibri" w:cs="Times New Roman"/>
        </w:rPr>
        <w:t xml:space="preserve">El </w:t>
      </w:r>
      <w:r>
        <w:t>Fondo de Aportaciones para el Fortalecimiento de las Entidades Federativas (</w:t>
      </w:r>
      <w:r>
        <w:rPr>
          <w:rFonts w:ascii="Calibri" w:eastAsia="Calibri" w:hAnsi="Calibri" w:cs="Times New Roman"/>
        </w:rPr>
        <w:t xml:space="preserve">FAFEF) constituye uno de los ocho Fondos de Aportaciones Federales a través de los cuales la federación transfiere recursos a las haciendas públicas de las entidades federativas, condicionando su gasto a la consecución y cumplimiento de sus propios objetivos (Gasto programable). </w:t>
      </w:r>
      <w:r w:rsidRPr="00E85398">
        <w:t xml:space="preserve">A nivel nacional, las Aportaciones Federales (Ramo 33) resaltan por ser el segundo </w:t>
      </w:r>
      <w:r w:rsidR="00DE67FD">
        <w:t>C</w:t>
      </w:r>
      <w:r w:rsidRPr="00E85398">
        <w:t>omponente más importante del Gasto Federalizado al registrar, en 2018, un monto estimado de 739 mil 54.2 mdp, cifra que representa el 42.3 por ciento del total de recursos que se transfieren a los Estados y municipios del país</w:t>
      </w:r>
      <w:r>
        <w:t>.</w:t>
      </w:r>
    </w:p>
    <w:p w14:paraId="7A3EE481" w14:textId="2C8224B3" w:rsidR="00EB1844" w:rsidRDefault="00EB1844" w:rsidP="00EB1844">
      <w:r>
        <w:t xml:space="preserve">El FAFEF en el Estado de Hidalgo ha contribuido al fortalecimiento de las finanzas estatales, logrando durante el periodo 2014-2018 </w:t>
      </w:r>
      <w:r w:rsidRPr="002B3391">
        <w:t xml:space="preserve">una tasa de crecimiento promedio de </w:t>
      </w:r>
      <w:r>
        <w:t>7.93</w:t>
      </w:r>
      <w:r w:rsidRPr="002B3391">
        <w:t>%</w:t>
      </w:r>
      <w:r w:rsidR="00FF572E">
        <w:t>. A</w:t>
      </w:r>
      <w:r>
        <w:t xml:space="preserve"> esta entidad federativa se le han asignado en este mismo periodo un promedio de 2.50% del </w:t>
      </w:r>
      <w:r w:rsidRPr="002B3391">
        <w:t>presupuesto total del FAFEF a nivel</w:t>
      </w:r>
      <w:r w:rsidR="00ED789A">
        <w:t xml:space="preserve"> nacional</w:t>
      </w:r>
      <w:r>
        <w:t>,</w:t>
      </w:r>
      <w:r w:rsidRPr="00B82E13">
        <w:t xml:space="preserve"> </w:t>
      </w:r>
      <w:r>
        <w:t xml:space="preserve">ubicando a Hidalgo como el número 17 en relación con los montos que recibe de este Fondo y a su vez los recursos del Fondo contribuyen con el 2.13% del presupuesto total del Estado. </w:t>
      </w:r>
    </w:p>
    <w:p w14:paraId="59D132A8" w14:textId="11540FFF" w:rsidR="00EB1844" w:rsidRDefault="00EB1844" w:rsidP="00EB1844">
      <w:r w:rsidRPr="009A7A45">
        <w:t xml:space="preserve">En el </w:t>
      </w:r>
      <w:r w:rsidR="00FA1B3F">
        <w:t>E</w:t>
      </w:r>
      <w:r w:rsidRPr="009A7A45">
        <w:t xml:space="preserve">stado de Hidalgo, los recursos del FAFEF se han destinado principalmente a 4 de los 9 rubros permitidos por la LCF, en promedio durante los ejercicios 2013-2018, se han destinado al rubro de infraestructura física 61.13% de los recursos, a saneamiento financiero 25.14%, a </w:t>
      </w:r>
      <w:r>
        <w:t xml:space="preserve">apoyos para la </w:t>
      </w:r>
      <w:r w:rsidRPr="009A7A45">
        <w:t>educación un 11.62%</w:t>
      </w:r>
      <w:r w:rsidR="00FF572E">
        <w:t>,</w:t>
      </w:r>
      <w:r w:rsidRPr="00BA1B07">
        <w:t xml:space="preserve"> </w:t>
      </w:r>
      <w:r w:rsidRPr="009A7A45">
        <w:t xml:space="preserve">y </w:t>
      </w:r>
      <w:r w:rsidR="00FF572E">
        <w:t xml:space="preserve">a la </w:t>
      </w:r>
      <w:r w:rsidRPr="009A7A45">
        <w:t>modernización de los registros públicos de la propiedad y del comercio locales 2.12%</w:t>
      </w:r>
      <w:r>
        <w:t xml:space="preserve">. </w:t>
      </w:r>
    </w:p>
    <w:p w14:paraId="4991325E" w14:textId="708C76C7" w:rsidR="00EB1844" w:rsidRDefault="00EB1844" w:rsidP="00EB1844">
      <w:pPr>
        <w:rPr>
          <w:rFonts w:cstheme="minorHAnsi"/>
          <w:bCs/>
        </w:rPr>
      </w:pPr>
      <w:r>
        <w:rPr>
          <w:rFonts w:cstheme="minorHAnsi"/>
          <w:bCs/>
        </w:rPr>
        <w:t>L</w:t>
      </w:r>
      <w:r w:rsidRPr="003E7042">
        <w:rPr>
          <w:rFonts w:cstheme="minorHAnsi"/>
          <w:bCs/>
        </w:rPr>
        <w:t xml:space="preserve">a flexibilidad permitida </w:t>
      </w:r>
      <w:r>
        <w:rPr>
          <w:rFonts w:cstheme="minorHAnsi"/>
          <w:bCs/>
        </w:rPr>
        <w:t>en el Artículo 47 de la LCF para el uso de los recursos del</w:t>
      </w:r>
      <w:r w:rsidRPr="003E7042">
        <w:rPr>
          <w:rFonts w:cstheme="minorHAnsi"/>
          <w:bCs/>
        </w:rPr>
        <w:t xml:space="preserve"> Fondo </w:t>
      </w:r>
      <w:r>
        <w:rPr>
          <w:rFonts w:cstheme="minorHAnsi"/>
          <w:bCs/>
        </w:rPr>
        <w:t xml:space="preserve">en las entidades federativas, contribuye a que el FAFEF se vea </w:t>
      </w:r>
      <w:r w:rsidRPr="003E7042">
        <w:rPr>
          <w:rFonts w:cstheme="minorHAnsi"/>
          <w:bCs/>
        </w:rPr>
        <w:t>como una fuente de financiamiento para hacer frente a necesidades de recursos financieros y no se esté explorando todo su potencial en términos de lo que se podría financiar con los 9 rubros, en acciones más estratégicas de desarrollo d</w:t>
      </w:r>
      <w:r>
        <w:rPr>
          <w:rFonts w:cstheme="minorHAnsi"/>
          <w:bCs/>
        </w:rPr>
        <w:t>el Estado.</w:t>
      </w:r>
      <w:r w:rsidRPr="003E7042">
        <w:rPr>
          <w:rFonts w:cstheme="minorHAnsi"/>
          <w:bCs/>
        </w:rPr>
        <w:t xml:space="preserve"> </w:t>
      </w:r>
      <w:r>
        <w:rPr>
          <w:rFonts w:cstheme="minorHAnsi"/>
          <w:bCs/>
        </w:rPr>
        <w:t xml:space="preserve">Considerando la amplitud de los rubros de gasto contemplados en la LCF el </w:t>
      </w:r>
      <w:r w:rsidRPr="003E7042">
        <w:rPr>
          <w:rFonts w:cstheme="minorHAnsi"/>
          <w:bCs/>
        </w:rPr>
        <w:t>Fondo debería asumirse como un instrumento de política que, si bien es flexible, tiene la arquitectura para detonar acciones de planeación, programación y presupuestación enfocadas a la obtención de resultados estratégicos.</w:t>
      </w:r>
      <w:r>
        <w:rPr>
          <w:rFonts w:cstheme="minorHAnsi"/>
          <w:bCs/>
        </w:rPr>
        <w:t xml:space="preserve"> La existencia de una normatividad federal que regula el destino de los </w:t>
      </w:r>
      <w:r w:rsidR="009E71EB">
        <w:rPr>
          <w:rFonts w:cstheme="minorHAnsi"/>
          <w:bCs/>
        </w:rPr>
        <w:t>recursos</w:t>
      </w:r>
      <w:r>
        <w:rPr>
          <w:rFonts w:cstheme="minorHAnsi"/>
          <w:bCs/>
        </w:rPr>
        <w:t xml:space="preserve"> no excluye a las entidades federativas de planear el ejercicio de estos en el corto, mediano y largo plazos. El hecho de poder atender un amplio abanico de </w:t>
      </w:r>
      <w:r w:rsidR="009E71EB">
        <w:rPr>
          <w:rFonts w:cstheme="minorHAnsi"/>
          <w:bCs/>
        </w:rPr>
        <w:t>necesidades</w:t>
      </w:r>
      <w:r>
        <w:rPr>
          <w:rFonts w:cstheme="minorHAnsi"/>
          <w:bCs/>
        </w:rPr>
        <w:t xml:space="preserve"> le otorga la Fondo la facilidad de poder integrarse de manera más eficiente a la planeación estatal. </w:t>
      </w:r>
    </w:p>
    <w:p w14:paraId="62462A18" w14:textId="7491C448" w:rsidR="00EB1844" w:rsidRDefault="00EB1844" w:rsidP="00EB1844">
      <w:pPr>
        <w:rPr>
          <w:rFonts w:cstheme="minorHAnsi"/>
          <w:bCs/>
        </w:rPr>
      </w:pPr>
      <w:r>
        <w:rPr>
          <w:rFonts w:cstheme="minorHAnsi"/>
          <w:bCs/>
        </w:rPr>
        <w:t>Considerando que, en los últimos 5 ejercicios fiscales, el FAFEF en Hidalgo se ha destinado en una proporción similar a la atención de 4 rubros, es muy probable que</w:t>
      </w:r>
      <w:r w:rsidRPr="003E7042">
        <w:rPr>
          <w:rFonts w:cstheme="minorHAnsi"/>
          <w:bCs/>
        </w:rPr>
        <w:t xml:space="preserve"> la asignación de recursos esté supeditada a la inercia y el ejercicio histórico</w:t>
      </w:r>
      <w:r>
        <w:rPr>
          <w:rFonts w:cstheme="minorHAnsi"/>
          <w:bCs/>
        </w:rPr>
        <w:t xml:space="preserve">; </w:t>
      </w:r>
      <w:r w:rsidRPr="003E7042">
        <w:rPr>
          <w:rFonts w:cstheme="minorHAnsi"/>
          <w:bCs/>
        </w:rPr>
        <w:t xml:space="preserve">es </w:t>
      </w:r>
      <w:r w:rsidRPr="009E0E90">
        <w:rPr>
          <w:rFonts w:cstheme="minorHAnsi"/>
          <w:bCs/>
        </w:rPr>
        <w:t>necesario,</w:t>
      </w:r>
      <w:r w:rsidRPr="003E7042">
        <w:rPr>
          <w:rFonts w:cstheme="minorHAnsi"/>
          <w:bCs/>
        </w:rPr>
        <w:t xml:space="preserve"> por </w:t>
      </w:r>
      <w:r>
        <w:rPr>
          <w:rFonts w:cstheme="minorHAnsi"/>
          <w:bCs/>
        </w:rPr>
        <w:t xml:space="preserve">lo </w:t>
      </w:r>
      <w:r w:rsidRPr="003E7042">
        <w:rPr>
          <w:rFonts w:cstheme="minorHAnsi"/>
          <w:bCs/>
        </w:rPr>
        <w:t xml:space="preserve">tanto, </w:t>
      </w:r>
      <w:r>
        <w:rPr>
          <w:rFonts w:cstheme="minorHAnsi"/>
          <w:bCs/>
        </w:rPr>
        <w:t xml:space="preserve">mejorar el </w:t>
      </w:r>
      <w:r w:rsidRPr="003E7042">
        <w:rPr>
          <w:rFonts w:cstheme="minorHAnsi"/>
          <w:bCs/>
        </w:rPr>
        <w:t>diagn</w:t>
      </w:r>
      <w:r>
        <w:rPr>
          <w:rFonts w:cstheme="minorHAnsi"/>
          <w:bCs/>
        </w:rPr>
        <w:t>ó</w:t>
      </w:r>
      <w:r w:rsidRPr="003E7042">
        <w:rPr>
          <w:rFonts w:cstheme="minorHAnsi"/>
          <w:bCs/>
        </w:rPr>
        <w:t xml:space="preserve">stico </w:t>
      </w:r>
      <w:r>
        <w:rPr>
          <w:rFonts w:cstheme="minorHAnsi"/>
          <w:bCs/>
        </w:rPr>
        <w:t>que la entidad federativa ha desarrollado para el Fondo</w:t>
      </w:r>
      <w:r w:rsidRPr="003E7042">
        <w:rPr>
          <w:rFonts w:cstheme="minorHAnsi"/>
          <w:bCs/>
        </w:rPr>
        <w:t xml:space="preserve">, </w:t>
      </w:r>
      <w:r>
        <w:rPr>
          <w:rFonts w:cstheme="minorHAnsi"/>
          <w:bCs/>
        </w:rPr>
        <w:t xml:space="preserve">basándose en la </w:t>
      </w:r>
      <w:r w:rsidRPr="003E7042">
        <w:rPr>
          <w:rFonts w:cstheme="minorHAnsi"/>
          <w:bCs/>
        </w:rPr>
        <w:t>M</w:t>
      </w:r>
      <w:r>
        <w:rPr>
          <w:rFonts w:cstheme="minorHAnsi"/>
          <w:bCs/>
        </w:rPr>
        <w:t xml:space="preserve">etodología de </w:t>
      </w:r>
      <w:r w:rsidRPr="003E7042">
        <w:rPr>
          <w:rFonts w:cstheme="minorHAnsi"/>
          <w:bCs/>
        </w:rPr>
        <w:t>M</w:t>
      </w:r>
      <w:r>
        <w:rPr>
          <w:rFonts w:cstheme="minorHAnsi"/>
          <w:bCs/>
        </w:rPr>
        <w:t xml:space="preserve">arco </w:t>
      </w:r>
      <w:r w:rsidRPr="003E7042">
        <w:rPr>
          <w:rFonts w:cstheme="minorHAnsi"/>
          <w:bCs/>
        </w:rPr>
        <w:t>L</w:t>
      </w:r>
      <w:r>
        <w:rPr>
          <w:rFonts w:cstheme="minorHAnsi"/>
          <w:bCs/>
        </w:rPr>
        <w:t>ógico. Este diagnóstico debe contemplar el análisis de las problemáticas que pueden ser atendidas con los recursos del Fondo en el marco</w:t>
      </w:r>
      <w:r w:rsidR="00FF572E">
        <w:rPr>
          <w:rFonts w:cstheme="minorHAnsi"/>
          <w:bCs/>
        </w:rPr>
        <w:t xml:space="preserve"> de los rubros establecidos en </w:t>
      </w:r>
      <w:r>
        <w:rPr>
          <w:rFonts w:cstheme="minorHAnsi"/>
          <w:bCs/>
        </w:rPr>
        <w:t xml:space="preserve">la LCF. Un diagnóstico preciso, arrojará luz para saber </w:t>
      </w:r>
      <w:r w:rsidRPr="003E7042">
        <w:rPr>
          <w:rFonts w:cstheme="minorHAnsi"/>
          <w:bCs/>
        </w:rPr>
        <w:t xml:space="preserve">si la actual asignación </w:t>
      </w:r>
      <w:r>
        <w:rPr>
          <w:rFonts w:cstheme="minorHAnsi"/>
          <w:bCs/>
        </w:rPr>
        <w:t xml:space="preserve">de recursos </w:t>
      </w:r>
      <w:r w:rsidRPr="003E7042">
        <w:rPr>
          <w:rFonts w:cstheme="minorHAnsi"/>
          <w:bCs/>
        </w:rPr>
        <w:t>por</w:t>
      </w:r>
      <w:r>
        <w:rPr>
          <w:rFonts w:cstheme="minorHAnsi"/>
          <w:bCs/>
        </w:rPr>
        <w:t xml:space="preserve"> cada</w:t>
      </w:r>
      <w:r w:rsidRPr="003E7042">
        <w:rPr>
          <w:rFonts w:cstheme="minorHAnsi"/>
          <w:bCs/>
        </w:rPr>
        <w:t xml:space="preserve"> rubro es adecuada o no, y si lo es, se contaría con elementos de diagnóstico documentados y sistematizados para argumentar esa situación. </w:t>
      </w:r>
      <w:r w:rsidR="005A4598">
        <w:rPr>
          <w:rFonts w:cstheme="minorHAnsi"/>
          <w:bCs/>
        </w:rPr>
        <w:t xml:space="preserve">Actualmente el diagnóstico del Fondo en el Estado no profundiza en la identificación de la problemática a atender, no define ni cuantifica a su población potencial y objetivo, ni establece metas de cobertura, limitando su utilidad como un instrumento de planeación para el ejercicio de los recursos del FAFEF en Hidalgo. </w:t>
      </w:r>
    </w:p>
    <w:p w14:paraId="38C9D4C7" w14:textId="4311DC91" w:rsidR="00EB1844" w:rsidRDefault="00EB1844" w:rsidP="00EB1844">
      <w:r>
        <w:rPr>
          <w:rFonts w:cstheme="minorHAnsi"/>
          <w:bCs/>
        </w:rPr>
        <w:t>El FAFEF en Hidalgo también carece de u</w:t>
      </w:r>
      <w:r w:rsidRPr="003E7042">
        <w:rPr>
          <w:rFonts w:cstheme="minorHAnsi"/>
          <w:bCs/>
        </w:rPr>
        <w:t>n</w:t>
      </w:r>
      <w:r>
        <w:rPr>
          <w:rFonts w:cstheme="minorHAnsi"/>
          <w:bCs/>
        </w:rPr>
        <w:t xml:space="preserve"> plan</w:t>
      </w:r>
      <w:r w:rsidRPr="003E7042">
        <w:rPr>
          <w:rFonts w:cstheme="minorHAnsi"/>
          <w:bCs/>
        </w:rPr>
        <w:t xml:space="preserve"> estratégico de mediano y largo plazos, que para un instrumento de esta magnitud debe existir, porque además, al ser un Fondo cuya existencia depende de una Ley y no de unas reglas de operación anuales, </w:t>
      </w:r>
      <w:r>
        <w:rPr>
          <w:rFonts w:cstheme="minorHAnsi"/>
          <w:bCs/>
        </w:rPr>
        <w:t>se</w:t>
      </w:r>
      <w:r w:rsidRPr="003E7042">
        <w:rPr>
          <w:rFonts w:cstheme="minorHAnsi"/>
          <w:bCs/>
        </w:rPr>
        <w:t xml:space="preserve"> amplía</w:t>
      </w:r>
      <w:r>
        <w:rPr>
          <w:rFonts w:cstheme="minorHAnsi"/>
          <w:bCs/>
        </w:rPr>
        <w:t>n</w:t>
      </w:r>
      <w:r w:rsidRPr="003E7042">
        <w:rPr>
          <w:rFonts w:cstheme="minorHAnsi"/>
          <w:bCs/>
        </w:rPr>
        <w:t xml:space="preserve"> </w:t>
      </w:r>
      <w:r>
        <w:rPr>
          <w:rFonts w:cstheme="minorHAnsi"/>
          <w:bCs/>
        </w:rPr>
        <w:t>las</w:t>
      </w:r>
      <w:r w:rsidRPr="003E7042">
        <w:rPr>
          <w:rFonts w:cstheme="minorHAnsi"/>
          <w:bCs/>
        </w:rPr>
        <w:t xml:space="preserve"> posibilidades de supervivencia a los cambios de gobierno,</w:t>
      </w:r>
      <w:r>
        <w:rPr>
          <w:rFonts w:cstheme="minorHAnsi"/>
          <w:bCs/>
        </w:rPr>
        <w:t xml:space="preserve"> y considerando la fórmula para la distribución de los recursos del FAFEF </w:t>
      </w:r>
      <w:r w:rsidR="001A15B7">
        <w:rPr>
          <w:rFonts w:cstheme="minorHAnsi"/>
          <w:bCs/>
        </w:rPr>
        <w:t>contemplada en el Artículo 46 de la LCF</w:t>
      </w:r>
      <w:r>
        <w:rPr>
          <w:rFonts w:cstheme="minorHAnsi"/>
          <w:bCs/>
        </w:rPr>
        <w:t xml:space="preserve">, se puede realizar una proyección, al menos en el mediano plazo, de los probables ingresos </w:t>
      </w:r>
      <w:r w:rsidR="001A15B7">
        <w:rPr>
          <w:rFonts w:cstheme="minorHAnsi"/>
          <w:bCs/>
        </w:rPr>
        <w:t xml:space="preserve">provenientes </w:t>
      </w:r>
      <w:r>
        <w:rPr>
          <w:rFonts w:cstheme="minorHAnsi"/>
          <w:bCs/>
        </w:rPr>
        <w:t>de esta fuente. D</w:t>
      </w:r>
      <w:r w:rsidRPr="003E7042">
        <w:rPr>
          <w:rFonts w:cstheme="minorHAnsi"/>
          <w:bCs/>
        </w:rPr>
        <w:t>ebiera por tanto tener un marco de planeación mucho más amplio</w:t>
      </w:r>
      <w:r>
        <w:rPr>
          <w:rFonts w:cstheme="minorHAnsi"/>
          <w:bCs/>
        </w:rPr>
        <w:t xml:space="preserve"> (al menos sexenal)</w:t>
      </w:r>
      <w:r w:rsidRPr="003E7042">
        <w:rPr>
          <w:rFonts w:cstheme="minorHAnsi"/>
          <w:bCs/>
        </w:rPr>
        <w:t xml:space="preserve"> para orientar la </w:t>
      </w:r>
      <w:r w:rsidRPr="003E7042">
        <w:rPr>
          <w:rFonts w:cstheme="minorHAnsi"/>
          <w:bCs/>
        </w:rPr>
        <w:lastRenderedPageBreak/>
        <w:t>asignación anual de recursos y saber en el mediano plazo como podría detonar el desarrollo y los objetivos de la planeación estatal asentados en el PED</w:t>
      </w:r>
      <w:r>
        <w:rPr>
          <w:rFonts w:cstheme="minorHAnsi"/>
          <w:bCs/>
        </w:rPr>
        <w:t>H 2016-20222</w:t>
      </w:r>
      <w:r w:rsidRPr="003E7042">
        <w:rPr>
          <w:rFonts w:cstheme="minorHAnsi"/>
          <w:bCs/>
        </w:rPr>
        <w:t xml:space="preserve"> y programas estratégicos sectoriales.</w:t>
      </w:r>
      <w:r>
        <w:rPr>
          <w:rFonts w:cstheme="minorHAnsi"/>
          <w:bCs/>
        </w:rPr>
        <w:t xml:space="preserve"> Cómo se ha establecido en el documento</w:t>
      </w:r>
      <w:r w:rsidR="001A15B7">
        <w:rPr>
          <w:rFonts w:cstheme="minorHAnsi"/>
          <w:bCs/>
        </w:rPr>
        <w:t>,</w:t>
      </w:r>
      <w:r>
        <w:rPr>
          <w:rFonts w:cstheme="minorHAnsi"/>
          <w:bCs/>
        </w:rPr>
        <w:t xml:space="preserve"> </w:t>
      </w:r>
      <w:r>
        <w:t>u</w:t>
      </w:r>
      <w:r w:rsidRPr="009A3209">
        <w:t xml:space="preserve">na forma de poder integrar las problemáticas detectadas en los Pp es mediante la </w:t>
      </w:r>
      <w:r w:rsidR="0062422C">
        <w:t xml:space="preserve">vinculación de los indicadores de sus MIR, con la MIR estatal del Fondo y esta a su vez con la MIR federal, </w:t>
      </w:r>
      <w:r w:rsidRPr="009A3209">
        <w:t>considerando la integralidad, y definiendo el árbol de problemas, el árbol de objetivos, la aportación del Fondo a los objetivos del PED</w:t>
      </w:r>
      <w:r>
        <w:t>H</w:t>
      </w:r>
      <w:r w:rsidRPr="009A3209">
        <w:t xml:space="preserve"> 2016-2022, la identificación, caracterización y cuantificación de la población potencial y objetivo y su frecuencia de actualización, para cada uno de los rubros de gasto permitidos en la LCF que han sido y serán prioritarios en el </w:t>
      </w:r>
      <w:r>
        <w:t>E</w:t>
      </w:r>
      <w:r w:rsidRPr="009A3209">
        <w:t>stado</w:t>
      </w:r>
      <w:r>
        <w:t>.</w:t>
      </w:r>
    </w:p>
    <w:p w14:paraId="7FE86C77" w14:textId="77777777" w:rsidR="001A15B7" w:rsidRDefault="00EB1844" w:rsidP="00EB1844">
      <w:pPr>
        <w:rPr>
          <w:rFonts w:cstheme="minorHAnsi"/>
          <w:bCs/>
        </w:rPr>
      </w:pPr>
      <w:r>
        <w:rPr>
          <w:rFonts w:cstheme="minorHAnsi"/>
          <w:bCs/>
        </w:rPr>
        <w:t>Actualmente el mecanismo principal a través del cual se documenta el resultado de las aportaciones del FAFEF en la entidad federativa es a través de los reportes trimestrales al SRFT, mediante el cual se reportan los avances sobre los indicadores de: 1) Índice de impacto a la deuda pública, 2)</w:t>
      </w:r>
      <w:r w:rsidR="001A15B7">
        <w:rPr>
          <w:rFonts w:cstheme="minorHAnsi"/>
          <w:bCs/>
        </w:rPr>
        <w:t>Índice de fortalecimiento financiero</w:t>
      </w:r>
      <w:r>
        <w:rPr>
          <w:rFonts w:cstheme="minorHAnsi"/>
          <w:bCs/>
        </w:rPr>
        <w:t>, ambos relacionados con el rubro de saneamiento financiero; 3) Índice de impulso al gasto de inversión, 4) Porcentaje de avance en las metas y 5) Índice en el ejercicio de los recursos. Si bien estos indicadores han permitido a la federación un seguimiento homologado al impacto del ejercicio de los recursos en la estabilidad de las finanzas de las entidades federativa, así como el equilibrio de las mismas</w:t>
      </w:r>
      <w:r w:rsidR="001A15B7">
        <w:rPr>
          <w:rFonts w:cstheme="minorHAnsi"/>
          <w:bCs/>
        </w:rPr>
        <w:t xml:space="preserve">; </w:t>
      </w:r>
      <w:r>
        <w:rPr>
          <w:rFonts w:cstheme="minorHAnsi"/>
          <w:bCs/>
        </w:rPr>
        <w:t>a nivel de entidad federativa no brindan información que permita el monitoreo adecuado del ejercicio de los recursos del Fondo.</w:t>
      </w:r>
    </w:p>
    <w:p w14:paraId="31F4AC03" w14:textId="129603CD" w:rsidR="00EB1844" w:rsidRDefault="00EB1844" w:rsidP="00EB1844">
      <w:pPr>
        <w:rPr>
          <w:rFonts w:cstheme="minorHAnsi"/>
          <w:bCs/>
        </w:rPr>
      </w:pPr>
      <w:r>
        <w:rPr>
          <w:rFonts w:cstheme="minorHAnsi"/>
          <w:bCs/>
        </w:rPr>
        <w:t xml:space="preserve">Con esta consideración en el Estado de Hidalgo, en el marco de la estrategia del Presupuesto basado en Resultados (PbR), se han diseñado Matrices de Indicadores de Resultados (MIR), para cada </w:t>
      </w:r>
      <w:r w:rsidR="00F62B09">
        <w:rPr>
          <w:rFonts w:cstheme="minorHAnsi"/>
          <w:bCs/>
        </w:rPr>
        <w:t>Pp</w:t>
      </w:r>
      <w:r>
        <w:rPr>
          <w:rFonts w:cstheme="minorHAnsi"/>
          <w:bCs/>
        </w:rPr>
        <w:t>, incluidos los que reciben recurso del Fondo, y también se ha construido una MIR específica para el FAFEF en el Estado. Cabe resaltar el importante esfuerzo que el gobierno de Hidalgo ha realizado en la implementación del PbR, dado que ha pasado de tener un índice de avance del 17% en la implementación de esta estrategia en 2010 y ubicarse en el último lugar nacional a tener el 83.7% de avance en 2018 y ubicarse en el lugar 12 a nivel nacional en su implementación. A pesar de estas importantes acciones en la medición de resultados del Fondo, se percibe una desvinculación entre los indicadores de la MIR federal y los indicadores de los Pp que ejercen recursos del FAFEF, además que no se diferencia con claridad la contribución del este a la consecución de los objetivos de estos Pp, ya que en su mayoría ejercen recursos de distintas fuentes de financiamiento. En este sentido cobra relevancia el establecimiento de una planeación específica para los recursos del Fondo que permita un adecuado control en todas las etapas del ciclo presupuestario y permita establecer con claridad la contribución de estos recursos en fortalecimiento financiero de la entidad federativa.</w:t>
      </w:r>
    </w:p>
    <w:p w14:paraId="1277C124" w14:textId="40ACF61D" w:rsidR="00EB1844" w:rsidRDefault="00EB1844" w:rsidP="00EB1844">
      <w:pPr>
        <w:rPr>
          <w:rFonts w:cstheme="minorHAnsi"/>
          <w:bCs/>
        </w:rPr>
      </w:pPr>
      <w:r>
        <w:rPr>
          <w:rFonts w:cstheme="minorHAnsi"/>
          <w:bCs/>
        </w:rPr>
        <w:t xml:space="preserve">Las fuentes de información que se consideran para la toma de decisiones respecto a la planeación, asignación y ejercicio de los recursos del Fondo en el Estado de Hidalgo derivan sobre todo de las evaluaciones de desempeño realizadas para los ejercicios 2014, 2015 y 2018, las cuales han derivado en ASM relacionados </w:t>
      </w:r>
      <w:r w:rsidR="00FF572E">
        <w:rPr>
          <w:rFonts w:cstheme="minorHAnsi"/>
          <w:bCs/>
        </w:rPr>
        <w:t xml:space="preserve">principalmente </w:t>
      </w:r>
      <w:r>
        <w:rPr>
          <w:rFonts w:cstheme="minorHAnsi"/>
          <w:bCs/>
        </w:rPr>
        <w:t xml:space="preserve">con la operación del Fondo, pero ninguna se ha centrado en la medición de resultados, por lo que su impacto como un elemento importante en la toma de decisiones sobre la planeación del destino del gasto ha sido prácticamente nula, sin embrago ha sido de utilidad para avanzar en el ejercicio, seguimiento y control de los recursos del Fondo. </w:t>
      </w:r>
      <w:r w:rsidRPr="006E749B">
        <w:rPr>
          <w:color w:val="000000" w:themeColor="text1"/>
        </w:rPr>
        <w:t>Al respecto, aunque se evidencia que en la entidad</w:t>
      </w:r>
      <w:r>
        <w:rPr>
          <w:color w:val="000000" w:themeColor="text1"/>
        </w:rPr>
        <w:t xml:space="preserve"> federativa</w:t>
      </w:r>
      <w:r w:rsidRPr="006E749B">
        <w:rPr>
          <w:color w:val="000000" w:themeColor="text1"/>
        </w:rPr>
        <w:t xml:space="preserve"> se utilizan elementos de diagnóstico y resultados previos del FAFEF para asignar los recursos en el siguiente ejercicio fiscal, establecer metas y distribuir actividades, estas se enmarcan en una planeación global de acciones de la entidad y no de manera específica considerando los alcances y rubros del Fondo</w:t>
      </w:r>
      <w:r>
        <w:rPr>
          <w:color w:val="000000" w:themeColor="text1"/>
        </w:rPr>
        <w:t xml:space="preserve">. </w:t>
      </w:r>
      <w:r>
        <w:rPr>
          <w:rFonts w:cstheme="minorHAnsi"/>
          <w:bCs/>
        </w:rPr>
        <w:t xml:space="preserve">Es importante rescatar que, gracias a recomendaciones derivadas de estos informes de evaluación, actualmente se está dando seguimiento a los resultados de los </w:t>
      </w:r>
      <w:r w:rsidR="004503DA">
        <w:rPr>
          <w:color w:val="000000" w:themeColor="text1"/>
        </w:rPr>
        <w:t>Pp</w:t>
      </w:r>
      <w:r>
        <w:rPr>
          <w:rFonts w:cstheme="minorHAnsi"/>
          <w:bCs/>
        </w:rPr>
        <w:t xml:space="preserve"> de la </w:t>
      </w:r>
      <w:r w:rsidR="00542A82">
        <w:rPr>
          <w:rFonts w:cstheme="minorHAnsi"/>
          <w:bCs/>
        </w:rPr>
        <w:t>e</w:t>
      </w:r>
      <w:r>
        <w:rPr>
          <w:rFonts w:cstheme="minorHAnsi"/>
          <w:bCs/>
        </w:rPr>
        <w:t xml:space="preserve">structura </w:t>
      </w:r>
      <w:r w:rsidR="00542A82">
        <w:rPr>
          <w:rFonts w:cstheme="minorHAnsi"/>
          <w:bCs/>
        </w:rPr>
        <w:t>p</w:t>
      </w:r>
      <w:r>
        <w:rPr>
          <w:rFonts w:cstheme="minorHAnsi"/>
          <w:bCs/>
        </w:rPr>
        <w:t xml:space="preserve">rogramática estatal, a través de </w:t>
      </w:r>
      <w:r w:rsidRPr="009A02A1">
        <w:rPr>
          <w:color w:val="000000" w:themeColor="text1"/>
        </w:rPr>
        <w:t>Fichas Ejecutivas de Desempeño que constituyen un instrumento que consolida y sintetiza la información de desempeño de los P</w:t>
      </w:r>
      <w:r w:rsidR="001A15B7">
        <w:rPr>
          <w:color w:val="000000" w:themeColor="text1"/>
        </w:rPr>
        <w:t>p</w:t>
      </w:r>
      <w:r>
        <w:rPr>
          <w:color w:val="000000" w:themeColor="text1"/>
        </w:rPr>
        <w:t>, lo que puede facilitar la integración de la información que se deriva del seguimiento a estos indicadores, en un seguimiento puntual del ejercicio de los recurso del Fondo.</w:t>
      </w:r>
    </w:p>
    <w:p w14:paraId="17393196" w14:textId="7A63B46D" w:rsidR="00EB1844" w:rsidRDefault="00EB1844" w:rsidP="00EB1844">
      <w:pPr>
        <w:rPr>
          <w:rFonts w:ascii="Calibri" w:hAnsi="Calibri" w:cstheme="minorHAnsi"/>
        </w:rPr>
      </w:pPr>
      <w:r>
        <w:rPr>
          <w:rFonts w:cstheme="minorHAnsi"/>
          <w:bCs/>
        </w:rPr>
        <w:t xml:space="preserve">En el Estado, la etapa de planeación del ejercicio de los recursos, actualmente, se realiza con la participación de distintos actores, en las mesas de trabajo que se llevan a cabo para la elaboración del PPEE participan, entre otros, </w:t>
      </w:r>
      <w:r w:rsidRPr="00974B68">
        <w:rPr>
          <w:rFonts w:ascii="Calibri" w:hAnsi="Calibri" w:cstheme="minorHAnsi"/>
        </w:rPr>
        <w:t xml:space="preserve">el Comité de Planeación para el Desarrollo del Estado de Hidalgo (COPLADEHI), el Subcomité de Obras </w:t>
      </w:r>
      <w:r w:rsidRPr="00974B68">
        <w:rPr>
          <w:rFonts w:ascii="Calibri" w:hAnsi="Calibri" w:cstheme="minorHAnsi"/>
        </w:rPr>
        <w:lastRenderedPageBreak/>
        <w:t>Públicas, los Comités de Planeación para el Desarrollo Regional (COPLADER), los Comités de Planeación para el Desarrollo Municipal (COPLADEM)</w:t>
      </w:r>
      <w:r>
        <w:rPr>
          <w:rFonts w:ascii="Calibri" w:hAnsi="Calibri" w:cstheme="minorHAnsi"/>
        </w:rPr>
        <w:t xml:space="preserve">, en estas mesas de trabajo se determina la propuesta de destino de los recursos, entre ellos los correspondientes al FAFEF. </w:t>
      </w:r>
      <w:r w:rsidRPr="00D71654">
        <w:rPr>
          <w:rFonts w:ascii="Calibri" w:hAnsi="Calibri" w:cstheme="minorHAnsi"/>
        </w:rPr>
        <w:t>Si</w:t>
      </w:r>
      <w:r>
        <w:rPr>
          <w:rFonts w:ascii="Calibri" w:hAnsi="Calibri" w:cstheme="minorHAnsi"/>
        </w:rPr>
        <w:t xml:space="preserve"> bien para la integración del PPEE se consideran las decisiones de las mesas de trabajo y en la asignación de los recursos del Fondo participan diferentes dependencias, la asignación de los recursos se da de manera global y para cada sector estratégico del PEDH 2016-2022, por lo que en este no es posible identificar el destino de los recursos, por rubro, </w:t>
      </w:r>
      <w:r w:rsidR="00F62B09">
        <w:rPr>
          <w:rFonts w:ascii="Calibri" w:hAnsi="Calibri" w:cstheme="minorHAnsi"/>
        </w:rPr>
        <w:t>Pp</w:t>
      </w:r>
      <w:r>
        <w:rPr>
          <w:rFonts w:ascii="Calibri" w:hAnsi="Calibri" w:cstheme="minorHAnsi"/>
        </w:rPr>
        <w:t xml:space="preserve"> o proyecto, ya que sólo se menciona el destino del FAFEF como </w:t>
      </w:r>
      <w:r w:rsidRPr="00C15374">
        <w:rPr>
          <w:rFonts w:ascii="Calibri" w:hAnsi="Calibri" w:cstheme="minorHAnsi"/>
          <w:b/>
          <w:bCs/>
          <w:i/>
          <w:iCs/>
        </w:rPr>
        <w:t>“Inversión pública”</w:t>
      </w:r>
      <w:r w:rsidR="00542A82">
        <w:rPr>
          <w:rFonts w:ascii="Calibri" w:hAnsi="Calibri" w:cstheme="minorHAnsi"/>
          <w:b/>
          <w:bCs/>
          <w:i/>
          <w:iCs/>
        </w:rPr>
        <w:t>.</w:t>
      </w:r>
      <w:r>
        <w:rPr>
          <w:rFonts w:ascii="Calibri" w:hAnsi="Calibri" w:cstheme="minorHAnsi"/>
        </w:rPr>
        <w:t xml:space="preserve"> Por lo </w:t>
      </w:r>
      <w:r w:rsidR="00542A82">
        <w:rPr>
          <w:rFonts w:ascii="Calibri" w:hAnsi="Calibri" w:cstheme="minorHAnsi"/>
        </w:rPr>
        <w:t>tanto,</w:t>
      </w:r>
      <w:r>
        <w:rPr>
          <w:rFonts w:ascii="Calibri" w:hAnsi="Calibri" w:cstheme="minorHAnsi"/>
        </w:rPr>
        <w:t xml:space="preserve"> se recomienda que u</w:t>
      </w:r>
      <w:r w:rsidRPr="00D71654">
        <w:rPr>
          <w:rFonts w:ascii="Calibri" w:hAnsi="Calibri" w:cstheme="minorHAnsi"/>
        </w:rPr>
        <w:t>na vez que la SF</w:t>
      </w:r>
      <w:r>
        <w:rPr>
          <w:rFonts w:ascii="Calibri" w:hAnsi="Calibri" w:cstheme="minorHAnsi"/>
        </w:rPr>
        <w:t>P</w:t>
      </w:r>
      <w:r w:rsidRPr="00D71654">
        <w:rPr>
          <w:rFonts w:ascii="Calibri" w:hAnsi="Calibri" w:cstheme="minorHAnsi"/>
        </w:rPr>
        <w:t xml:space="preserve"> ha realizado una estimación de los ingresos del Estado en el marco del proceso de integración del PPE</w:t>
      </w:r>
      <w:r>
        <w:rPr>
          <w:rFonts w:ascii="Calibri" w:hAnsi="Calibri" w:cstheme="minorHAnsi"/>
        </w:rPr>
        <w:t>E</w:t>
      </w:r>
      <w:r w:rsidRPr="00D71654">
        <w:rPr>
          <w:rFonts w:ascii="Calibri" w:hAnsi="Calibri" w:cstheme="minorHAnsi"/>
        </w:rPr>
        <w:t xml:space="preserve"> y cuenta con las necesidades de gasto para el siguiente año, señalar en algún anexo o en el propio proyecto de Decreto, los rubros de gasto a los que se orientará el FAFEF conforme a las necesidades más apremiantes de la entidad</w:t>
      </w:r>
      <w:r>
        <w:rPr>
          <w:rFonts w:ascii="Calibri" w:hAnsi="Calibri" w:cstheme="minorHAnsi"/>
        </w:rPr>
        <w:t xml:space="preserve"> federativa</w:t>
      </w:r>
      <w:r w:rsidRPr="00D71654">
        <w:rPr>
          <w:rFonts w:ascii="Calibri" w:hAnsi="Calibri" w:cstheme="minorHAnsi"/>
        </w:rPr>
        <w:t xml:space="preserve">. Lo anterior involucra de manera directa al Congreso </w:t>
      </w:r>
      <w:r>
        <w:rPr>
          <w:rFonts w:ascii="Calibri" w:hAnsi="Calibri" w:cstheme="minorHAnsi"/>
        </w:rPr>
        <w:t>local</w:t>
      </w:r>
      <w:r w:rsidRPr="00D71654">
        <w:rPr>
          <w:rFonts w:ascii="Calibri" w:hAnsi="Calibri" w:cstheme="minorHAnsi"/>
        </w:rPr>
        <w:t>, en la decisión de destino de los recursos del Fondo asegurando que estos se destinen efectivamente a las necesidades más apremiantes del Estado. Así como, establecer en un documento de planeación estratégica específico para el Fondo, el orden de priorización del destino del gasto, conforme al Artículo 47 de la LCF.</w:t>
      </w:r>
    </w:p>
    <w:p w14:paraId="0830011E" w14:textId="29252CA0" w:rsidR="00EB1844" w:rsidRDefault="00EB1844" w:rsidP="00EB1844">
      <w:r>
        <w:t xml:space="preserve">El desarrollo de la fase de ejercicio y control se encuentra normado de manera puntual por el Manual de Normas y Lineamientos para el ejercicio de los recursos del Programa de Inversión 2018, en lo referente </w:t>
      </w:r>
      <w:r w:rsidR="00542A82">
        <w:t xml:space="preserve">a los Pp agrupados en </w:t>
      </w:r>
      <w:r w:rsidR="0047267C">
        <w:t>el programa sectorial inversión</w:t>
      </w:r>
      <w:r>
        <w:t xml:space="preserve"> y por la Ley de Deuda Pública para el Estado de Hidalgo en lo concerniente al saneamiento financiero. </w:t>
      </w:r>
      <w:r>
        <w:rPr>
          <w:rFonts w:ascii="Calibri" w:hAnsi="Calibri" w:cstheme="minorHAnsi"/>
        </w:rPr>
        <w:t xml:space="preserve">Sin embargo, no se define con claridad los procesos que se deben seguir para la ejecución de los otros rubros, por lo tanto, los procedimientos para el ejercicio de todos los rubros del FAFEF, no se encuentran homologados. Con esta consideración, </w:t>
      </w:r>
      <w:r w:rsidRPr="00BF5DA4">
        <w:rPr>
          <w:rFonts w:ascii="Calibri" w:hAnsi="Calibri" w:cstheme="minorHAnsi"/>
        </w:rPr>
        <w:t xml:space="preserve">se recomienda </w:t>
      </w:r>
      <w:r>
        <w:rPr>
          <w:rFonts w:ascii="Calibri" w:hAnsi="Calibri" w:cstheme="minorHAnsi"/>
        </w:rPr>
        <w:t>al gobierno del Estado</w:t>
      </w:r>
      <w:r w:rsidRPr="00BF5DA4">
        <w:rPr>
          <w:rFonts w:ascii="Calibri" w:hAnsi="Calibri" w:cstheme="minorHAnsi"/>
        </w:rPr>
        <w:t xml:space="preserve"> elaborar un manual de procedimientos o lineamientos que regulen el funcionamiento del Fondo, en donde se determine un mecanismo para contar con información que permita identificar periódicamente las necesidades que pueden atenderse con recursos del Fondo, las dificultades (oportunidades y amenazas) que enfrenta en la operación cada política pública asociada a los rubros de gasto y el cumplimiento de los objetivos y metas a alcanzar; así como las estrategias para implementarlas y alcance de las mismas, asignar responsables</w:t>
      </w:r>
      <w:r w:rsidR="001A15B7">
        <w:rPr>
          <w:rFonts w:ascii="Calibri" w:hAnsi="Calibri" w:cstheme="minorHAnsi"/>
        </w:rPr>
        <w:t xml:space="preserve"> de </w:t>
      </w:r>
      <w:r w:rsidRPr="00BF5DA4">
        <w:rPr>
          <w:rFonts w:ascii="Calibri" w:hAnsi="Calibri" w:cstheme="minorHAnsi"/>
        </w:rPr>
        <w:t xml:space="preserve">seguimiento de los procesos y </w:t>
      </w:r>
      <w:r w:rsidR="001A15B7">
        <w:rPr>
          <w:rFonts w:ascii="Calibri" w:hAnsi="Calibri" w:cstheme="minorHAnsi"/>
        </w:rPr>
        <w:t xml:space="preserve">elaborar </w:t>
      </w:r>
      <w:r w:rsidRPr="00BF5DA4">
        <w:rPr>
          <w:rFonts w:ascii="Calibri" w:hAnsi="Calibri" w:cstheme="minorHAnsi"/>
        </w:rPr>
        <w:t>diagramas de flujo</w:t>
      </w:r>
      <w:r w:rsidR="001A15B7">
        <w:rPr>
          <w:rFonts w:ascii="Calibri" w:hAnsi="Calibri" w:cstheme="minorHAnsi"/>
        </w:rPr>
        <w:t xml:space="preserve"> de los procesos</w:t>
      </w:r>
      <w:r w:rsidRPr="00BF5DA4">
        <w:rPr>
          <w:rFonts w:ascii="Calibri" w:hAnsi="Calibri" w:cstheme="minorHAnsi"/>
        </w:rPr>
        <w:t xml:space="preserve">. Con ello, la entidad </w:t>
      </w:r>
      <w:r>
        <w:rPr>
          <w:rFonts w:ascii="Calibri" w:hAnsi="Calibri" w:cstheme="minorHAnsi"/>
        </w:rPr>
        <w:t xml:space="preserve">federativa </w:t>
      </w:r>
      <w:r w:rsidRPr="00BF5DA4">
        <w:rPr>
          <w:rFonts w:ascii="Calibri" w:hAnsi="Calibri" w:cstheme="minorHAnsi"/>
        </w:rPr>
        <w:t>contará con una guía para la operación de los recursos del FAFEF que actué bajo los mismos criterios.</w:t>
      </w:r>
    </w:p>
    <w:p w14:paraId="34A78329" w14:textId="6E2D01E2" w:rsidR="00EB1844" w:rsidRDefault="00EB1844" w:rsidP="00EB1844">
      <w:r>
        <w:rPr>
          <w:rFonts w:cstheme="minorHAnsi"/>
          <w:bCs/>
        </w:rPr>
        <w:t xml:space="preserve">Referente a la etapa de seguimiento desde el ámbito federal, se realiza conforme a lo establecido en el </w:t>
      </w:r>
      <w:r w:rsidRPr="003A7B6D">
        <w:rPr>
          <w:rFonts w:cstheme="minorHAnsi"/>
          <w:bCs/>
        </w:rPr>
        <w:t>Artículo</w:t>
      </w:r>
      <w:r>
        <w:rPr>
          <w:rFonts w:cstheme="minorHAnsi"/>
          <w:bCs/>
        </w:rPr>
        <w:t xml:space="preserve"> 85 de la Ley Federal de Presupuesto y Responsabilidad Hacendaria a través de la aplicación del Sistema de Seguimiento de los Recursos Federales Transferidos</w:t>
      </w:r>
      <w:r>
        <w:t xml:space="preserve"> (SRFT) y comprende la c</w:t>
      </w:r>
      <w:r w:rsidRPr="00D36BDE">
        <w:t xml:space="preserve">aptura trimestral del origen y destino de los </w:t>
      </w:r>
      <w:r>
        <w:t>mismos</w:t>
      </w:r>
      <w:r w:rsidRPr="00D36BDE">
        <w:t xml:space="preserve"> en sus </w:t>
      </w:r>
      <w:r>
        <w:t>cuatro</w:t>
      </w:r>
      <w:r w:rsidRPr="00D36BDE">
        <w:t xml:space="preserve"> módulos (Destino del Gasto, Ejercicio del Gasto, Indicadores y Evaluaciones)</w:t>
      </w:r>
      <w:r>
        <w:t xml:space="preserve">. A través de este sistema las instancias ejecutoras capturan y validan la información del destino, ejercicio del gasto e indicadores, de manera trimestral y la SF es la encargada de validar dicha información. Este proceso obedece los </w:t>
      </w:r>
      <w:r w:rsidRPr="00E47BBF">
        <w:t>Lineamientos para informar sobre los recursos federales transferidos a las entidades federativas, municipios y demarcaciones territoriales del Distrito Federal,</w:t>
      </w:r>
      <w:r>
        <w:t xml:space="preserve"> y sobre todo busca integrar información homologada para monitorear el ejercicio de la totalidad de los Recursos Federales Transferidos, entre ellos el FAFEF. Sin embargo, los indicadores que se reportan a través de este </w:t>
      </w:r>
      <w:r w:rsidR="009E71EB">
        <w:t>sistema</w:t>
      </w:r>
      <w:r>
        <w:t xml:space="preserve"> no siempre permiten a la entidad federativa usarla como insumo en la toma de decisiones específicas sobre los recursos del Fondo.</w:t>
      </w:r>
    </w:p>
    <w:p w14:paraId="195F9CA1" w14:textId="17340D34" w:rsidR="00EB1844" w:rsidRDefault="00EB1844" w:rsidP="00EB1844">
      <w:r>
        <w:t xml:space="preserve">En relación a las complementariedades, coincidencias y sinergias con otros programas implementados por el gobierno de la entidad federativa se identificó que el FAFEF </w:t>
      </w:r>
      <w:r w:rsidR="007C073F">
        <w:t xml:space="preserve">se complementa </w:t>
      </w:r>
      <w:r w:rsidR="00716080">
        <w:t xml:space="preserve">con diferentes Pp destinados al desarrollo de obra pública a nivel estatal y municipal, o que a través de la inversión en infraestructura física contribuya a la consecución de objetivos de otros Pp como es el caso de los programas de Infraestructura en educación, Atención de adultos mayores, o </w:t>
      </w:r>
      <w:r w:rsidR="00716080" w:rsidRPr="00716080">
        <w:t>- Inversión para el Fortalecimiento de la Gobernabilidad Democrática y Gobernanza</w:t>
      </w:r>
      <w:r w:rsidR="00716080">
        <w:t xml:space="preserve">. Asimismo, </w:t>
      </w:r>
      <w:r w:rsidR="00716080">
        <w:rPr>
          <w:rFonts w:cstheme="minorHAnsi"/>
          <w:color w:val="000000" w:themeColor="text1"/>
        </w:rPr>
        <w:t xml:space="preserve">se detectaron sinergias del Fondo con distintos programas, considerando que fortalece el presupuesto de algunos o contribuyen con los objetivos de otros, mediante el financiamiento de infraestructura o equipamiento para la realización de sus funciones. </w:t>
      </w:r>
    </w:p>
    <w:p w14:paraId="04089313" w14:textId="496F3C44" w:rsidR="00EB1844" w:rsidRDefault="00EB1844" w:rsidP="00EB1844">
      <w:r>
        <w:lastRenderedPageBreak/>
        <w:t xml:space="preserve">Las principales vías mediante las cuales, el Estado de Hidalgo informa sobre el ejercicio, rendición de cuentas y medición de resultados de la ejecución de los recursos del FAFEF, tanto a la Unidad Coordinadora del Fondo a nivel Federal, al Congreso de la Unión, al Congreso Local y a la población en general, son en primer lugar el SRFT y, en segundo lugar, a nivel estatal, el </w:t>
      </w:r>
      <w:r w:rsidRPr="00F63D1F">
        <w:t>SIIPPED</w:t>
      </w:r>
      <w:r>
        <w:t xml:space="preserve">. En el primer caso </w:t>
      </w:r>
      <w:r w:rsidR="009E71EB" w:rsidRPr="00FB6EA5">
        <w:rPr>
          <w:rFonts w:cstheme="minorHAnsi"/>
          <w:color w:val="000000" w:themeColor="text1"/>
        </w:rPr>
        <w:t>de acuerdo con el</w:t>
      </w:r>
      <w:r w:rsidRPr="00FB6EA5">
        <w:rPr>
          <w:rFonts w:cstheme="minorHAnsi"/>
          <w:color w:val="000000" w:themeColor="text1"/>
        </w:rPr>
        <w:t xml:space="preserve"> art. 85 de la Ley Federal de Presupuesto y Responsabilidad Hacendaria, las entidades federativas deben de enviar al Ejecutivo Federal, de conformidad con los lineamientos y el sistema de información establecido por la Secretaría de Hacienda y Crédito Público, informes consolidados sobre el ejercicio, destino y los resultados obtenidos, respecto de los recursos federales que les sean transferidos</w:t>
      </w:r>
      <w:r>
        <w:rPr>
          <w:rFonts w:cstheme="minorHAnsi"/>
          <w:color w:val="000000" w:themeColor="text1"/>
        </w:rPr>
        <w:t>. L</w:t>
      </w:r>
      <w:r w:rsidRPr="00BD5728">
        <w:t xml:space="preserve">a información que se reporta a la federación incluye las actividades, acciones o </w:t>
      </w:r>
      <w:r w:rsidR="00431533">
        <w:rPr>
          <w:color w:val="000000" w:themeColor="text1"/>
        </w:rPr>
        <w:t>Pp</w:t>
      </w:r>
      <w:r w:rsidR="00431533" w:rsidRPr="00BD5728">
        <w:t xml:space="preserve"> </w:t>
      </w:r>
      <w:r w:rsidRPr="00BD5728">
        <w:t>realizados o ejecutados, esta información está debidamente sistematizada, dado que se cuenta con bases de datos actualizadas que permiten visualizar el origen y destino de los recursos</w:t>
      </w:r>
      <w:r>
        <w:t>. En este punto cabe señalar que si bien el Estado de Hidalgo ocupa junto con Querétaro el primer lugar, para el cuarto trimestre de 2018, en el índice de Calidad de la Información reportada por la Unidad de Evaluación del Desempeño de la SHCP, sobre los recursos federales transferidos, esta medición es de carácter global para la totalidad de recursos federales transferidos y no refleja necesariamente la calidad en la información reportada sobre el Fondo, dado que una de las observaciones de la ASF, en 2018, es que las cifras reportadas en los Informes sobre la Situación Económica, las Finanzas Públicas y la Deuda Pública en Nivel Financiero reportados a la SHCP, no presentaron calidad ni congruencia contra las cifras del cierre del ejercicio. En este sentido, es conveniente revisar la forma que el resto de los recursos federales transferidos, integran su información, con la finalidad de identificar buenas prácticas que contribuyan a una correcta integración tanto de los informes al SRFT como de los cierres de ejercicio del Fondo.</w:t>
      </w:r>
    </w:p>
    <w:p w14:paraId="63439F3C" w14:textId="6759BE4A" w:rsidR="00716080" w:rsidRDefault="00EB1844" w:rsidP="00EB1844">
      <w:r>
        <w:t xml:space="preserve">Para el segundo caso, </w:t>
      </w:r>
      <w:r w:rsidRPr="00BD5728">
        <w:t xml:space="preserve">el </w:t>
      </w:r>
      <w:r>
        <w:t>m</w:t>
      </w:r>
      <w:r w:rsidRPr="00BD5728">
        <w:t xml:space="preserve">onitoreo de </w:t>
      </w:r>
      <w:r>
        <w:t>i</w:t>
      </w:r>
      <w:r w:rsidRPr="00BD5728">
        <w:t xml:space="preserve">ndicadores </w:t>
      </w:r>
      <w:r w:rsidR="009E71EB" w:rsidRPr="00BD5728">
        <w:t>estatales</w:t>
      </w:r>
      <w:r w:rsidRPr="00BD5728">
        <w:t xml:space="preserve"> es el medio para dar seguimiento al cumplimiento de las metas establecidas en los </w:t>
      </w:r>
      <w:r w:rsidR="00431533">
        <w:rPr>
          <w:color w:val="000000" w:themeColor="text1"/>
        </w:rPr>
        <w:t>Pp</w:t>
      </w:r>
      <w:r w:rsidRPr="00BD5728">
        <w:t>, debido a que, una vez autorizado el recurso, éste se liga con los objetivos, indicadores y metas establecidos en el fondo y en su Matriz, se da seguimiento mensual a su avance y los resultados son publicados trimestralmente en la página de la Secretaría de Finanzas Públicas</w:t>
      </w:r>
      <w:r>
        <w:t>.</w:t>
      </w:r>
    </w:p>
    <w:p w14:paraId="57FEF76C" w14:textId="1DD89EAC" w:rsidR="00EB1844" w:rsidRDefault="00303BA0" w:rsidP="00EB1844">
      <w:r>
        <w:t xml:space="preserve">Los resultados de la aplicación de los recursos del FAFEF en el estado de Hidalgo, medidos a través de los indicadores de la MIR federal demuestran que hay avances significativos en el logro de los objetivos a nivel de Fin y Propósito dado que el índice de impacto de la deuda pública en los últimos dos ejercicios </w:t>
      </w:r>
      <w:r w:rsidR="007C6C5E">
        <w:t>fiscales</w:t>
      </w:r>
      <w:r>
        <w:t xml:space="preserve"> (2017 y 2018) ha tenido una tendencia decreciente lo cual demuestra una política de desendeudamiento atribuible entre otros factores a la fortaleza financiera que se induce en la entidades federativas a través de las transferencias de recursos federales, en este sentido aunque el FAFEF representa uno de los Fondos más pequeños del Ramo 33, ha sido de gran utilidad en los pagos de amortizaciones, intereses y comisiones de la deuda pública en la entidad.</w:t>
      </w:r>
    </w:p>
    <w:p w14:paraId="380F0908" w14:textId="55D94884" w:rsidR="00303BA0" w:rsidRDefault="00303BA0" w:rsidP="00EB1844">
      <w:r>
        <w:t>Respecto al índice de fortalecimiento financiero que expresa la fortaleza de la recaudación local</w:t>
      </w:r>
      <w:r w:rsidR="00F9447C">
        <w:t xml:space="preserve">, también ha tenido un avance positivo que refleja una mayor eficiencia en los esquemas de recaudación locales, tanto de impuestos federales, como locales. El índice de impulso al gasto de inversión revela un mayor esfuerzo de la entidad por aumentar su infraestructura física ya que pasó de un 0.53% en el ejercicio 2017 a un 7.4% en 2018. </w:t>
      </w:r>
    </w:p>
    <w:p w14:paraId="6B66DAED" w14:textId="77777777" w:rsidR="00EB1844" w:rsidRPr="00D60CEF" w:rsidRDefault="00EB1844" w:rsidP="00EB1844">
      <w:r w:rsidRPr="00D60CEF">
        <w:br w:type="page"/>
      </w:r>
    </w:p>
    <w:p w14:paraId="63E99721" w14:textId="77777777" w:rsidR="00EB1844" w:rsidRDefault="00EB1844" w:rsidP="00EB1844">
      <w:pPr>
        <w:pStyle w:val="Ttulo1"/>
        <w:ind w:left="360"/>
      </w:pPr>
      <w:bookmarkStart w:id="90" w:name="_Toc56423713"/>
      <w:bookmarkStart w:id="91" w:name="_Hlk54264742"/>
      <w:r>
        <w:lastRenderedPageBreak/>
        <w:t xml:space="preserve">XII. </w:t>
      </w:r>
      <w:r w:rsidRPr="004A18C8">
        <w:t>Bibliografía</w:t>
      </w:r>
      <w:bookmarkEnd w:id="87"/>
      <w:bookmarkEnd w:id="90"/>
    </w:p>
    <w:p w14:paraId="1357AF86" w14:textId="77777777" w:rsidR="00EB1844" w:rsidRDefault="00EB1844" w:rsidP="001D2D41">
      <w:pPr>
        <w:pStyle w:val="Prrafodelista"/>
        <w:numPr>
          <w:ilvl w:val="0"/>
          <w:numId w:val="35"/>
        </w:numPr>
        <w:contextualSpacing w:val="0"/>
      </w:pPr>
      <w:r w:rsidRPr="003B1703">
        <w:t>ASF. Informe Individual del Resultado de la Fiscalización Superior de la Cuenta Pública 2018. Auditoría Combinada de Cumplimiento y Desempeño: 2018-A-13000-21-0947-2019 947-DS-GF</w:t>
      </w:r>
      <w:r>
        <w:t>.</w:t>
      </w:r>
    </w:p>
    <w:p w14:paraId="25F555B0" w14:textId="77777777" w:rsidR="00EB1844" w:rsidRPr="006351BF" w:rsidRDefault="00EB1844" w:rsidP="001D2D41">
      <w:pPr>
        <w:pStyle w:val="Prrafodelista"/>
        <w:numPr>
          <w:ilvl w:val="0"/>
          <w:numId w:val="35"/>
        </w:numPr>
        <w:contextualSpacing w:val="0"/>
      </w:pPr>
      <w:r w:rsidRPr="006351BF">
        <w:t>CONEVAL, Metodologías de evaluación de los fondos que integran el ramo general 33</w:t>
      </w:r>
    </w:p>
    <w:p w14:paraId="4FE508A5" w14:textId="77777777" w:rsidR="00EB1844" w:rsidRDefault="00EB1844" w:rsidP="001D2D41">
      <w:pPr>
        <w:pStyle w:val="Prrafodelista"/>
        <w:numPr>
          <w:ilvl w:val="0"/>
          <w:numId w:val="35"/>
        </w:numPr>
        <w:contextualSpacing w:val="0"/>
      </w:pPr>
      <w:r w:rsidRPr="00DA3E81">
        <w:t xml:space="preserve">CONEVAL. 2018. Estudio sobre el proceso de descentralización en México 1997-2017. </w:t>
      </w:r>
      <w:hyperlink r:id="rId28" w:history="1">
        <w:r w:rsidRPr="0031153E">
          <w:rPr>
            <w:rStyle w:val="Hipervnculo"/>
          </w:rPr>
          <w:t>https://www.coneval.org.mx/Evaluacion/IEPSM/Documents/Estudio_descentralizacion_1997_2017.pdf</w:t>
        </w:r>
      </w:hyperlink>
    </w:p>
    <w:p w14:paraId="20897544" w14:textId="77777777" w:rsidR="00EB1844" w:rsidRDefault="00EB1844" w:rsidP="001D2D41">
      <w:pPr>
        <w:pStyle w:val="Prrafodelista"/>
        <w:numPr>
          <w:ilvl w:val="0"/>
          <w:numId w:val="35"/>
        </w:numPr>
        <w:contextualSpacing w:val="0"/>
      </w:pPr>
      <w:r w:rsidRPr="00DA3E81">
        <w:t>CONEVA</w:t>
      </w:r>
      <w:r>
        <w:t xml:space="preserve">L. 2019. </w:t>
      </w:r>
      <w:r w:rsidRPr="00DA3E81">
        <w:t>Aspectos a considerar para la elaboración del diagnóstico</w:t>
      </w:r>
      <w:r>
        <w:t>: D</w:t>
      </w:r>
      <w:r w:rsidRPr="00DA3E81">
        <w:t xml:space="preserve">isponible en: </w:t>
      </w:r>
      <w:hyperlink r:id="rId29" w:history="1">
        <w:r w:rsidRPr="0031153E">
          <w:rPr>
            <w:rStyle w:val="Hipervnculo"/>
          </w:rPr>
          <w:t>https://www.gob.mx/cms/uploads/attachment/file/541072/Oficio_No._419-A-19-0788_VQZ.SE.164.19.pdf</w:t>
        </w:r>
      </w:hyperlink>
      <w:r>
        <w:t>.</w:t>
      </w:r>
    </w:p>
    <w:p w14:paraId="54646494" w14:textId="77777777" w:rsidR="00EB1844" w:rsidRDefault="00EB1844" w:rsidP="001D2D41">
      <w:pPr>
        <w:pStyle w:val="Prrafodelista"/>
        <w:numPr>
          <w:ilvl w:val="0"/>
          <w:numId w:val="35"/>
        </w:numPr>
        <w:contextualSpacing w:val="0"/>
      </w:pPr>
      <w:r>
        <w:t xml:space="preserve">CONEVAL. Glosario de Evaluación. Recuperado de: </w:t>
      </w:r>
      <w:hyperlink r:id="rId30" w:history="1">
        <w:r w:rsidRPr="0031153E">
          <w:rPr>
            <w:rStyle w:val="Hipervnculo"/>
          </w:rPr>
          <w:t>https://www.coneval.org.mx/Evaluacion/Paginas/Glosario-EVALUACION.aspx</w:t>
        </w:r>
      </w:hyperlink>
    </w:p>
    <w:p w14:paraId="2A73686B" w14:textId="77777777" w:rsidR="00EB1844" w:rsidRPr="007F7C75" w:rsidRDefault="00EB1844" w:rsidP="001D2D41">
      <w:pPr>
        <w:pStyle w:val="Prrafodelista"/>
        <w:numPr>
          <w:ilvl w:val="0"/>
          <w:numId w:val="35"/>
        </w:numPr>
        <w:contextualSpacing w:val="0"/>
        <w:rPr>
          <w:rFonts w:eastAsia="Times New Roman" w:cs="Times New Roman"/>
          <w:szCs w:val="24"/>
          <w:lang w:eastAsia="es-MX"/>
        </w:rPr>
      </w:pPr>
      <w:r>
        <w:rPr>
          <w:rFonts w:eastAsia="Times New Roman" w:cs="Times New Roman"/>
          <w:szCs w:val="24"/>
          <w:lang w:eastAsia="es-MX"/>
        </w:rPr>
        <w:t xml:space="preserve">CONEVAL. </w:t>
      </w:r>
      <w:r w:rsidRPr="007F7C75">
        <w:rPr>
          <w:rFonts w:eastAsia="Times New Roman" w:cs="Times New Roman"/>
          <w:szCs w:val="24"/>
          <w:lang w:eastAsia="es-MX"/>
        </w:rPr>
        <w:t xml:space="preserve">Programa Anual de Evaluación de los Programas Federales y de los Fondos de Aportaciones Federales para el Ejercicio Fiscal 2018, disponible en: </w:t>
      </w:r>
      <w:hyperlink r:id="rId31" w:history="1">
        <w:r w:rsidRPr="007F7C75">
          <w:rPr>
            <w:rStyle w:val="Hipervnculo"/>
            <w:rFonts w:eastAsia="Times New Roman" w:cs="Times New Roman"/>
            <w:szCs w:val="24"/>
            <w:lang w:eastAsia="es-MX"/>
          </w:rPr>
          <w:t>https://www.coneval.org.mx/Evaluacion/NME/Documents/PAE_2018.pdf</w:t>
        </w:r>
      </w:hyperlink>
    </w:p>
    <w:p w14:paraId="2879A4DE" w14:textId="77777777" w:rsidR="00EB1844" w:rsidRPr="006351BF" w:rsidRDefault="00EB1844" w:rsidP="001D2D41">
      <w:pPr>
        <w:pStyle w:val="Prrafodelista"/>
        <w:numPr>
          <w:ilvl w:val="0"/>
          <w:numId w:val="35"/>
        </w:numPr>
        <w:contextualSpacing w:val="0"/>
      </w:pPr>
      <w:r w:rsidRPr="006351BF">
        <w:t>CONEVAL. Términos de Referencia de la Evaluación de Consistencia y Resultados. Enero de 2018.</w:t>
      </w:r>
    </w:p>
    <w:p w14:paraId="5DB6A3E0" w14:textId="77777777" w:rsidR="00EB1844" w:rsidRDefault="00EB1844" w:rsidP="001D2D41">
      <w:pPr>
        <w:pStyle w:val="Prrafodelista"/>
        <w:numPr>
          <w:ilvl w:val="0"/>
          <w:numId w:val="35"/>
        </w:numPr>
        <w:contextualSpacing w:val="0"/>
      </w:pPr>
      <w:r w:rsidRPr="009659FD">
        <w:t>Diario Oficial de la Federación</w:t>
      </w:r>
      <w:r w:rsidRPr="00FE0978">
        <w:t xml:space="preserve"> </w:t>
      </w:r>
      <w:r>
        <w:t>(</w:t>
      </w:r>
      <w:r w:rsidRPr="00FE0978">
        <w:t>DOF</w:t>
      </w:r>
      <w:r>
        <w:t xml:space="preserve">). </w:t>
      </w:r>
      <w:r w:rsidRPr="00D76A52">
        <w:t>ACUERDO por el que se da a conocer a los Gobiernos de las Entidades Federativas la Distribución y Calendarización para la Ministración durante el Ejercicio Fiscal 2014, de los Recursos Correspondientes a los Ramos Generales 28 Participaciones a Entidades Federativas y Municipios, y 33 Aportaciones Federales para Entidades Federativas y Municipios.</w:t>
      </w:r>
      <w:r>
        <w:t xml:space="preserve"> Recuperado de: </w:t>
      </w:r>
      <w:hyperlink r:id="rId32" w:history="1">
        <w:r w:rsidRPr="005E0CC0">
          <w:rPr>
            <w:rStyle w:val="Hipervnculo"/>
          </w:rPr>
          <w:t>https://www.dof.gob.mx/nota_detalle.php?codigo=5327835&amp;fecha=24/12/2013</w:t>
        </w:r>
      </w:hyperlink>
    </w:p>
    <w:p w14:paraId="42B9B04D" w14:textId="77777777" w:rsidR="00EB1844" w:rsidRDefault="00EB1844" w:rsidP="001D2D41">
      <w:pPr>
        <w:pStyle w:val="Prrafodelista"/>
        <w:numPr>
          <w:ilvl w:val="0"/>
          <w:numId w:val="35"/>
        </w:numPr>
        <w:contextualSpacing w:val="0"/>
      </w:pPr>
      <w:r w:rsidRPr="009659FD">
        <w:t>Diario Oficial de la Federación</w:t>
      </w:r>
      <w:r w:rsidRPr="00FE0978">
        <w:t xml:space="preserve"> </w:t>
      </w:r>
      <w:r>
        <w:t>(</w:t>
      </w:r>
      <w:r w:rsidRPr="00FE0978">
        <w:t>DOF</w:t>
      </w:r>
      <w:r>
        <w:t>)</w:t>
      </w:r>
      <w:r w:rsidRPr="00FE0978">
        <w:t xml:space="preserve">. </w:t>
      </w:r>
      <w:r w:rsidRPr="00D86221">
        <w:t>ACUERDO por el que se da a conocer a los gobiernos de las entidades federativas la distribución y calendarización para la ministración durante el ejercicio fiscal 2015, de los recursos correspondientes a los Ramos Generales 28 Participaciones a Entidades Federativas y Municipios, y 33 Aportaciones Federales para Entidades Federativas y Municipios.</w:t>
      </w:r>
      <w:r>
        <w:t xml:space="preserve"> Recuperado de: </w:t>
      </w:r>
      <w:hyperlink r:id="rId33" w:history="1">
        <w:r w:rsidRPr="005E0CC0">
          <w:rPr>
            <w:rStyle w:val="Hipervnculo"/>
          </w:rPr>
          <w:t>http://www.dof.gob.mx/nota_detalle.php?codigo=5376981&amp;fecha=23/12/2014</w:t>
        </w:r>
      </w:hyperlink>
    </w:p>
    <w:p w14:paraId="68AD5156" w14:textId="77777777" w:rsidR="00EB1844" w:rsidRDefault="00EB1844" w:rsidP="001D2D41">
      <w:pPr>
        <w:pStyle w:val="Prrafodelista"/>
        <w:numPr>
          <w:ilvl w:val="0"/>
          <w:numId w:val="35"/>
        </w:numPr>
        <w:contextualSpacing w:val="0"/>
      </w:pPr>
      <w:r w:rsidRPr="009659FD">
        <w:t>Diario Oficial de la Federación</w:t>
      </w:r>
      <w:r w:rsidRPr="00FE0978">
        <w:t xml:space="preserve"> </w:t>
      </w:r>
      <w:r>
        <w:t>(</w:t>
      </w:r>
      <w:r w:rsidRPr="00FE0978">
        <w:t>DOF</w:t>
      </w:r>
      <w:r>
        <w:t>)</w:t>
      </w:r>
      <w:r w:rsidRPr="00FE0978">
        <w:t xml:space="preserve">. </w:t>
      </w:r>
      <w:r w:rsidRPr="00525FB4">
        <w:t>ACUERDO por el que se da a conocer a los gobiernos de las entidades federativas la distribución y calendarización para la ministración durante el ejercicio fiscal 2016, de los recursos correspondientes a los Ramos Generales 28 Participaciones a Entidades Federativas y Municipios, y 33 Aportaciones Federales para Entidades Federativas y Municipios</w:t>
      </w:r>
      <w:r w:rsidRPr="00D86221">
        <w:t>.</w:t>
      </w:r>
      <w:r>
        <w:t xml:space="preserve"> Recuperado de: </w:t>
      </w:r>
      <w:hyperlink r:id="rId34" w:history="1">
        <w:r w:rsidRPr="005E0CC0">
          <w:rPr>
            <w:rStyle w:val="Hipervnculo"/>
          </w:rPr>
          <w:t>http://dof.gob.mx/nota_detalle.php?codigo=5420652&amp;fecha=18/12/2015</w:t>
        </w:r>
      </w:hyperlink>
      <w:r>
        <w:t>.</w:t>
      </w:r>
    </w:p>
    <w:p w14:paraId="5C164880" w14:textId="77777777" w:rsidR="00EB1844" w:rsidRDefault="00EB1844" w:rsidP="001D2D41">
      <w:pPr>
        <w:pStyle w:val="Prrafodelista"/>
        <w:numPr>
          <w:ilvl w:val="0"/>
          <w:numId w:val="35"/>
        </w:numPr>
        <w:contextualSpacing w:val="0"/>
      </w:pPr>
      <w:r w:rsidRPr="009659FD">
        <w:t>Diario Oficial de la Federación</w:t>
      </w:r>
      <w:r w:rsidRPr="00FE0978">
        <w:t xml:space="preserve"> </w:t>
      </w:r>
      <w:r>
        <w:t>(</w:t>
      </w:r>
      <w:r w:rsidRPr="00FE0978">
        <w:t>DOF</w:t>
      </w:r>
      <w:r>
        <w:t>).</w:t>
      </w:r>
      <w:r w:rsidRPr="00525FB4">
        <w:t xml:space="preserve"> ACUERDO por el que se da a conocer a los Gobiernos de las Entidades Federativas la Distribución y Calendarización para la Ministración durante el Ejercicio Fiscal 2017, de los Recursos Correspondientes a los Ramos Generales 28 Participaciones a Entidades Federativas y Municipios, y 33 Aportaciones Federales para Entidades Federativas y Municipios.</w:t>
      </w:r>
      <w:r>
        <w:t xml:space="preserve"> Recuperado de: </w:t>
      </w:r>
      <w:hyperlink r:id="rId35" w:history="1">
        <w:r w:rsidRPr="005E0CC0">
          <w:rPr>
            <w:rStyle w:val="Hipervnculo"/>
          </w:rPr>
          <w:t>http://www.dof.gob.mx/nota_detalle.php?codigo=5466319&amp;fecha=21/12/2016</w:t>
        </w:r>
      </w:hyperlink>
    </w:p>
    <w:p w14:paraId="5DE844CB" w14:textId="77777777" w:rsidR="00EB1844" w:rsidRDefault="00EB1844" w:rsidP="001D2D41">
      <w:pPr>
        <w:pStyle w:val="Prrafodelista"/>
        <w:numPr>
          <w:ilvl w:val="0"/>
          <w:numId w:val="35"/>
        </w:numPr>
        <w:contextualSpacing w:val="0"/>
      </w:pPr>
      <w:r w:rsidRPr="009659FD">
        <w:t>Diario Oficial de la Federación</w:t>
      </w:r>
      <w:r w:rsidRPr="00FE0978">
        <w:t xml:space="preserve"> </w:t>
      </w:r>
      <w:r>
        <w:t>(</w:t>
      </w:r>
      <w:r w:rsidRPr="00FE0978">
        <w:t>DOF</w:t>
      </w:r>
      <w:r>
        <w:t>).</w:t>
      </w:r>
      <w:r w:rsidRPr="00761AE7">
        <w:t xml:space="preserve"> ACUERDO por el que se da a conocer a los Gobiernos de las Entidades Federativas la Distribución y Calendarización para la Ministración durante el Ejercicio Fiscal 2018, de los Recursos Correspondientes a los Ramos Generales 28 Participaciones a Entidades Federativas y Municipios, y 33 Aportaciones Federales para Entidades Federativas y Municipios.</w:t>
      </w:r>
      <w:r>
        <w:t xml:space="preserve"> Recuperado de: </w:t>
      </w:r>
      <w:hyperlink r:id="rId36" w:history="1">
        <w:r w:rsidRPr="005E0CC0">
          <w:rPr>
            <w:rStyle w:val="Hipervnculo"/>
          </w:rPr>
          <w:t>https://www.dof.gob.mx/nota_detalle.php?codigo=5508435&amp;fecha=20/12/2017</w:t>
        </w:r>
      </w:hyperlink>
      <w:r>
        <w:t>.</w:t>
      </w:r>
    </w:p>
    <w:p w14:paraId="32A407F9" w14:textId="77777777" w:rsidR="00EB1844" w:rsidRDefault="00EB1844" w:rsidP="001D2D41">
      <w:pPr>
        <w:pStyle w:val="Prrafodelista"/>
        <w:numPr>
          <w:ilvl w:val="0"/>
          <w:numId w:val="35"/>
        </w:numPr>
        <w:contextualSpacing w:val="0"/>
      </w:pPr>
      <w:r w:rsidRPr="009659FD">
        <w:lastRenderedPageBreak/>
        <w:t>Diario Oficial de la Federación (DOF). LINEAMIENTOS para informar sobre los recursos federales transferidos a las entidades federativas, municipios y demarcaciones territoriales del Distrito Federal, y de operación de los recursos del Ramo General 33. 25 de abril del 2013.</w:t>
      </w:r>
      <w:r>
        <w:t xml:space="preserve"> Recuperado de: </w:t>
      </w:r>
      <w:hyperlink r:id="rId37" w:history="1">
        <w:r w:rsidRPr="005E0CC0">
          <w:rPr>
            <w:rStyle w:val="Hipervnculo"/>
          </w:rPr>
          <w:t>https://dof.gob.mx/nota_detalle.php?codigo=5297066&amp;fecha=25/04/2013</w:t>
        </w:r>
      </w:hyperlink>
      <w:r>
        <w:t>.</w:t>
      </w:r>
    </w:p>
    <w:p w14:paraId="59D2A855" w14:textId="77777777" w:rsidR="00EB1844" w:rsidRDefault="00EB1844" w:rsidP="001D2D41">
      <w:pPr>
        <w:pStyle w:val="Prrafodelista"/>
        <w:numPr>
          <w:ilvl w:val="0"/>
          <w:numId w:val="35"/>
        </w:numPr>
        <w:contextualSpacing w:val="0"/>
      </w:pPr>
      <w:r>
        <w:t xml:space="preserve">Gobierno del Estado de Hidalgo. </w:t>
      </w:r>
      <w:r w:rsidRPr="002105CB">
        <w:t>Información Financiera</w:t>
      </w:r>
      <w:r>
        <w:t xml:space="preserve"> del </w:t>
      </w:r>
      <w:r w:rsidRPr="002105CB">
        <w:t>SRFT</w:t>
      </w:r>
      <w:r>
        <w:t xml:space="preserve"> 2018. Recuperado de: </w:t>
      </w:r>
      <w:hyperlink r:id="rId38" w:history="1">
        <w:r w:rsidRPr="0031153E">
          <w:rPr>
            <w:rStyle w:val="Hipervnculo"/>
          </w:rPr>
          <w:t>https://s-finanzas.hidalgo.gob.mx/servicios/informacinFinancieraSRFT.html</w:t>
        </w:r>
      </w:hyperlink>
    </w:p>
    <w:p w14:paraId="0190ACA9" w14:textId="77777777" w:rsidR="00EB1844" w:rsidRDefault="00EB1844" w:rsidP="001D2D41">
      <w:pPr>
        <w:pStyle w:val="Prrafodelista"/>
        <w:numPr>
          <w:ilvl w:val="0"/>
          <w:numId w:val="35"/>
        </w:numPr>
        <w:contextualSpacing w:val="0"/>
        <w:rPr>
          <w:rStyle w:val="Hipervnculo"/>
        </w:rPr>
      </w:pPr>
      <w:r>
        <w:t xml:space="preserve">Gobierno del Estado de Hidalgo. </w:t>
      </w:r>
      <w:r w:rsidRPr="0004389D">
        <w:t>Plan</w:t>
      </w:r>
      <w:r w:rsidRPr="005F1701">
        <w:rPr>
          <w:rFonts w:eastAsia="Times New Roman" w:cs="Times New Roman"/>
          <w:szCs w:val="24"/>
          <w:lang w:eastAsia="es-MX"/>
        </w:rPr>
        <w:t xml:space="preserve"> Estatal de Desarrollo 2016-2022. (2017). Gobierno del Estado de </w:t>
      </w:r>
      <w:r>
        <w:rPr>
          <w:rFonts w:eastAsia="Times New Roman" w:cs="Times New Roman"/>
          <w:szCs w:val="24"/>
          <w:lang w:eastAsia="es-MX"/>
        </w:rPr>
        <w:t>Hidalgo</w:t>
      </w:r>
      <w:r w:rsidRPr="005F1701">
        <w:rPr>
          <w:rFonts w:eastAsia="Times New Roman" w:cs="Times New Roman"/>
          <w:szCs w:val="24"/>
          <w:lang w:eastAsia="es-MX"/>
        </w:rPr>
        <w:t>.</w:t>
      </w:r>
      <w:r>
        <w:rPr>
          <w:rFonts w:eastAsia="Times New Roman" w:cs="Times New Roman"/>
          <w:szCs w:val="24"/>
          <w:lang w:eastAsia="es-MX"/>
        </w:rPr>
        <w:t xml:space="preserve"> Recuperado de: </w:t>
      </w:r>
      <w:hyperlink r:id="rId39" w:history="1">
        <w:r>
          <w:rPr>
            <w:rStyle w:val="Hipervnculo"/>
          </w:rPr>
          <w:t>http://hidalgo.gob.mx/Plan%20Estatal%20de%20Desarrollo%201%20Feb%202017.pdf</w:t>
        </w:r>
      </w:hyperlink>
      <w:r>
        <w:rPr>
          <w:rStyle w:val="Hipervnculo"/>
        </w:rPr>
        <w:t>.</w:t>
      </w:r>
    </w:p>
    <w:p w14:paraId="263C7276" w14:textId="77777777" w:rsidR="00EB1844" w:rsidRDefault="00EB1844" w:rsidP="001D2D41">
      <w:pPr>
        <w:pStyle w:val="Prrafodelista"/>
        <w:numPr>
          <w:ilvl w:val="0"/>
          <w:numId w:val="35"/>
        </w:numPr>
        <w:contextualSpacing w:val="0"/>
      </w:pPr>
      <w:r>
        <w:t xml:space="preserve">Gobierno del Estado de Hidalgo. </w:t>
      </w:r>
      <w:r w:rsidRPr="00E638B6">
        <w:t>Presupuesto basado en Resultados y Sistema de Evaluación del Desempeño del Estado de Hidalgo</w:t>
      </w:r>
      <w:r>
        <w:t xml:space="preserve">. Recuperado de: </w:t>
      </w:r>
      <w:hyperlink r:id="rId40" w:history="1">
        <w:r w:rsidRPr="0031153E">
          <w:rPr>
            <w:rStyle w:val="Hipervnculo"/>
          </w:rPr>
          <w:t>https://s-finanzas.hidalgo.gob.mx/pag/presupuestoBasadoResultados.html</w:t>
        </w:r>
      </w:hyperlink>
      <w:r>
        <w:t>.</w:t>
      </w:r>
    </w:p>
    <w:p w14:paraId="77FFF301" w14:textId="77777777" w:rsidR="00EB1844" w:rsidRDefault="00EB1844" w:rsidP="001D2D41">
      <w:pPr>
        <w:pStyle w:val="Prrafodelista"/>
        <w:numPr>
          <w:ilvl w:val="0"/>
          <w:numId w:val="35"/>
        </w:numPr>
        <w:contextualSpacing w:val="0"/>
      </w:pPr>
      <w:r w:rsidRPr="00DA3E81">
        <w:t>ILPES-CEPAL. 2011. Formulación de Programas con la Metodología del Marco Lógico</w:t>
      </w:r>
      <w:r>
        <w:t xml:space="preserve">. </w:t>
      </w:r>
      <w:r w:rsidRPr="00DA3E81">
        <w:t xml:space="preserve">Recuperado de: </w:t>
      </w:r>
      <w:hyperlink r:id="rId41" w:history="1">
        <w:r w:rsidRPr="0031153E">
          <w:rPr>
            <w:rStyle w:val="Hipervnculo"/>
          </w:rPr>
          <w:t>https://repositorio.cepal.org/bitstream/handle/11362/5507/1/S1100211_es.pdf</w:t>
        </w:r>
      </w:hyperlink>
      <w:r w:rsidRPr="00DA3E81">
        <w:t>.</w:t>
      </w:r>
    </w:p>
    <w:p w14:paraId="311A6669" w14:textId="77777777" w:rsidR="00EB1844" w:rsidRDefault="00EB1844" w:rsidP="001D2D41">
      <w:pPr>
        <w:pStyle w:val="Prrafodelista"/>
        <w:numPr>
          <w:ilvl w:val="0"/>
          <w:numId w:val="35"/>
        </w:numPr>
        <w:contextualSpacing w:val="0"/>
      </w:pPr>
      <w:r w:rsidRPr="00E8101E">
        <w:t>INAFED. Instituto Nacional para el Federalismo y el Desarrollo Municipal. ¿Qué es la Recaudación Federal Participable? Recuperado de https://www.gob.mx/inafed/articulos/que-es-la-recaudacion-federal-participable-rfp.</w:t>
      </w:r>
    </w:p>
    <w:p w14:paraId="5CD7A1BC" w14:textId="77777777" w:rsidR="00EB1844" w:rsidRDefault="00EB1844" w:rsidP="001D2D41">
      <w:pPr>
        <w:pStyle w:val="Prrafodelista"/>
        <w:numPr>
          <w:ilvl w:val="0"/>
          <w:numId w:val="35"/>
        </w:numPr>
        <w:contextualSpacing w:val="0"/>
      </w:pPr>
      <w:r w:rsidRPr="006A2406">
        <w:rPr>
          <w:rFonts w:eastAsia="Times New Roman" w:cs="Times New Roman"/>
          <w:lang w:eastAsia="es-MX"/>
        </w:rPr>
        <w:t>Ley</w:t>
      </w:r>
      <w:r w:rsidRPr="006A2406">
        <w:t xml:space="preserve"> de Coordinación Fiscal. Publicada en el Diario Oficial de la Federación, del 27 de diciembre de 1978 (última reforma del 30 de enero del 2018). Recuperado de </w:t>
      </w:r>
      <w:hyperlink r:id="rId42" w:history="1">
        <w:r w:rsidRPr="005E0CC0">
          <w:rPr>
            <w:rStyle w:val="Hipervnculo"/>
          </w:rPr>
          <w:t>http://www.diputados.gob.mx/LeyesBiblio/pdf/31_300118.pdf</w:t>
        </w:r>
      </w:hyperlink>
      <w:r>
        <w:t>.</w:t>
      </w:r>
    </w:p>
    <w:p w14:paraId="57649019" w14:textId="77777777" w:rsidR="00EB1844" w:rsidRDefault="00EB1844" w:rsidP="001D2D41">
      <w:pPr>
        <w:pStyle w:val="Prrafodelista"/>
        <w:numPr>
          <w:ilvl w:val="0"/>
          <w:numId w:val="35"/>
        </w:numPr>
        <w:contextualSpacing w:val="0"/>
      </w:pPr>
      <w:r>
        <w:t xml:space="preserve">Ley de Deuda Pública para el Estado de Hidalgo. Recuperado de: </w:t>
      </w:r>
      <w:bookmarkStart w:id="92" w:name="_Hlk54266233"/>
      <w:r>
        <w:fldChar w:fldCharType="begin"/>
      </w:r>
      <w:r>
        <w:instrText xml:space="preserve"> HYPERLINK "</w:instrText>
      </w:r>
      <w:r w:rsidRPr="00B3761E">
        <w:instrText>http://www.congreso-hidalgo.gob.mx/biblioteca_legislativa/Leyes/35Ley%20de%20Deuda%20Publica%20del%20Estado%20de%20Hidalgo.pdf</w:instrText>
      </w:r>
      <w:r>
        <w:instrText xml:space="preserve">" </w:instrText>
      </w:r>
      <w:r>
        <w:fldChar w:fldCharType="separate"/>
      </w:r>
      <w:r w:rsidRPr="0031153E">
        <w:rPr>
          <w:rStyle w:val="Hipervnculo"/>
        </w:rPr>
        <w:t>http://www.congreso-hidalgo.gob.mx/biblioteca_legislativa/Leyes/35Ley%20de%20Deuda%20Publica%20del%20Estado%20de%20Hidalgo.pdf</w:t>
      </w:r>
      <w:r>
        <w:fldChar w:fldCharType="end"/>
      </w:r>
    </w:p>
    <w:bookmarkEnd w:id="92"/>
    <w:p w14:paraId="47F8F103" w14:textId="77777777" w:rsidR="00EB1844" w:rsidRDefault="00EB1844" w:rsidP="001D2D41">
      <w:pPr>
        <w:pStyle w:val="Prrafodelista"/>
        <w:numPr>
          <w:ilvl w:val="0"/>
          <w:numId w:val="35"/>
        </w:numPr>
        <w:contextualSpacing w:val="0"/>
      </w:pPr>
      <w:r w:rsidRPr="00E8101E">
        <w:t xml:space="preserve">Ley General de Contabilidad Gubernamental. Nueva Ley publicada en el Diario Oficial de la Federación el 31 de diciembre de 2008 recuperado de: </w:t>
      </w:r>
      <w:hyperlink r:id="rId43" w:history="1">
        <w:r w:rsidRPr="0031153E">
          <w:rPr>
            <w:rStyle w:val="Hipervnculo"/>
          </w:rPr>
          <w:t>http://www.diputados.gob.mx/LeyesBiblio/pdf/LGCG_300118.pdf</w:t>
        </w:r>
      </w:hyperlink>
    </w:p>
    <w:p w14:paraId="3442E971" w14:textId="77777777" w:rsidR="00EB1844" w:rsidRPr="00FB4C7D" w:rsidRDefault="00EB1844" w:rsidP="001D2D41">
      <w:pPr>
        <w:pStyle w:val="Prrafodelista"/>
        <w:numPr>
          <w:ilvl w:val="0"/>
          <w:numId w:val="35"/>
        </w:numPr>
        <w:contextualSpacing w:val="0"/>
      </w:pPr>
      <w:r w:rsidRPr="00FB4C7D">
        <w:t>Ortegón, E., J.F. Pacheco, y A. Prieto. (2015). Metodología del marco lógico para la planificación, el seguimiento y la evaluación de proyectos y programas. Naciones Unidas (UN). CEPAL. Santiago de Chile.</w:t>
      </w:r>
    </w:p>
    <w:p w14:paraId="0602565E" w14:textId="77777777" w:rsidR="00EB1844" w:rsidRDefault="00EB1844" w:rsidP="001D2D41">
      <w:pPr>
        <w:pStyle w:val="Prrafodelista"/>
        <w:numPr>
          <w:ilvl w:val="0"/>
          <w:numId w:val="35"/>
        </w:numPr>
        <w:contextualSpacing w:val="0"/>
      </w:pPr>
      <w:r>
        <w:t xml:space="preserve">Periódico Oficial del Estado de Hidalgo. Decreto número 90.- Que autoriza en todas y cada una de sus partes del Presupuesto de Egresos del Estado de Hidalgo. Recuperado de: </w:t>
      </w:r>
      <w:hyperlink r:id="rId44" w:history="1">
        <w:r w:rsidRPr="0031153E">
          <w:rPr>
            <w:rStyle w:val="Hipervnculo"/>
          </w:rPr>
          <w:t>http://h-periodico.hidalgo.gob.mx/pod/services/visualiza.php?doc=2018_dic_31_alc0_53&amp;format=pdf&amp;subfolder=&amp;page=[*,0</w:t>
        </w:r>
      </w:hyperlink>
      <w:r w:rsidRPr="00975DD8">
        <w:t>]</w:t>
      </w:r>
      <w:r>
        <w:t>.</w:t>
      </w:r>
    </w:p>
    <w:p w14:paraId="22B7FE1C" w14:textId="77777777" w:rsidR="00EB1844" w:rsidRDefault="00EB1844" w:rsidP="001D2D41">
      <w:pPr>
        <w:pStyle w:val="Prrafodelista"/>
        <w:numPr>
          <w:ilvl w:val="0"/>
          <w:numId w:val="35"/>
        </w:numPr>
        <w:contextualSpacing w:val="0"/>
      </w:pPr>
      <w:r>
        <w:t xml:space="preserve">Portal de Transparencia presupuestaria. Indicadores de Gasto Federalizado. Recuperado de: </w:t>
      </w:r>
      <w:hyperlink r:id="rId45" w:history="1">
        <w:r w:rsidRPr="0031153E">
          <w:rPr>
            <w:rStyle w:val="Hipervnculo"/>
          </w:rPr>
          <w:t>https://www.transparenciapresupuestaria.gob.mx/es/PTP/Datos_Abiertos</w:t>
        </w:r>
      </w:hyperlink>
      <w:r>
        <w:t>.</w:t>
      </w:r>
    </w:p>
    <w:p w14:paraId="079C473A" w14:textId="77777777" w:rsidR="00EB1844" w:rsidRDefault="00EB1844" w:rsidP="001D2D41">
      <w:pPr>
        <w:pStyle w:val="Prrafodelista"/>
        <w:numPr>
          <w:ilvl w:val="0"/>
          <w:numId w:val="35"/>
        </w:numPr>
        <w:contextualSpacing w:val="0"/>
      </w:pPr>
      <w:r w:rsidRPr="00DA3E81">
        <w:t xml:space="preserve">Secretaría de Finanzas </w:t>
      </w:r>
      <w:r>
        <w:t>Públicas</w:t>
      </w:r>
      <w:r w:rsidRPr="00DA3E81">
        <w:t>. Evaluación específica de desempeño del Fondo de Aportaciones para el Fortalecimiento de las Entidades Federativas (FAFEF). Ramo General 33. Ejercicio Fiscal 201</w:t>
      </w:r>
      <w:r>
        <w:t>4</w:t>
      </w:r>
    </w:p>
    <w:p w14:paraId="11652163" w14:textId="77777777" w:rsidR="00EB1844" w:rsidRDefault="00EB1844" w:rsidP="001D2D41">
      <w:pPr>
        <w:pStyle w:val="Prrafodelista"/>
        <w:numPr>
          <w:ilvl w:val="0"/>
          <w:numId w:val="35"/>
        </w:numPr>
        <w:contextualSpacing w:val="0"/>
      </w:pPr>
      <w:r w:rsidRPr="00DA3E81">
        <w:t xml:space="preserve">Secretaría de Finanzas </w:t>
      </w:r>
      <w:r>
        <w:t>Públicas</w:t>
      </w:r>
      <w:r w:rsidRPr="00DA3E81">
        <w:t>. Evaluación específica de desempeño del Fondo de Aportaciones para el Fortalecimiento de las Entidades Federativas (FAFEF). Ramo General 33. Ejercicio Fiscal 201</w:t>
      </w:r>
      <w:r>
        <w:t>5.</w:t>
      </w:r>
    </w:p>
    <w:p w14:paraId="6FBE97F9" w14:textId="77777777" w:rsidR="00EB1844" w:rsidRDefault="00EB1844" w:rsidP="001D2D41">
      <w:pPr>
        <w:pStyle w:val="Prrafodelista"/>
        <w:numPr>
          <w:ilvl w:val="0"/>
          <w:numId w:val="35"/>
        </w:numPr>
        <w:contextualSpacing w:val="0"/>
      </w:pPr>
      <w:r w:rsidRPr="00DA3E81">
        <w:t xml:space="preserve">Secretaría de Finanzas </w:t>
      </w:r>
      <w:r>
        <w:t>Públicas</w:t>
      </w:r>
      <w:r w:rsidRPr="00DA3E81">
        <w:t>. Evaluación específica de desempeño del Fondo de Aportaciones para el Fortalecimiento de las Entidades Federativas (FAFEF). Ramo General 33. Ejercicio Fiscal 201</w:t>
      </w:r>
      <w:r>
        <w:t>8.</w:t>
      </w:r>
    </w:p>
    <w:p w14:paraId="7DD91075" w14:textId="77777777" w:rsidR="00EB1844" w:rsidRDefault="00EB1844" w:rsidP="001D2D41">
      <w:pPr>
        <w:pStyle w:val="Prrafodelista"/>
        <w:numPr>
          <w:ilvl w:val="0"/>
          <w:numId w:val="35"/>
        </w:numPr>
        <w:contextualSpacing w:val="0"/>
      </w:pPr>
      <w:r w:rsidRPr="00B3761E">
        <w:lastRenderedPageBreak/>
        <w:t xml:space="preserve">Secretaría de Finanzas </w:t>
      </w:r>
      <w:r>
        <w:t>Públicas</w:t>
      </w:r>
      <w:r w:rsidRPr="00B3761E">
        <w:t>. Unidad Técnica de Evaluación del Desempeño. Gobierno del Estado de Hidalgo.2015</w:t>
      </w:r>
      <w:r>
        <w:t xml:space="preserve">. Criterios para el registro y validación de la MIR. 2019. Recuperado de: </w:t>
      </w:r>
      <w:hyperlink r:id="rId46" w:history="1">
        <w:r w:rsidRPr="0031153E">
          <w:rPr>
            <w:rStyle w:val="Hipervnculo"/>
          </w:rPr>
          <w:t>https://s</w:t>
        </w:r>
        <w:r>
          <w:rPr>
            <w:rStyle w:val="Hipervnculo"/>
            <w:rFonts w:cstheme="minorHAnsi"/>
          </w:rPr>
          <w:t>─</w:t>
        </w:r>
        <w:r>
          <w:rPr>
            <w:rStyle w:val="Hipervnculo"/>
          </w:rPr>
          <w:t>f</w:t>
        </w:r>
        <w:r w:rsidRPr="0031153E">
          <w:rPr>
            <w:rStyle w:val="Hipervnculo"/>
          </w:rPr>
          <w:t>inanzas.hidalgo.gob.mx/descargables/uted/Criterios%20para%20el%20Registro%20y%20Validacion%20MIR%202019.pdf</w:t>
        </w:r>
      </w:hyperlink>
    </w:p>
    <w:p w14:paraId="0B595304" w14:textId="77777777" w:rsidR="00EB1844" w:rsidRDefault="00EB1844" w:rsidP="001D2D41">
      <w:pPr>
        <w:pStyle w:val="Prrafodelista"/>
        <w:numPr>
          <w:ilvl w:val="0"/>
          <w:numId w:val="35"/>
        </w:numPr>
        <w:contextualSpacing w:val="0"/>
      </w:pPr>
      <w:r>
        <w:t xml:space="preserve">Secretaría de Finanzas y Administración. Unidad Técnica de Evaluación del Desempeño. Gobierno del Estado de Hidalgo.2015. Manual para la construcción de indicadores de Desempeño, disponible en: </w:t>
      </w:r>
      <w:hyperlink r:id="rId47" w:history="1">
        <w:r w:rsidRPr="00B3761E">
          <w:t>https://s-finanzas.hidalgo.gob.mx/descargables/uted/Manual_Construccion_Indicadores.pdf</w:t>
        </w:r>
      </w:hyperlink>
      <w:r>
        <w:t>.</w:t>
      </w:r>
    </w:p>
    <w:p w14:paraId="7CD27353" w14:textId="77777777" w:rsidR="00EB1844" w:rsidRDefault="00EB1844" w:rsidP="001D2D41">
      <w:pPr>
        <w:pStyle w:val="Prrafodelista"/>
        <w:numPr>
          <w:ilvl w:val="0"/>
          <w:numId w:val="35"/>
        </w:numPr>
        <w:contextualSpacing w:val="0"/>
      </w:pPr>
      <w:r>
        <w:t xml:space="preserve">SHCP. Guía de criterios para el reporte del ejercicio, destino y resultados de los recursos federales transferidos. Recuperado de: </w:t>
      </w:r>
      <w:hyperlink r:id="rId48" w:history="1">
        <w:r w:rsidRPr="0031153E">
          <w:rPr>
            <w:rStyle w:val="Hipervnculo"/>
          </w:rPr>
          <w:t>https://www.transparenciapresupuestaria.gob.mx/work/models/PTP/Entidades_Federativas/SFU/Guia%20_de%20criterios%20_SFU%20VF_2.pdf</w:t>
        </w:r>
      </w:hyperlink>
    </w:p>
    <w:p w14:paraId="309F442B" w14:textId="020104E2" w:rsidR="00EB1844" w:rsidRDefault="00EB1844" w:rsidP="001D2D41">
      <w:pPr>
        <w:pStyle w:val="Prrafodelista"/>
        <w:numPr>
          <w:ilvl w:val="0"/>
          <w:numId w:val="35"/>
        </w:numPr>
        <w:contextualSpacing w:val="0"/>
      </w:pPr>
      <w:r>
        <w:t xml:space="preserve">SHCP. </w:t>
      </w:r>
      <w:r w:rsidRPr="006351BF">
        <w:t>Guía para el Diseño de la Matriz de Indicadores para Resultados.</w:t>
      </w:r>
      <w:r w:rsidR="007425E5">
        <w:t xml:space="preserve">                    </w:t>
      </w:r>
      <w:r w:rsidR="00771353">
        <w:t xml:space="preserve">  </w:t>
      </w:r>
      <w:r>
        <w:t xml:space="preserve"> </w:t>
      </w:r>
    </w:p>
    <w:p w14:paraId="6906F9C3" w14:textId="77777777" w:rsidR="00EB1844" w:rsidRDefault="00EB1844" w:rsidP="009A0175">
      <w:pPr>
        <w:pStyle w:val="Prrafodelista"/>
        <w:ind w:left="958"/>
        <w:contextualSpacing w:val="0"/>
      </w:pPr>
      <w:r w:rsidRPr="006351BF">
        <w:t xml:space="preserve">Disponible en </w:t>
      </w:r>
      <w:hyperlink r:id="rId49" w:history="1">
        <w:r w:rsidRPr="005E0CC0">
          <w:rPr>
            <w:rStyle w:val="Hipervnculo"/>
          </w:rPr>
          <w:t>http://www.gob.mx/shcp/documentos/guia-para-el-diseno-de-la-matriz-de-indicadores-para-resultados</w:t>
        </w:r>
      </w:hyperlink>
      <w:r w:rsidRPr="006351BF">
        <w:t xml:space="preserve">. </w:t>
      </w:r>
    </w:p>
    <w:bookmarkEnd w:id="91"/>
    <w:p w14:paraId="4BA8AD5E" w14:textId="77777777" w:rsidR="00EB1844" w:rsidRDefault="00EB1844" w:rsidP="00EB1844">
      <w:pPr>
        <w:spacing w:before="0" w:after="160"/>
        <w:jc w:val="left"/>
        <w:sectPr w:rsidR="00EB1844" w:rsidSect="00D902E0">
          <w:pgSz w:w="12240" w:h="15840" w:code="1"/>
          <w:pgMar w:top="1134" w:right="1134" w:bottom="1134" w:left="1134" w:header="709" w:footer="709" w:gutter="0"/>
          <w:cols w:space="708"/>
          <w:docGrid w:linePitch="360"/>
        </w:sectPr>
      </w:pPr>
    </w:p>
    <w:p w14:paraId="210FCED6" w14:textId="77777777" w:rsidR="00EB1844" w:rsidRPr="00C56D72" w:rsidRDefault="00EB1844" w:rsidP="00EB1844">
      <w:pPr>
        <w:pStyle w:val="Ttulo1"/>
        <w:sectPr w:rsidR="00EB1844" w:rsidRPr="00C56D72" w:rsidSect="00434FC0">
          <w:pgSz w:w="12240" w:h="15840" w:code="1"/>
          <w:pgMar w:top="1134" w:right="1134" w:bottom="1134" w:left="1134" w:header="709" w:footer="709" w:gutter="0"/>
          <w:cols w:space="708"/>
          <w:vAlign w:val="center"/>
          <w:docGrid w:linePitch="360"/>
        </w:sectPr>
      </w:pPr>
      <w:r>
        <w:rPr>
          <w:sz w:val="44"/>
        </w:rPr>
        <w:lastRenderedPageBreak/>
        <w:t xml:space="preserve"> </w:t>
      </w:r>
      <w:bookmarkStart w:id="93" w:name="_Toc56423714"/>
      <w:r w:rsidRPr="00C56D72">
        <w:t>XIII. Anexos</w:t>
      </w:r>
      <w:bookmarkEnd w:id="93"/>
    </w:p>
    <w:p w14:paraId="767E997E" w14:textId="7F4EB54C" w:rsidR="00EB1844" w:rsidRDefault="00EB1844" w:rsidP="00EB1844">
      <w:pPr>
        <w:pStyle w:val="Anexos"/>
        <w:rPr>
          <w:rStyle w:val="Ttulo2Car"/>
          <w:b/>
          <w:i/>
          <w:iCs/>
          <w:sz w:val="22"/>
          <w:szCs w:val="22"/>
        </w:rPr>
      </w:pPr>
      <w:bookmarkStart w:id="94" w:name="_Toc45480703"/>
      <w:bookmarkStart w:id="95" w:name="_Toc54262971"/>
      <w:bookmarkStart w:id="96" w:name="_Toc55497583"/>
      <w:bookmarkStart w:id="97" w:name="_Toc55542094"/>
      <w:bookmarkStart w:id="98" w:name="_Toc56423504"/>
      <w:bookmarkStart w:id="99" w:name="_Toc56423715"/>
      <w:bookmarkStart w:id="100" w:name="_Toc56449866"/>
      <w:r w:rsidRPr="00746727">
        <w:rPr>
          <w:i w:val="0"/>
          <w:iCs/>
        </w:rPr>
        <w:lastRenderedPageBreak/>
        <w:t xml:space="preserve">Anexo 1. </w:t>
      </w:r>
      <w:r w:rsidRPr="00E73A6A">
        <w:rPr>
          <w:rStyle w:val="Ttulo2Car"/>
          <w:b/>
          <w:sz w:val="22"/>
          <w:szCs w:val="22"/>
        </w:rPr>
        <w:t>Indicadore</w:t>
      </w:r>
      <w:r w:rsidRPr="00E73A6A">
        <w:rPr>
          <w:rStyle w:val="Ttulo2Car"/>
          <w:b/>
          <w:i/>
          <w:iCs/>
          <w:sz w:val="22"/>
          <w:szCs w:val="22"/>
        </w:rPr>
        <w:t>s</w:t>
      </w:r>
      <w:bookmarkEnd w:id="94"/>
      <w:bookmarkEnd w:id="95"/>
      <w:bookmarkEnd w:id="96"/>
      <w:bookmarkEnd w:id="97"/>
      <w:bookmarkEnd w:id="98"/>
      <w:bookmarkEnd w:id="99"/>
      <w:bookmarkEnd w:id="100"/>
    </w:p>
    <w:tbl>
      <w:tblPr>
        <w:tblW w:w="5000" w:type="pct"/>
        <w:tblCellMar>
          <w:left w:w="70" w:type="dxa"/>
          <w:right w:w="70" w:type="dxa"/>
        </w:tblCellMar>
        <w:tblLook w:val="04A0" w:firstRow="1" w:lastRow="0" w:firstColumn="1" w:lastColumn="0" w:noHBand="0" w:noVBand="1"/>
      </w:tblPr>
      <w:tblGrid>
        <w:gridCol w:w="1298"/>
        <w:gridCol w:w="3087"/>
        <w:gridCol w:w="1558"/>
        <w:gridCol w:w="1277"/>
        <w:gridCol w:w="2125"/>
        <w:gridCol w:w="4207"/>
      </w:tblGrid>
      <w:tr w:rsidR="00A63F78" w:rsidRPr="004B3567" w14:paraId="48D7C20B" w14:textId="77777777" w:rsidTr="00A63F78">
        <w:trPr>
          <w:trHeight w:val="450"/>
        </w:trPr>
        <w:tc>
          <w:tcPr>
            <w:tcW w:w="479" w:type="pct"/>
            <w:vMerge w:val="restart"/>
            <w:tcBorders>
              <w:top w:val="single" w:sz="8" w:space="0" w:color="auto"/>
              <w:left w:val="single" w:sz="8" w:space="0" w:color="auto"/>
              <w:bottom w:val="single" w:sz="8" w:space="0" w:color="000000"/>
              <w:right w:val="single" w:sz="8" w:space="0" w:color="auto"/>
            </w:tcBorders>
            <w:shd w:val="clear" w:color="auto" w:fill="9CC2E5"/>
            <w:vAlign w:val="center"/>
            <w:hideMark/>
          </w:tcPr>
          <w:p w14:paraId="71D367FD" w14:textId="77777777" w:rsidR="00EB1844" w:rsidRPr="004B3567" w:rsidRDefault="00EB1844" w:rsidP="00394317">
            <w:pPr>
              <w:spacing w:before="0" w:after="0"/>
              <w:jc w:val="center"/>
              <w:rPr>
                <w:rFonts w:eastAsia="Times New Roman" w:cs="Times New Roman"/>
                <w:b/>
                <w:bCs/>
                <w:color w:val="000000"/>
                <w:sz w:val="20"/>
                <w:szCs w:val="20"/>
                <w:lang w:eastAsia="es-MX"/>
              </w:rPr>
            </w:pPr>
            <w:r w:rsidRPr="004B3567">
              <w:rPr>
                <w:rFonts w:eastAsia="Times New Roman" w:cs="Times New Roman"/>
                <w:b/>
                <w:bCs/>
                <w:color w:val="000000"/>
                <w:sz w:val="20"/>
                <w:szCs w:val="20"/>
                <w:lang w:eastAsia="es-MX"/>
              </w:rPr>
              <w:t>Nivel de Objetivo</w:t>
            </w:r>
          </w:p>
        </w:tc>
        <w:tc>
          <w:tcPr>
            <w:tcW w:w="1139" w:type="pct"/>
            <w:vMerge w:val="restart"/>
            <w:tcBorders>
              <w:top w:val="single" w:sz="8" w:space="0" w:color="auto"/>
              <w:left w:val="single" w:sz="8" w:space="0" w:color="auto"/>
              <w:bottom w:val="single" w:sz="8" w:space="0" w:color="000000"/>
              <w:right w:val="single" w:sz="8" w:space="0" w:color="auto"/>
            </w:tcBorders>
            <w:shd w:val="clear" w:color="auto" w:fill="9CC2E5"/>
            <w:vAlign w:val="center"/>
            <w:hideMark/>
          </w:tcPr>
          <w:p w14:paraId="5649406E" w14:textId="77777777" w:rsidR="00EB1844" w:rsidRPr="004B3567" w:rsidRDefault="00EB1844" w:rsidP="00394317">
            <w:pPr>
              <w:spacing w:before="0" w:after="0"/>
              <w:jc w:val="center"/>
              <w:rPr>
                <w:rFonts w:eastAsia="Times New Roman" w:cs="Times New Roman"/>
                <w:b/>
                <w:bCs/>
                <w:color w:val="000000"/>
                <w:sz w:val="20"/>
                <w:szCs w:val="20"/>
                <w:lang w:eastAsia="es-MX"/>
              </w:rPr>
            </w:pPr>
            <w:r w:rsidRPr="004B3567">
              <w:rPr>
                <w:rFonts w:eastAsia="Times New Roman" w:cs="Times New Roman"/>
                <w:b/>
                <w:bCs/>
                <w:color w:val="000000"/>
                <w:sz w:val="20"/>
                <w:szCs w:val="20"/>
                <w:lang w:eastAsia="es-MX"/>
              </w:rPr>
              <w:t>Nombre del Indicador</w:t>
            </w:r>
          </w:p>
        </w:tc>
        <w:tc>
          <w:tcPr>
            <w:tcW w:w="575" w:type="pct"/>
            <w:vMerge w:val="restart"/>
            <w:tcBorders>
              <w:top w:val="single" w:sz="8" w:space="0" w:color="auto"/>
              <w:left w:val="single" w:sz="8" w:space="0" w:color="auto"/>
              <w:bottom w:val="single" w:sz="8" w:space="0" w:color="000000"/>
              <w:right w:val="single" w:sz="8" w:space="0" w:color="auto"/>
            </w:tcBorders>
            <w:shd w:val="clear" w:color="auto" w:fill="9CC2E5"/>
            <w:vAlign w:val="center"/>
            <w:hideMark/>
          </w:tcPr>
          <w:p w14:paraId="5339AEFA" w14:textId="77777777" w:rsidR="00EB1844" w:rsidRPr="004B3567" w:rsidRDefault="00EB1844" w:rsidP="00394317">
            <w:pPr>
              <w:spacing w:before="0" w:after="0"/>
              <w:jc w:val="center"/>
              <w:rPr>
                <w:rFonts w:eastAsia="Times New Roman" w:cs="Times New Roman"/>
                <w:b/>
                <w:bCs/>
                <w:color w:val="000000"/>
                <w:sz w:val="20"/>
                <w:szCs w:val="20"/>
                <w:lang w:eastAsia="es-MX"/>
              </w:rPr>
            </w:pPr>
            <w:r w:rsidRPr="004B3567">
              <w:rPr>
                <w:rFonts w:eastAsia="Times New Roman" w:cs="Times New Roman"/>
                <w:b/>
                <w:bCs/>
                <w:color w:val="000000"/>
                <w:sz w:val="20"/>
                <w:szCs w:val="20"/>
                <w:lang w:eastAsia="es-MX"/>
              </w:rPr>
              <w:t>Frecuencia de medición</w:t>
            </w:r>
          </w:p>
        </w:tc>
        <w:tc>
          <w:tcPr>
            <w:tcW w:w="471" w:type="pct"/>
            <w:vMerge w:val="restart"/>
            <w:tcBorders>
              <w:top w:val="single" w:sz="8" w:space="0" w:color="auto"/>
              <w:left w:val="single" w:sz="8" w:space="0" w:color="auto"/>
              <w:bottom w:val="single" w:sz="8" w:space="0" w:color="000000"/>
              <w:right w:val="single" w:sz="8" w:space="0" w:color="auto"/>
            </w:tcBorders>
            <w:shd w:val="clear" w:color="auto" w:fill="9CC2E5"/>
            <w:vAlign w:val="center"/>
            <w:hideMark/>
          </w:tcPr>
          <w:p w14:paraId="66FA7FB0" w14:textId="77777777" w:rsidR="00EB1844" w:rsidRPr="004B3567" w:rsidRDefault="00EB1844" w:rsidP="00394317">
            <w:pPr>
              <w:spacing w:before="0" w:after="0"/>
              <w:jc w:val="center"/>
              <w:rPr>
                <w:rFonts w:eastAsia="Times New Roman" w:cs="Times New Roman"/>
                <w:b/>
                <w:bCs/>
                <w:color w:val="000000"/>
                <w:sz w:val="20"/>
                <w:szCs w:val="20"/>
                <w:lang w:eastAsia="es-MX"/>
              </w:rPr>
            </w:pPr>
            <w:r w:rsidRPr="004B3567">
              <w:rPr>
                <w:rFonts w:eastAsia="Times New Roman" w:cs="Times New Roman"/>
                <w:b/>
                <w:bCs/>
                <w:color w:val="000000"/>
                <w:sz w:val="20"/>
                <w:szCs w:val="20"/>
                <w:lang w:eastAsia="es-MX"/>
              </w:rPr>
              <w:t>Unidad de medida</w:t>
            </w:r>
          </w:p>
        </w:tc>
        <w:tc>
          <w:tcPr>
            <w:tcW w:w="784" w:type="pct"/>
            <w:vMerge w:val="restart"/>
            <w:tcBorders>
              <w:top w:val="single" w:sz="8" w:space="0" w:color="auto"/>
              <w:left w:val="single" w:sz="8" w:space="0" w:color="auto"/>
              <w:bottom w:val="single" w:sz="8" w:space="0" w:color="000000"/>
              <w:right w:val="single" w:sz="8" w:space="0" w:color="auto"/>
            </w:tcBorders>
            <w:shd w:val="clear" w:color="auto" w:fill="9CC2E5"/>
            <w:vAlign w:val="center"/>
            <w:hideMark/>
          </w:tcPr>
          <w:p w14:paraId="33017F18" w14:textId="77777777" w:rsidR="00EB1844" w:rsidRPr="004B3567" w:rsidRDefault="00EB1844" w:rsidP="00394317">
            <w:pPr>
              <w:spacing w:before="0" w:after="0"/>
              <w:jc w:val="center"/>
              <w:rPr>
                <w:rFonts w:eastAsia="Times New Roman" w:cs="Times New Roman"/>
                <w:b/>
                <w:bCs/>
                <w:color w:val="000000"/>
                <w:sz w:val="20"/>
                <w:szCs w:val="20"/>
                <w:lang w:eastAsia="es-MX"/>
              </w:rPr>
            </w:pPr>
            <w:r w:rsidRPr="004B3567">
              <w:rPr>
                <w:rFonts w:eastAsia="Times New Roman" w:cs="Times New Roman"/>
                <w:b/>
                <w:bCs/>
                <w:color w:val="000000"/>
                <w:sz w:val="20"/>
                <w:szCs w:val="20"/>
                <w:lang w:eastAsia="es-MX"/>
              </w:rPr>
              <w:t>Dependencia responsable del seguimiento</w:t>
            </w:r>
          </w:p>
        </w:tc>
        <w:tc>
          <w:tcPr>
            <w:tcW w:w="1552" w:type="pct"/>
            <w:vMerge w:val="restart"/>
            <w:tcBorders>
              <w:top w:val="single" w:sz="8" w:space="0" w:color="auto"/>
              <w:left w:val="single" w:sz="8" w:space="0" w:color="auto"/>
              <w:bottom w:val="single" w:sz="8" w:space="0" w:color="000000"/>
              <w:right w:val="single" w:sz="8" w:space="0" w:color="auto"/>
            </w:tcBorders>
            <w:shd w:val="clear" w:color="auto" w:fill="9CC2E5"/>
            <w:vAlign w:val="center"/>
            <w:hideMark/>
          </w:tcPr>
          <w:p w14:paraId="5B7594BB" w14:textId="77777777" w:rsidR="00EB1844" w:rsidRPr="004B3567" w:rsidRDefault="00EB1844" w:rsidP="00394317">
            <w:pPr>
              <w:spacing w:before="0" w:after="0"/>
              <w:jc w:val="center"/>
              <w:rPr>
                <w:rFonts w:eastAsia="Times New Roman" w:cs="Times New Roman"/>
                <w:b/>
                <w:bCs/>
                <w:color w:val="000000"/>
                <w:sz w:val="20"/>
                <w:szCs w:val="20"/>
                <w:lang w:eastAsia="es-MX"/>
              </w:rPr>
            </w:pPr>
            <w:r w:rsidRPr="004B3567">
              <w:rPr>
                <w:rFonts w:eastAsia="Times New Roman" w:cs="Times New Roman"/>
                <w:b/>
                <w:bCs/>
                <w:color w:val="000000"/>
                <w:sz w:val="20"/>
                <w:szCs w:val="20"/>
                <w:lang w:eastAsia="es-MX"/>
              </w:rPr>
              <w:t>Medios de verificación (fuentes de información)</w:t>
            </w:r>
          </w:p>
        </w:tc>
      </w:tr>
      <w:tr w:rsidR="00A63F78" w:rsidRPr="004B3567" w14:paraId="6CE79B95" w14:textId="77777777" w:rsidTr="00A63F78">
        <w:trPr>
          <w:trHeight w:val="450"/>
        </w:trPr>
        <w:tc>
          <w:tcPr>
            <w:tcW w:w="479" w:type="pct"/>
            <w:vMerge/>
            <w:tcBorders>
              <w:top w:val="single" w:sz="8" w:space="0" w:color="auto"/>
              <w:left w:val="single" w:sz="8" w:space="0" w:color="auto"/>
              <w:bottom w:val="single" w:sz="8" w:space="0" w:color="000000"/>
              <w:right w:val="single" w:sz="8" w:space="0" w:color="auto"/>
            </w:tcBorders>
            <w:shd w:val="clear" w:color="auto" w:fill="9CC2E5"/>
            <w:vAlign w:val="center"/>
            <w:hideMark/>
          </w:tcPr>
          <w:p w14:paraId="183C005B" w14:textId="77777777" w:rsidR="00EB1844" w:rsidRPr="004B3567" w:rsidRDefault="00EB1844" w:rsidP="00927B4B">
            <w:pPr>
              <w:spacing w:before="0" w:after="0"/>
              <w:jc w:val="left"/>
              <w:rPr>
                <w:rFonts w:eastAsia="Times New Roman" w:cs="Times New Roman"/>
                <w:b/>
                <w:bCs/>
                <w:color w:val="000000"/>
                <w:sz w:val="20"/>
                <w:szCs w:val="20"/>
                <w:lang w:eastAsia="es-MX"/>
              </w:rPr>
            </w:pPr>
          </w:p>
        </w:tc>
        <w:tc>
          <w:tcPr>
            <w:tcW w:w="1139" w:type="pct"/>
            <w:vMerge/>
            <w:tcBorders>
              <w:top w:val="single" w:sz="8" w:space="0" w:color="auto"/>
              <w:left w:val="single" w:sz="8" w:space="0" w:color="auto"/>
              <w:bottom w:val="single" w:sz="8" w:space="0" w:color="000000"/>
              <w:right w:val="single" w:sz="8" w:space="0" w:color="auto"/>
            </w:tcBorders>
            <w:shd w:val="clear" w:color="auto" w:fill="9CC2E5"/>
            <w:vAlign w:val="center"/>
            <w:hideMark/>
          </w:tcPr>
          <w:p w14:paraId="50E66D29" w14:textId="77777777" w:rsidR="00EB1844" w:rsidRPr="004B3567" w:rsidRDefault="00EB1844" w:rsidP="00927B4B">
            <w:pPr>
              <w:spacing w:before="0" w:after="0"/>
              <w:jc w:val="left"/>
              <w:rPr>
                <w:rFonts w:eastAsia="Times New Roman" w:cs="Times New Roman"/>
                <w:b/>
                <w:bCs/>
                <w:color w:val="000000"/>
                <w:sz w:val="20"/>
                <w:szCs w:val="20"/>
                <w:lang w:eastAsia="es-MX"/>
              </w:rPr>
            </w:pPr>
          </w:p>
        </w:tc>
        <w:tc>
          <w:tcPr>
            <w:tcW w:w="575" w:type="pct"/>
            <w:vMerge/>
            <w:tcBorders>
              <w:top w:val="single" w:sz="8" w:space="0" w:color="auto"/>
              <w:left w:val="single" w:sz="8" w:space="0" w:color="auto"/>
              <w:bottom w:val="single" w:sz="8" w:space="0" w:color="000000"/>
              <w:right w:val="single" w:sz="8" w:space="0" w:color="auto"/>
            </w:tcBorders>
            <w:shd w:val="clear" w:color="auto" w:fill="9CC2E5"/>
            <w:vAlign w:val="center"/>
            <w:hideMark/>
          </w:tcPr>
          <w:p w14:paraId="32F6B063" w14:textId="77777777" w:rsidR="00EB1844" w:rsidRPr="004B3567" w:rsidRDefault="00EB1844" w:rsidP="00927B4B">
            <w:pPr>
              <w:spacing w:before="0" w:after="0"/>
              <w:jc w:val="left"/>
              <w:rPr>
                <w:rFonts w:eastAsia="Times New Roman" w:cs="Times New Roman"/>
                <w:b/>
                <w:bCs/>
                <w:color w:val="000000"/>
                <w:sz w:val="20"/>
                <w:szCs w:val="20"/>
                <w:lang w:eastAsia="es-MX"/>
              </w:rPr>
            </w:pPr>
          </w:p>
        </w:tc>
        <w:tc>
          <w:tcPr>
            <w:tcW w:w="471" w:type="pct"/>
            <w:vMerge/>
            <w:tcBorders>
              <w:top w:val="single" w:sz="8" w:space="0" w:color="auto"/>
              <w:left w:val="single" w:sz="8" w:space="0" w:color="auto"/>
              <w:bottom w:val="single" w:sz="8" w:space="0" w:color="000000"/>
              <w:right w:val="single" w:sz="8" w:space="0" w:color="auto"/>
            </w:tcBorders>
            <w:shd w:val="clear" w:color="auto" w:fill="9CC2E5"/>
            <w:vAlign w:val="center"/>
            <w:hideMark/>
          </w:tcPr>
          <w:p w14:paraId="3CD98E6C" w14:textId="77777777" w:rsidR="00EB1844" w:rsidRPr="004B3567" w:rsidRDefault="00EB1844" w:rsidP="00927B4B">
            <w:pPr>
              <w:spacing w:before="0" w:after="0"/>
              <w:jc w:val="left"/>
              <w:rPr>
                <w:rFonts w:eastAsia="Times New Roman" w:cs="Times New Roman"/>
                <w:b/>
                <w:bCs/>
                <w:color w:val="000000"/>
                <w:sz w:val="20"/>
                <w:szCs w:val="20"/>
                <w:lang w:eastAsia="es-MX"/>
              </w:rPr>
            </w:pPr>
          </w:p>
        </w:tc>
        <w:tc>
          <w:tcPr>
            <w:tcW w:w="784" w:type="pct"/>
            <w:vMerge/>
            <w:tcBorders>
              <w:top w:val="single" w:sz="8" w:space="0" w:color="auto"/>
              <w:left w:val="single" w:sz="8" w:space="0" w:color="auto"/>
              <w:bottom w:val="single" w:sz="8" w:space="0" w:color="000000"/>
              <w:right w:val="single" w:sz="8" w:space="0" w:color="auto"/>
            </w:tcBorders>
            <w:shd w:val="clear" w:color="auto" w:fill="9CC2E5"/>
            <w:vAlign w:val="center"/>
            <w:hideMark/>
          </w:tcPr>
          <w:p w14:paraId="01399184" w14:textId="77777777" w:rsidR="00EB1844" w:rsidRPr="004B3567" w:rsidRDefault="00EB1844" w:rsidP="00927B4B">
            <w:pPr>
              <w:spacing w:before="0" w:after="0"/>
              <w:jc w:val="left"/>
              <w:rPr>
                <w:rFonts w:eastAsia="Times New Roman" w:cs="Times New Roman"/>
                <w:b/>
                <w:bCs/>
                <w:color w:val="000000"/>
                <w:sz w:val="20"/>
                <w:szCs w:val="20"/>
                <w:lang w:eastAsia="es-MX"/>
              </w:rPr>
            </w:pPr>
          </w:p>
        </w:tc>
        <w:tc>
          <w:tcPr>
            <w:tcW w:w="1552" w:type="pct"/>
            <w:vMerge/>
            <w:tcBorders>
              <w:top w:val="single" w:sz="8" w:space="0" w:color="auto"/>
              <w:left w:val="single" w:sz="8" w:space="0" w:color="auto"/>
              <w:bottom w:val="single" w:sz="8" w:space="0" w:color="000000"/>
              <w:right w:val="single" w:sz="8" w:space="0" w:color="auto"/>
            </w:tcBorders>
            <w:shd w:val="clear" w:color="auto" w:fill="9CC2E5"/>
            <w:vAlign w:val="center"/>
            <w:hideMark/>
          </w:tcPr>
          <w:p w14:paraId="189024FC" w14:textId="77777777" w:rsidR="00EB1844" w:rsidRPr="004B3567" w:rsidRDefault="00EB1844" w:rsidP="00927B4B">
            <w:pPr>
              <w:spacing w:before="0" w:after="0"/>
              <w:jc w:val="left"/>
              <w:rPr>
                <w:rFonts w:eastAsia="Times New Roman" w:cs="Times New Roman"/>
                <w:b/>
                <w:bCs/>
                <w:color w:val="000000"/>
                <w:sz w:val="20"/>
                <w:szCs w:val="20"/>
                <w:lang w:eastAsia="es-MX"/>
              </w:rPr>
            </w:pPr>
          </w:p>
        </w:tc>
      </w:tr>
      <w:tr w:rsidR="00580268" w:rsidRPr="004B3567" w14:paraId="315FAD8D" w14:textId="77777777" w:rsidTr="00752737">
        <w:trPr>
          <w:trHeight w:val="330"/>
        </w:trPr>
        <w:tc>
          <w:tcPr>
            <w:tcW w:w="5000" w:type="pct"/>
            <w:gridSpan w:val="6"/>
            <w:tcBorders>
              <w:top w:val="nil"/>
              <w:left w:val="single" w:sz="8" w:space="0" w:color="auto"/>
              <w:bottom w:val="single" w:sz="8" w:space="0" w:color="auto"/>
              <w:right w:val="single" w:sz="8" w:space="0" w:color="000000"/>
            </w:tcBorders>
            <w:shd w:val="clear" w:color="auto" w:fill="D0CECE" w:themeFill="background2" w:themeFillShade="E6"/>
            <w:vAlign w:val="center"/>
            <w:hideMark/>
          </w:tcPr>
          <w:p w14:paraId="59DD4639" w14:textId="65F287C2" w:rsidR="002C5DE6" w:rsidRPr="007D560F" w:rsidRDefault="002C5DE6" w:rsidP="002C5DE6">
            <w:pPr>
              <w:spacing w:before="0" w:after="0"/>
              <w:jc w:val="center"/>
              <w:rPr>
                <w:rFonts w:eastAsia="Times New Roman" w:cstheme="minorHAnsi"/>
                <w:b/>
                <w:bCs/>
                <w:color w:val="000000"/>
                <w:sz w:val="20"/>
                <w:szCs w:val="20"/>
                <w:lang w:eastAsia="es-MX"/>
              </w:rPr>
            </w:pPr>
            <w:r w:rsidRPr="007D560F">
              <w:rPr>
                <w:rFonts w:eastAsia="Times New Roman" w:cstheme="minorHAnsi"/>
                <w:b/>
                <w:bCs/>
                <w:color w:val="000000"/>
                <w:sz w:val="20"/>
                <w:szCs w:val="20"/>
                <w:lang w:eastAsia="es-MX"/>
              </w:rPr>
              <w:t>Indicadores MIR del FAFEF para el ámbito federal</w:t>
            </w:r>
          </w:p>
          <w:p w14:paraId="5540C8AE" w14:textId="18DBEB33" w:rsidR="00580268" w:rsidRPr="004B3567" w:rsidRDefault="002C5DE6" w:rsidP="002C5DE6">
            <w:pPr>
              <w:spacing w:before="0" w:after="0"/>
              <w:jc w:val="center"/>
              <w:rPr>
                <w:rFonts w:eastAsia="Times New Roman" w:cs="Times New Roman"/>
                <w:b/>
                <w:bCs/>
                <w:color w:val="000000"/>
                <w:sz w:val="20"/>
                <w:szCs w:val="20"/>
                <w:lang w:eastAsia="es-MX"/>
              </w:rPr>
            </w:pPr>
            <w:r w:rsidRPr="007D560F">
              <w:rPr>
                <w:rFonts w:cstheme="minorHAnsi"/>
                <w:b/>
                <w:bCs/>
                <w:sz w:val="20"/>
                <w:szCs w:val="20"/>
              </w:rPr>
              <w:t>I012 Fondo de Aportaciones para el Fortalecimiento de las Entidades Federativas</w:t>
            </w:r>
          </w:p>
        </w:tc>
      </w:tr>
      <w:tr w:rsidR="00A63F78" w:rsidRPr="004B3567" w14:paraId="65989C87" w14:textId="77777777" w:rsidTr="00A63F78">
        <w:trPr>
          <w:trHeight w:val="1035"/>
        </w:trPr>
        <w:tc>
          <w:tcPr>
            <w:tcW w:w="479" w:type="pct"/>
            <w:tcBorders>
              <w:top w:val="nil"/>
              <w:left w:val="single" w:sz="8" w:space="0" w:color="auto"/>
              <w:bottom w:val="single" w:sz="8" w:space="0" w:color="auto"/>
              <w:right w:val="single" w:sz="8" w:space="0" w:color="auto"/>
            </w:tcBorders>
            <w:shd w:val="clear" w:color="auto" w:fill="auto"/>
            <w:vAlign w:val="center"/>
            <w:hideMark/>
          </w:tcPr>
          <w:p w14:paraId="3E91DB1B" w14:textId="77777777" w:rsidR="00EB1844" w:rsidRPr="001B21B0" w:rsidRDefault="00EB1844" w:rsidP="001B21B0">
            <w:pPr>
              <w:spacing w:before="0" w:after="0"/>
              <w:jc w:val="center"/>
              <w:rPr>
                <w:rFonts w:eastAsia="Times New Roman" w:cs="Times New Roman"/>
                <w:color w:val="000000"/>
                <w:sz w:val="20"/>
                <w:szCs w:val="20"/>
                <w:lang w:eastAsia="es-MX"/>
              </w:rPr>
            </w:pPr>
            <w:r w:rsidRPr="001B21B0">
              <w:rPr>
                <w:rFonts w:eastAsia="Times New Roman" w:cs="Times New Roman"/>
                <w:color w:val="000000"/>
                <w:sz w:val="20"/>
                <w:szCs w:val="20"/>
                <w:lang w:eastAsia="es-MX"/>
              </w:rPr>
              <w:t>Fin</w:t>
            </w:r>
          </w:p>
        </w:tc>
        <w:tc>
          <w:tcPr>
            <w:tcW w:w="1139" w:type="pct"/>
            <w:tcBorders>
              <w:top w:val="nil"/>
              <w:left w:val="nil"/>
              <w:bottom w:val="single" w:sz="8" w:space="0" w:color="auto"/>
              <w:right w:val="single" w:sz="8" w:space="0" w:color="auto"/>
            </w:tcBorders>
            <w:shd w:val="clear" w:color="auto" w:fill="auto"/>
            <w:vAlign w:val="center"/>
            <w:hideMark/>
          </w:tcPr>
          <w:p w14:paraId="7C8F6F53" w14:textId="77777777" w:rsidR="00EB1844" w:rsidRPr="004B3567" w:rsidRDefault="00EB1844" w:rsidP="00CA01E4">
            <w:pPr>
              <w:spacing w:before="0" w:after="0"/>
              <w:rPr>
                <w:rFonts w:eastAsia="Times New Roman" w:cs="Times New Roman"/>
                <w:color w:val="000000"/>
                <w:sz w:val="20"/>
                <w:szCs w:val="20"/>
                <w:lang w:eastAsia="es-MX"/>
              </w:rPr>
            </w:pPr>
            <w:r w:rsidRPr="004B3567">
              <w:rPr>
                <w:rFonts w:eastAsia="Times New Roman" w:cs="Times New Roman"/>
                <w:color w:val="000000"/>
                <w:sz w:val="20"/>
                <w:szCs w:val="20"/>
                <w:lang w:eastAsia="es-MX"/>
              </w:rPr>
              <w:t>Índice de Impacto de Deuda Pública</w:t>
            </w:r>
          </w:p>
        </w:tc>
        <w:tc>
          <w:tcPr>
            <w:tcW w:w="575" w:type="pct"/>
            <w:tcBorders>
              <w:top w:val="nil"/>
              <w:left w:val="nil"/>
              <w:bottom w:val="single" w:sz="8" w:space="0" w:color="auto"/>
              <w:right w:val="single" w:sz="8" w:space="0" w:color="auto"/>
            </w:tcBorders>
            <w:shd w:val="clear" w:color="auto" w:fill="auto"/>
            <w:vAlign w:val="center"/>
            <w:hideMark/>
          </w:tcPr>
          <w:p w14:paraId="25AEBF29" w14:textId="77777777" w:rsidR="00EB1844" w:rsidRPr="004B3567" w:rsidRDefault="00EB1844" w:rsidP="00B15687">
            <w:pPr>
              <w:spacing w:before="0" w:after="0"/>
              <w:jc w:val="center"/>
              <w:rPr>
                <w:rFonts w:eastAsia="Times New Roman" w:cs="Times New Roman"/>
                <w:color w:val="000000"/>
                <w:sz w:val="20"/>
                <w:szCs w:val="20"/>
                <w:lang w:eastAsia="es-MX"/>
              </w:rPr>
            </w:pPr>
            <w:r w:rsidRPr="004B3567">
              <w:rPr>
                <w:rFonts w:eastAsia="Times New Roman" w:cs="Times New Roman"/>
                <w:color w:val="000000"/>
                <w:sz w:val="20"/>
                <w:szCs w:val="20"/>
                <w:lang w:eastAsia="es-MX"/>
              </w:rPr>
              <w:t>Trimestral</w:t>
            </w:r>
          </w:p>
        </w:tc>
        <w:tc>
          <w:tcPr>
            <w:tcW w:w="471" w:type="pct"/>
            <w:tcBorders>
              <w:top w:val="nil"/>
              <w:left w:val="nil"/>
              <w:bottom w:val="single" w:sz="8" w:space="0" w:color="auto"/>
              <w:right w:val="single" w:sz="8" w:space="0" w:color="auto"/>
            </w:tcBorders>
            <w:shd w:val="clear" w:color="auto" w:fill="auto"/>
            <w:vAlign w:val="center"/>
            <w:hideMark/>
          </w:tcPr>
          <w:p w14:paraId="3BE8530C" w14:textId="77777777" w:rsidR="00EB1844" w:rsidRPr="004B3567" w:rsidRDefault="00EB1844" w:rsidP="00B15687">
            <w:pPr>
              <w:spacing w:before="0" w:after="0"/>
              <w:jc w:val="center"/>
              <w:rPr>
                <w:rFonts w:eastAsia="Times New Roman" w:cs="Times New Roman"/>
                <w:color w:val="000000"/>
                <w:sz w:val="20"/>
                <w:szCs w:val="20"/>
                <w:lang w:eastAsia="es-MX"/>
              </w:rPr>
            </w:pPr>
            <w:r w:rsidRPr="004B3567">
              <w:rPr>
                <w:rFonts w:eastAsia="Times New Roman" w:cs="Times New Roman"/>
                <w:color w:val="000000"/>
                <w:sz w:val="20"/>
                <w:szCs w:val="20"/>
                <w:lang w:eastAsia="es-MX"/>
              </w:rPr>
              <w:t>Porcentaje</w:t>
            </w:r>
          </w:p>
        </w:tc>
        <w:tc>
          <w:tcPr>
            <w:tcW w:w="784" w:type="pct"/>
            <w:vMerge w:val="restart"/>
            <w:tcBorders>
              <w:top w:val="nil"/>
              <w:left w:val="single" w:sz="8" w:space="0" w:color="auto"/>
              <w:bottom w:val="single" w:sz="8" w:space="0" w:color="000000"/>
              <w:right w:val="single" w:sz="8" w:space="0" w:color="auto"/>
            </w:tcBorders>
            <w:shd w:val="clear" w:color="auto" w:fill="auto"/>
            <w:vAlign w:val="center"/>
            <w:hideMark/>
          </w:tcPr>
          <w:p w14:paraId="5AC6D451" w14:textId="77777777" w:rsidR="00EB1844" w:rsidRPr="004B3567" w:rsidRDefault="00EB1844" w:rsidP="00CA01E4">
            <w:pPr>
              <w:spacing w:before="0" w:after="0"/>
              <w:rPr>
                <w:rFonts w:eastAsia="Times New Roman" w:cs="Times New Roman"/>
                <w:color w:val="000000"/>
                <w:sz w:val="20"/>
                <w:szCs w:val="20"/>
                <w:lang w:eastAsia="es-MX"/>
              </w:rPr>
            </w:pPr>
            <w:r w:rsidRPr="004B3567">
              <w:rPr>
                <w:rFonts w:eastAsia="Times New Roman" w:cs="Times New Roman"/>
                <w:color w:val="000000" w:themeColor="text1"/>
                <w:sz w:val="20"/>
                <w:szCs w:val="20"/>
                <w:lang w:eastAsia="es-MX"/>
              </w:rPr>
              <w:t>Secretaría de Finanzas Públicas</w:t>
            </w:r>
          </w:p>
        </w:tc>
        <w:tc>
          <w:tcPr>
            <w:tcW w:w="1552" w:type="pct"/>
            <w:vMerge w:val="restart"/>
            <w:tcBorders>
              <w:top w:val="nil"/>
              <w:left w:val="single" w:sz="8" w:space="0" w:color="auto"/>
              <w:bottom w:val="single" w:sz="8" w:space="0" w:color="000000"/>
              <w:right w:val="single" w:sz="8" w:space="0" w:color="auto"/>
            </w:tcBorders>
            <w:shd w:val="clear" w:color="auto" w:fill="auto"/>
            <w:vAlign w:val="center"/>
            <w:hideMark/>
          </w:tcPr>
          <w:p w14:paraId="18CC02EA" w14:textId="77777777" w:rsidR="00EB1844" w:rsidRPr="004B3567" w:rsidRDefault="00EB1844" w:rsidP="00CA01E4">
            <w:pPr>
              <w:spacing w:before="0" w:after="0"/>
              <w:rPr>
                <w:rFonts w:eastAsia="Times New Roman" w:cs="Times New Roman"/>
                <w:color w:val="000000"/>
                <w:sz w:val="20"/>
                <w:szCs w:val="20"/>
                <w:lang w:eastAsia="es-MX"/>
              </w:rPr>
            </w:pPr>
            <w:r w:rsidRPr="004B3567">
              <w:rPr>
                <w:rFonts w:eastAsia="Times New Roman" w:cs="Times New Roman"/>
                <w:color w:val="000000" w:themeColor="text1"/>
                <w:sz w:val="20"/>
                <w:szCs w:val="20"/>
                <w:lang w:eastAsia="es-MX"/>
              </w:rPr>
              <w:t>Información financiera SRFT. Informes definitivos 2018</w:t>
            </w:r>
            <w:r w:rsidRPr="004B3567">
              <w:rPr>
                <w:rFonts w:eastAsia="Times New Roman" w:cs="Times New Roman"/>
                <w:color w:val="000000"/>
                <w:sz w:val="20"/>
                <w:szCs w:val="20"/>
                <w:vertAlign w:val="superscript"/>
                <w:lang w:eastAsia="es-MX"/>
              </w:rPr>
              <w:t>1</w:t>
            </w:r>
          </w:p>
        </w:tc>
      </w:tr>
      <w:tr w:rsidR="00A63F78" w:rsidRPr="004B3567" w14:paraId="6C0B8F9C" w14:textId="77777777" w:rsidTr="00A63F78">
        <w:trPr>
          <w:trHeight w:val="1035"/>
        </w:trPr>
        <w:tc>
          <w:tcPr>
            <w:tcW w:w="479" w:type="pct"/>
            <w:vMerge w:val="restart"/>
            <w:tcBorders>
              <w:top w:val="nil"/>
              <w:left w:val="single" w:sz="8" w:space="0" w:color="auto"/>
              <w:bottom w:val="single" w:sz="8" w:space="0" w:color="000000"/>
              <w:right w:val="single" w:sz="8" w:space="0" w:color="auto"/>
            </w:tcBorders>
            <w:shd w:val="clear" w:color="auto" w:fill="auto"/>
            <w:vAlign w:val="center"/>
            <w:hideMark/>
          </w:tcPr>
          <w:p w14:paraId="2AB9D8DC" w14:textId="77777777" w:rsidR="00EB1844" w:rsidRPr="001B21B0" w:rsidRDefault="00EB1844" w:rsidP="001B21B0">
            <w:pPr>
              <w:spacing w:before="0" w:after="0"/>
              <w:jc w:val="center"/>
              <w:rPr>
                <w:rFonts w:eastAsia="Times New Roman" w:cs="Times New Roman"/>
                <w:color w:val="000000"/>
                <w:sz w:val="20"/>
                <w:szCs w:val="20"/>
                <w:lang w:eastAsia="es-MX"/>
              </w:rPr>
            </w:pPr>
            <w:r w:rsidRPr="001B21B0">
              <w:rPr>
                <w:rFonts w:eastAsia="Times New Roman" w:cs="Times New Roman"/>
                <w:color w:val="000000"/>
                <w:sz w:val="20"/>
                <w:szCs w:val="20"/>
                <w:lang w:eastAsia="es-MX"/>
              </w:rPr>
              <w:t>Propósito</w:t>
            </w:r>
          </w:p>
        </w:tc>
        <w:tc>
          <w:tcPr>
            <w:tcW w:w="1139" w:type="pct"/>
            <w:tcBorders>
              <w:top w:val="nil"/>
              <w:left w:val="nil"/>
              <w:bottom w:val="single" w:sz="8" w:space="0" w:color="auto"/>
              <w:right w:val="single" w:sz="8" w:space="0" w:color="auto"/>
            </w:tcBorders>
            <w:shd w:val="clear" w:color="auto" w:fill="auto"/>
            <w:vAlign w:val="center"/>
            <w:hideMark/>
          </w:tcPr>
          <w:p w14:paraId="36C14664" w14:textId="77777777" w:rsidR="00EB1844" w:rsidRPr="004B3567" w:rsidRDefault="00EB1844" w:rsidP="00CA01E4">
            <w:pPr>
              <w:spacing w:before="0" w:after="0"/>
              <w:rPr>
                <w:rFonts w:eastAsia="Times New Roman" w:cs="Times New Roman"/>
                <w:color w:val="000000"/>
                <w:sz w:val="20"/>
                <w:szCs w:val="20"/>
                <w:lang w:eastAsia="es-MX"/>
              </w:rPr>
            </w:pPr>
            <w:r w:rsidRPr="004B3567">
              <w:rPr>
                <w:rFonts w:eastAsia="Times New Roman" w:cs="Times New Roman"/>
                <w:color w:val="000000"/>
                <w:sz w:val="20"/>
                <w:szCs w:val="20"/>
                <w:lang w:eastAsia="es-MX"/>
              </w:rPr>
              <w:t>Índice de Fortalecimiento Financiero</w:t>
            </w:r>
          </w:p>
        </w:tc>
        <w:tc>
          <w:tcPr>
            <w:tcW w:w="575" w:type="pct"/>
            <w:tcBorders>
              <w:top w:val="nil"/>
              <w:left w:val="nil"/>
              <w:bottom w:val="single" w:sz="8" w:space="0" w:color="auto"/>
              <w:right w:val="single" w:sz="8" w:space="0" w:color="auto"/>
            </w:tcBorders>
            <w:shd w:val="clear" w:color="auto" w:fill="auto"/>
            <w:vAlign w:val="center"/>
            <w:hideMark/>
          </w:tcPr>
          <w:p w14:paraId="2FB63555" w14:textId="77777777" w:rsidR="00EB1844" w:rsidRPr="004B3567" w:rsidRDefault="00EB1844" w:rsidP="00B15687">
            <w:pPr>
              <w:spacing w:before="0" w:after="0"/>
              <w:jc w:val="center"/>
              <w:rPr>
                <w:rFonts w:eastAsia="Times New Roman" w:cs="Times New Roman"/>
                <w:color w:val="000000"/>
                <w:sz w:val="20"/>
                <w:szCs w:val="20"/>
                <w:lang w:eastAsia="es-MX"/>
              </w:rPr>
            </w:pPr>
            <w:r w:rsidRPr="004B3567">
              <w:rPr>
                <w:rFonts w:eastAsia="Times New Roman" w:cs="Times New Roman"/>
                <w:color w:val="000000"/>
                <w:sz w:val="20"/>
                <w:szCs w:val="20"/>
                <w:lang w:eastAsia="es-MX"/>
              </w:rPr>
              <w:t>Trimestral</w:t>
            </w:r>
          </w:p>
        </w:tc>
        <w:tc>
          <w:tcPr>
            <w:tcW w:w="471" w:type="pct"/>
            <w:tcBorders>
              <w:top w:val="nil"/>
              <w:left w:val="nil"/>
              <w:bottom w:val="single" w:sz="8" w:space="0" w:color="auto"/>
              <w:right w:val="single" w:sz="8" w:space="0" w:color="auto"/>
            </w:tcBorders>
            <w:shd w:val="clear" w:color="auto" w:fill="auto"/>
            <w:vAlign w:val="center"/>
            <w:hideMark/>
          </w:tcPr>
          <w:p w14:paraId="7C28D0E5" w14:textId="77777777" w:rsidR="00EB1844" w:rsidRPr="004B3567" w:rsidRDefault="00EB1844" w:rsidP="00B15687">
            <w:pPr>
              <w:spacing w:before="0" w:after="0"/>
              <w:jc w:val="center"/>
              <w:rPr>
                <w:rFonts w:eastAsia="Times New Roman" w:cs="Times New Roman"/>
                <w:color w:val="000000"/>
                <w:sz w:val="20"/>
                <w:szCs w:val="20"/>
                <w:lang w:eastAsia="es-MX"/>
              </w:rPr>
            </w:pPr>
            <w:r w:rsidRPr="004B3567">
              <w:rPr>
                <w:rFonts w:eastAsia="Times New Roman" w:cs="Times New Roman"/>
                <w:color w:val="000000"/>
                <w:sz w:val="20"/>
                <w:szCs w:val="20"/>
                <w:lang w:eastAsia="es-MX"/>
              </w:rPr>
              <w:t>Porcentaje</w:t>
            </w:r>
          </w:p>
        </w:tc>
        <w:tc>
          <w:tcPr>
            <w:tcW w:w="784" w:type="pct"/>
            <w:vMerge/>
            <w:tcBorders>
              <w:top w:val="nil"/>
              <w:left w:val="single" w:sz="8" w:space="0" w:color="auto"/>
              <w:bottom w:val="single" w:sz="8" w:space="0" w:color="000000"/>
              <w:right w:val="single" w:sz="8" w:space="0" w:color="auto"/>
            </w:tcBorders>
            <w:vAlign w:val="center"/>
            <w:hideMark/>
          </w:tcPr>
          <w:p w14:paraId="44E2EB49" w14:textId="77777777" w:rsidR="00EB1844" w:rsidRPr="004B3567" w:rsidRDefault="00EB1844" w:rsidP="00927B4B">
            <w:pPr>
              <w:spacing w:before="0" w:after="0"/>
              <w:jc w:val="left"/>
              <w:rPr>
                <w:rFonts w:eastAsia="Times New Roman" w:cs="Times New Roman"/>
                <w:color w:val="000000"/>
                <w:sz w:val="20"/>
                <w:szCs w:val="20"/>
                <w:lang w:eastAsia="es-MX"/>
              </w:rPr>
            </w:pPr>
          </w:p>
        </w:tc>
        <w:tc>
          <w:tcPr>
            <w:tcW w:w="1552" w:type="pct"/>
            <w:vMerge/>
            <w:tcBorders>
              <w:top w:val="nil"/>
              <w:left w:val="single" w:sz="8" w:space="0" w:color="auto"/>
              <w:bottom w:val="single" w:sz="8" w:space="0" w:color="000000"/>
              <w:right w:val="single" w:sz="8" w:space="0" w:color="auto"/>
            </w:tcBorders>
            <w:vAlign w:val="center"/>
            <w:hideMark/>
          </w:tcPr>
          <w:p w14:paraId="5069205E" w14:textId="77777777" w:rsidR="00EB1844" w:rsidRPr="004B3567" w:rsidRDefault="00EB1844" w:rsidP="00927B4B">
            <w:pPr>
              <w:spacing w:before="0" w:after="0"/>
              <w:jc w:val="left"/>
              <w:rPr>
                <w:rFonts w:eastAsia="Times New Roman" w:cs="Times New Roman"/>
                <w:color w:val="000000"/>
                <w:sz w:val="20"/>
                <w:szCs w:val="20"/>
                <w:lang w:eastAsia="es-MX"/>
              </w:rPr>
            </w:pPr>
          </w:p>
        </w:tc>
      </w:tr>
      <w:tr w:rsidR="00A63F78" w:rsidRPr="004B3567" w14:paraId="0B333C37" w14:textId="77777777" w:rsidTr="00A63F78">
        <w:trPr>
          <w:trHeight w:val="1035"/>
        </w:trPr>
        <w:tc>
          <w:tcPr>
            <w:tcW w:w="479" w:type="pct"/>
            <w:vMerge/>
            <w:tcBorders>
              <w:top w:val="nil"/>
              <w:left w:val="single" w:sz="8" w:space="0" w:color="auto"/>
              <w:bottom w:val="single" w:sz="8" w:space="0" w:color="000000"/>
              <w:right w:val="single" w:sz="8" w:space="0" w:color="auto"/>
            </w:tcBorders>
            <w:vAlign w:val="center"/>
            <w:hideMark/>
          </w:tcPr>
          <w:p w14:paraId="12914F3B" w14:textId="77777777" w:rsidR="00EB1844" w:rsidRPr="001B21B0" w:rsidRDefault="00EB1844" w:rsidP="001B21B0">
            <w:pPr>
              <w:spacing w:before="0" w:after="0"/>
              <w:jc w:val="center"/>
              <w:rPr>
                <w:rFonts w:eastAsia="Times New Roman" w:cs="Times New Roman"/>
                <w:color w:val="000000"/>
                <w:sz w:val="20"/>
                <w:szCs w:val="20"/>
                <w:lang w:eastAsia="es-MX"/>
              </w:rPr>
            </w:pPr>
          </w:p>
        </w:tc>
        <w:tc>
          <w:tcPr>
            <w:tcW w:w="1139" w:type="pct"/>
            <w:tcBorders>
              <w:top w:val="nil"/>
              <w:left w:val="nil"/>
              <w:bottom w:val="single" w:sz="8" w:space="0" w:color="auto"/>
              <w:right w:val="single" w:sz="8" w:space="0" w:color="auto"/>
            </w:tcBorders>
            <w:shd w:val="clear" w:color="auto" w:fill="auto"/>
            <w:vAlign w:val="center"/>
            <w:hideMark/>
          </w:tcPr>
          <w:p w14:paraId="6B995223" w14:textId="77777777" w:rsidR="00EB1844" w:rsidRPr="004B3567" w:rsidRDefault="00EB1844" w:rsidP="00CA01E4">
            <w:pPr>
              <w:spacing w:before="0" w:after="0"/>
              <w:rPr>
                <w:rFonts w:eastAsia="Times New Roman" w:cs="Times New Roman"/>
                <w:color w:val="000000"/>
                <w:sz w:val="20"/>
                <w:szCs w:val="20"/>
                <w:lang w:eastAsia="es-MX"/>
              </w:rPr>
            </w:pPr>
            <w:r w:rsidRPr="004B3567">
              <w:rPr>
                <w:rFonts w:eastAsia="Times New Roman" w:cs="Times New Roman"/>
                <w:color w:val="000000"/>
                <w:sz w:val="20"/>
                <w:szCs w:val="20"/>
                <w:lang w:eastAsia="es-MX"/>
              </w:rPr>
              <w:t>Índice de Impulso al Gasto de Inversión</w:t>
            </w:r>
          </w:p>
        </w:tc>
        <w:tc>
          <w:tcPr>
            <w:tcW w:w="575" w:type="pct"/>
            <w:tcBorders>
              <w:top w:val="nil"/>
              <w:left w:val="nil"/>
              <w:bottom w:val="single" w:sz="8" w:space="0" w:color="auto"/>
              <w:right w:val="single" w:sz="8" w:space="0" w:color="auto"/>
            </w:tcBorders>
            <w:shd w:val="clear" w:color="auto" w:fill="auto"/>
            <w:vAlign w:val="center"/>
            <w:hideMark/>
          </w:tcPr>
          <w:p w14:paraId="73F10265" w14:textId="77777777" w:rsidR="00EB1844" w:rsidRPr="004B3567" w:rsidRDefault="00EB1844" w:rsidP="00B15687">
            <w:pPr>
              <w:spacing w:before="0" w:after="0"/>
              <w:jc w:val="center"/>
              <w:rPr>
                <w:rFonts w:eastAsia="Times New Roman" w:cs="Times New Roman"/>
                <w:color w:val="000000"/>
                <w:sz w:val="20"/>
                <w:szCs w:val="20"/>
                <w:lang w:eastAsia="es-MX"/>
              </w:rPr>
            </w:pPr>
            <w:r w:rsidRPr="004B3567">
              <w:rPr>
                <w:rFonts w:eastAsia="Times New Roman" w:cs="Times New Roman"/>
                <w:color w:val="000000"/>
                <w:sz w:val="20"/>
                <w:szCs w:val="20"/>
                <w:lang w:eastAsia="es-MX"/>
              </w:rPr>
              <w:t>Trimestral</w:t>
            </w:r>
          </w:p>
        </w:tc>
        <w:tc>
          <w:tcPr>
            <w:tcW w:w="471" w:type="pct"/>
            <w:tcBorders>
              <w:top w:val="nil"/>
              <w:left w:val="nil"/>
              <w:bottom w:val="single" w:sz="8" w:space="0" w:color="auto"/>
              <w:right w:val="single" w:sz="8" w:space="0" w:color="auto"/>
            </w:tcBorders>
            <w:shd w:val="clear" w:color="auto" w:fill="auto"/>
            <w:vAlign w:val="center"/>
            <w:hideMark/>
          </w:tcPr>
          <w:p w14:paraId="7FF5DC4A" w14:textId="77777777" w:rsidR="00EB1844" w:rsidRPr="004B3567" w:rsidRDefault="00EB1844" w:rsidP="00B15687">
            <w:pPr>
              <w:spacing w:before="0" w:after="0"/>
              <w:jc w:val="center"/>
              <w:rPr>
                <w:rFonts w:eastAsia="Times New Roman" w:cs="Times New Roman"/>
                <w:color w:val="000000"/>
                <w:sz w:val="20"/>
                <w:szCs w:val="20"/>
                <w:lang w:eastAsia="es-MX"/>
              </w:rPr>
            </w:pPr>
            <w:r w:rsidRPr="004B3567">
              <w:rPr>
                <w:rFonts w:eastAsia="Times New Roman" w:cs="Times New Roman"/>
                <w:color w:val="000000"/>
                <w:sz w:val="20"/>
                <w:szCs w:val="20"/>
                <w:lang w:eastAsia="es-MX"/>
              </w:rPr>
              <w:t>Porcentaje</w:t>
            </w:r>
          </w:p>
        </w:tc>
        <w:tc>
          <w:tcPr>
            <w:tcW w:w="784" w:type="pct"/>
            <w:vMerge/>
            <w:tcBorders>
              <w:top w:val="nil"/>
              <w:left w:val="single" w:sz="8" w:space="0" w:color="auto"/>
              <w:bottom w:val="single" w:sz="8" w:space="0" w:color="000000"/>
              <w:right w:val="single" w:sz="8" w:space="0" w:color="auto"/>
            </w:tcBorders>
            <w:vAlign w:val="center"/>
            <w:hideMark/>
          </w:tcPr>
          <w:p w14:paraId="16110FFA" w14:textId="77777777" w:rsidR="00EB1844" w:rsidRPr="004B3567" w:rsidRDefault="00EB1844" w:rsidP="00927B4B">
            <w:pPr>
              <w:spacing w:before="0" w:after="0"/>
              <w:jc w:val="left"/>
              <w:rPr>
                <w:rFonts w:eastAsia="Times New Roman" w:cs="Times New Roman"/>
                <w:color w:val="000000"/>
                <w:sz w:val="20"/>
                <w:szCs w:val="20"/>
                <w:lang w:eastAsia="es-MX"/>
              </w:rPr>
            </w:pPr>
          </w:p>
        </w:tc>
        <w:tc>
          <w:tcPr>
            <w:tcW w:w="1552" w:type="pct"/>
            <w:vMerge/>
            <w:tcBorders>
              <w:top w:val="nil"/>
              <w:left w:val="single" w:sz="8" w:space="0" w:color="auto"/>
              <w:bottom w:val="single" w:sz="8" w:space="0" w:color="000000"/>
              <w:right w:val="single" w:sz="8" w:space="0" w:color="auto"/>
            </w:tcBorders>
            <w:vAlign w:val="center"/>
            <w:hideMark/>
          </w:tcPr>
          <w:p w14:paraId="279E9E7F" w14:textId="77777777" w:rsidR="00EB1844" w:rsidRPr="004B3567" w:rsidRDefault="00EB1844" w:rsidP="00927B4B">
            <w:pPr>
              <w:spacing w:before="0" w:after="0"/>
              <w:jc w:val="left"/>
              <w:rPr>
                <w:rFonts w:eastAsia="Times New Roman" w:cs="Times New Roman"/>
                <w:color w:val="000000"/>
                <w:sz w:val="20"/>
                <w:szCs w:val="20"/>
                <w:lang w:eastAsia="es-MX"/>
              </w:rPr>
            </w:pPr>
          </w:p>
        </w:tc>
      </w:tr>
      <w:tr w:rsidR="00A63F78" w:rsidRPr="004B3567" w14:paraId="1A0A7E31" w14:textId="77777777" w:rsidTr="00A63F78">
        <w:trPr>
          <w:trHeight w:val="1035"/>
        </w:trPr>
        <w:tc>
          <w:tcPr>
            <w:tcW w:w="479" w:type="pct"/>
            <w:tcBorders>
              <w:top w:val="nil"/>
              <w:left w:val="single" w:sz="8" w:space="0" w:color="auto"/>
              <w:bottom w:val="single" w:sz="8" w:space="0" w:color="auto"/>
              <w:right w:val="single" w:sz="8" w:space="0" w:color="auto"/>
            </w:tcBorders>
            <w:shd w:val="clear" w:color="auto" w:fill="auto"/>
            <w:vAlign w:val="center"/>
            <w:hideMark/>
          </w:tcPr>
          <w:p w14:paraId="4799C7CC" w14:textId="77777777" w:rsidR="00EB1844" w:rsidRPr="001B21B0" w:rsidRDefault="00EB1844" w:rsidP="001B21B0">
            <w:pPr>
              <w:spacing w:before="0" w:after="0"/>
              <w:jc w:val="center"/>
              <w:rPr>
                <w:rFonts w:eastAsia="Times New Roman" w:cs="Times New Roman"/>
                <w:color w:val="000000"/>
                <w:sz w:val="20"/>
                <w:szCs w:val="20"/>
                <w:lang w:eastAsia="es-MX"/>
              </w:rPr>
            </w:pPr>
            <w:r w:rsidRPr="001B21B0">
              <w:rPr>
                <w:rFonts w:eastAsia="Times New Roman" w:cs="Times New Roman"/>
                <w:color w:val="000000"/>
                <w:sz w:val="20"/>
                <w:szCs w:val="20"/>
                <w:lang w:eastAsia="es-MX"/>
              </w:rPr>
              <w:t>Componentes</w:t>
            </w:r>
          </w:p>
        </w:tc>
        <w:tc>
          <w:tcPr>
            <w:tcW w:w="1139" w:type="pct"/>
            <w:tcBorders>
              <w:top w:val="nil"/>
              <w:left w:val="nil"/>
              <w:bottom w:val="single" w:sz="8" w:space="0" w:color="auto"/>
              <w:right w:val="single" w:sz="8" w:space="0" w:color="auto"/>
            </w:tcBorders>
            <w:shd w:val="clear" w:color="auto" w:fill="auto"/>
            <w:vAlign w:val="center"/>
            <w:hideMark/>
          </w:tcPr>
          <w:p w14:paraId="7192B153" w14:textId="77777777" w:rsidR="00EB1844" w:rsidRPr="004B3567" w:rsidRDefault="00EB1844" w:rsidP="00CA01E4">
            <w:pPr>
              <w:spacing w:before="0" w:after="0"/>
              <w:rPr>
                <w:rFonts w:eastAsia="Times New Roman" w:cs="Times New Roman"/>
                <w:color w:val="000000"/>
                <w:sz w:val="20"/>
                <w:szCs w:val="20"/>
                <w:lang w:eastAsia="es-MX"/>
              </w:rPr>
            </w:pPr>
            <w:r w:rsidRPr="004B3567">
              <w:rPr>
                <w:rFonts w:eastAsia="Times New Roman" w:cs="Times New Roman"/>
                <w:color w:val="000000"/>
                <w:sz w:val="20"/>
                <w:szCs w:val="20"/>
                <w:lang w:eastAsia="es-MX"/>
              </w:rPr>
              <w:t>Porcentaje de avance en las metas</w:t>
            </w:r>
          </w:p>
        </w:tc>
        <w:tc>
          <w:tcPr>
            <w:tcW w:w="575" w:type="pct"/>
            <w:tcBorders>
              <w:top w:val="nil"/>
              <w:left w:val="nil"/>
              <w:bottom w:val="single" w:sz="8" w:space="0" w:color="auto"/>
              <w:right w:val="single" w:sz="8" w:space="0" w:color="auto"/>
            </w:tcBorders>
            <w:shd w:val="clear" w:color="auto" w:fill="auto"/>
            <w:vAlign w:val="center"/>
            <w:hideMark/>
          </w:tcPr>
          <w:p w14:paraId="23A9C3A7" w14:textId="77777777" w:rsidR="00EB1844" w:rsidRPr="004B3567" w:rsidRDefault="00EB1844" w:rsidP="00B15687">
            <w:pPr>
              <w:spacing w:before="0" w:after="0"/>
              <w:jc w:val="center"/>
              <w:rPr>
                <w:rFonts w:eastAsia="Times New Roman" w:cs="Times New Roman"/>
                <w:color w:val="000000"/>
                <w:sz w:val="20"/>
                <w:szCs w:val="20"/>
                <w:lang w:eastAsia="es-MX"/>
              </w:rPr>
            </w:pPr>
            <w:r w:rsidRPr="004B3567">
              <w:rPr>
                <w:rFonts w:eastAsia="Times New Roman" w:cs="Times New Roman"/>
                <w:color w:val="000000"/>
                <w:sz w:val="20"/>
                <w:szCs w:val="20"/>
                <w:lang w:eastAsia="es-MX"/>
              </w:rPr>
              <w:t>Trimestral</w:t>
            </w:r>
          </w:p>
        </w:tc>
        <w:tc>
          <w:tcPr>
            <w:tcW w:w="471" w:type="pct"/>
            <w:tcBorders>
              <w:top w:val="nil"/>
              <w:left w:val="nil"/>
              <w:bottom w:val="single" w:sz="8" w:space="0" w:color="auto"/>
              <w:right w:val="single" w:sz="8" w:space="0" w:color="auto"/>
            </w:tcBorders>
            <w:shd w:val="clear" w:color="auto" w:fill="auto"/>
            <w:vAlign w:val="center"/>
            <w:hideMark/>
          </w:tcPr>
          <w:p w14:paraId="42C392F1" w14:textId="77777777" w:rsidR="00EB1844" w:rsidRPr="004B3567" w:rsidRDefault="00EB1844" w:rsidP="00B15687">
            <w:pPr>
              <w:spacing w:before="0" w:after="0"/>
              <w:jc w:val="center"/>
              <w:rPr>
                <w:rFonts w:eastAsia="Times New Roman" w:cs="Times New Roman"/>
                <w:color w:val="000000"/>
                <w:sz w:val="20"/>
                <w:szCs w:val="20"/>
                <w:lang w:eastAsia="es-MX"/>
              </w:rPr>
            </w:pPr>
            <w:r w:rsidRPr="004B3567">
              <w:rPr>
                <w:rFonts w:eastAsia="Times New Roman" w:cs="Times New Roman"/>
                <w:color w:val="000000"/>
                <w:sz w:val="20"/>
                <w:szCs w:val="20"/>
                <w:lang w:eastAsia="es-MX"/>
              </w:rPr>
              <w:t>Porcentaje</w:t>
            </w:r>
          </w:p>
        </w:tc>
        <w:tc>
          <w:tcPr>
            <w:tcW w:w="784" w:type="pct"/>
            <w:vMerge/>
            <w:tcBorders>
              <w:top w:val="nil"/>
              <w:left w:val="single" w:sz="8" w:space="0" w:color="auto"/>
              <w:bottom w:val="single" w:sz="8" w:space="0" w:color="000000"/>
              <w:right w:val="single" w:sz="8" w:space="0" w:color="auto"/>
            </w:tcBorders>
            <w:vAlign w:val="center"/>
            <w:hideMark/>
          </w:tcPr>
          <w:p w14:paraId="63E90702" w14:textId="77777777" w:rsidR="00EB1844" w:rsidRPr="004B3567" w:rsidRDefault="00EB1844" w:rsidP="00927B4B">
            <w:pPr>
              <w:spacing w:before="0" w:after="0"/>
              <w:jc w:val="left"/>
              <w:rPr>
                <w:rFonts w:eastAsia="Times New Roman" w:cs="Times New Roman"/>
                <w:color w:val="000000"/>
                <w:sz w:val="20"/>
                <w:szCs w:val="20"/>
                <w:lang w:eastAsia="es-MX"/>
              </w:rPr>
            </w:pPr>
          </w:p>
        </w:tc>
        <w:tc>
          <w:tcPr>
            <w:tcW w:w="1552" w:type="pct"/>
            <w:vMerge/>
            <w:tcBorders>
              <w:top w:val="nil"/>
              <w:left w:val="single" w:sz="8" w:space="0" w:color="auto"/>
              <w:bottom w:val="single" w:sz="8" w:space="0" w:color="000000"/>
              <w:right w:val="single" w:sz="8" w:space="0" w:color="auto"/>
            </w:tcBorders>
            <w:vAlign w:val="center"/>
            <w:hideMark/>
          </w:tcPr>
          <w:p w14:paraId="7DBEC14C" w14:textId="77777777" w:rsidR="00EB1844" w:rsidRPr="004B3567" w:rsidRDefault="00EB1844" w:rsidP="00927B4B">
            <w:pPr>
              <w:spacing w:before="0" w:after="0"/>
              <w:jc w:val="left"/>
              <w:rPr>
                <w:rFonts w:eastAsia="Times New Roman" w:cs="Times New Roman"/>
                <w:color w:val="000000"/>
                <w:sz w:val="20"/>
                <w:szCs w:val="20"/>
                <w:lang w:eastAsia="es-MX"/>
              </w:rPr>
            </w:pPr>
          </w:p>
        </w:tc>
      </w:tr>
      <w:tr w:rsidR="00A63F78" w:rsidRPr="004B3567" w14:paraId="2F684A29" w14:textId="77777777" w:rsidTr="00A63F78">
        <w:trPr>
          <w:trHeight w:val="780"/>
        </w:trPr>
        <w:tc>
          <w:tcPr>
            <w:tcW w:w="479" w:type="pct"/>
            <w:tcBorders>
              <w:top w:val="nil"/>
              <w:left w:val="single" w:sz="8" w:space="0" w:color="auto"/>
              <w:bottom w:val="single" w:sz="8" w:space="0" w:color="auto"/>
              <w:right w:val="single" w:sz="8" w:space="0" w:color="auto"/>
            </w:tcBorders>
            <w:shd w:val="clear" w:color="auto" w:fill="auto"/>
            <w:vAlign w:val="center"/>
            <w:hideMark/>
          </w:tcPr>
          <w:p w14:paraId="1F97E1C3" w14:textId="77777777" w:rsidR="00EB1844" w:rsidRPr="001B21B0" w:rsidRDefault="00EB1844" w:rsidP="001B21B0">
            <w:pPr>
              <w:spacing w:before="0" w:after="0"/>
              <w:jc w:val="center"/>
              <w:rPr>
                <w:rFonts w:eastAsia="Times New Roman" w:cs="Times New Roman"/>
                <w:color w:val="000000"/>
                <w:sz w:val="20"/>
                <w:szCs w:val="20"/>
                <w:lang w:eastAsia="es-MX"/>
              </w:rPr>
            </w:pPr>
            <w:r w:rsidRPr="001B21B0">
              <w:rPr>
                <w:rFonts w:eastAsia="Times New Roman" w:cs="Times New Roman"/>
                <w:color w:val="000000"/>
                <w:sz w:val="20"/>
                <w:szCs w:val="20"/>
                <w:lang w:eastAsia="es-MX"/>
              </w:rPr>
              <w:t>Actividades</w:t>
            </w:r>
          </w:p>
        </w:tc>
        <w:tc>
          <w:tcPr>
            <w:tcW w:w="1139" w:type="pct"/>
            <w:tcBorders>
              <w:top w:val="nil"/>
              <w:left w:val="nil"/>
              <w:bottom w:val="single" w:sz="8" w:space="0" w:color="auto"/>
              <w:right w:val="single" w:sz="8" w:space="0" w:color="auto"/>
            </w:tcBorders>
            <w:shd w:val="clear" w:color="auto" w:fill="auto"/>
            <w:vAlign w:val="center"/>
            <w:hideMark/>
          </w:tcPr>
          <w:p w14:paraId="20BCC604" w14:textId="77777777" w:rsidR="00EB1844" w:rsidRPr="004B3567" w:rsidRDefault="00EB1844" w:rsidP="00CA01E4">
            <w:pPr>
              <w:spacing w:before="0" w:after="0"/>
              <w:rPr>
                <w:rFonts w:eastAsia="Times New Roman" w:cs="Times New Roman"/>
                <w:color w:val="000000"/>
                <w:sz w:val="20"/>
                <w:szCs w:val="20"/>
                <w:lang w:eastAsia="es-MX"/>
              </w:rPr>
            </w:pPr>
            <w:r w:rsidRPr="004B3567">
              <w:rPr>
                <w:rFonts w:eastAsia="Times New Roman" w:cs="Times New Roman"/>
                <w:color w:val="000000"/>
                <w:sz w:val="20"/>
                <w:szCs w:val="20"/>
                <w:lang w:eastAsia="es-MX"/>
              </w:rPr>
              <w:t>Índice en el Ejercicio de Recursos</w:t>
            </w:r>
          </w:p>
        </w:tc>
        <w:tc>
          <w:tcPr>
            <w:tcW w:w="575" w:type="pct"/>
            <w:tcBorders>
              <w:top w:val="nil"/>
              <w:left w:val="nil"/>
              <w:bottom w:val="single" w:sz="8" w:space="0" w:color="auto"/>
              <w:right w:val="single" w:sz="8" w:space="0" w:color="auto"/>
            </w:tcBorders>
            <w:shd w:val="clear" w:color="auto" w:fill="auto"/>
            <w:vAlign w:val="center"/>
            <w:hideMark/>
          </w:tcPr>
          <w:p w14:paraId="05054892" w14:textId="77777777" w:rsidR="00EB1844" w:rsidRPr="004B3567" w:rsidRDefault="00EB1844" w:rsidP="00B15687">
            <w:pPr>
              <w:spacing w:before="0" w:after="0"/>
              <w:jc w:val="center"/>
              <w:rPr>
                <w:rFonts w:eastAsia="Times New Roman" w:cs="Times New Roman"/>
                <w:color w:val="000000"/>
                <w:sz w:val="20"/>
                <w:szCs w:val="20"/>
                <w:lang w:eastAsia="es-MX"/>
              </w:rPr>
            </w:pPr>
            <w:r w:rsidRPr="004B3567">
              <w:rPr>
                <w:rFonts w:eastAsia="Times New Roman" w:cs="Times New Roman"/>
                <w:color w:val="000000"/>
                <w:sz w:val="20"/>
                <w:szCs w:val="20"/>
                <w:lang w:eastAsia="es-MX"/>
              </w:rPr>
              <w:t>Trimestral</w:t>
            </w:r>
          </w:p>
        </w:tc>
        <w:tc>
          <w:tcPr>
            <w:tcW w:w="471" w:type="pct"/>
            <w:tcBorders>
              <w:top w:val="nil"/>
              <w:left w:val="nil"/>
              <w:bottom w:val="single" w:sz="8" w:space="0" w:color="auto"/>
              <w:right w:val="single" w:sz="8" w:space="0" w:color="auto"/>
            </w:tcBorders>
            <w:shd w:val="clear" w:color="auto" w:fill="auto"/>
            <w:vAlign w:val="center"/>
            <w:hideMark/>
          </w:tcPr>
          <w:p w14:paraId="36BDB699" w14:textId="77777777" w:rsidR="00EB1844" w:rsidRPr="004B3567" w:rsidRDefault="00EB1844" w:rsidP="00B15687">
            <w:pPr>
              <w:spacing w:before="0" w:after="0"/>
              <w:jc w:val="center"/>
              <w:rPr>
                <w:rFonts w:eastAsia="Times New Roman" w:cs="Times New Roman"/>
                <w:color w:val="000000"/>
                <w:sz w:val="20"/>
                <w:szCs w:val="20"/>
                <w:lang w:eastAsia="es-MX"/>
              </w:rPr>
            </w:pPr>
            <w:r w:rsidRPr="004B3567">
              <w:rPr>
                <w:rFonts w:eastAsia="Times New Roman" w:cs="Times New Roman"/>
                <w:color w:val="000000"/>
                <w:sz w:val="20"/>
                <w:szCs w:val="20"/>
                <w:lang w:eastAsia="es-MX"/>
              </w:rPr>
              <w:t>Porcentaje</w:t>
            </w:r>
          </w:p>
        </w:tc>
        <w:tc>
          <w:tcPr>
            <w:tcW w:w="784" w:type="pct"/>
            <w:vMerge/>
            <w:tcBorders>
              <w:top w:val="nil"/>
              <w:left w:val="single" w:sz="8" w:space="0" w:color="auto"/>
              <w:bottom w:val="single" w:sz="8" w:space="0" w:color="000000"/>
              <w:right w:val="single" w:sz="8" w:space="0" w:color="auto"/>
            </w:tcBorders>
            <w:vAlign w:val="center"/>
            <w:hideMark/>
          </w:tcPr>
          <w:p w14:paraId="2712CFD8" w14:textId="77777777" w:rsidR="00EB1844" w:rsidRPr="004B3567" w:rsidRDefault="00EB1844" w:rsidP="00927B4B">
            <w:pPr>
              <w:spacing w:before="0" w:after="0"/>
              <w:jc w:val="left"/>
              <w:rPr>
                <w:rFonts w:eastAsia="Times New Roman" w:cs="Times New Roman"/>
                <w:color w:val="000000"/>
                <w:sz w:val="20"/>
                <w:szCs w:val="20"/>
                <w:lang w:eastAsia="es-MX"/>
              </w:rPr>
            </w:pPr>
          </w:p>
        </w:tc>
        <w:tc>
          <w:tcPr>
            <w:tcW w:w="1552" w:type="pct"/>
            <w:vMerge/>
            <w:tcBorders>
              <w:top w:val="nil"/>
              <w:left w:val="single" w:sz="8" w:space="0" w:color="auto"/>
              <w:bottom w:val="single" w:sz="8" w:space="0" w:color="000000"/>
              <w:right w:val="single" w:sz="8" w:space="0" w:color="auto"/>
            </w:tcBorders>
            <w:vAlign w:val="center"/>
            <w:hideMark/>
          </w:tcPr>
          <w:p w14:paraId="17BC5728" w14:textId="77777777" w:rsidR="00EB1844" w:rsidRPr="004B3567" w:rsidRDefault="00EB1844" w:rsidP="00927B4B">
            <w:pPr>
              <w:spacing w:before="0" w:after="0"/>
              <w:jc w:val="left"/>
              <w:rPr>
                <w:rFonts w:eastAsia="Times New Roman" w:cs="Times New Roman"/>
                <w:color w:val="000000"/>
                <w:sz w:val="20"/>
                <w:szCs w:val="20"/>
                <w:lang w:eastAsia="es-MX"/>
              </w:rPr>
            </w:pPr>
          </w:p>
        </w:tc>
      </w:tr>
    </w:tbl>
    <w:p w14:paraId="4EF1DC50" w14:textId="19FAFD14" w:rsidR="00EB1844" w:rsidRPr="00364189" w:rsidRDefault="00FC0919" w:rsidP="00FC0919">
      <w:pPr>
        <w:pStyle w:val="Fuente"/>
      </w:pPr>
      <w:r>
        <w:t>Fuente: MIR federal del FAFEF</w:t>
      </w:r>
    </w:p>
    <w:p w14:paraId="2F9DC59A" w14:textId="77777777" w:rsidR="00EB1844" w:rsidRDefault="00EB1844" w:rsidP="00EB1844">
      <w:pPr>
        <w:spacing w:before="0" w:after="160" w:line="259" w:lineRule="auto"/>
        <w:jc w:val="left"/>
      </w:pPr>
      <w:r>
        <w:br w:type="page"/>
      </w:r>
    </w:p>
    <w:p w14:paraId="52B264EF" w14:textId="77777777" w:rsidR="00EB1844" w:rsidRPr="008A53D9" w:rsidRDefault="00EB1844" w:rsidP="000B2CD7">
      <w:pPr>
        <w:pStyle w:val="Anexos"/>
        <w:spacing w:after="120"/>
        <w:rPr>
          <w:i w:val="0"/>
          <w:iCs/>
        </w:rPr>
      </w:pPr>
      <w:bookmarkStart w:id="101" w:name="_Toc45480704"/>
      <w:bookmarkStart w:id="102" w:name="_Toc55497584"/>
      <w:bookmarkStart w:id="103" w:name="_Toc55542095"/>
      <w:bookmarkStart w:id="104" w:name="_Toc56423505"/>
      <w:bookmarkStart w:id="105" w:name="_Toc56423716"/>
      <w:bookmarkStart w:id="106" w:name="_Toc56449867"/>
      <w:r w:rsidRPr="008A53D9">
        <w:rPr>
          <w:i w:val="0"/>
          <w:iCs/>
        </w:rPr>
        <w:lastRenderedPageBreak/>
        <w:t>Anexo 2. Metas del Fondo</w:t>
      </w:r>
      <w:bookmarkEnd w:id="101"/>
      <w:bookmarkEnd w:id="102"/>
      <w:bookmarkEnd w:id="103"/>
      <w:bookmarkEnd w:id="104"/>
      <w:bookmarkEnd w:id="105"/>
      <w:bookmarkEnd w:id="106"/>
    </w:p>
    <w:p w14:paraId="20D70350" w14:textId="77777777" w:rsidR="00EB1844" w:rsidRDefault="00EB1844" w:rsidP="000B2CD7">
      <w:pPr>
        <w:spacing w:before="0" w:after="360"/>
        <w:jc w:val="center"/>
        <w:rPr>
          <w:b/>
          <w:bCs/>
        </w:rPr>
      </w:pPr>
      <w:r w:rsidRPr="002A07D0">
        <w:rPr>
          <w:b/>
          <w:bCs/>
        </w:rPr>
        <w:t>Resultados de los indicadores estratégicos y de gestión del FAFEF</w:t>
      </w:r>
    </w:p>
    <w:p w14:paraId="73A6C969" w14:textId="77777777" w:rsidR="00EB1844" w:rsidRPr="002A07D0" w:rsidRDefault="00EB1844" w:rsidP="00EB1844">
      <w:pPr>
        <w:jc w:val="left"/>
        <w:rPr>
          <w:b/>
          <w:bCs/>
        </w:rPr>
      </w:pPr>
      <w:r>
        <w:rPr>
          <w:b/>
          <w:bCs/>
        </w:rPr>
        <w:t>Ejercicio 2018-2017</w:t>
      </w:r>
    </w:p>
    <w:tbl>
      <w:tblPr>
        <w:tblW w:w="4993" w:type="pct"/>
        <w:tblCellMar>
          <w:left w:w="70" w:type="dxa"/>
          <w:right w:w="70" w:type="dxa"/>
        </w:tblCellMar>
        <w:tblLook w:val="04A0" w:firstRow="1" w:lastRow="0" w:firstColumn="1" w:lastColumn="0" w:noHBand="0" w:noVBand="1"/>
      </w:tblPr>
      <w:tblGrid>
        <w:gridCol w:w="1277"/>
        <w:gridCol w:w="2133"/>
        <w:gridCol w:w="1159"/>
        <w:gridCol w:w="970"/>
        <w:gridCol w:w="1401"/>
        <w:gridCol w:w="1159"/>
        <w:gridCol w:w="837"/>
        <w:gridCol w:w="1535"/>
        <w:gridCol w:w="3062"/>
      </w:tblGrid>
      <w:tr w:rsidR="00E50123" w:rsidRPr="004B3567" w14:paraId="631ACD55" w14:textId="77777777" w:rsidTr="00E50123">
        <w:trPr>
          <w:trHeight w:val="217"/>
        </w:trPr>
        <w:tc>
          <w:tcPr>
            <w:tcW w:w="471" w:type="pct"/>
            <w:tcBorders>
              <w:top w:val="single" w:sz="8" w:space="0" w:color="auto"/>
              <w:left w:val="single" w:sz="8" w:space="0" w:color="auto"/>
              <w:bottom w:val="single" w:sz="4" w:space="0" w:color="auto"/>
              <w:right w:val="single" w:sz="8" w:space="0" w:color="auto"/>
            </w:tcBorders>
            <w:shd w:val="clear" w:color="auto" w:fill="9CC2E5"/>
            <w:vAlign w:val="center"/>
            <w:hideMark/>
          </w:tcPr>
          <w:p w14:paraId="7079582D" w14:textId="77777777" w:rsidR="00DE1024" w:rsidRPr="004B3567" w:rsidRDefault="00DE1024" w:rsidP="00994CC1">
            <w:pPr>
              <w:spacing w:before="0" w:after="0"/>
              <w:jc w:val="center"/>
              <w:rPr>
                <w:rFonts w:eastAsia="Times New Roman" w:cs="Times New Roman"/>
                <w:b/>
                <w:bCs/>
                <w:color w:val="000000"/>
                <w:sz w:val="20"/>
                <w:szCs w:val="20"/>
                <w:lang w:eastAsia="es-MX"/>
              </w:rPr>
            </w:pPr>
            <w:r w:rsidRPr="004B3567">
              <w:rPr>
                <w:rFonts w:eastAsia="Times New Roman" w:cs="Times New Roman"/>
                <w:b/>
                <w:bCs/>
                <w:color w:val="000000"/>
                <w:sz w:val="20"/>
                <w:szCs w:val="20"/>
                <w:lang w:eastAsia="es-MX"/>
              </w:rPr>
              <w:t>Nivel de Objetivo</w:t>
            </w:r>
          </w:p>
        </w:tc>
        <w:tc>
          <w:tcPr>
            <w:tcW w:w="789" w:type="pct"/>
            <w:tcBorders>
              <w:top w:val="single" w:sz="8" w:space="0" w:color="auto"/>
              <w:left w:val="single" w:sz="8" w:space="0" w:color="auto"/>
              <w:bottom w:val="single" w:sz="4" w:space="0" w:color="auto"/>
              <w:right w:val="single" w:sz="8" w:space="0" w:color="auto"/>
            </w:tcBorders>
            <w:shd w:val="clear" w:color="auto" w:fill="9CC2E5"/>
            <w:vAlign w:val="center"/>
            <w:hideMark/>
          </w:tcPr>
          <w:p w14:paraId="7A38B7E5" w14:textId="77777777" w:rsidR="00DE1024" w:rsidRPr="004B3567" w:rsidRDefault="00DE1024" w:rsidP="00994CC1">
            <w:pPr>
              <w:spacing w:before="0" w:after="0"/>
              <w:jc w:val="center"/>
              <w:rPr>
                <w:rFonts w:eastAsia="Times New Roman" w:cs="Times New Roman"/>
                <w:b/>
                <w:bCs/>
                <w:color w:val="000000"/>
                <w:sz w:val="20"/>
                <w:szCs w:val="20"/>
                <w:lang w:eastAsia="es-MX"/>
              </w:rPr>
            </w:pPr>
            <w:r w:rsidRPr="004B3567">
              <w:rPr>
                <w:rFonts w:eastAsia="Times New Roman" w:cs="Times New Roman"/>
                <w:b/>
                <w:bCs/>
                <w:color w:val="000000"/>
                <w:sz w:val="20"/>
                <w:szCs w:val="20"/>
                <w:lang w:eastAsia="es-MX"/>
              </w:rPr>
              <w:t>Nombre del Indicador</w:t>
            </w:r>
          </w:p>
        </w:tc>
        <w:tc>
          <w:tcPr>
            <w:tcW w:w="428" w:type="pct"/>
            <w:tcBorders>
              <w:top w:val="single" w:sz="8" w:space="0" w:color="auto"/>
              <w:left w:val="nil"/>
              <w:bottom w:val="single" w:sz="4" w:space="0" w:color="auto"/>
              <w:right w:val="single" w:sz="8" w:space="0" w:color="auto"/>
            </w:tcBorders>
            <w:shd w:val="clear" w:color="auto" w:fill="9CC2E5"/>
            <w:vAlign w:val="center"/>
            <w:hideMark/>
          </w:tcPr>
          <w:p w14:paraId="6CF3CEA4" w14:textId="0E9CACCD" w:rsidR="00DE1024" w:rsidRPr="004B3567" w:rsidRDefault="00DE1024" w:rsidP="00994CC1">
            <w:pPr>
              <w:spacing w:before="0" w:after="0"/>
              <w:jc w:val="center"/>
              <w:rPr>
                <w:rFonts w:eastAsia="Times New Roman" w:cs="Times New Roman"/>
                <w:b/>
                <w:bCs/>
                <w:color w:val="000000"/>
                <w:sz w:val="20"/>
                <w:szCs w:val="20"/>
                <w:lang w:eastAsia="es-MX"/>
              </w:rPr>
            </w:pPr>
            <w:r w:rsidRPr="004B3567">
              <w:rPr>
                <w:rFonts w:eastAsia="Times New Roman" w:cs="Times New Roman"/>
                <w:b/>
                <w:bCs/>
                <w:color w:val="000000"/>
                <w:sz w:val="20"/>
                <w:szCs w:val="20"/>
                <w:lang w:eastAsia="es-MX"/>
              </w:rPr>
              <w:t>Meta programada en [ejercicio fiscal</w:t>
            </w:r>
            <w:r>
              <w:rPr>
                <w:rFonts w:eastAsia="Times New Roman" w:cs="Times New Roman"/>
                <w:b/>
                <w:bCs/>
                <w:color w:val="000000"/>
                <w:sz w:val="20"/>
                <w:szCs w:val="20"/>
                <w:lang w:eastAsia="es-MX"/>
              </w:rPr>
              <w:t xml:space="preserve"> </w:t>
            </w:r>
            <w:r w:rsidRPr="004B3567">
              <w:rPr>
                <w:rFonts w:eastAsia="Times New Roman" w:cs="Times New Roman"/>
                <w:b/>
                <w:bCs/>
                <w:color w:val="000000"/>
                <w:sz w:val="20"/>
                <w:szCs w:val="20"/>
                <w:lang w:eastAsia="es-MX"/>
              </w:rPr>
              <w:t>evaluado</w:t>
            </w:r>
            <w:r>
              <w:rPr>
                <w:rFonts w:eastAsia="Times New Roman" w:cs="Times New Roman"/>
                <w:b/>
                <w:bCs/>
                <w:color w:val="000000"/>
                <w:sz w:val="20"/>
                <w:szCs w:val="20"/>
                <w:lang w:eastAsia="es-MX"/>
              </w:rPr>
              <w:t>)</w:t>
            </w:r>
          </w:p>
        </w:tc>
        <w:tc>
          <w:tcPr>
            <w:tcW w:w="358" w:type="pct"/>
            <w:tcBorders>
              <w:top w:val="single" w:sz="8" w:space="0" w:color="auto"/>
              <w:left w:val="nil"/>
              <w:bottom w:val="single" w:sz="4" w:space="0" w:color="auto"/>
              <w:right w:val="single" w:sz="8" w:space="0" w:color="auto"/>
            </w:tcBorders>
            <w:shd w:val="clear" w:color="auto" w:fill="9CC2E5"/>
            <w:vAlign w:val="center"/>
            <w:hideMark/>
          </w:tcPr>
          <w:p w14:paraId="604B4C8F" w14:textId="0B791AC5" w:rsidR="00DE1024" w:rsidRPr="004B3567" w:rsidRDefault="00DE1024" w:rsidP="00994CC1">
            <w:pPr>
              <w:spacing w:before="0" w:after="0"/>
              <w:jc w:val="center"/>
              <w:rPr>
                <w:rFonts w:eastAsia="Times New Roman" w:cs="Times New Roman"/>
                <w:b/>
                <w:bCs/>
                <w:color w:val="000000"/>
                <w:sz w:val="20"/>
                <w:szCs w:val="20"/>
                <w:lang w:eastAsia="es-MX"/>
              </w:rPr>
            </w:pPr>
            <w:r w:rsidRPr="004B3567">
              <w:rPr>
                <w:rFonts w:eastAsia="Times New Roman" w:cs="Times New Roman"/>
                <w:b/>
                <w:bCs/>
                <w:color w:val="000000"/>
                <w:sz w:val="20"/>
                <w:szCs w:val="20"/>
                <w:lang w:eastAsia="es-MX"/>
              </w:rPr>
              <w:t>Avance en [ejercicio fiscal</w:t>
            </w:r>
            <w:r>
              <w:rPr>
                <w:rFonts w:eastAsia="Times New Roman" w:cs="Times New Roman"/>
                <w:b/>
                <w:bCs/>
                <w:color w:val="000000"/>
                <w:sz w:val="20"/>
                <w:szCs w:val="20"/>
                <w:lang w:eastAsia="es-MX"/>
              </w:rPr>
              <w:t xml:space="preserve"> </w:t>
            </w:r>
            <w:r w:rsidRPr="004B3567">
              <w:rPr>
                <w:rFonts w:eastAsia="Times New Roman" w:cs="Times New Roman"/>
                <w:b/>
                <w:bCs/>
                <w:color w:val="000000"/>
                <w:sz w:val="20"/>
                <w:szCs w:val="20"/>
                <w:lang w:eastAsia="es-MX"/>
              </w:rPr>
              <w:t>evaluado]</w:t>
            </w:r>
          </w:p>
        </w:tc>
        <w:tc>
          <w:tcPr>
            <w:tcW w:w="517" w:type="pct"/>
            <w:tcBorders>
              <w:top w:val="single" w:sz="8" w:space="0" w:color="auto"/>
              <w:left w:val="nil"/>
              <w:bottom w:val="single" w:sz="4" w:space="0" w:color="auto"/>
              <w:right w:val="single" w:sz="8" w:space="0" w:color="auto"/>
            </w:tcBorders>
            <w:shd w:val="clear" w:color="auto" w:fill="9CC2E5"/>
            <w:vAlign w:val="center"/>
            <w:hideMark/>
          </w:tcPr>
          <w:p w14:paraId="43C4E1D7" w14:textId="43E2E424" w:rsidR="00DE1024" w:rsidRPr="004B3567" w:rsidRDefault="00DE1024" w:rsidP="00994CC1">
            <w:pPr>
              <w:spacing w:before="0" w:after="0"/>
              <w:jc w:val="center"/>
              <w:rPr>
                <w:rFonts w:eastAsia="Times New Roman" w:cs="Times New Roman"/>
                <w:b/>
                <w:bCs/>
                <w:color w:val="000000"/>
                <w:sz w:val="20"/>
                <w:szCs w:val="20"/>
                <w:lang w:eastAsia="es-MX"/>
              </w:rPr>
            </w:pPr>
            <w:r w:rsidRPr="004B3567">
              <w:rPr>
                <w:rFonts w:eastAsia="Times New Roman" w:cs="Times New Roman"/>
                <w:b/>
                <w:bCs/>
                <w:color w:val="000000"/>
                <w:sz w:val="20"/>
                <w:szCs w:val="20"/>
                <w:lang w:eastAsia="es-MX"/>
              </w:rPr>
              <w:t>Avance con respecto a la meta en [ejercicio fiscal</w:t>
            </w:r>
            <w:r>
              <w:rPr>
                <w:rFonts w:eastAsia="Times New Roman" w:cs="Times New Roman"/>
                <w:b/>
                <w:bCs/>
                <w:color w:val="000000"/>
                <w:sz w:val="20"/>
                <w:szCs w:val="20"/>
                <w:lang w:eastAsia="es-MX"/>
              </w:rPr>
              <w:t xml:space="preserve"> </w:t>
            </w:r>
            <w:r w:rsidRPr="004B3567">
              <w:rPr>
                <w:rFonts w:eastAsia="Times New Roman" w:cs="Times New Roman"/>
                <w:b/>
                <w:bCs/>
                <w:color w:val="000000"/>
                <w:sz w:val="20"/>
                <w:szCs w:val="20"/>
                <w:lang w:eastAsia="es-MX"/>
              </w:rPr>
              <w:t>evaluado] (Avance/Meta)</w:t>
            </w:r>
          </w:p>
        </w:tc>
        <w:tc>
          <w:tcPr>
            <w:tcW w:w="428" w:type="pct"/>
            <w:tcBorders>
              <w:top w:val="single" w:sz="8" w:space="0" w:color="auto"/>
              <w:left w:val="single" w:sz="8" w:space="0" w:color="auto"/>
              <w:bottom w:val="single" w:sz="4" w:space="0" w:color="auto"/>
              <w:right w:val="single" w:sz="8" w:space="0" w:color="auto"/>
            </w:tcBorders>
            <w:shd w:val="clear" w:color="auto" w:fill="9CC2E5"/>
            <w:vAlign w:val="center"/>
            <w:hideMark/>
          </w:tcPr>
          <w:p w14:paraId="7318D16A" w14:textId="77777777" w:rsidR="00DE1024" w:rsidRPr="004B3567" w:rsidRDefault="00DE1024" w:rsidP="00994CC1">
            <w:pPr>
              <w:spacing w:before="0" w:after="0"/>
              <w:jc w:val="center"/>
              <w:rPr>
                <w:rFonts w:eastAsia="Times New Roman" w:cs="Times New Roman"/>
                <w:b/>
                <w:bCs/>
                <w:color w:val="000000"/>
                <w:sz w:val="20"/>
                <w:szCs w:val="20"/>
                <w:lang w:eastAsia="es-MX"/>
              </w:rPr>
            </w:pPr>
            <w:r w:rsidRPr="004B3567">
              <w:rPr>
                <w:rFonts w:eastAsia="Times New Roman" w:cs="Times New Roman"/>
                <w:b/>
                <w:bCs/>
                <w:color w:val="000000"/>
                <w:sz w:val="20"/>
                <w:szCs w:val="20"/>
                <w:lang w:eastAsia="es-MX"/>
              </w:rPr>
              <w:t>Meta programada para el ejercicio anterior</w:t>
            </w:r>
          </w:p>
        </w:tc>
        <w:tc>
          <w:tcPr>
            <w:tcW w:w="309" w:type="pct"/>
            <w:tcBorders>
              <w:top w:val="single" w:sz="8" w:space="0" w:color="auto"/>
              <w:left w:val="single" w:sz="8" w:space="0" w:color="auto"/>
              <w:bottom w:val="single" w:sz="4" w:space="0" w:color="auto"/>
              <w:right w:val="single" w:sz="8" w:space="0" w:color="auto"/>
            </w:tcBorders>
            <w:shd w:val="clear" w:color="auto" w:fill="9CC2E5"/>
            <w:vAlign w:val="center"/>
            <w:hideMark/>
          </w:tcPr>
          <w:p w14:paraId="1A26C752" w14:textId="77777777" w:rsidR="00DE1024" w:rsidRPr="004B3567" w:rsidRDefault="00DE1024" w:rsidP="00994CC1">
            <w:pPr>
              <w:spacing w:before="0" w:after="0"/>
              <w:jc w:val="center"/>
              <w:rPr>
                <w:rFonts w:eastAsia="Times New Roman" w:cs="Times New Roman"/>
                <w:b/>
                <w:bCs/>
                <w:color w:val="000000"/>
                <w:sz w:val="20"/>
                <w:szCs w:val="20"/>
                <w:lang w:eastAsia="es-MX"/>
              </w:rPr>
            </w:pPr>
            <w:r w:rsidRPr="004B3567">
              <w:rPr>
                <w:rFonts w:eastAsia="Times New Roman" w:cs="Times New Roman"/>
                <w:b/>
                <w:bCs/>
                <w:color w:val="000000"/>
                <w:sz w:val="20"/>
                <w:szCs w:val="20"/>
                <w:lang w:eastAsia="es-MX"/>
              </w:rPr>
              <w:t>Avance en ejercicio anterior</w:t>
            </w:r>
          </w:p>
        </w:tc>
        <w:tc>
          <w:tcPr>
            <w:tcW w:w="568" w:type="pct"/>
            <w:tcBorders>
              <w:top w:val="single" w:sz="8" w:space="0" w:color="auto"/>
              <w:left w:val="single" w:sz="8" w:space="0" w:color="auto"/>
              <w:bottom w:val="single" w:sz="4" w:space="0" w:color="auto"/>
              <w:right w:val="single" w:sz="8" w:space="0" w:color="auto"/>
            </w:tcBorders>
            <w:shd w:val="clear" w:color="auto" w:fill="9CC2E5"/>
            <w:vAlign w:val="center"/>
            <w:hideMark/>
          </w:tcPr>
          <w:p w14:paraId="5CB95959" w14:textId="77777777" w:rsidR="00DE1024" w:rsidRPr="004B3567" w:rsidRDefault="00DE1024" w:rsidP="00994CC1">
            <w:pPr>
              <w:spacing w:before="0" w:after="0"/>
              <w:jc w:val="center"/>
              <w:rPr>
                <w:rFonts w:eastAsia="Times New Roman" w:cs="Times New Roman"/>
                <w:b/>
                <w:bCs/>
                <w:color w:val="000000"/>
                <w:sz w:val="20"/>
                <w:szCs w:val="20"/>
                <w:lang w:eastAsia="es-MX"/>
              </w:rPr>
            </w:pPr>
            <w:r w:rsidRPr="004B3567">
              <w:rPr>
                <w:rFonts w:eastAsia="Times New Roman" w:cs="Times New Roman"/>
                <w:b/>
                <w:bCs/>
                <w:color w:val="000000"/>
                <w:sz w:val="20"/>
                <w:szCs w:val="20"/>
                <w:lang w:eastAsia="es-MX"/>
              </w:rPr>
              <w:t>Avance con respecto a la meta en ejercicio anterior (Avance/ Meta)</w:t>
            </w:r>
          </w:p>
        </w:tc>
        <w:tc>
          <w:tcPr>
            <w:tcW w:w="1132" w:type="pct"/>
            <w:tcBorders>
              <w:top w:val="single" w:sz="8" w:space="0" w:color="auto"/>
              <w:left w:val="single" w:sz="8" w:space="0" w:color="auto"/>
              <w:bottom w:val="single" w:sz="4" w:space="0" w:color="auto"/>
              <w:right w:val="single" w:sz="8" w:space="0" w:color="auto"/>
            </w:tcBorders>
            <w:shd w:val="clear" w:color="auto" w:fill="9CC2E5"/>
            <w:vAlign w:val="center"/>
            <w:hideMark/>
          </w:tcPr>
          <w:p w14:paraId="4DA58CE3" w14:textId="77777777" w:rsidR="00DE1024" w:rsidRPr="004B3567" w:rsidRDefault="00DE1024" w:rsidP="00994CC1">
            <w:pPr>
              <w:spacing w:before="0" w:after="0"/>
              <w:jc w:val="center"/>
              <w:rPr>
                <w:rFonts w:eastAsia="Times New Roman" w:cs="Times New Roman"/>
                <w:b/>
                <w:bCs/>
                <w:color w:val="000000"/>
                <w:sz w:val="20"/>
                <w:szCs w:val="20"/>
                <w:lang w:eastAsia="es-MX"/>
              </w:rPr>
            </w:pPr>
            <w:r w:rsidRPr="004B3567">
              <w:rPr>
                <w:rFonts w:eastAsia="Times New Roman" w:cs="Times New Roman"/>
                <w:b/>
                <w:bCs/>
                <w:color w:val="000000"/>
                <w:sz w:val="20"/>
                <w:szCs w:val="20"/>
                <w:lang w:eastAsia="es-MX"/>
              </w:rPr>
              <w:t>Justificación del avance con respecto a la meta (explicar por qué se cumplieron o no las metas)</w:t>
            </w:r>
          </w:p>
        </w:tc>
      </w:tr>
      <w:tr w:rsidR="00A1235C" w:rsidRPr="004B3567" w14:paraId="48939C8F" w14:textId="77777777" w:rsidTr="00E50123">
        <w:trPr>
          <w:trHeight w:val="217"/>
        </w:trPr>
        <w:tc>
          <w:tcPr>
            <w:tcW w:w="5000" w:type="pct"/>
            <w:gridSpan w:val="9"/>
            <w:tcBorders>
              <w:top w:val="single" w:sz="4" w:space="0" w:color="auto"/>
              <w:left w:val="single" w:sz="8" w:space="0" w:color="auto"/>
              <w:bottom w:val="single" w:sz="8" w:space="0" w:color="auto"/>
              <w:right w:val="single" w:sz="8" w:space="0" w:color="auto"/>
            </w:tcBorders>
            <w:shd w:val="clear" w:color="auto" w:fill="D0CECE" w:themeFill="background2" w:themeFillShade="E6"/>
            <w:vAlign w:val="center"/>
            <w:hideMark/>
          </w:tcPr>
          <w:p w14:paraId="29A12A61" w14:textId="7237DFFE" w:rsidR="00A1235C" w:rsidRDefault="00A1235C" w:rsidP="00A1235C">
            <w:pPr>
              <w:spacing w:before="0" w:after="0"/>
              <w:jc w:val="center"/>
              <w:rPr>
                <w:rFonts w:eastAsia="Times New Roman" w:cstheme="minorHAnsi"/>
                <w:b/>
                <w:bCs/>
                <w:color w:val="000000"/>
                <w:sz w:val="20"/>
                <w:szCs w:val="20"/>
                <w:lang w:eastAsia="es-MX"/>
              </w:rPr>
            </w:pPr>
            <w:r w:rsidRPr="00995B05">
              <w:rPr>
                <w:rFonts w:eastAsia="Times New Roman" w:cstheme="minorHAnsi"/>
                <w:b/>
                <w:bCs/>
                <w:color w:val="000000"/>
                <w:sz w:val="20"/>
                <w:szCs w:val="20"/>
                <w:lang w:eastAsia="es-MX"/>
              </w:rPr>
              <w:t>Indicadores de la MIR del FAFEF para el ámbito federal</w:t>
            </w:r>
          </w:p>
          <w:p w14:paraId="1A624F94" w14:textId="4EC18C80" w:rsidR="00A1235C" w:rsidRPr="004B3567" w:rsidRDefault="00A1235C" w:rsidP="00A1235C">
            <w:pPr>
              <w:spacing w:before="0" w:after="0"/>
              <w:jc w:val="center"/>
              <w:rPr>
                <w:rFonts w:eastAsia="Times New Roman" w:cs="Times New Roman"/>
                <w:b/>
                <w:bCs/>
                <w:color w:val="000000"/>
                <w:sz w:val="20"/>
                <w:szCs w:val="20"/>
                <w:lang w:eastAsia="es-MX"/>
              </w:rPr>
            </w:pPr>
            <w:r w:rsidRPr="007D560F">
              <w:rPr>
                <w:rFonts w:cstheme="minorHAnsi"/>
                <w:b/>
                <w:bCs/>
                <w:sz w:val="20"/>
                <w:szCs w:val="20"/>
              </w:rPr>
              <w:t>I012 Fondo de Aportaciones para el Fortalecimiento de las Entidades Federativas</w:t>
            </w:r>
            <w:r>
              <w:rPr>
                <w:rFonts w:cstheme="minorHAnsi"/>
                <w:b/>
                <w:bCs/>
                <w:sz w:val="20"/>
                <w:szCs w:val="20"/>
              </w:rPr>
              <w:t xml:space="preserve"> (FAFEF)</w:t>
            </w:r>
          </w:p>
        </w:tc>
      </w:tr>
      <w:tr w:rsidR="00E50123" w:rsidRPr="004B3567" w14:paraId="7B3ED3B5" w14:textId="77777777" w:rsidTr="00E50123">
        <w:trPr>
          <w:trHeight w:val="217"/>
        </w:trPr>
        <w:tc>
          <w:tcPr>
            <w:tcW w:w="471" w:type="pct"/>
            <w:tcBorders>
              <w:top w:val="nil"/>
              <w:left w:val="single" w:sz="8" w:space="0" w:color="auto"/>
              <w:bottom w:val="single" w:sz="8" w:space="0" w:color="auto"/>
              <w:right w:val="single" w:sz="8" w:space="0" w:color="auto"/>
            </w:tcBorders>
            <w:shd w:val="clear" w:color="auto" w:fill="auto"/>
            <w:vAlign w:val="center"/>
            <w:hideMark/>
          </w:tcPr>
          <w:p w14:paraId="61E9F1D7" w14:textId="77777777" w:rsidR="004E40F4" w:rsidRPr="00994CC1" w:rsidRDefault="004E40F4" w:rsidP="00994CC1">
            <w:pPr>
              <w:spacing w:before="0" w:after="0"/>
              <w:jc w:val="center"/>
              <w:rPr>
                <w:rFonts w:eastAsia="Times New Roman" w:cs="Times New Roman"/>
                <w:color w:val="000000"/>
                <w:sz w:val="20"/>
                <w:szCs w:val="20"/>
                <w:lang w:eastAsia="es-MX"/>
              </w:rPr>
            </w:pPr>
            <w:r w:rsidRPr="00994CC1">
              <w:rPr>
                <w:rFonts w:eastAsia="Times New Roman" w:cs="Times New Roman"/>
                <w:color w:val="000000"/>
                <w:sz w:val="20"/>
                <w:szCs w:val="20"/>
                <w:lang w:eastAsia="es-MX"/>
              </w:rPr>
              <w:t>Fin</w:t>
            </w:r>
          </w:p>
        </w:tc>
        <w:tc>
          <w:tcPr>
            <w:tcW w:w="789" w:type="pct"/>
            <w:tcBorders>
              <w:top w:val="nil"/>
              <w:left w:val="nil"/>
              <w:bottom w:val="single" w:sz="8" w:space="0" w:color="auto"/>
              <w:right w:val="single" w:sz="8" w:space="0" w:color="auto"/>
            </w:tcBorders>
            <w:shd w:val="clear" w:color="auto" w:fill="auto"/>
            <w:vAlign w:val="center"/>
            <w:hideMark/>
          </w:tcPr>
          <w:p w14:paraId="66EFA16A" w14:textId="77777777" w:rsidR="004E40F4" w:rsidRPr="004B3567" w:rsidRDefault="004E40F4" w:rsidP="001B14BE">
            <w:pPr>
              <w:spacing w:before="0" w:after="0"/>
              <w:rPr>
                <w:rFonts w:eastAsia="Times New Roman" w:cs="Times New Roman"/>
                <w:color w:val="000000"/>
                <w:sz w:val="20"/>
                <w:szCs w:val="20"/>
                <w:lang w:eastAsia="es-MX"/>
              </w:rPr>
            </w:pPr>
            <w:r w:rsidRPr="004B3567">
              <w:rPr>
                <w:rFonts w:eastAsia="Times New Roman" w:cs="Times New Roman"/>
                <w:color w:val="000000"/>
                <w:sz w:val="20"/>
                <w:szCs w:val="20"/>
                <w:lang w:eastAsia="es-MX"/>
              </w:rPr>
              <w:t>Índice de Impacto de Deuda Pública</w:t>
            </w:r>
          </w:p>
        </w:tc>
        <w:tc>
          <w:tcPr>
            <w:tcW w:w="428" w:type="pct"/>
            <w:tcBorders>
              <w:top w:val="nil"/>
              <w:left w:val="nil"/>
              <w:bottom w:val="single" w:sz="8" w:space="0" w:color="auto"/>
              <w:right w:val="single" w:sz="8" w:space="0" w:color="auto"/>
            </w:tcBorders>
            <w:shd w:val="clear" w:color="auto" w:fill="auto"/>
            <w:vAlign w:val="center"/>
            <w:hideMark/>
          </w:tcPr>
          <w:p w14:paraId="12105752" w14:textId="77777777" w:rsidR="004E40F4" w:rsidRPr="004B3567" w:rsidRDefault="004E40F4" w:rsidP="00994CC1">
            <w:pPr>
              <w:spacing w:before="0" w:after="0"/>
              <w:jc w:val="center"/>
              <w:rPr>
                <w:rFonts w:eastAsia="Times New Roman" w:cs="Times New Roman"/>
                <w:color w:val="000000"/>
                <w:sz w:val="20"/>
                <w:szCs w:val="20"/>
                <w:lang w:eastAsia="es-MX"/>
              </w:rPr>
            </w:pPr>
            <w:r w:rsidRPr="004B3567">
              <w:rPr>
                <w:rFonts w:eastAsia="Times New Roman" w:cs="Times New Roman"/>
                <w:color w:val="000000"/>
                <w:sz w:val="20"/>
                <w:szCs w:val="20"/>
                <w:lang w:eastAsia="es-MX"/>
              </w:rPr>
              <w:t>11</w:t>
            </w:r>
          </w:p>
        </w:tc>
        <w:tc>
          <w:tcPr>
            <w:tcW w:w="358" w:type="pct"/>
            <w:tcBorders>
              <w:top w:val="nil"/>
              <w:left w:val="nil"/>
              <w:bottom w:val="single" w:sz="8" w:space="0" w:color="auto"/>
              <w:right w:val="single" w:sz="8" w:space="0" w:color="auto"/>
            </w:tcBorders>
            <w:shd w:val="clear" w:color="auto" w:fill="auto"/>
            <w:vAlign w:val="center"/>
            <w:hideMark/>
          </w:tcPr>
          <w:p w14:paraId="17F2A947" w14:textId="77777777" w:rsidR="004E40F4" w:rsidRPr="004B3567" w:rsidRDefault="004E40F4" w:rsidP="00994CC1">
            <w:pPr>
              <w:spacing w:before="0" w:after="0"/>
              <w:jc w:val="center"/>
              <w:rPr>
                <w:rFonts w:eastAsia="Times New Roman" w:cs="Times New Roman"/>
                <w:color w:val="000000"/>
                <w:sz w:val="20"/>
                <w:szCs w:val="20"/>
                <w:lang w:eastAsia="es-MX"/>
              </w:rPr>
            </w:pPr>
            <w:r w:rsidRPr="004B3567">
              <w:rPr>
                <w:rFonts w:eastAsia="Times New Roman" w:cs="Times New Roman"/>
                <w:color w:val="000000"/>
                <w:sz w:val="20"/>
                <w:szCs w:val="20"/>
                <w:lang w:eastAsia="es-MX"/>
              </w:rPr>
              <w:t>10</w:t>
            </w:r>
          </w:p>
        </w:tc>
        <w:tc>
          <w:tcPr>
            <w:tcW w:w="517" w:type="pct"/>
            <w:tcBorders>
              <w:top w:val="nil"/>
              <w:left w:val="nil"/>
              <w:bottom w:val="single" w:sz="8" w:space="0" w:color="auto"/>
              <w:right w:val="single" w:sz="8" w:space="0" w:color="auto"/>
            </w:tcBorders>
            <w:shd w:val="clear" w:color="auto" w:fill="auto"/>
            <w:vAlign w:val="center"/>
            <w:hideMark/>
          </w:tcPr>
          <w:p w14:paraId="5354BD04" w14:textId="77777777" w:rsidR="004E40F4" w:rsidRPr="004B3567" w:rsidRDefault="004E40F4" w:rsidP="00994CC1">
            <w:pPr>
              <w:spacing w:before="0" w:after="0"/>
              <w:jc w:val="center"/>
              <w:rPr>
                <w:rFonts w:eastAsia="Times New Roman" w:cs="Times New Roman"/>
                <w:color w:val="000000"/>
                <w:sz w:val="20"/>
                <w:szCs w:val="20"/>
                <w:lang w:eastAsia="es-MX"/>
              </w:rPr>
            </w:pPr>
            <w:r>
              <w:rPr>
                <w:rFonts w:eastAsia="Times New Roman" w:cs="Times New Roman"/>
                <w:color w:val="000000"/>
                <w:sz w:val="20"/>
                <w:szCs w:val="20"/>
                <w:lang w:eastAsia="es-MX"/>
              </w:rPr>
              <w:t>1</w:t>
            </w:r>
            <w:r>
              <w:rPr>
                <w:rFonts w:eastAsia="Times New Roman" w:cs="Times New Roman"/>
                <w:color w:val="000000"/>
                <w:lang w:eastAsia="es-MX"/>
              </w:rPr>
              <w:t>10</w:t>
            </w:r>
          </w:p>
        </w:tc>
        <w:tc>
          <w:tcPr>
            <w:tcW w:w="428" w:type="pct"/>
            <w:tcBorders>
              <w:top w:val="nil"/>
              <w:left w:val="nil"/>
              <w:bottom w:val="single" w:sz="8" w:space="0" w:color="auto"/>
              <w:right w:val="single" w:sz="8" w:space="0" w:color="auto"/>
            </w:tcBorders>
            <w:shd w:val="clear" w:color="auto" w:fill="auto"/>
            <w:vAlign w:val="center"/>
            <w:hideMark/>
          </w:tcPr>
          <w:p w14:paraId="74E43371" w14:textId="4DFFC547" w:rsidR="004E40F4" w:rsidRPr="004B3567" w:rsidRDefault="004E40F4" w:rsidP="00994CC1">
            <w:pPr>
              <w:spacing w:before="0" w:after="0"/>
              <w:jc w:val="center"/>
              <w:rPr>
                <w:rFonts w:eastAsia="Times New Roman" w:cs="Times New Roman"/>
                <w:color w:val="000000"/>
                <w:sz w:val="20"/>
                <w:szCs w:val="20"/>
                <w:lang w:eastAsia="es-MX"/>
              </w:rPr>
            </w:pPr>
            <w:r>
              <w:rPr>
                <w:rFonts w:eastAsia="Times New Roman" w:cs="Times New Roman"/>
                <w:color w:val="000000"/>
                <w:sz w:val="20"/>
                <w:szCs w:val="20"/>
                <w:lang w:eastAsia="es-MX"/>
              </w:rPr>
              <w:t>1</w:t>
            </w:r>
            <w:r>
              <w:rPr>
                <w:rFonts w:eastAsia="Times New Roman" w:cs="Times New Roman"/>
                <w:color w:val="000000"/>
                <w:lang w:eastAsia="es-MX"/>
              </w:rPr>
              <w:t>5.72</w:t>
            </w:r>
          </w:p>
        </w:tc>
        <w:tc>
          <w:tcPr>
            <w:tcW w:w="309" w:type="pct"/>
            <w:tcBorders>
              <w:top w:val="nil"/>
              <w:left w:val="nil"/>
              <w:bottom w:val="single" w:sz="8" w:space="0" w:color="auto"/>
              <w:right w:val="single" w:sz="8" w:space="0" w:color="auto"/>
            </w:tcBorders>
            <w:shd w:val="clear" w:color="auto" w:fill="auto"/>
            <w:vAlign w:val="center"/>
            <w:hideMark/>
          </w:tcPr>
          <w:p w14:paraId="719672F4" w14:textId="68401E84" w:rsidR="004E40F4" w:rsidRPr="004B3567" w:rsidRDefault="004E40F4" w:rsidP="00994CC1">
            <w:pPr>
              <w:spacing w:before="0" w:after="0"/>
              <w:jc w:val="center"/>
              <w:rPr>
                <w:rFonts w:eastAsia="Times New Roman" w:cs="Times New Roman"/>
                <w:color w:val="000000"/>
                <w:sz w:val="20"/>
                <w:szCs w:val="20"/>
                <w:lang w:eastAsia="es-MX"/>
              </w:rPr>
            </w:pPr>
            <w:r>
              <w:rPr>
                <w:rFonts w:eastAsia="Times New Roman" w:cs="Times New Roman"/>
                <w:color w:val="000000"/>
                <w:sz w:val="20"/>
                <w:szCs w:val="20"/>
                <w:lang w:eastAsia="es-MX"/>
              </w:rPr>
              <w:t>1</w:t>
            </w:r>
            <w:r>
              <w:rPr>
                <w:rFonts w:eastAsia="Times New Roman" w:cs="Times New Roman"/>
                <w:color w:val="000000"/>
                <w:lang w:eastAsia="es-MX"/>
              </w:rPr>
              <w:t>2.11</w:t>
            </w:r>
          </w:p>
        </w:tc>
        <w:tc>
          <w:tcPr>
            <w:tcW w:w="568" w:type="pct"/>
            <w:tcBorders>
              <w:top w:val="nil"/>
              <w:left w:val="nil"/>
              <w:bottom w:val="single" w:sz="8" w:space="0" w:color="auto"/>
              <w:right w:val="single" w:sz="8" w:space="0" w:color="auto"/>
            </w:tcBorders>
            <w:shd w:val="clear" w:color="auto" w:fill="auto"/>
            <w:vAlign w:val="center"/>
            <w:hideMark/>
          </w:tcPr>
          <w:p w14:paraId="33C4F30D" w14:textId="7EDF931A" w:rsidR="004E40F4" w:rsidRPr="004B3567" w:rsidRDefault="004E40F4" w:rsidP="00994CC1">
            <w:pPr>
              <w:spacing w:before="0" w:after="0"/>
              <w:jc w:val="center"/>
              <w:rPr>
                <w:rFonts w:eastAsia="Times New Roman" w:cs="Times New Roman"/>
                <w:color w:val="000000"/>
                <w:sz w:val="20"/>
                <w:szCs w:val="20"/>
                <w:lang w:eastAsia="es-MX"/>
              </w:rPr>
            </w:pPr>
            <w:r>
              <w:rPr>
                <w:rFonts w:eastAsia="Times New Roman" w:cs="Times New Roman"/>
                <w:color w:val="000000"/>
                <w:sz w:val="20"/>
                <w:szCs w:val="20"/>
                <w:lang w:eastAsia="es-MX"/>
              </w:rPr>
              <w:t>1</w:t>
            </w:r>
            <w:r>
              <w:rPr>
                <w:rFonts w:eastAsia="Times New Roman" w:cs="Times New Roman"/>
                <w:color w:val="000000"/>
                <w:lang w:eastAsia="es-MX"/>
              </w:rPr>
              <w:t>29.81</w:t>
            </w:r>
          </w:p>
        </w:tc>
        <w:tc>
          <w:tcPr>
            <w:tcW w:w="1132" w:type="pct"/>
            <w:vMerge w:val="restart"/>
            <w:tcBorders>
              <w:top w:val="nil"/>
              <w:left w:val="single" w:sz="8" w:space="0" w:color="auto"/>
              <w:bottom w:val="single" w:sz="8" w:space="0" w:color="000000"/>
              <w:right w:val="single" w:sz="8" w:space="0" w:color="auto"/>
            </w:tcBorders>
            <w:shd w:val="clear" w:color="auto" w:fill="auto"/>
            <w:vAlign w:val="center"/>
            <w:hideMark/>
          </w:tcPr>
          <w:p w14:paraId="25AD0FAB" w14:textId="77777777" w:rsidR="004E40F4" w:rsidRPr="004B3567" w:rsidRDefault="004E40F4" w:rsidP="00994CC1">
            <w:pPr>
              <w:spacing w:before="0" w:after="0"/>
              <w:rPr>
                <w:rFonts w:eastAsia="Times New Roman" w:cs="Times New Roman"/>
                <w:color w:val="000000"/>
                <w:sz w:val="20"/>
                <w:szCs w:val="20"/>
                <w:lang w:eastAsia="es-MX"/>
              </w:rPr>
            </w:pPr>
            <w:r w:rsidRPr="004B3567">
              <w:rPr>
                <w:rFonts w:eastAsia="Times New Roman" w:cs="Times New Roman"/>
                <w:color w:val="000000" w:themeColor="text1"/>
                <w:sz w:val="20"/>
                <w:szCs w:val="20"/>
                <w:lang w:eastAsia="es-MX"/>
              </w:rPr>
              <w:t>No se justificó el avance con respecto a la meta</w:t>
            </w:r>
          </w:p>
        </w:tc>
      </w:tr>
      <w:tr w:rsidR="00E50123" w:rsidRPr="004B3567" w14:paraId="18033B23" w14:textId="77777777" w:rsidTr="00C75FBE">
        <w:trPr>
          <w:trHeight w:val="1354"/>
        </w:trPr>
        <w:tc>
          <w:tcPr>
            <w:tcW w:w="471" w:type="pct"/>
            <w:vMerge w:val="restart"/>
            <w:tcBorders>
              <w:top w:val="nil"/>
              <w:left w:val="single" w:sz="8" w:space="0" w:color="auto"/>
              <w:bottom w:val="single" w:sz="8" w:space="0" w:color="000000"/>
              <w:right w:val="single" w:sz="8" w:space="0" w:color="auto"/>
            </w:tcBorders>
            <w:shd w:val="clear" w:color="auto" w:fill="auto"/>
            <w:vAlign w:val="center"/>
            <w:hideMark/>
          </w:tcPr>
          <w:p w14:paraId="344CB69F" w14:textId="77777777" w:rsidR="004E40F4" w:rsidRPr="00994CC1" w:rsidRDefault="004E40F4" w:rsidP="00994CC1">
            <w:pPr>
              <w:spacing w:before="0" w:after="0"/>
              <w:jc w:val="center"/>
              <w:rPr>
                <w:rFonts w:eastAsia="Times New Roman" w:cs="Times New Roman"/>
                <w:color w:val="000000"/>
                <w:sz w:val="20"/>
                <w:szCs w:val="20"/>
                <w:lang w:eastAsia="es-MX"/>
              </w:rPr>
            </w:pPr>
            <w:r w:rsidRPr="00994CC1">
              <w:rPr>
                <w:rFonts w:eastAsia="Times New Roman" w:cs="Times New Roman"/>
                <w:color w:val="000000"/>
                <w:sz w:val="20"/>
                <w:szCs w:val="20"/>
                <w:lang w:eastAsia="es-MX"/>
              </w:rPr>
              <w:t>Propósito</w:t>
            </w:r>
          </w:p>
        </w:tc>
        <w:tc>
          <w:tcPr>
            <w:tcW w:w="789" w:type="pct"/>
            <w:tcBorders>
              <w:top w:val="nil"/>
              <w:left w:val="nil"/>
              <w:bottom w:val="single" w:sz="8" w:space="0" w:color="auto"/>
              <w:right w:val="single" w:sz="8" w:space="0" w:color="auto"/>
            </w:tcBorders>
            <w:shd w:val="clear" w:color="auto" w:fill="auto"/>
            <w:vAlign w:val="center"/>
            <w:hideMark/>
          </w:tcPr>
          <w:p w14:paraId="7E06D2F1" w14:textId="77777777" w:rsidR="004E40F4" w:rsidRPr="004B3567" w:rsidRDefault="004E40F4" w:rsidP="001B14BE">
            <w:pPr>
              <w:spacing w:before="0" w:after="0"/>
              <w:rPr>
                <w:rFonts w:eastAsia="Times New Roman" w:cs="Times New Roman"/>
                <w:color w:val="000000"/>
                <w:sz w:val="20"/>
                <w:szCs w:val="20"/>
                <w:lang w:eastAsia="es-MX"/>
              </w:rPr>
            </w:pPr>
            <w:bookmarkStart w:id="107" w:name="_Hlk56322953"/>
            <w:r w:rsidRPr="004B3567">
              <w:rPr>
                <w:rFonts w:eastAsia="Times New Roman" w:cs="Times New Roman"/>
                <w:color w:val="000000"/>
                <w:sz w:val="20"/>
                <w:szCs w:val="20"/>
                <w:lang w:eastAsia="es-MX"/>
              </w:rPr>
              <w:t>Índice de Fortalecimiento Financiero</w:t>
            </w:r>
            <w:bookmarkEnd w:id="107"/>
          </w:p>
        </w:tc>
        <w:tc>
          <w:tcPr>
            <w:tcW w:w="428" w:type="pct"/>
            <w:tcBorders>
              <w:top w:val="nil"/>
              <w:left w:val="nil"/>
              <w:bottom w:val="single" w:sz="8" w:space="0" w:color="auto"/>
              <w:right w:val="single" w:sz="8" w:space="0" w:color="auto"/>
            </w:tcBorders>
            <w:shd w:val="clear" w:color="auto" w:fill="auto"/>
            <w:vAlign w:val="center"/>
            <w:hideMark/>
          </w:tcPr>
          <w:p w14:paraId="66D757F1" w14:textId="77777777" w:rsidR="004E40F4" w:rsidRPr="004B3567" w:rsidRDefault="004E40F4" w:rsidP="00994CC1">
            <w:pPr>
              <w:spacing w:before="0" w:after="0"/>
              <w:jc w:val="center"/>
              <w:rPr>
                <w:rFonts w:eastAsia="Times New Roman" w:cs="Times New Roman"/>
                <w:color w:val="000000"/>
                <w:sz w:val="20"/>
                <w:szCs w:val="20"/>
                <w:lang w:eastAsia="es-MX"/>
              </w:rPr>
            </w:pPr>
            <w:r w:rsidRPr="004B3567">
              <w:rPr>
                <w:rFonts w:eastAsia="Times New Roman" w:cs="Times New Roman"/>
                <w:color w:val="000000"/>
                <w:sz w:val="20"/>
                <w:szCs w:val="20"/>
                <w:lang w:eastAsia="es-MX"/>
              </w:rPr>
              <w:t>4.8</w:t>
            </w:r>
          </w:p>
        </w:tc>
        <w:tc>
          <w:tcPr>
            <w:tcW w:w="358" w:type="pct"/>
            <w:tcBorders>
              <w:top w:val="nil"/>
              <w:left w:val="nil"/>
              <w:bottom w:val="single" w:sz="8" w:space="0" w:color="auto"/>
              <w:right w:val="single" w:sz="8" w:space="0" w:color="auto"/>
            </w:tcBorders>
            <w:shd w:val="clear" w:color="auto" w:fill="auto"/>
            <w:vAlign w:val="center"/>
            <w:hideMark/>
          </w:tcPr>
          <w:p w14:paraId="6E55A412" w14:textId="77777777" w:rsidR="004E40F4" w:rsidRPr="004B3567" w:rsidRDefault="004E40F4" w:rsidP="00994CC1">
            <w:pPr>
              <w:spacing w:before="0" w:after="0"/>
              <w:jc w:val="center"/>
              <w:rPr>
                <w:rFonts w:eastAsia="Times New Roman" w:cs="Times New Roman"/>
                <w:color w:val="000000"/>
                <w:sz w:val="20"/>
                <w:szCs w:val="20"/>
                <w:lang w:eastAsia="es-MX"/>
              </w:rPr>
            </w:pPr>
            <w:r w:rsidRPr="004B3567">
              <w:rPr>
                <w:rFonts w:eastAsia="Times New Roman" w:cs="Times New Roman"/>
                <w:color w:val="000000"/>
                <w:sz w:val="20"/>
                <w:szCs w:val="20"/>
                <w:lang w:eastAsia="es-MX"/>
              </w:rPr>
              <w:t>6</w:t>
            </w:r>
          </w:p>
        </w:tc>
        <w:tc>
          <w:tcPr>
            <w:tcW w:w="517" w:type="pct"/>
            <w:tcBorders>
              <w:top w:val="nil"/>
              <w:left w:val="nil"/>
              <w:bottom w:val="single" w:sz="8" w:space="0" w:color="auto"/>
              <w:right w:val="single" w:sz="8" w:space="0" w:color="auto"/>
            </w:tcBorders>
            <w:shd w:val="clear" w:color="auto" w:fill="auto"/>
            <w:vAlign w:val="center"/>
            <w:hideMark/>
          </w:tcPr>
          <w:p w14:paraId="6684397A" w14:textId="77777777" w:rsidR="004E40F4" w:rsidRPr="004B3567" w:rsidRDefault="004E40F4" w:rsidP="00994CC1">
            <w:pPr>
              <w:spacing w:before="0" w:after="0"/>
              <w:jc w:val="center"/>
              <w:rPr>
                <w:rFonts w:eastAsia="Times New Roman" w:cs="Times New Roman"/>
                <w:color w:val="000000"/>
                <w:sz w:val="20"/>
                <w:szCs w:val="20"/>
                <w:lang w:eastAsia="es-MX"/>
              </w:rPr>
            </w:pPr>
            <w:r w:rsidRPr="004B3567">
              <w:rPr>
                <w:rFonts w:eastAsia="Times New Roman" w:cs="Times New Roman"/>
                <w:color w:val="000000"/>
                <w:sz w:val="20"/>
                <w:szCs w:val="20"/>
                <w:lang w:eastAsia="es-MX"/>
              </w:rPr>
              <w:t>125</w:t>
            </w:r>
          </w:p>
        </w:tc>
        <w:tc>
          <w:tcPr>
            <w:tcW w:w="428" w:type="pct"/>
            <w:tcBorders>
              <w:top w:val="nil"/>
              <w:left w:val="nil"/>
              <w:bottom w:val="single" w:sz="8" w:space="0" w:color="auto"/>
              <w:right w:val="single" w:sz="8" w:space="0" w:color="auto"/>
            </w:tcBorders>
            <w:shd w:val="clear" w:color="auto" w:fill="auto"/>
            <w:vAlign w:val="center"/>
            <w:hideMark/>
          </w:tcPr>
          <w:p w14:paraId="799DEFBC" w14:textId="621B54E3" w:rsidR="004E40F4" w:rsidRPr="004B3567" w:rsidRDefault="004E40F4" w:rsidP="00994CC1">
            <w:pPr>
              <w:spacing w:before="0" w:after="0"/>
              <w:jc w:val="center"/>
              <w:rPr>
                <w:rFonts w:eastAsia="Times New Roman" w:cs="Times New Roman"/>
                <w:color w:val="000000"/>
                <w:sz w:val="20"/>
                <w:szCs w:val="20"/>
                <w:lang w:eastAsia="es-MX"/>
              </w:rPr>
            </w:pPr>
            <w:r>
              <w:rPr>
                <w:rFonts w:eastAsia="Times New Roman" w:cs="Times New Roman"/>
                <w:color w:val="000000"/>
                <w:sz w:val="20"/>
                <w:szCs w:val="20"/>
                <w:lang w:eastAsia="es-MX"/>
              </w:rPr>
              <w:t>5</w:t>
            </w:r>
            <w:r>
              <w:rPr>
                <w:rFonts w:eastAsia="Times New Roman" w:cs="Times New Roman"/>
                <w:color w:val="000000"/>
                <w:lang w:eastAsia="es-MX"/>
              </w:rPr>
              <w:t>.67</w:t>
            </w:r>
          </w:p>
        </w:tc>
        <w:tc>
          <w:tcPr>
            <w:tcW w:w="309" w:type="pct"/>
            <w:tcBorders>
              <w:top w:val="nil"/>
              <w:left w:val="nil"/>
              <w:bottom w:val="single" w:sz="8" w:space="0" w:color="auto"/>
              <w:right w:val="single" w:sz="8" w:space="0" w:color="auto"/>
            </w:tcBorders>
            <w:shd w:val="clear" w:color="auto" w:fill="auto"/>
            <w:vAlign w:val="center"/>
            <w:hideMark/>
          </w:tcPr>
          <w:p w14:paraId="3B02E726" w14:textId="4D947FD3" w:rsidR="004E40F4" w:rsidRPr="004B3567" w:rsidRDefault="004E40F4" w:rsidP="00994CC1">
            <w:pPr>
              <w:spacing w:before="0" w:after="0"/>
              <w:jc w:val="center"/>
              <w:rPr>
                <w:rFonts w:eastAsia="Times New Roman" w:cs="Times New Roman"/>
                <w:color w:val="000000"/>
                <w:sz w:val="20"/>
                <w:szCs w:val="20"/>
                <w:lang w:eastAsia="es-MX"/>
              </w:rPr>
            </w:pPr>
            <w:r>
              <w:rPr>
                <w:rFonts w:eastAsia="Times New Roman" w:cs="Times New Roman"/>
                <w:color w:val="000000"/>
                <w:sz w:val="20"/>
                <w:szCs w:val="20"/>
                <w:lang w:eastAsia="es-MX"/>
              </w:rPr>
              <w:t>5</w:t>
            </w:r>
            <w:r>
              <w:rPr>
                <w:rFonts w:eastAsia="Times New Roman" w:cs="Times New Roman"/>
                <w:color w:val="000000"/>
                <w:lang w:eastAsia="es-MX"/>
              </w:rPr>
              <w:t>.24</w:t>
            </w:r>
          </w:p>
        </w:tc>
        <w:tc>
          <w:tcPr>
            <w:tcW w:w="568" w:type="pct"/>
            <w:tcBorders>
              <w:top w:val="nil"/>
              <w:left w:val="nil"/>
              <w:bottom w:val="single" w:sz="8" w:space="0" w:color="auto"/>
              <w:right w:val="single" w:sz="8" w:space="0" w:color="auto"/>
            </w:tcBorders>
            <w:shd w:val="clear" w:color="auto" w:fill="auto"/>
            <w:vAlign w:val="center"/>
            <w:hideMark/>
          </w:tcPr>
          <w:p w14:paraId="796A6D59" w14:textId="54F8A90D" w:rsidR="004E40F4" w:rsidRPr="004B3567" w:rsidRDefault="004E40F4" w:rsidP="00994CC1">
            <w:pPr>
              <w:spacing w:before="0" w:after="0"/>
              <w:jc w:val="center"/>
              <w:rPr>
                <w:rFonts w:eastAsia="Times New Roman" w:cs="Times New Roman"/>
                <w:color w:val="000000"/>
                <w:sz w:val="20"/>
                <w:szCs w:val="20"/>
                <w:lang w:eastAsia="es-MX"/>
              </w:rPr>
            </w:pPr>
            <w:r>
              <w:rPr>
                <w:rFonts w:eastAsia="Times New Roman" w:cs="Times New Roman"/>
                <w:color w:val="000000"/>
                <w:sz w:val="20"/>
                <w:szCs w:val="20"/>
                <w:lang w:eastAsia="es-MX"/>
              </w:rPr>
              <w:t>9</w:t>
            </w:r>
            <w:r>
              <w:rPr>
                <w:rFonts w:eastAsia="Times New Roman" w:cs="Times New Roman"/>
                <w:color w:val="000000"/>
                <w:lang w:eastAsia="es-MX"/>
              </w:rPr>
              <w:t>2.41</w:t>
            </w:r>
          </w:p>
        </w:tc>
        <w:tc>
          <w:tcPr>
            <w:tcW w:w="1132" w:type="pct"/>
            <w:vMerge/>
            <w:tcBorders>
              <w:top w:val="nil"/>
              <w:left w:val="single" w:sz="8" w:space="0" w:color="auto"/>
              <w:bottom w:val="single" w:sz="8" w:space="0" w:color="000000"/>
              <w:right w:val="single" w:sz="8" w:space="0" w:color="auto"/>
            </w:tcBorders>
            <w:vAlign w:val="center"/>
            <w:hideMark/>
          </w:tcPr>
          <w:p w14:paraId="02F1F9A7" w14:textId="77777777" w:rsidR="004E40F4" w:rsidRPr="004B3567" w:rsidRDefault="004E40F4" w:rsidP="001B14BE">
            <w:pPr>
              <w:spacing w:before="0" w:after="0"/>
              <w:jc w:val="left"/>
              <w:rPr>
                <w:rFonts w:eastAsia="Times New Roman" w:cs="Times New Roman"/>
                <w:color w:val="000000"/>
                <w:sz w:val="20"/>
                <w:szCs w:val="20"/>
                <w:lang w:eastAsia="es-MX"/>
              </w:rPr>
            </w:pPr>
          </w:p>
        </w:tc>
      </w:tr>
      <w:tr w:rsidR="00E50123" w:rsidRPr="004B3567" w14:paraId="633BE4A1" w14:textId="77777777" w:rsidTr="00C75FBE">
        <w:trPr>
          <w:trHeight w:val="693"/>
        </w:trPr>
        <w:tc>
          <w:tcPr>
            <w:tcW w:w="471" w:type="pct"/>
            <w:vMerge/>
            <w:tcBorders>
              <w:top w:val="nil"/>
              <w:left w:val="single" w:sz="8" w:space="0" w:color="auto"/>
              <w:bottom w:val="single" w:sz="8" w:space="0" w:color="000000"/>
              <w:right w:val="single" w:sz="8" w:space="0" w:color="auto"/>
            </w:tcBorders>
            <w:vAlign w:val="center"/>
            <w:hideMark/>
          </w:tcPr>
          <w:p w14:paraId="4F005B6C" w14:textId="77777777" w:rsidR="004E40F4" w:rsidRPr="00994CC1" w:rsidRDefault="004E40F4" w:rsidP="00994CC1">
            <w:pPr>
              <w:spacing w:before="0" w:after="0"/>
              <w:jc w:val="center"/>
              <w:rPr>
                <w:rFonts w:eastAsia="Times New Roman" w:cs="Times New Roman"/>
                <w:color w:val="000000"/>
                <w:sz w:val="20"/>
                <w:szCs w:val="20"/>
                <w:lang w:eastAsia="es-MX"/>
              </w:rPr>
            </w:pPr>
          </w:p>
        </w:tc>
        <w:tc>
          <w:tcPr>
            <w:tcW w:w="789" w:type="pct"/>
            <w:tcBorders>
              <w:top w:val="nil"/>
              <w:left w:val="nil"/>
              <w:bottom w:val="single" w:sz="8" w:space="0" w:color="auto"/>
              <w:right w:val="single" w:sz="8" w:space="0" w:color="auto"/>
            </w:tcBorders>
            <w:shd w:val="clear" w:color="auto" w:fill="auto"/>
            <w:vAlign w:val="center"/>
            <w:hideMark/>
          </w:tcPr>
          <w:p w14:paraId="5BC0276F" w14:textId="77777777" w:rsidR="004E40F4" w:rsidRPr="004B3567" w:rsidRDefault="004E40F4" w:rsidP="001B14BE">
            <w:pPr>
              <w:spacing w:before="0" w:after="0"/>
              <w:rPr>
                <w:rFonts w:eastAsia="Times New Roman" w:cs="Times New Roman"/>
                <w:color w:val="000000"/>
                <w:sz w:val="20"/>
                <w:szCs w:val="20"/>
                <w:lang w:eastAsia="es-MX"/>
              </w:rPr>
            </w:pPr>
            <w:bookmarkStart w:id="108" w:name="_Hlk56322965"/>
            <w:r w:rsidRPr="004B3567">
              <w:rPr>
                <w:rFonts w:eastAsia="Times New Roman" w:cs="Times New Roman"/>
                <w:color w:val="000000"/>
                <w:sz w:val="20"/>
                <w:szCs w:val="20"/>
                <w:lang w:eastAsia="es-MX"/>
              </w:rPr>
              <w:t>Índice de Impulso al Gasto de Inversión</w:t>
            </w:r>
            <w:bookmarkEnd w:id="108"/>
          </w:p>
        </w:tc>
        <w:tc>
          <w:tcPr>
            <w:tcW w:w="428" w:type="pct"/>
            <w:tcBorders>
              <w:top w:val="nil"/>
              <w:left w:val="nil"/>
              <w:bottom w:val="single" w:sz="8" w:space="0" w:color="auto"/>
              <w:right w:val="single" w:sz="8" w:space="0" w:color="auto"/>
            </w:tcBorders>
            <w:shd w:val="clear" w:color="auto" w:fill="auto"/>
            <w:vAlign w:val="center"/>
            <w:hideMark/>
          </w:tcPr>
          <w:p w14:paraId="75B5A80F" w14:textId="77777777" w:rsidR="004E40F4" w:rsidRPr="004B3567" w:rsidRDefault="004E40F4" w:rsidP="00994CC1">
            <w:pPr>
              <w:spacing w:before="0" w:after="0"/>
              <w:jc w:val="center"/>
              <w:rPr>
                <w:rFonts w:eastAsia="Times New Roman" w:cs="Times New Roman"/>
                <w:color w:val="000000"/>
                <w:sz w:val="20"/>
                <w:szCs w:val="20"/>
                <w:lang w:eastAsia="es-MX"/>
              </w:rPr>
            </w:pPr>
            <w:r w:rsidRPr="004B3567">
              <w:rPr>
                <w:rFonts w:eastAsia="Times New Roman" w:cs="Times New Roman"/>
                <w:color w:val="000000"/>
                <w:sz w:val="20"/>
                <w:szCs w:val="20"/>
                <w:lang w:eastAsia="es-MX"/>
              </w:rPr>
              <w:t>6.1</w:t>
            </w:r>
          </w:p>
        </w:tc>
        <w:tc>
          <w:tcPr>
            <w:tcW w:w="358" w:type="pct"/>
            <w:tcBorders>
              <w:top w:val="nil"/>
              <w:left w:val="nil"/>
              <w:bottom w:val="single" w:sz="8" w:space="0" w:color="auto"/>
              <w:right w:val="single" w:sz="8" w:space="0" w:color="auto"/>
            </w:tcBorders>
            <w:shd w:val="clear" w:color="auto" w:fill="auto"/>
            <w:vAlign w:val="center"/>
            <w:hideMark/>
          </w:tcPr>
          <w:p w14:paraId="54FD4660" w14:textId="77777777" w:rsidR="004E40F4" w:rsidRPr="004B3567" w:rsidRDefault="004E40F4" w:rsidP="00994CC1">
            <w:pPr>
              <w:spacing w:before="0" w:after="0"/>
              <w:jc w:val="center"/>
              <w:rPr>
                <w:rFonts w:eastAsia="Times New Roman" w:cs="Times New Roman"/>
                <w:color w:val="000000"/>
                <w:sz w:val="20"/>
                <w:szCs w:val="20"/>
                <w:lang w:eastAsia="es-MX"/>
              </w:rPr>
            </w:pPr>
            <w:r w:rsidRPr="004B3567">
              <w:rPr>
                <w:rFonts w:eastAsia="Times New Roman" w:cs="Times New Roman"/>
                <w:color w:val="000000"/>
                <w:sz w:val="20"/>
                <w:szCs w:val="20"/>
                <w:lang w:eastAsia="es-MX"/>
              </w:rPr>
              <w:t>7.4</w:t>
            </w:r>
          </w:p>
        </w:tc>
        <w:tc>
          <w:tcPr>
            <w:tcW w:w="517" w:type="pct"/>
            <w:tcBorders>
              <w:top w:val="nil"/>
              <w:left w:val="nil"/>
              <w:bottom w:val="single" w:sz="8" w:space="0" w:color="auto"/>
              <w:right w:val="single" w:sz="8" w:space="0" w:color="auto"/>
            </w:tcBorders>
            <w:shd w:val="clear" w:color="auto" w:fill="auto"/>
            <w:vAlign w:val="center"/>
            <w:hideMark/>
          </w:tcPr>
          <w:p w14:paraId="1381C5B1" w14:textId="77777777" w:rsidR="004E40F4" w:rsidRPr="004B3567" w:rsidRDefault="004E40F4" w:rsidP="00994CC1">
            <w:pPr>
              <w:spacing w:before="0" w:after="0"/>
              <w:jc w:val="center"/>
              <w:rPr>
                <w:rFonts w:eastAsia="Times New Roman" w:cs="Times New Roman"/>
                <w:color w:val="000000"/>
                <w:sz w:val="20"/>
                <w:szCs w:val="20"/>
                <w:lang w:eastAsia="es-MX"/>
              </w:rPr>
            </w:pPr>
            <w:r w:rsidRPr="004B3567">
              <w:rPr>
                <w:rFonts w:eastAsia="Times New Roman" w:cs="Times New Roman"/>
                <w:color w:val="000000"/>
                <w:sz w:val="20"/>
                <w:szCs w:val="20"/>
                <w:lang w:eastAsia="es-MX"/>
              </w:rPr>
              <w:t>121.31</w:t>
            </w:r>
          </w:p>
        </w:tc>
        <w:tc>
          <w:tcPr>
            <w:tcW w:w="428" w:type="pct"/>
            <w:tcBorders>
              <w:top w:val="nil"/>
              <w:left w:val="nil"/>
              <w:bottom w:val="single" w:sz="8" w:space="0" w:color="auto"/>
              <w:right w:val="single" w:sz="8" w:space="0" w:color="auto"/>
            </w:tcBorders>
            <w:shd w:val="clear" w:color="auto" w:fill="auto"/>
            <w:vAlign w:val="center"/>
            <w:hideMark/>
          </w:tcPr>
          <w:p w14:paraId="7489D198" w14:textId="627A4B09" w:rsidR="004E40F4" w:rsidRPr="004B3567" w:rsidRDefault="004E40F4" w:rsidP="00994CC1">
            <w:pPr>
              <w:spacing w:before="0" w:after="0"/>
              <w:jc w:val="center"/>
              <w:rPr>
                <w:rFonts w:eastAsia="Times New Roman" w:cs="Times New Roman"/>
                <w:color w:val="000000"/>
                <w:sz w:val="20"/>
                <w:szCs w:val="20"/>
                <w:lang w:eastAsia="es-MX"/>
              </w:rPr>
            </w:pPr>
            <w:r>
              <w:rPr>
                <w:rFonts w:eastAsia="Times New Roman" w:cs="Times New Roman"/>
                <w:color w:val="000000"/>
                <w:sz w:val="20"/>
                <w:szCs w:val="20"/>
                <w:lang w:eastAsia="es-MX"/>
              </w:rPr>
              <w:t>1.102</w:t>
            </w:r>
          </w:p>
        </w:tc>
        <w:tc>
          <w:tcPr>
            <w:tcW w:w="309" w:type="pct"/>
            <w:tcBorders>
              <w:top w:val="nil"/>
              <w:left w:val="nil"/>
              <w:bottom w:val="single" w:sz="8" w:space="0" w:color="auto"/>
              <w:right w:val="single" w:sz="8" w:space="0" w:color="auto"/>
            </w:tcBorders>
            <w:shd w:val="clear" w:color="auto" w:fill="auto"/>
            <w:vAlign w:val="center"/>
            <w:hideMark/>
          </w:tcPr>
          <w:p w14:paraId="663A9A32" w14:textId="089D8704" w:rsidR="004E40F4" w:rsidRPr="004B3567" w:rsidRDefault="004E40F4" w:rsidP="00994CC1">
            <w:pPr>
              <w:spacing w:before="0" w:after="0"/>
              <w:jc w:val="center"/>
              <w:rPr>
                <w:rFonts w:eastAsia="Times New Roman" w:cs="Times New Roman"/>
                <w:color w:val="000000"/>
                <w:sz w:val="20"/>
                <w:szCs w:val="20"/>
                <w:lang w:eastAsia="es-MX"/>
              </w:rPr>
            </w:pPr>
            <w:r>
              <w:rPr>
                <w:rFonts w:eastAsia="Times New Roman" w:cs="Times New Roman"/>
                <w:color w:val="000000"/>
                <w:sz w:val="20"/>
                <w:szCs w:val="20"/>
                <w:lang w:eastAsia="es-MX"/>
              </w:rPr>
              <w:t>0.53</w:t>
            </w:r>
          </w:p>
        </w:tc>
        <w:tc>
          <w:tcPr>
            <w:tcW w:w="568" w:type="pct"/>
            <w:tcBorders>
              <w:top w:val="nil"/>
              <w:left w:val="nil"/>
              <w:bottom w:val="single" w:sz="8" w:space="0" w:color="auto"/>
              <w:right w:val="single" w:sz="8" w:space="0" w:color="auto"/>
            </w:tcBorders>
            <w:shd w:val="clear" w:color="auto" w:fill="auto"/>
            <w:vAlign w:val="center"/>
            <w:hideMark/>
          </w:tcPr>
          <w:p w14:paraId="713A523E" w14:textId="1E5169C4" w:rsidR="004E40F4" w:rsidRPr="004B3567" w:rsidRDefault="004E40F4" w:rsidP="00994CC1">
            <w:pPr>
              <w:spacing w:before="0" w:after="0"/>
              <w:jc w:val="center"/>
              <w:rPr>
                <w:rFonts w:eastAsia="Times New Roman" w:cs="Times New Roman"/>
                <w:color w:val="000000"/>
                <w:sz w:val="20"/>
                <w:szCs w:val="20"/>
                <w:lang w:eastAsia="es-MX"/>
              </w:rPr>
            </w:pPr>
            <w:r>
              <w:rPr>
                <w:rFonts w:eastAsia="Times New Roman" w:cs="Times New Roman"/>
                <w:color w:val="000000"/>
                <w:sz w:val="20"/>
                <w:szCs w:val="20"/>
                <w:lang w:eastAsia="es-MX"/>
              </w:rPr>
              <w:t>48.09</w:t>
            </w:r>
          </w:p>
        </w:tc>
        <w:tc>
          <w:tcPr>
            <w:tcW w:w="1132" w:type="pct"/>
            <w:vMerge/>
            <w:tcBorders>
              <w:top w:val="nil"/>
              <w:left w:val="single" w:sz="8" w:space="0" w:color="auto"/>
              <w:bottom w:val="single" w:sz="8" w:space="0" w:color="000000"/>
              <w:right w:val="single" w:sz="8" w:space="0" w:color="auto"/>
            </w:tcBorders>
            <w:vAlign w:val="center"/>
            <w:hideMark/>
          </w:tcPr>
          <w:p w14:paraId="65720BCF" w14:textId="77777777" w:rsidR="004E40F4" w:rsidRPr="004B3567" w:rsidRDefault="004E40F4" w:rsidP="001B14BE">
            <w:pPr>
              <w:spacing w:before="0" w:after="0"/>
              <w:jc w:val="left"/>
              <w:rPr>
                <w:rFonts w:eastAsia="Times New Roman" w:cs="Times New Roman"/>
                <w:color w:val="000000"/>
                <w:sz w:val="20"/>
                <w:szCs w:val="20"/>
                <w:lang w:eastAsia="es-MX"/>
              </w:rPr>
            </w:pPr>
          </w:p>
        </w:tc>
      </w:tr>
      <w:tr w:rsidR="00E50123" w:rsidRPr="004B3567" w14:paraId="598B737A" w14:textId="77777777" w:rsidTr="00C75FBE">
        <w:trPr>
          <w:trHeight w:val="844"/>
        </w:trPr>
        <w:tc>
          <w:tcPr>
            <w:tcW w:w="471" w:type="pct"/>
            <w:tcBorders>
              <w:top w:val="nil"/>
              <w:left w:val="single" w:sz="8" w:space="0" w:color="auto"/>
              <w:bottom w:val="single" w:sz="8" w:space="0" w:color="auto"/>
              <w:right w:val="single" w:sz="8" w:space="0" w:color="auto"/>
            </w:tcBorders>
            <w:shd w:val="clear" w:color="auto" w:fill="auto"/>
            <w:vAlign w:val="center"/>
            <w:hideMark/>
          </w:tcPr>
          <w:p w14:paraId="0BBEEBED" w14:textId="77777777" w:rsidR="004E40F4" w:rsidRPr="00994CC1" w:rsidRDefault="004E40F4" w:rsidP="00994CC1">
            <w:pPr>
              <w:spacing w:before="0" w:after="0"/>
              <w:jc w:val="center"/>
              <w:rPr>
                <w:rFonts w:eastAsia="Times New Roman" w:cs="Times New Roman"/>
                <w:color w:val="000000"/>
                <w:sz w:val="20"/>
                <w:szCs w:val="20"/>
                <w:lang w:eastAsia="es-MX"/>
              </w:rPr>
            </w:pPr>
            <w:r w:rsidRPr="00994CC1">
              <w:rPr>
                <w:rFonts w:eastAsia="Times New Roman" w:cs="Times New Roman"/>
                <w:color w:val="000000"/>
                <w:sz w:val="20"/>
                <w:szCs w:val="20"/>
                <w:lang w:eastAsia="es-MX"/>
              </w:rPr>
              <w:t>Componentes</w:t>
            </w:r>
          </w:p>
        </w:tc>
        <w:tc>
          <w:tcPr>
            <w:tcW w:w="789" w:type="pct"/>
            <w:tcBorders>
              <w:top w:val="nil"/>
              <w:left w:val="nil"/>
              <w:bottom w:val="single" w:sz="8" w:space="0" w:color="auto"/>
              <w:right w:val="single" w:sz="8" w:space="0" w:color="auto"/>
            </w:tcBorders>
            <w:shd w:val="clear" w:color="auto" w:fill="auto"/>
            <w:vAlign w:val="center"/>
            <w:hideMark/>
          </w:tcPr>
          <w:p w14:paraId="366DAB1B" w14:textId="77777777" w:rsidR="004E40F4" w:rsidRPr="004B3567" w:rsidRDefault="004E40F4" w:rsidP="001B14BE">
            <w:pPr>
              <w:spacing w:before="0" w:after="0"/>
              <w:rPr>
                <w:rFonts w:eastAsia="Times New Roman" w:cs="Times New Roman"/>
                <w:color w:val="000000"/>
                <w:sz w:val="20"/>
                <w:szCs w:val="20"/>
                <w:lang w:eastAsia="es-MX"/>
              </w:rPr>
            </w:pPr>
            <w:r w:rsidRPr="004B3567">
              <w:rPr>
                <w:rFonts w:eastAsia="Times New Roman" w:cs="Times New Roman"/>
                <w:color w:val="000000"/>
                <w:sz w:val="20"/>
                <w:szCs w:val="20"/>
                <w:lang w:eastAsia="es-MX"/>
              </w:rPr>
              <w:t>Porcentaje de avance en las metas</w:t>
            </w:r>
          </w:p>
        </w:tc>
        <w:tc>
          <w:tcPr>
            <w:tcW w:w="428" w:type="pct"/>
            <w:tcBorders>
              <w:top w:val="nil"/>
              <w:left w:val="nil"/>
              <w:bottom w:val="single" w:sz="8" w:space="0" w:color="auto"/>
              <w:right w:val="single" w:sz="8" w:space="0" w:color="auto"/>
            </w:tcBorders>
            <w:shd w:val="clear" w:color="auto" w:fill="auto"/>
            <w:vAlign w:val="center"/>
            <w:hideMark/>
          </w:tcPr>
          <w:p w14:paraId="2849F3A4" w14:textId="77777777" w:rsidR="004E40F4" w:rsidRPr="004B3567" w:rsidRDefault="004E40F4" w:rsidP="00994CC1">
            <w:pPr>
              <w:spacing w:before="0" w:after="0"/>
              <w:jc w:val="center"/>
              <w:rPr>
                <w:rFonts w:eastAsia="Times New Roman" w:cs="Times New Roman"/>
                <w:color w:val="000000"/>
                <w:sz w:val="20"/>
                <w:szCs w:val="20"/>
                <w:lang w:eastAsia="es-MX"/>
              </w:rPr>
            </w:pPr>
            <w:r w:rsidRPr="004B3567">
              <w:rPr>
                <w:rFonts w:eastAsia="Times New Roman" w:cs="Times New Roman"/>
                <w:color w:val="000000"/>
                <w:sz w:val="20"/>
                <w:szCs w:val="20"/>
                <w:lang w:eastAsia="es-MX"/>
              </w:rPr>
              <w:t>42.7</w:t>
            </w:r>
          </w:p>
        </w:tc>
        <w:tc>
          <w:tcPr>
            <w:tcW w:w="358" w:type="pct"/>
            <w:tcBorders>
              <w:top w:val="nil"/>
              <w:left w:val="nil"/>
              <w:bottom w:val="single" w:sz="8" w:space="0" w:color="auto"/>
              <w:right w:val="single" w:sz="8" w:space="0" w:color="auto"/>
            </w:tcBorders>
            <w:shd w:val="clear" w:color="auto" w:fill="auto"/>
            <w:vAlign w:val="center"/>
            <w:hideMark/>
          </w:tcPr>
          <w:p w14:paraId="3814A356" w14:textId="77777777" w:rsidR="004E40F4" w:rsidRPr="004B3567" w:rsidRDefault="004E40F4" w:rsidP="00994CC1">
            <w:pPr>
              <w:spacing w:before="0" w:after="0"/>
              <w:jc w:val="center"/>
              <w:rPr>
                <w:rFonts w:eastAsia="Times New Roman" w:cs="Times New Roman"/>
                <w:color w:val="000000"/>
                <w:sz w:val="20"/>
                <w:szCs w:val="20"/>
                <w:lang w:eastAsia="es-MX"/>
              </w:rPr>
            </w:pPr>
            <w:r w:rsidRPr="004B3567">
              <w:rPr>
                <w:rFonts w:eastAsia="Times New Roman" w:cs="Times New Roman"/>
                <w:color w:val="000000"/>
                <w:sz w:val="20"/>
                <w:szCs w:val="20"/>
                <w:lang w:eastAsia="es-MX"/>
              </w:rPr>
              <w:t>74.9</w:t>
            </w:r>
          </w:p>
        </w:tc>
        <w:tc>
          <w:tcPr>
            <w:tcW w:w="517" w:type="pct"/>
            <w:tcBorders>
              <w:top w:val="nil"/>
              <w:left w:val="nil"/>
              <w:bottom w:val="single" w:sz="8" w:space="0" w:color="auto"/>
              <w:right w:val="single" w:sz="8" w:space="0" w:color="auto"/>
            </w:tcBorders>
            <w:shd w:val="clear" w:color="auto" w:fill="auto"/>
            <w:vAlign w:val="center"/>
            <w:hideMark/>
          </w:tcPr>
          <w:p w14:paraId="0ACADC08" w14:textId="77777777" w:rsidR="004E40F4" w:rsidRPr="004B3567" w:rsidRDefault="004E40F4" w:rsidP="00994CC1">
            <w:pPr>
              <w:spacing w:before="0" w:after="0"/>
              <w:jc w:val="center"/>
              <w:rPr>
                <w:rFonts w:eastAsia="Times New Roman" w:cs="Times New Roman"/>
                <w:color w:val="000000"/>
                <w:sz w:val="20"/>
                <w:szCs w:val="20"/>
                <w:lang w:eastAsia="es-MX"/>
              </w:rPr>
            </w:pPr>
            <w:r w:rsidRPr="004B3567">
              <w:rPr>
                <w:rFonts w:eastAsia="Times New Roman" w:cs="Times New Roman"/>
                <w:color w:val="000000"/>
                <w:sz w:val="20"/>
                <w:szCs w:val="20"/>
                <w:lang w:eastAsia="es-MX"/>
              </w:rPr>
              <w:t>175.41</w:t>
            </w:r>
          </w:p>
        </w:tc>
        <w:tc>
          <w:tcPr>
            <w:tcW w:w="428" w:type="pct"/>
            <w:tcBorders>
              <w:top w:val="nil"/>
              <w:left w:val="nil"/>
              <w:bottom w:val="single" w:sz="8" w:space="0" w:color="auto"/>
              <w:right w:val="single" w:sz="8" w:space="0" w:color="auto"/>
            </w:tcBorders>
            <w:shd w:val="clear" w:color="auto" w:fill="auto"/>
            <w:vAlign w:val="center"/>
            <w:hideMark/>
          </w:tcPr>
          <w:p w14:paraId="2367E4D1" w14:textId="77777777" w:rsidR="004E40F4" w:rsidRPr="004B3567" w:rsidRDefault="004E40F4" w:rsidP="00994CC1">
            <w:pPr>
              <w:spacing w:before="0" w:after="0"/>
              <w:jc w:val="center"/>
              <w:rPr>
                <w:rFonts w:eastAsia="Times New Roman" w:cs="Times New Roman"/>
                <w:color w:val="000000"/>
                <w:sz w:val="20"/>
                <w:szCs w:val="20"/>
                <w:lang w:eastAsia="es-MX"/>
              </w:rPr>
            </w:pPr>
            <w:r w:rsidRPr="004B3567">
              <w:rPr>
                <w:rFonts w:eastAsia="Times New Roman" w:cs="Times New Roman"/>
                <w:color w:val="000000"/>
                <w:sz w:val="20"/>
                <w:szCs w:val="20"/>
                <w:lang w:eastAsia="es-MX"/>
              </w:rPr>
              <w:t>100.0</w:t>
            </w:r>
          </w:p>
        </w:tc>
        <w:tc>
          <w:tcPr>
            <w:tcW w:w="309" w:type="pct"/>
            <w:tcBorders>
              <w:top w:val="nil"/>
              <w:left w:val="nil"/>
              <w:bottom w:val="single" w:sz="8" w:space="0" w:color="auto"/>
              <w:right w:val="single" w:sz="8" w:space="0" w:color="auto"/>
            </w:tcBorders>
            <w:shd w:val="clear" w:color="auto" w:fill="auto"/>
            <w:vAlign w:val="center"/>
            <w:hideMark/>
          </w:tcPr>
          <w:p w14:paraId="63C1EB75" w14:textId="3453385B" w:rsidR="004E40F4" w:rsidRPr="004B3567" w:rsidRDefault="004E40F4" w:rsidP="00994CC1">
            <w:pPr>
              <w:spacing w:before="0" w:after="0"/>
              <w:jc w:val="center"/>
              <w:rPr>
                <w:rFonts w:eastAsia="Times New Roman" w:cs="Times New Roman"/>
                <w:color w:val="000000"/>
                <w:sz w:val="20"/>
                <w:szCs w:val="20"/>
                <w:lang w:eastAsia="es-MX"/>
              </w:rPr>
            </w:pPr>
            <w:r>
              <w:rPr>
                <w:rFonts w:eastAsia="Times New Roman" w:cs="Times New Roman"/>
                <w:color w:val="000000"/>
                <w:sz w:val="20"/>
                <w:szCs w:val="20"/>
                <w:lang w:eastAsia="es-MX"/>
              </w:rPr>
              <w:t>43.07</w:t>
            </w:r>
          </w:p>
        </w:tc>
        <w:tc>
          <w:tcPr>
            <w:tcW w:w="568" w:type="pct"/>
            <w:tcBorders>
              <w:top w:val="nil"/>
              <w:left w:val="nil"/>
              <w:bottom w:val="single" w:sz="8" w:space="0" w:color="auto"/>
              <w:right w:val="single" w:sz="8" w:space="0" w:color="auto"/>
            </w:tcBorders>
            <w:shd w:val="clear" w:color="auto" w:fill="auto"/>
            <w:vAlign w:val="center"/>
            <w:hideMark/>
          </w:tcPr>
          <w:p w14:paraId="2172D6ED" w14:textId="77A5BEB7" w:rsidR="004E40F4" w:rsidRPr="004B3567" w:rsidRDefault="004E40F4" w:rsidP="00994CC1">
            <w:pPr>
              <w:spacing w:before="0" w:after="0"/>
              <w:jc w:val="center"/>
              <w:rPr>
                <w:rFonts w:eastAsia="Times New Roman" w:cs="Times New Roman"/>
                <w:color w:val="000000"/>
                <w:sz w:val="20"/>
                <w:szCs w:val="20"/>
                <w:lang w:eastAsia="es-MX"/>
              </w:rPr>
            </w:pPr>
            <w:r>
              <w:rPr>
                <w:rFonts w:eastAsia="Times New Roman" w:cs="Times New Roman"/>
                <w:color w:val="000000"/>
                <w:sz w:val="20"/>
                <w:szCs w:val="20"/>
                <w:lang w:eastAsia="es-MX"/>
              </w:rPr>
              <w:t>43.07</w:t>
            </w:r>
          </w:p>
        </w:tc>
        <w:tc>
          <w:tcPr>
            <w:tcW w:w="1132" w:type="pct"/>
            <w:vMerge/>
            <w:tcBorders>
              <w:top w:val="nil"/>
              <w:left w:val="single" w:sz="8" w:space="0" w:color="auto"/>
              <w:bottom w:val="single" w:sz="8" w:space="0" w:color="000000"/>
              <w:right w:val="single" w:sz="8" w:space="0" w:color="auto"/>
            </w:tcBorders>
            <w:vAlign w:val="center"/>
            <w:hideMark/>
          </w:tcPr>
          <w:p w14:paraId="4DABF965" w14:textId="77777777" w:rsidR="004E40F4" w:rsidRPr="004B3567" w:rsidRDefault="004E40F4" w:rsidP="001B14BE">
            <w:pPr>
              <w:spacing w:before="0" w:after="0"/>
              <w:jc w:val="left"/>
              <w:rPr>
                <w:rFonts w:eastAsia="Times New Roman" w:cs="Times New Roman"/>
                <w:color w:val="000000"/>
                <w:sz w:val="20"/>
                <w:szCs w:val="20"/>
                <w:lang w:eastAsia="es-MX"/>
              </w:rPr>
            </w:pPr>
          </w:p>
        </w:tc>
      </w:tr>
      <w:tr w:rsidR="00E50123" w:rsidRPr="004B3567" w14:paraId="0F8FFDC8" w14:textId="77777777" w:rsidTr="00C75FBE">
        <w:trPr>
          <w:trHeight w:val="829"/>
        </w:trPr>
        <w:tc>
          <w:tcPr>
            <w:tcW w:w="471" w:type="pct"/>
            <w:tcBorders>
              <w:top w:val="nil"/>
              <w:left w:val="single" w:sz="8" w:space="0" w:color="auto"/>
              <w:bottom w:val="single" w:sz="8" w:space="0" w:color="auto"/>
              <w:right w:val="single" w:sz="8" w:space="0" w:color="auto"/>
            </w:tcBorders>
            <w:shd w:val="clear" w:color="auto" w:fill="auto"/>
            <w:vAlign w:val="center"/>
            <w:hideMark/>
          </w:tcPr>
          <w:p w14:paraId="55D9FCB7" w14:textId="77777777" w:rsidR="004E40F4" w:rsidRPr="00994CC1" w:rsidRDefault="004E40F4" w:rsidP="00994CC1">
            <w:pPr>
              <w:spacing w:before="0" w:after="0"/>
              <w:jc w:val="center"/>
              <w:rPr>
                <w:rFonts w:eastAsia="Times New Roman" w:cs="Times New Roman"/>
                <w:color w:val="000000"/>
                <w:sz w:val="20"/>
                <w:szCs w:val="20"/>
                <w:lang w:eastAsia="es-MX"/>
              </w:rPr>
            </w:pPr>
            <w:r w:rsidRPr="00994CC1">
              <w:rPr>
                <w:rFonts w:eastAsia="Times New Roman" w:cs="Times New Roman"/>
                <w:color w:val="000000"/>
                <w:sz w:val="20"/>
                <w:szCs w:val="20"/>
                <w:lang w:eastAsia="es-MX"/>
              </w:rPr>
              <w:t>Actividades</w:t>
            </w:r>
          </w:p>
        </w:tc>
        <w:tc>
          <w:tcPr>
            <w:tcW w:w="789" w:type="pct"/>
            <w:tcBorders>
              <w:top w:val="nil"/>
              <w:left w:val="nil"/>
              <w:bottom w:val="single" w:sz="8" w:space="0" w:color="auto"/>
              <w:right w:val="single" w:sz="8" w:space="0" w:color="auto"/>
            </w:tcBorders>
            <w:shd w:val="clear" w:color="auto" w:fill="auto"/>
            <w:vAlign w:val="center"/>
            <w:hideMark/>
          </w:tcPr>
          <w:p w14:paraId="26C0D9D0" w14:textId="77777777" w:rsidR="004E40F4" w:rsidRPr="004B3567" w:rsidRDefault="004E40F4" w:rsidP="001B14BE">
            <w:pPr>
              <w:spacing w:before="0" w:after="0"/>
              <w:rPr>
                <w:rFonts w:eastAsia="Times New Roman" w:cs="Times New Roman"/>
                <w:color w:val="000000"/>
                <w:sz w:val="20"/>
                <w:szCs w:val="20"/>
                <w:lang w:eastAsia="es-MX"/>
              </w:rPr>
            </w:pPr>
            <w:r w:rsidRPr="004B3567">
              <w:rPr>
                <w:rFonts w:eastAsia="Times New Roman" w:cs="Times New Roman"/>
                <w:color w:val="000000"/>
                <w:sz w:val="20"/>
                <w:szCs w:val="20"/>
                <w:lang w:eastAsia="es-MX"/>
              </w:rPr>
              <w:t>Índice en el Ejercicio de Recursos</w:t>
            </w:r>
          </w:p>
        </w:tc>
        <w:tc>
          <w:tcPr>
            <w:tcW w:w="428" w:type="pct"/>
            <w:tcBorders>
              <w:top w:val="nil"/>
              <w:left w:val="nil"/>
              <w:bottom w:val="single" w:sz="8" w:space="0" w:color="auto"/>
              <w:right w:val="single" w:sz="8" w:space="0" w:color="auto"/>
            </w:tcBorders>
            <w:shd w:val="clear" w:color="auto" w:fill="auto"/>
            <w:vAlign w:val="center"/>
            <w:hideMark/>
          </w:tcPr>
          <w:p w14:paraId="4F70D887" w14:textId="77777777" w:rsidR="004E40F4" w:rsidRPr="004B3567" w:rsidRDefault="004E40F4" w:rsidP="00994CC1">
            <w:pPr>
              <w:spacing w:before="0" w:after="0"/>
              <w:jc w:val="center"/>
              <w:rPr>
                <w:rFonts w:eastAsia="Times New Roman" w:cs="Times New Roman"/>
                <w:color w:val="000000"/>
                <w:sz w:val="20"/>
                <w:szCs w:val="20"/>
                <w:lang w:eastAsia="es-MX"/>
              </w:rPr>
            </w:pPr>
            <w:r w:rsidRPr="004B3567">
              <w:rPr>
                <w:rFonts w:eastAsia="Times New Roman" w:cs="Times New Roman"/>
                <w:color w:val="000000"/>
                <w:sz w:val="20"/>
                <w:szCs w:val="20"/>
                <w:lang w:eastAsia="es-MX"/>
              </w:rPr>
              <w:t>78.9</w:t>
            </w:r>
          </w:p>
        </w:tc>
        <w:tc>
          <w:tcPr>
            <w:tcW w:w="358" w:type="pct"/>
            <w:tcBorders>
              <w:top w:val="nil"/>
              <w:left w:val="nil"/>
              <w:bottom w:val="single" w:sz="8" w:space="0" w:color="auto"/>
              <w:right w:val="single" w:sz="8" w:space="0" w:color="auto"/>
            </w:tcBorders>
            <w:shd w:val="clear" w:color="auto" w:fill="auto"/>
            <w:vAlign w:val="center"/>
            <w:hideMark/>
          </w:tcPr>
          <w:p w14:paraId="372F9653" w14:textId="77777777" w:rsidR="004E40F4" w:rsidRPr="004B3567" w:rsidRDefault="004E40F4" w:rsidP="00994CC1">
            <w:pPr>
              <w:spacing w:before="0" w:after="0"/>
              <w:jc w:val="center"/>
              <w:rPr>
                <w:rFonts w:eastAsia="Times New Roman" w:cs="Times New Roman"/>
                <w:color w:val="000000"/>
                <w:sz w:val="20"/>
                <w:szCs w:val="20"/>
                <w:lang w:eastAsia="es-MX"/>
              </w:rPr>
            </w:pPr>
            <w:r w:rsidRPr="004B3567">
              <w:rPr>
                <w:rFonts w:eastAsia="Times New Roman" w:cs="Times New Roman"/>
                <w:color w:val="000000"/>
                <w:sz w:val="20"/>
                <w:szCs w:val="20"/>
                <w:lang w:eastAsia="es-MX"/>
              </w:rPr>
              <w:t>39.8</w:t>
            </w:r>
          </w:p>
        </w:tc>
        <w:tc>
          <w:tcPr>
            <w:tcW w:w="517" w:type="pct"/>
            <w:tcBorders>
              <w:top w:val="nil"/>
              <w:left w:val="nil"/>
              <w:bottom w:val="single" w:sz="8" w:space="0" w:color="auto"/>
              <w:right w:val="single" w:sz="8" w:space="0" w:color="auto"/>
            </w:tcBorders>
            <w:shd w:val="clear" w:color="auto" w:fill="auto"/>
            <w:vAlign w:val="center"/>
            <w:hideMark/>
          </w:tcPr>
          <w:p w14:paraId="37A6BB7B" w14:textId="77777777" w:rsidR="004E40F4" w:rsidRPr="004B3567" w:rsidRDefault="004E40F4" w:rsidP="00994CC1">
            <w:pPr>
              <w:spacing w:before="0" w:after="0"/>
              <w:jc w:val="center"/>
              <w:rPr>
                <w:rFonts w:eastAsia="Times New Roman" w:cs="Times New Roman"/>
                <w:color w:val="000000"/>
                <w:sz w:val="20"/>
                <w:szCs w:val="20"/>
                <w:lang w:eastAsia="es-MX"/>
              </w:rPr>
            </w:pPr>
            <w:r w:rsidRPr="004B3567">
              <w:rPr>
                <w:rFonts w:eastAsia="Times New Roman" w:cs="Times New Roman"/>
                <w:color w:val="000000"/>
                <w:sz w:val="20"/>
                <w:szCs w:val="20"/>
                <w:lang w:eastAsia="es-MX"/>
              </w:rPr>
              <w:t>50.44</w:t>
            </w:r>
          </w:p>
        </w:tc>
        <w:tc>
          <w:tcPr>
            <w:tcW w:w="428" w:type="pct"/>
            <w:tcBorders>
              <w:top w:val="nil"/>
              <w:left w:val="nil"/>
              <w:bottom w:val="single" w:sz="8" w:space="0" w:color="auto"/>
              <w:right w:val="single" w:sz="8" w:space="0" w:color="auto"/>
            </w:tcBorders>
            <w:shd w:val="clear" w:color="auto" w:fill="auto"/>
            <w:vAlign w:val="center"/>
            <w:hideMark/>
          </w:tcPr>
          <w:p w14:paraId="1273228C" w14:textId="2C927382" w:rsidR="004E40F4" w:rsidRPr="004B3567" w:rsidRDefault="004E40F4" w:rsidP="00994CC1">
            <w:pPr>
              <w:spacing w:before="0" w:after="0"/>
              <w:jc w:val="center"/>
              <w:rPr>
                <w:rFonts w:eastAsia="Times New Roman" w:cs="Times New Roman"/>
                <w:color w:val="000000"/>
                <w:sz w:val="20"/>
                <w:szCs w:val="20"/>
                <w:lang w:eastAsia="es-MX"/>
              </w:rPr>
            </w:pPr>
            <w:r>
              <w:rPr>
                <w:rFonts w:eastAsia="Times New Roman" w:cs="Times New Roman"/>
                <w:color w:val="000000"/>
                <w:sz w:val="20"/>
                <w:szCs w:val="20"/>
                <w:lang w:eastAsia="es-MX"/>
              </w:rPr>
              <w:t>68.32</w:t>
            </w:r>
          </w:p>
        </w:tc>
        <w:tc>
          <w:tcPr>
            <w:tcW w:w="309" w:type="pct"/>
            <w:tcBorders>
              <w:top w:val="nil"/>
              <w:left w:val="nil"/>
              <w:bottom w:val="single" w:sz="8" w:space="0" w:color="auto"/>
              <w:right w:val="single" w:sz="8" w:space="0" w:color="auto"/>
            </w:tcBorders>
            <w:shd w:val="clear" w:color="auto" w:fill="auto"/>
            <w:vAlign w:val="center"/>
            <w:hideMark/>
          </w:tcPr>
          <w:p w14:paraId="66010590" w14:textId="096613FA" w:rsidR="004E40F4" w:rsidRPr="004B3567" w:rsidRDefault="004E40F4" w:rsidP="00994CC1">
            <w:pPr>
              <w:spacing w:before="0" w:after="0"/>
              <w:jc w:val="center"/>
              <w:rPr>
                <w:rFonts w:eastAsia="Times New Roman" w:cs="Times New Roman"/>
                <w:color w:val="000000"/>
                <w:sz w:val="20"/>
                <w:szCs w:val="20"/>
                <w:lang w:eastAsia="es-MX"/>
              </w:rPr>
            </w:pPr>
            <w:r>
              <w:rPr>
                <w:rFonts w:eastAsia="Times New Roman" w:cs="Times New Roman"/>
                <w:color w:val="000000"/>
                <w:sz w:val="20"/>
                <w:szCs w:val="20"/>
                <w:lang w:eastAsia="es-MX"/>
              </w:rPr>
              <w:t>37.71</w:t>
            </w:r>
          </w:p>
        </w:tc>
        <w:tc>
          <w:tcPr>
            <w:tcW w:w="568" w:type="pct"/>
            <w:tcBorders>
              <w:top w:val="nil"/>
              <w:left w:val="nil"/>
              <w:bottom w:val="single" w:sz="8" w:space="0" w:color="auto"/>
              <w:right w:val="single" w:sz="8" w:space="0" w:color="auto"/>
            </w:tcBorders>
            <w:shd w:val="clear" w:color="auto" w:fill="auto"/>
            <w:vAlign w:val="center"/>
            <w:hideMark/>
          </w:tcPr>
          <w:p w14:paraId="503F41B3" w14:textId="2C1917D1" w:rsidR="004E40F4" w:rsidRPr="004B3567" w:rsidRDefault="004E40F4" w:rsidP="00994CC1">
            <w:pPr>
              <w:spacing w:before="0" w:after="0"/>
              <w:jc w:val="center"/>
              <w:rPr>
                <w:rFonts w:eastAsia="Times New Roman" w:cs="Times New Roman"/>
                <w:color w:val="000000"/>
                <w:sz w:val="20"/>
                <w:szCs w:val="20"/>
                <w:lang w:eastAsia="es-MX"/>
              </w:rPr>
            </w:pPr>
            <w:r>
              <w:rPr>
                <w:rFonts w:eastAsia="Times New Roman" w:cs="Times New Roman"/>
                <w:color w:val="000000"/>
                <w:sz w:val="20"/>
                <w:szCs w:val="20"/>
                <w:lang w:eastAsia="es-MX"/>
              </w:rPr>
              <w:t>55.19</w:t>
            </w:r>
          </w:p>
        </w:tc>
        <w:tc>
          <w:tcPr>
            <w:tcW w:w="1132" w:type="pct"/>
            <w:vMerge/>
            <w:tcBorders>
              <w:top w:val="nil"/>
              <w:left w:val="single" w:sz="8" w:space="0" w:color="auto"/>
              <w:bottom w:val="single" w:sz="8" w:space="0" w:color="000000"/>
              <w:right w:val="single" w:sz="8" w:space="0" w:color="auto"/>
            </w:tcBorders>
            <w:vAlign w:val="center"/>
            <w:hideMark/>
          </w:tcPr>
          <w:p w14:paraId="25C84872" w14:textId="77777777" w:rsidR="004E40F4" w:rsidRPr="004B3567" w:rsidRDefault="004E40F4" w:rsidP="001B14BE">
            <w:pPr>
              <w:spacing w:before="0" w:after="0"/>
              <w:jc w:val="left"/>
              <w:rPr>
                <w:rFonts w:eastAsia="Times New Roman" w:cs="Times New Roman"/>
                <w:color w:val="000000"/>
                <w:sz w:val="20"/>
                <w:szCs w:val="20"/>
                <w:lang w:eastAsia="es-MX"/>
              </w:rPr>
            </w:pPr>
          </w:p>
        </w:tc>
      </w:tr>
    </w:tbl>
    <w:p w14:paraId="78DCB7C2" w14:textId="7E991E25" w:rsidR="004E40F4" w:rsidRDefault="004E40F4" w:rsidP="00FC0919">
      <w:pPr>
        <w:pStyle w:val="Fuente"/>
      </w:pPr>
      <w:r>
        <w:t xml:space="preserve">Fuente: MIR federal del FAFEF, </w:t>
      </w:r>
      <w:r w:rsidRPr="004E40F4">
        <w:t>Informes sobre la Situación Económica, las Finanzas Públicas y la Deuda Pública</w:t>
      </w:r>
      <w:r>
        <w:t xml:space="preserve"> 2017 y 2018.</w:t>
      </w:r>
    </w:p>
    <w:p w14:paraId="1B2B8AD2" w14:textId="77777777" w:rsidR="004E40F4" w:rsidRDefault="004E40F4" w:rsidP="00EB1844"/>
    <w:p w14:paraId="5F97B072" w14:textId="77777777" w:rsidR="00EB1844" w:rsidRDefault="00EB1844" w:rsidP="00EB1844">
      <w:pPr>
        <w:sectPr w:rsidR="00EB1844" w:rsidSect="00434FC0">
          <w:headerReference w:type="default" r:id="rId50"/>
          <w:footerReference w:type="default" r:id="rId51"/>
          <w:pgSz w:w="15840" w:h="12240" w:orient="landscape" w:code="1"/>
          <w:pgMar w:top="1134" w:right="1134" w:bottom="1134" w:left="1134" w:header="709" w:footer="709" w:gutter="0"/>
          <w:cols w:space="708"/>
          <w:docGrid w:linePitch="360"/>
        </w:sectPr>
      </w:pPr>
    </w:p>
    <w:p w14:paraId="5958FF19" w14:textId="415154A2" w:rsidR="00EB1844" w:rsidRPr="001C602A" w:rsidRDefault="00EB1844" w:rsidP="00EB1844">
      <w:pPr>
        <w:pStyle w:val="Anexos"/>
        <w:rPr>
          <w:i w:val="0"/>
          <w:iCs/>
        </w:rPr>
      </w:pPr>
      <w:bookmarkStart w:id="109" w:name="_Toc45480705"/>
      <w:bookmarkStart w:id="110" w:name="_Toc54262973"/>
      <w:bookmarkStart w:id="111" w:name="_Toc55497585"/>
      <w:bookmarkStart w:id="112" w:name="_Toc55542096"/>
      <w:bookmarkStart w:id="113" w:name="_Toc56423506"/>
      <w:bookmarkStart w:id="114" w:name="_Toc56423717"/>
      <w:bookmarkStart w:id="115" w:name="_Toc56449868"/>
      <w:r w:rsidRPr="001C602A">
        <w:rPr>
          <w:i w:val="0"/>
          <w:iCs/>
        </w:rPr>
        <w:lastRenderedPageBreak/>
        <w:t>Anexo 3</w:t>
      </w:r>
      <w:r w:rsidR="00B873E7">
        <w:rPr>
          <w:i w:val="0"/>
          <w:iCs/>
        </w:rPr>
        <w:t>.</w:t>
      </w:r>
      <w:r w:rsidRPr="001C602A">
        <w:rPr>
          <w:i w:val="0"/>
          <w:iCs/>
        </w:rPr>
        <w:t xml:space="preserve"> Propuesta</w:t>
      </w:r>
      <w:r w:rsidR="00E127F7">
        <w:rPr>
          <w:i w:val="0"/>
          <w:iCs/>
        </w:rPr>
        <w:t>s</w:t>
      </w:r>
      <w:r w:rsidRPr="001C602A">
        <w:rPr>
          <w:i w:val="0"/>
          <w:iCs/>
        </w:rPr>
        <w:t xml:space="preserve"> de mejora de la Matriz de Indicadores para Resultados</w:t>
      </w:r>
      <w:bookmarkEnd w:id="109"/>
      <w:bookmarkEnd w:id="110"/>
      <w:bookmarkEnd w:id="111"/>
      <w:bookmarkEnd w:id="112"/>
      <w:bookmarkEnd w:id="113"/>
      <w:bookmarkEnd w:id="114"/>
      <w:bookmarkEnd w:id="115"/>
    </w:p>
    <w:p w14:paraId="463F3B52" w14:textId="77777777" w:rsidR="00EB1844" w:rsidRDefault="00EB1844" w:rsidP="003C776C">
      <w:pPr>
        <w:rPr>
          <w:rFonts w:ascii="Arial" w:eastAsia="Calibri" w:hAnsi="Arial" w:cs="Arial"/>
          <w:bCs/>
          <w:sz w:val="20"/>
          <w:szCs w:val="20"/>
        </w:rPr>
      </w:pPr>
      <w:r>
        <w:rPr>
          <w:rFonts w:ascii="Calibri" w:eastAsia="Times New Roman" w:hAnsi="Calibri" w:cs="Calibri"/>
          <w:color w:val="000000"/>
          <w:lang w:eastAsia="es-MX"/>
        </w:rPr>
        <w:t>E</w:t>
      </w:r>
      <w:r w:rsidRPr="00307136">
        <w:rPr>
          <w:rFonts w:ascii="Calibri" w:eastAsia="Times New Roman" w:hAnsi="Calibri" w:cs="Calibri"/>
          <w:color w:val="000000"/>
          <w:lang w:eastAsia="es-MX"/>
        </w:rPr>
        <w:t>n concordancia con lo valorado en la Evaluación Especifica de Desempeño 2018, los indicadores a nivel de Fin y Propósito son adecuados y se vinculan con los indicadores de la MIR federal, sin embargo, a nivel de Componentes y Actividades lo que se ha planteado en la MIR son actividades que están directamente relacionadas a los proyectos en cuanto a su definición sobre la mejora de la infraestructura; así como, el apoyo a los municipios con obras y servicios que conlleven a la construcción, rehabilitación y ampliación de las mismas. Este modelo no sólo es repetitivo en cuanto a su definición, sino también en cuanto a sus supuestos, valores y metas. En este sentido y en concordancia con la respuesta a la pregunta uno, se recomienda replantear el diseño de la MIR estatal de Fondo, estableciendo la alineación de la misma con la MIR federal y a su vez, vinculando los indicadores con los principales destinos de gasto, según los rubros de LCF</w:t>
      </w:r>
      <w:r w:rsidRPr="007E6C09">
        <w:rPr>
          <w:rFonts w:ascii="Calibri" w:eastAsia="Times New Roman" w:hAnsi="Calibri" w:cs="Calibri"/>
          <w:color w:val="000000"/>
          <w:lang w:eastAsia="es-MX"/>
        </w:rPr>
        <w:t>.</w:t>
      </w:r>
      <w:r>
        <w:rPr>
          <w:rFonts w:ascii="Arial" w:eastAsia="Calibri" w:hAnsi="Arial" w:cs="Arial"/>
          <w:bCs/>
          <w:sz w:val="20"/>
          <w:szCs w:val="20"/>
        </w:rPr>
        <w:br w:type="page"/>
      </w:r>
    </w:p>
    <w:p w14:paraId="02D39F72" w14:textId="77777777" w:rsidR="00EB1844" w:rsidRPr="00E73A6A" w:rsidRDefault="00EB1844">
      <w:pPr>
        <w:pStyle w:val="Anexos"/>
        <w:rPr>
          <w:i w:val="0"/>
          <w:iCs/>
        </w:rPr>
      </w:pPr>
      <w:bookmarkStart w:id="116" w:name="_Toc45480706"/>
      <w:bookmarkStart w:id="117" w:name="_Toc54262974"/>
      <w:bookmarkStart w:id="118" w:name="_Toc55497586"/>
      <w:bookmarkStart w:id="119" w:name="_Toc55542097"/>
      <w:bookmarkStart w:id="120" w:name="_Toc56423507"/>
      <w:bookmarkStart w:id="121" w:name="_Toc56423718"/>
      <w:bookmarkStart w:id="122" w:name="_Toc56449869"/>
      <w:r w:rsidRPr="00E73A6A">
        <w:rPr>
          <w:i w:val="0"/>
          <w:iCs/>
        </w:rPr>
        <w:lastRenderedPageBreak/>
        <w:t>Anexo 4. Evolución de la Cobertura</w:t>
      </w:r>
      <w:bookmarkEnd w:id="116"/>
      <w:bookmarkEnd w:id="117"/>
      <w:bookmarkEnd w:id="118"/>
      <w:bookmarkEnd w:id="119"/>
      <w:bookmarkEnd w:id="120"/>
      <w:bookmarkEnd w:id="121"/>
      <w:bookmarkEnd w:id="122"/>
    </w:p>
    <w:tbl>
      <w:tblPr>
        <w:tblW w:w="13515" w:type="dxa"/>
        <w:tblInd w:w="57" w:type="dxa"/>
        <w:tblCellMar>
          <w:left w:w="70" w:type="dxa"/>
          <w:right w:w="70" w:type="dxa"/>
        </w:tblCellMar>
        <w:tblLook w:val="04A0" w:firstRow="1" w:lastRow="0" w:firstColumn="1" w:lastColumn="0" w:noHBand="0" w:noVBand="1"/>
      </w:tblPr>
      <w:tblGrid>
        <w:gridCol w:w="13436"/>
        <w:gridCol w:w="79"/>
      </w:tblGrid>
      <w:tr w:rsidR="00EB1844" w:rsidRPr="00B873E7" w14:paraId="755B4596" w14:textId="77777777" w:rsidTr="00987184">
        <w:trPr>
          <w:gridAfter w:val="1"/>
          <w:wAfter w:w="153" w:type="dxa"/>
          <w:trHeight w:val="301"/>
        </w:trPr>
        <w:tc>
          <w:tcPr>
            <w:tcW w:w="13362" w:type="dxa"/>
            <w:tcBorders>
              <w:top w:val="nil"/>
              <w:left w:val="nil"/>
              <w:bottom w:val="nil"/>
              <w:right w:val="nil"/>
            </w:tcBorders>
            <w:shd w:val="clear" w:color="auto" w:fill="auto"/>
            <w:noWrap/>
            <w:vAlign w:val="bottom"/>
            <w:hideMark/>
          </w:tcPr>
          <w:p w14:paraId="0B98860D" w14:textId="77777777" w:rsidR="00EB1844" w:rsidRPr="00B873E7" w:rsidRDefault="00EB1844" w:rsidP="00927B4B">
            <w:pPr>
              <w:spacing w:before="0" w:after="0"/>
              <w:rPr>
                <w:rFonts w:cstheme="minorHAnsi"/>
                <w:color w:val="000000"/>
                <w:sz w:val="20"/>
                <w:szCs w:val="20"/>
                <w:lang w:val="es-ES"/>
              </w:rPr>
            </w:pPr>
            <w:r w:rsidRPr="00B873E7">
              <w:rPr>
                <w:rFonts w:cstheme="minorHAnsi"/>
                <w:color w:val="000000"/>
                <w:sz w:val="20"/>
                <w:szCs w:val="20"/>
                <w:lang w:val="es-ES"/>
              </w:rPr>
              <w:t xml:space="preserve">Nombre del Fondo: </w:t>
            </w:r>
            <w:r w:rsidRPr="00B873E7">
              <w:rPr>
                <w:rFonts w:cstheme="minorHAnsi"/>
                <w:b/>
                <w:bCs/>
                <w:sz w:val="20"/>
                <w:szCs w:val="20"/>
              </w:rPr>
              <w:t>Fondo de Aportaciones para el Fortalecimiento de las Entidades Federativas (FAFEF)</w:t>
            </w:r>
          </w:p>
        </w:tc>
      </w:tr>
      <w:tr w:rsidR="00FA2CEF" w:rsidRPr="00B873E7" w14:paraId="485E3B30" w14:textId="77777777" w:rsidTr="00987184">
        <w:trPr>
          <w:gridAfter w:val="1"/>
          <w:wAfter w:w="153" w:type="dxa"/>
          <w:trHeight w:val="87"/>
        </w:trPr>
        <w:tc>
          <w:tcPr>
            <w:tcW w:w="13362" w:type="dxa"/>
            <w:tcBorders>
              <w:top w:val="nil"/>
              <w:left w:val="nil"/>
              <w:bottom w:val="nil"/>
              <w:right w:val="nil"/>
            </w:tcBorders>
            <w:shd w:val="clear" w:color="auto" w:fill="auto"/>
            <w:noWrap/>
            <w:vAlign w:val="bottom"/>
          </w:tcPr>
          <w:p w14:paraId="4AF5878E" w14:textId="68573D60" w:rsidR="00FA2CEF" w:rsidRPr="00B873E7" w:rsidRDefault="00F04AC1" w:rsidP="00F04AC1">
            <w:pPr>
              <w:autoSpaceDE w:val="0"/>
              <w:autoSpaceDN w:val="0"/>
              <w:adjustRightInd w:val="0"/>
              <w:snapToGrid w:val="0"/>
              <w:spacing w:before="0" w:after="0"/>
              <w:rPr>
                <w:rFonts w:cs="Arial"/>
                <w:b/>
                <w:sz w:val="20"/>
                <w:szCs w:val="21"/>
              </w:rPr>
            </w:pPr>
            <w:r w:rsidRPr="00B873E7">
              <w:rPr>
                <w:rFonts w:cs="Arial"/>
                <w:bCs/>
                <w:sz w:val="20"/>
                <w:szCs w:val="21"/>
              </w:rPr>
              <w:t xml:space="preserve">Modalidad: </w:t>
            </w:r>
            <w:r w:rsidRPr="00B873E7">
              <w:rPr>
                <w:rFonts w:cs="Arial"/>
                <w:b/>
                <w:sz w:val="20"/>
                <w:szCs w:val="21"/>
              </w:rPr>
              <w:t>I-Gasto federalizado</w:t>
            </w:r>
          </w:p>
        </w:tc>
      </w:tr>
      <w:tr w:rsidR="00EB1844" w:rsidRPr="00B873E7" w14:paraId="72527C0B" w14:textId="77777777" w:rsidTr="00987184">
        <w:trPr>
          <w:gridAfter w:val="1"/>
          <w:wAfter w:w="153" w:type="dxa"/>
          <w:trHeight w:val="358"/>
        </w:trPr>
        <w:tc>
          <w:tcPr>
            <w:tcW w:w="13362" w:type="dxa"/>
            <w:tcBorders>
              <w:top w:val="nil"/>
              <w:left w:val="nil"/>
              <w:bottom w:val="nil"/>
              <w:right w:val="nil"/>
            </w:tcBorders>
            <w:shd w:val="clear" w:color="auto" w:fill="auto"/>
            <w:noWrap/>
            <w:vAlign w:val="bottom"/>
            <w:hideMark/>
          </w:tcPr>
          <w:p w14:paraId="49898A69" w14:textId="77777777" w:rsidR="00EB1844" w:rsidRPr="00B873E7" w:rsidRDefault="00EB1844" w:rsidP="00927B4B">
            <w:pPr>
              <w:spacing w:before="0" w:after="0"/>
              <w:ind w:firstLine="16"/>
              <w:rPr>
                <w:rFonts w:cstheme="minorHAnsi"/>
                <w:color w:val="000000"/>
                <w:sz w:val="20"/>
                <w:szCs w:val="20"/>
                <w:lang w:val="es-ES"/>
              </w:rPr>
            </w:pPr>
            <w:r w:rsidRPr="00B873E7">
              <w:rPr>
                <w:rFonts w:cstheme="minorHAnsi"/>
                <w:color w:val="000000"/>
                <w:sz w:val="20"/>
                <w:szCs w:val="20"/>
                <w:lang w:val="es-ES"/>
              </w:rPr>
              <w:t xml:space="preserve">Clave(s) presupuestaria(s): </w:t>
            </w:r>
            <w:r w:rsidRPr="00B873E7">
              <w:rPr>
                <w:rFonts w:cstheme="minorHAnsi"/>
                <w:b/>
                <w:bCs/>
                <w:sz w:val="20"/>
                <w:szCs w:val="20"/>
              </w:rPr>
              <w:t>I012</w:t>
            </w:r>
          </w:p>
          <w:p w14:paraId="3C8FC3AC" w14:textId="77777777" w:rsidR="00EB1844" w:rsidRPr="00B873E7" w:rsidRDefault="00EB1844" w:rsidP="00927B4B">
            <w:pPr>
              <w:spacing w:before="0" w:after="0"/>
              <w:rPr>
                <w:rFonts w:cstheme="minorHAnsi"/>
                <w:color w:val="000000"/>
                <w:sz w:val="20"/>
                <w:szCs w:val="20"/>
                <w:lang w:val="es-ES"/>
              </w:rPr>
            </w:pPr>
            <w:r w:rsidRPr="00B873E7">
              <w:rPr>
                <w:rFonts w:cstheme="minorHAnsi"/>
                <w:color w:val="000000"/>
                <w:sz w:val="20"/>
                <w:szCs w:val="20"/>
                <w:lang w:val="es-ES"/>
              </w:rPr>
              <w:t xml:space="preserve">Entidad Federativa: </w:t>
            </w:r>
            <w:r w:rsidRPr="00B873E7">
              <w:rPr>
                <w:rFonts w:cstheme="minorHAnsi"/>
                <w:b/>
                <w:bCs/>
                <w:sz w:val="20"/>
                <w:szCs w:val="20"/>
              </w:rPr>
              <w:t>Hidalgo</w:t>
            </w:r>
          </w:p>
        </w:tc>
      </w:tr>
      <w:tr w:rsidR="00EB1844" w:rsidRPr="00B873E7" w14:paraId="43ED933B" w14:textId="77777777" w:rsidTr="00987184">
        <w:trPr>
          <w:gridAfter w:val="1"/>
          <w:wAfter w:w="153" w:type="dxa"/>
          <w:trHeight w:val="87"/>
        </w:trPr>
        <w:tc>
          <w:tcPr>
            <w:tcW w:w="13362" w:type="dxa"/>
            <w:tcBorders>
              <w:top w:val="nil"/>
              <w:left w:val="nil"/>
              <w:bottom w:val="nil"/>
              <w:right w:val="nil"/>
            </w:tcBorders>
            <w:shd w:val="clear" w:color="auto" w:fill="auto"/>
            <w:noWrap/>
            <w:vAlign w:val="bottom"/>
            <w:hideMark/>
          </w:tcPr>
          <w:p w14:paraId="616D94AD" w14:textId="497BB39F" w:rsidR="00EB1844" w:rsidRPr="00B873E7" w:rsidRDefault="00EB1844" w:rsidP="00927B4B">
            <w:pPr>
              <w:spacing w:before="0" w:after="0"/>
              <w:rPr>
                <w:rFonts w:cstheme="minorHAnsi"/>
                <w:color w:val="000000"/>
                <w:sz w:val="20"/>
                <w:szCs w:val="20"/>
                <w:lang w:val="es-ES"/>
              </w:rPr>
            </w:pPr>
            <w:r w:rsidRPr="00B873E7">
              <w:rPr>
                <w:rFonts w:cstheme="minorHAnsi"/>
                <w:color w:val="000000"/>
                <w:sz w:val="20"/>
                <w:szCs w:val="20"/>
                <w:lang w:val="es-ES"/>
              </w:rPr>
              <w:t xml:space="preserve">Dependencia Coordinadora: </w:t>
            </w:r>
            <w:r w:rsidRPr="00B873E7">
              <w:rPr>
                <w:b/>
                <w:bCs/>
                <w:sz w:val="20"/>
                <w:szCs w:val="20"/>
              </w:rPr>
              <w:t>Dirección General de Programación y Presupuesto “A” de la SHCP</w:t>
            </w:r>
            <w:r w:rsidR="00610D4D" w:rsidRPr="00B873E7">
              <w:rPr>
                <w:b/>
                <w:bCs/>
                <w:sz w:val="20"/>
                <w:szCs w:val="20"/>
              </w:rPr>
              <w:t xml:space="preserve"> (DGPyP “A”)</w:t>
            </w:r>
          </w:p>
        </w:tc>
      </w:tr>
      <w:tr w:rsidR="00EB1844" w:rsidRPr="00B873E7" w14:paraId="0F65889A" w14:textId="77777777" w:rsidTr="00987184">
        <w:trPr>
          <w:gridAfter w:val="1"/>
          <w:wAfter w:w="153" w:type="dxa"/>
          <w:trHeight w:val="87"/>
        </w:trPr>
        <w:tc>
          <w:tcPr>
            <w:tcW w:w="13362" w:type="dxa"/>
            <w:tcBorders>
              <w:top w:val="nil"/>
              <w:left w:val="nil"/>
              <w:bottom w:val="nil"/>
              <w:right w:val="nil"/>
            </w:tcBorders>
            <w:shd w:val="clear" w:color="auto" w:fill="auto"/>
            <w:noWrap/>
            <w:vAlign w:val="bottom"/>
            <w:hideMark/>
          </w:tcPr>
          <w:p w14:paraId="0C3604DF" w14:textId="39130C06" w:rsidR="00EB1844" w:rsidRPr="00B873E7" w:rsidRDefault="00EB1844" w:rsidP="00927B4B">
            <w:pPr>
              <w:spacing w:before="0" w:after="0"/>
              <w:rPr>
                <w:rFonts w:cstheme="minorHAnsi"/>
                <w:color w:val="000000"/>
                <w:sz w:val="20"/>
                <w:szCs w:val="20"/>
                <w:lang w:val="es-ES"/>
              </w:rPr>
            </w:pPr>
            <w:r w:rsidRPr="00B873E7">
              <w:rPr>
                <w:rFonts w:cstheme="minorHAnsi"/>
                <w:color w:val="000000"/>
                <w:sz w:val="20"/>
                <w:szCs w:val="20"/>
                <w:lang w:val="es-ES"/>
              </w:rPr>
              <w:t xml:space="preserve">Unidad(es) Responsable(s) o Ejecutora(s): </w:t>
            </w:r>
            <w:r w:rsidRPr="00B873E7">
              <w:rPr>
                <w:rFonts w:cstheme="minorHAnsi"/>
                <w:b/>
                <w:bCs/>
                <w:sz w:val="20"/>
                <w:szCs w:val="20"/>
              </w:rPr>
              <w:t>Secretaría de Finanzas Públicas de Hidalgo</w:t>
            </w:r>
          </w:p>
        </w:tc>
      </w:tr>
      <w:tr w:rsidR="00EB1844" w:rsidRPr="00B873E7" w14:paraId="49AF4073" w14:textId="77777777" w:rsidTr="00987184">
        <w:trPr>
          <w:gridAfter w:val="1"/>
          <w:wAfter w:w="153" w:type="dxa"/>
          <w:trHeight w:val="87"/>
        </w:trPr>
        <w:tc>
          <w:tcPr>
            <w:tcW w:w="13362" w:type="dxa"/>
            <w:tcBorders>
              <w:top w:val="nil"/>
              <w:left w:val="nil"/>
              <w:bottom w:val="nil"/>
              <w:right w:val="nil"/>
            </w:tcBorders>
            <w:shd w:val="clear" w:color="auto" w:fill="auto"/>
            <w:noWrap/>
            <w:vAlign w:val="bottom"/>
            <w:hideMark/>
          </w:tcPr>
          <w:p w14:paraId="45362827" w14:textId="77777777" w:rsidR="00EB1844" w:rsidRPr="00B873E7" w:rsidRDefault="00EB1844" w:rsidP="00927B4B">
            <w:pPr>
              <w:spacing w:before="0" w:after="0"/>
              <w:rPr>
                <w:rFonts w:cstheme="minorHAnsi"/>
                <w:color w:val="000000"/>
                <w:sz w:val="20"/>
                <w:szCs w:val="20"/>
                <w:lang w:val="es-ES"/>
              </w:rPr>
            </w:pPr>
            <w:r w:rsidRPr="00B873E7">
              <w:rPr>
                <w:rFonts w:cstheme="minorHAnsi"/>
                <w:color w:val="000000"/>
                <w:sz w:val="20"/>
                <w:szCs w:val="20"/>
                <w:lang w:val="es-ES"/>
              </w:rPr>
              <w:t xml:space="preserve">Tipo de Evaluación: </w:t>
            </w:r>
            <w:r w:rsidRPr="00B873E7">
              <w:rPr>
                <w:rFonts w:cstheme="minorHAnsi"/>
                <w:b/>
                <w:bCs/>
                <w:sz w:val="20"/>
                <w:szCs w:val="20"/>
              </w:rPr>
              <w:t>Estratégica</w:t>
            </w:r>
            <w:r w:rsidRPr="00B873E7">
              <w:rPr>
                <w:rFonts w:cstheme="minorHAnsi"/>
                <w:sz w:val="20"/>
                <w:szCs w:val="20"/>
              </w:rPr>
              <w:t xml:space="preserve"> </w:t>
            </w:r>
          </w:p>
        </w:tc>
      </w:tr>
      <w:tr w:rsidR="00EB1844" w:rsidRPr="00473538" w14:paraId="388A3BF1" w14:textId="77777777" w:rsidTr="00E1725D">
        <w:trPr>
          <w:trHeight w:val="301"/>
        </w:trPr>
        <w:tc>
          <w:tcPr>
            <w:tcW w:w="13515" w:type="dxa"/>
            <w:gridSpan w:val="2"/>
            <w:tcBorders>
              <w:top w:val="nil"/>
              <w:left w:val="nil"/>
              <w:bottom w:val="nil"/>
              <w:right w:val="nil"/>
            </w:tcBorders>
            <w:shd w:val="clear" w:color="auto" w:fill="auto"/>
            <w:noWrap/>
            <w:vAlign w:val="bottom"/>
            <w:hideMark/>
          </w:tcPr>
          <w:p w14:paraId="63486546" w14:textId="7F4C9B0A" w:rsidR="00EB1844" w:rsidRPr="00B873E7" w:rsidRDefault="00EB1844" w:rsidP="00927B4B">
            <w:pPr>
              <w:spacing w:before="0" w:after="240"/>
              <w:rPr>
                <w:rFonts w:cstheme="minorHAnsi"/>
                <w:b/>
                <w:bCs/>
                <w:sz w:val="20"/>
                <w:szCs w:val="20"/>
              </w:rPr>
            </w:pPr>
            <w:r w:rsidRPr="00B873E7">
              <w:rPr>
                <w:rFonts w:cstheme="minorHAnsi"/>
                <w:color w:val="000000"/>
                <w:sz w:val="20"/>
                <w:szCs w:val="20"/>
                <w:lang w:val="es-ES"/>
              </w:rPr>
              <w:t xml:space="preserve">Año de la Evaluación: </w:t>
            </w:r>
            <w:r w:rsidRPr="00B873E7">
              <w:rPr>
                <w:rFonts w:cstheme="minorHAnsi"/>
                <w:b/>
                <w:bCs/>
                <w:sz w:val="20"/>
                <w:szCs w:val="20"/>
              </w:rPr>
              <w:t>2018</w:t>
            </w:r>
          </w:p>
          <w:tbl>
            <w:tblPr>
              <w:tblW w:w="13438" w:type="dxa"/>
              <w:tblBorders>
                <w:top w:val="single" w:sz="8" w:space="0" w:color="1F3864" w:themeColor="accent5" w:themeShade="80"/>
                <w:left w:val="single" w:sz="8" w:space="0" w:color="1F3864" w:themeColor="accent5" w:themeShade="80"/>
                <w:bottom w:val="single" w:sz="8" w:space="0" w:color="1F3864" w:themeColor="accent5" w:themeShade="80"/>
                <w:right w:val="single" w:sz="8" w:space="0" w:color="1F3864" w:themeColor="accent5" w:themeShade="80"/>
                <w:insideH w:val="single" w:sz="8" w:space="0" w:color="1F3864" w:themeColor="accent5" w:themeShade="80"/>
                <w:insideV w:val="single" w:sz="8" w:space="0" w:color="1F3864" w:themeColor="accent5" w:themeShade="80"/>
              </w:tblBorders>
              <w:tblLook w:val="04A0" w:firstRow="1" w:lastRow="0" w:firstColumn="1" w:lastColumn="0" w:noHBand="0" w:noVBand="1"/>
            </w:tblPr>
            <w:tblGrid>
              <w:gridCol w:w="1699"/>
              <w:gridCol w:w="1986"/>
              <w:gridCol w:w="1196"/>
              <w:gridCol w:w="1712"/>
              <w:gridCol w:w="1712"/>
              <w:gridCol w:w="1712"/>
              <w:gridCol w:w="1712"/>
              <w:gridCol w:w="1709"/>
            </w:tblGrid>
            <w:tr w:rsidR="00EB1844" w:rsidRPr="00B873E7" w14:paraId="776D113B" w14:textId="77777777" w:rsidTr="008D712D">
              <w:trPr>
                <w:trHeight w:val="437"/>
              </w:trPr>
              <w:tc>
                <w:tcPr>
                  <w:tcW w:w="632" w:type="pct"/>
                  <w:shd w:val="clear" w:color="auto" w:fill="9CC2E5"/>
                  <w:vAlign w:val="center"/>
                </w:tcPr>
                <w:p w14:paraId="6B62250A" w14:textId="1B4DBD3F" w:rsidR="00EB1844" w:rsidRPr="00B873E7" w:rsidRDefault="00EB1844" w:rsidP="00927B4B">
                  <w:pPr>
                    <w:spacing w:before="0" w:after="0"/>
                    <w:jc w:val="center"/>
                    <w:rPr>
                      <w:rFonts w:cstheme="minorHAnsi"/>
                      <w:b/>
                      <w:bCs/>
                      <w:color w:val="000000" w:themeColor="text1"/>
                      <w:sz w:val="20"/>
                      <w:szCs w:val="20"/>
                      <w:lang w:val="es-ES"/>
                    </w:rPr>
                  </w:pPr>
                  <w:r w:rsidRPr="00B873E7">
                    <w:rPr>
                      <w:rFonts w:cstheme="minorHAnsi"/>
                      <w:b/>
                      <w:bCs/>
                      <w:color w:val="000000" w:themeColor="text1"/>
                      <w:sz w:val="20"/>
                      <w:szCs w:val="20"/>
                      <w:lang w:val="es-ES"/>
                    </w:rPr>
                    <w:t>Población</w:t>
                  </w:r>
                </w:p>
              </w:tc>
              <w:tc>
                <w:tcPr>
                  <w:tcW w:w="739" w:type="pct"/>
                  <w:shd w:val="clear" w:color="auto" w:fill="9CC2E5"/>
                  <w:vAlign w:val="center"/>
                </w:tcPr>
                <w:p w14:paraId="2F33DF14" w14:textId="77777777" w:rsidR="00EB1844" w:rsidRPr="00B873E7" w:rsidRDefault="00EB1844" w:rsidP="00927B4B">
                  <w:pPr>
                    <w:spacing w:before="0" w:after="0"/>
                    <w:jc w:val="center"/>
                    <w:rPr>
                      <w:rFonts w:cstheme="minorHAnsi"/>
                      <w:b/>
                      <w:bCs/>
                      <w:color w:val="000000" w:themeColor="text1"/>
                      <w:sz w:val="20"/>
                      <w:szCs w:val="20"/>
                      <w:lang w:val="es-ES"/>
                    </w:rPr>
                  </w:pPr>
                  <w:r w:rsidRPr="00B873E7">
                    <w:rPr>
                      <w:rFonts w:cstheme="minorHAnsi"/>
                      <w:b/>
                      <w:bCs/>
                      <w:color w:val="000000" w:themeColor="text1"/>
                      <w:sz w:val="20"/>
                      <w:szCs w:val="20"/>
                      <w:lang w:val="es-ES"/>
                    </w:rPr>
                    <w:t>Unidad de Medida</w:t>
                  </w:r>
                </w:p>
              </w:tc>
              <w:tc>
                <w:tcPr>
                  <w:tcW w:w="445" w:type="pct"/>
                  <w:shd w:val="clear" w:color="auto" w:fill="9CC2E5"/>
                  <w:vAlign w:val="center"/>
                </w:tcPr>
                <w:p w14:paraId="7401D236" w14:textId="27D7F600" w:rsidR="00EB1844" w:rsidRPr="00B873E7" w:rsidRDefault="008D712D" w:rsidP="00927B4B">
                  <w:pPr>
                    <w:spacing w:before="0" w:after="0"/>
                    <w:jc w:val="center"/>
                    <w:rPr>
                      <w:rFonts w:cstheme="minorHAnsi"/>
                      <w:b/>
                      <w:bCs/>
                      <w:color w:val="000000" w:themeColor="text1"/>
                      <w:sz w:val="20"/>
                      <w:szCs w:val="20"/>
                      <w:lang w:val="es-ES"/>
                    </w:rPr>
                  </w:pPr>
                  <w:r w:rsidRPr="00B873E7">
                    <w:rPr>
                      <w:rFonts w:eastAsia="Times New Roman" w:cs="Arial"/>
                      <w:b/>
                      <w:bCs/>
                      <w:color w:val="000000"/>
                      <w:sz w:val="20"/>
                      <w:szCs w:val="20"/>
                      <w:lang w:eastAsia="es-MX"/>
                    </w:rPr>
                    <w:t>Año</w:t>
                  </w:r>
                  <w:r w:rsidR="00EB1844" w:rsidRPr="00B873E7">
                    <w:rPr>
                      <w:rFonts w:cstheme="minorHAnsi"/>
                      <w:b/>
                      <w:bCs/>
                      <w:color w:val="000000" w:themeColor="text1"/>
                      <w:sz w:val="20"/>
                      <w:szCs w:val="20"/>
                      <w:lang w:val="es-ES"/>
                    </w:rPr>
                    <w:t xml:space="preserve"> 2013</w:t>
                  </w:r>
                </w:p>
              </w:tc>
              <w:tc>
                <w:tcPr>
                  <w:tcW w:w="637" w:type="pct"/>
                  <w:shd w:val="clear" w:color="auto" w:fill="9CC2E5"/>
                  <w:vAlign w:val="center"/>
                </w:tcPr>
                <w:p w14:paraId="04EA5A8E" w14:textId="456475E3" w:rsidR="00EB1844" w:rsidRPr="00B873E7" w:rsidRDefault="008D712D" w:rsidP="00927B4B">
                  <w:pPr>
                    <w:spacing w:before="0" w:after="0"/>
                    <w:jc w:val="center"/>
                    <w:rPr>
                      <w:rFonts w:cstheme="minorHAnsi"/>
                      <w:b/>
                      <w:bCs/>
                      <w:color w:val="000000" w:themeColor="text1"/>
                      <w:sz w:val="20"/>
                      <w:szCs w:val="20"/>
                      <w:lang w:val="es-ES"/>
                    </w:rPr>
                  </w:pPr>
                  <w:r w:rsidRPr="00B873E7">
                    <w:rPr>
                      <w:rFonts w:eastAsia="Times New Roman" w:cs="Arial"/>
                      <w:b/>
                      <w:bCs/>
                      <w:color w:val="000000"/>
                      <w:sz w:val="20"/>
                      <w:szCs w:val="20"/>
                      <w:lang w:eastAsia="es-MX"/>
                    </w:rPr>
                    <w:t xml:space="preserve">Año </w:t>
                  </w:r>
                  <w:r w:rsidR="00EB1844" w:rsidRPr="00B873E7">
                    <w:rPr>
                      <w:rFonts w:cstheme="minorHAnsi"/>
                      <w:b/>
                      <w:bCs/>
                      <w:color w:val="000000" w:themeColor="text1"/>
                      <w:sz w:val="20"/>
                      <w:szCs w:val="20"/>
                      <w:lang w:val="es-ES"/>
                    </w:rPr>
                    <w:t>2014</w:t>
                  </w:r>
                </w:p>
              </w:tc>
              <w:tc>
                <w:tcPr>
                  <w:tcW w:w="637" w:type="pct"/>
                  <w:shd w:val="clear" w:color="auto" w:fill="9CC2E5"/>
                  <w:vAlign w:val="center"/>
                </w:tcPr>
                <w:p w14:paraId="2DA0B3A8" w14:textId="7F23A928" w:rsidR="00EB1844" w:rsidRPr="00B873E7" w:rsidRDefault="008D712D" w:rsidP="00927B4B">
                  <w:pPr>
                    <w:spacing w:before="0" w:after="0"/>
                    <w:jc w:val="center"/>
                    <w:rPr>
                      <w:rFonts w:cstheme="minorHAnsi"/>
                      <w:b/>
                      <w:bCs/>
                      <w:color w:val="000000" w:themeColor="text1"/>
                      <w:sz w:val="20"/>
                      <w:szCs w:val="20"/>
                      <w:lang w:val="es-ES"/>
                    </w:rPr>
                  </w:pPr>
                  <w:r w:rsidRPr="00B873E7">
                    <w:rPr>
                      <w:rFonts w:eastAsia="Times New Roman" w:cs="Arial"/>
                      <w:b/>
                      <w:bCs/>
                      <w:color w:val="000000"/>
                      <w:sz w:val="20"/>
                      <w:szCs w:val="20"/>
                      <w:lang w:eastAsia="es-MX"/>
                    </w:rPr>
                    <w:t xml:space="preserve">Año </w:t>
                  </w:r>
                  <w:r w:rsidR="00EB1844" w:rsidRPr="00B873E7">
                    <w:rPr>
                      <w:rFonts w:cstheme="minorHAnsi"/>
                      <w:b/>
                      <w:bCs/>
                      <w:color w:val="000000" w:themeColor="text1"/>
                      <w:sz w:val="20"/>
                      <w:szCs w:val="20"/>
                      <w:lang w:val="es-ES"/>
                    </w:rPr>
                    <w:t>2015</w:t>
                  </w:r>
                </w:p>
              </w:tc>
              <w:tc>
                <w:tcPr>
                  <w:tcW w:w="637" w:type="pct"/>
                  <w:shd w:val="clear" w:color="auto" w:fill="9CC2E5"/>
                  <w:vAlign w:val="center"/>
                </w:tcPr>
                <w:p w14:paraId="0919051B" w14:textId="121FAC8D" w:rsidR="00EB1844" w:rsidRPr="00B873E7" w:rsidRDefault="008D712D" w:rsidP="00927B4B">
                  <w:pPr>
                    <w:spacing w:before="0" w:after="0"/>
                    <w:jc w:val="center"/>
                    <w:rPr>
                      <w:rFonts w:cstheme="minorHAnsi"/>
                      <w:b/>
                      <w:bCs/>
                      <w:color w:val="000000" w:themeColor="text1"/>
                      <w:sz w:val="20"/>
                      <w:szCs w:val="20"/>
                      <w:lang w:val="es-ES"/>
                    </w:rPr>
                  </w:pPr>
                  <w:r w:rsidRPr="00B873E7">
                    <w:rPr>
                      <w:rFonts w:eastAsia="Times New Roman" w:cs="Arial"/>
                      <w:b/>
                      <w:bCs/>
                      <w:color w:val="000000"/>
                      <w:sz w:val="20"/>
                      <w:szCs w:val="20"/>
                      <w:lang w:eastAsia="es-MX"/>
                    </w:rPr>
                    <w:t xml:space="preserve">Año </w:t>
                  </w:r>
                  <w:r w:rsidR="00EB1844" w:rsidRPr="00B873E7">
                    <w:rPr>
                      <w:rFonts w:cstheme="minorHAnsi"/>
                      <w:b/>
                      <w:bCs/>
                      <w:color w:val="000000" w:themeColor="text1"/>
                      <w:sz w:val="20"/>
                      <w:szCs w:val="20"/>
                      <w:lang w:val="es-ES"/>
                    </w:rPr>
                    <w:t>2016</w:t>
                  </w:r>
                </w:p>
              </w:tc>
              <w:tc>
                <w:tcPr>
                  <w:tcW w:w="637" w:type="pct"/>
                  <w:shd w:val="clear" w:color="auto" w:fill="9CC2E5"/>
                  <w:vAlign w:val="center"/>
                </w:tcPr>
                <w:p w14:paraId="1FE5A4D1" w14:textId="205F9DA1" w:rsidR="00EB1844" w:rsidRPr="00B873E7" w:rsidRDefault="008D712D" w:rsidP="00927B4B">
                  <w:pPr>
                    <w:spacing w:before="0" w:after="0"/>
                    <w:jc w:val="center"/>
                    <w:rPr>
                      <w:rFonts w:cstheme="minorHAnsi"/>
                      <w:b/>
                      <w:bCs/>
                      <w:color w:val="000000" w:themeColor="text1"/>
                      <w:sz w:val="20"/>
                      <w:szCs w:val="20"/>
                      <w:lang w:val="es-ES"/>
                    </w:rPr>
                  </w:pPr>
                  <w:r w:rsidRPr="00B873E7">
                    <w:rPr>
                      <w:rFonts w:eastAsia="Times New Roman" w:cs="Arial"/>
                      <w:b/>
                      <w:bCs/>
                      <w:color w:val="000000"/>
                      <w:sz w:val="20"/>
                      <w:szCs w:val="20"/>
                      <w:lang w:eastAsia="es-MX"/>
                    </w:rPr>
                    <w:t xml:space="preserve">Año </w:t>
                  </w:r>
                  <w:r w:rsidR="00EB1844" w:rsidRPr="00B873E7">
                    <w:rPr>
                      <w:rFonts w:cstheme="minorHAnsi"/>
                      <w:b/>
                      <w:bCs/>
                      <w:color w:val="000000" w:themeColor="text1"/>
                      <w:sz w:val="20"/>
                      <w:szCs w:val="20"/>
                      <w:lang w:val="es-ES"/>
                    </w:rPr>
                    <w:t>2017</w:t>
                  </w:r>
                </w:p>
              </w:tc>
              <w:tc>
                <w:tcPr>
                  <w:tcW w:w="636" w:type="pct"/>
                  <w:shd w:val="clear" w:color="auto" w:fill="9CC2E5"/>
                  <w:vAlign w:val="center"/>
                </w:tcPr>
                <w:p w14:paraId="47F0AEC2" w14:textId="0BF249E0" w:rsidR="00EB1844" w:rsidRPr="00B873E7" w:rsidRDefault="008D712D" w:rsidP="00927B4B">
                  <w:pPr>
                    <w:spacing w:before="0" w:after="0"/>
                    <w:jc w:val="center"/>
                    <w:rPr>
                      <w:rFonts w:cstheme="minorHAnsi"/>
                      <w:b/>
                      <w:bCs/>
                      <w:color w:val="000000" w:themeColor="text1"/>
                      <w:sz w:val="20"/>
                      <w:szCs w:val="20"/>
                      <w:lang w:val="es-ES"/>
                    </w:rPr>
                  </w:pPr>
                  <w:r w:rsidRPr="00B873E7">
                    <w:rPr>
                      <w:rFonts w:eastAsia="Times New Roman" w:cs="Arial"/>
                      <w:b/>
                      <w:bCs/>
                      <w:color w:val="000000"/>
                      <w:sz w:val="20"/>
                      <w:szCs w:val="20"/>
                      <w:lang w:eastAsia="es-MX"/>
                    </w:rPr>
                    <w:t xml:space="preserve">Año </w:t>
                  </w:r>
                  <w:r w:rsidR="00EB1844" w:rsidRPr="00B873E7">
                    <w:rPr>
                      <w:rFonts w:cstheme="minorHAnsi"/>
                      <w:b/>
                      <w:bCs/>
                      <w:color w:val="000000" w:themeColor="text1"/>
                      <w:sz w:val="20"/>
                      <w:szCs w:val="20"/>
                      <w:lang w:val="es-ES"/>
                    </w:rPr>
                    <w:t>2018</w:t>
                  </w:r>
                </w:p>
              </w:tc>
            </w:tr>
            <w:tr w:rsidR="00E1725D" w:rsidRPr="00B873E7" w14:paraId="33D2E3FA" w14:textId="77777777" w:rsidTr="008D712D">
              <w:trPr>
                <w:trHeight w:val="258"/>
              </w:trPr>
              <w:tc>
                <w:tcPr>
                  <w:tcW w:w="632" w:type="pct"/>
                  <w:vAlign w:val="center"/>
                </w:tcPr>
                <w:p w14:paraId="2E3AEC96" w14:textId="568C7519" w:rsidR="00E1725D" w:rsidRPr="00B873E7" w:rsidRDefault="00E1725D" w:rsidP="00E1725D">
                  <w:pPr>
                    <w:spacing w:before="0" w:after="0"/>
                    <w:rPr>
                      <w:rFonts w:cstheme="minorHAnsi"/>
                      <w:color w:val="000000"/>
                      <w:sz w:val="20"/>
                      <w:szCs w:val="20"/>
                      <w:lang w:val="es-ES"/>
                    </w:rPr>
                  </w:pPr>
                </w:p>
              </w:tc>
              <w:tc>
                <w:tcPr>
                  <w:tcW w:w="739" w:type="pct"/>
                </w:tcPr>
                <w:p w14:paraId="2592FC8D" w14:textId="5A5052FC" w:rsidR="00E1725D" w:rsidRPr="00B873E7" w:rsidRDefault="00E1725D" w:rsidP="00E1725D">
                  <w:pPr>
                    <w:spacing w:before="0" w:after="0"/>
                    <w:jc w:val="center"/>
                    <w:rPr>
                      <w:rFonts w:cstheme="minorHAnsi"/>
                      <w:color w:val="000000"/>
                      <w:sz w:val="20"/>
                      <w:szCs w:val="20"/>
                      <w:lang w:val="es-ES"/>
                    </w:rPr>
                  </w:pPr>
                </w:p>
              </w:tc>
              <w:tc>
                <w:tcPr>
                  <w:tcW w:w="445" w:type="pct"/>
                </w:tcPr>
                <w:p w14:paraId="12EF80B2" w14:textId="5F83B1FE" w:rsidR="00E1725D" w:rsidRPr="00B873E7" w:rsidRDefault="00E1725D" w:rsidP="00B83D08">
                  <w:pPr>
                    <w:spacing w:before="0" w:after="0"/>
                    <w:jc w:val="center"/>
                    <w:rPr>
                      <w:rFonts w:cstheme="minorHAnsi"/>
                      <w:b/>
                      <w:bCs/>
                      <w:color w:val="000000"/>
                      <w:sz w:val="20"/>
                      <w:szCs w:val="20"/>
                      <w:lang w:val="es-ES"/>
                    </w:rPr>
                  </w:pPr>
                </w:p>
              </w:tc>
              <w:tc>
                <w:tcPr>
                  <w:tcW w:w="637" w:type="pct"/>
                </w:tcPr>
                <w:p w14:paraId="0928ED7B" w14:textId="4F6B3958" w:rsidR="00E1725D" w:rsidRPr="00B873E7" w:rsidRDefault="00E1725D" w:rsidP="00B83D08">
                  <w:pPr>
                    <w:spacing w:before="0" w:after="0"/>
                    <w:jc w:val="center"/>
                    <w:rPr>
                      <w:rFonts w:cstheme="minorHAnsi"/>
                      <w:b/>
                      <w:bCs/>
                      <w:color w:val="000000"/>
                      <w:sz w:val="20"/>
                      <w:szCs w:val="20"/>
                      <w:lang w:val="es-ES"/>
                    </w:rPr>
                  </w:pPr>
                </w:p>
              </w:tc>
              <w:tc>
                <w:tcPr>
                  <w:tcW w:w="637" w:type="pct"/>
                </w:tcPr>
                <w:p w14:paraId="022B3FBC" w14:textId="55FC6994" w:rsidR="00E1725D" w:rsidRPr="00B873E7" w:rsidRDefault="00E1725D" w:rsidP="00B83D08">
                  <w:pPr>
                    <w:spacing w:before="0" w:after="0"/>
                    <w:jc w:val="center"/>
                    <w:rPr>
                      <w:rFonts w:cstheme="minorHAnsi"/>
                      <w:b/>
                      <w:bCs/>
                      <w:color w:val="000000"/>
                      <w:sz w:val="20"/>
                      <w:szCs w:val="20"/>
                      <w:lang w:val="es-ES"/>
                    </w:rPr>
                  </w:pPr>
                </w:p>
              </w:tc>
              <w:tc>
                <w:tcPr>
                  <w:tcW w:w="637" w:type="pct"/>
                </w:tcPr>
                <w:p w14:paraId="5038BDAD" w14:textId="252D4D55" w:rsidR="00E1725D" w:rsidRPr="00B873E7" w:rsidRDefault="00E1725D" w:rsidP="00B83D08">
                  <w:pPr>
                    <w:spacing w:before="0" w:after="0"/>
                    <w:jc w:val="center"/>
                    <w:rPr>
                      <w:rFonts w:cstheme="minorHAnsi"/>
                      <w:b/>
                      <w:bCs/>
                      <w:color w:val="000000"/>
                      <w:sz w:val="20"/>
                      <w:szCs w:val="20"/>
                      <w:lang w:val="es-ES"/>
                    </w:rPr>
                  </w:pPr>
                </w:p>
              </w:tc>
              <w:tc>
                <w:tcPr>
                  <w:tcW w:w="637" w:type="pct"/>
                </w:tcPr>
                <w:p w14:paraId="2BD18066" w14:textId="1EF7D82F" w:rsidR="00E1725D" w:rsidRPr="00B873E7" w:rsidRDefault="00E1725D" w:rsidP="00B83D08">
                  <w:pPr>
                    <w:spacing w:before="0" w:after="0"/>
                    <w:jc w:val="center"/>
                    <w:rPr>
                      <w:rFonts w:cstheme="minorHAnsi"/>
                      <w:b/>
                      <w:bCs/>
                      <w:color w:val="000000"/>
                      <w:sz w:val="20"/>
                      <w:szCs w:val="20"/>
                      <w:lang w:val="es-ES"/>
                    </w:rPr>
                  </w:pPr>
                </w:p>
              </w:tc>
              <w:tc>
                <w:tcPr>
                  <w:tcW w:w="636" w:type="pct"/>
                </w:tcPr>
                <w:p w14:paraId="1F379EC6" w14:textId="746D44DD" w:rsidR="00E1725D" w:rsidRPr="00B873E7" w:rsidRDefault="00E1725D" w:rsidP="00B83D08">
                  <w:pPr>
                    <w:spacing w:before="0" w:after="0"/>
                    <w:jc w:val="center"/>
                    <w:rPr>
                      <w:rFonts w:cstheme="minorHAnsi"/>
                      <w:b/>
                      <w:bCs/>
                      <w:color w:val="000000"/>
                      <w:sz w:val="20"/>
                      <w:szCs w:val="20"/>
                      <w:lang w:val="es-ES"/>
                    </w:rPr>
                  </w:pPr>
                </w:p>
              </w:tc>
            </w:tr>
            <w:tr w:rsidR="00E1725D" w:rsidRPr="00B873E7" w14:paraId="7F9CFAD4" w14:textId="77777777" w:rsidTr="008D712D">
              <w:trPr>
                <w:trHeight w:val="258"/>
              </w:trPr>
              <w:tc>
                <w:tcPr>
                  <w:tcW w:w="632" w:type="pct"/>
                  <w:vAlign w:val="center"/>
                </w:tcPr>
                <w:p w14:paraId="3C80C3B0" w14:textId="32FF3718" w:rsidR="00E1725D" w:rsidRPr="00B873E7" w:rsidRDefault="00E1725D" w:rsidP="00E1725D">
                  <w:pPr>
                    <w:spacing w:before="0" w:after="0"/>
                    <w:rPr>
                      <w:rFonts w:cstheme="minorHAnsi"/>
                      <w:color w:val="000000"/>
                      <w:sz w:val="20"/>
                      <w:szCs w:val="20"/>
                      <w:lang w:val="es-ES"/>
                    </w:rPr>
                  </w:pPr>
                </w:p>
              </w:tc>
              <w:tc>
                <w:tcPr>
                  <w:tcW w:w="739" w:type="pct"/>
                  <w:vAlign w:val="center"/>
                </w:tcPr>
                <w:p w14:paraId="32E016EC" w14:textId="589DA63C" w:rsidR="00E1725D" w:rsidRPr="00B873E7" w:rsidRDefault="00E1725D" w:rsidP="00E1725D">
                  <w:pPr>
                    <w:spacing w:before="0" w:after="0"/>
                    <w:jc w:val="center"/>
                    <w:rPr>
                      <w:rFonts w:cstheme="minorHAnsi"/>
                      <w:b/>
                      <w:bCs/>
                      <w:color w:val="000000"/>
                      <w:sz w:val="20"/>
                      <w:szCs w:val="20"/>
                      <w:lang w:val="es-ES"/>
                    </w:rPr>
                  </w:pPr>
                </w:p>
              </w:tc>
              <w:tc>
                <w:tcPr>
                  <w:tcW w:w="445" w:type="pct"/>
                </w:tcPr>
                <w:p w14:paraId="59DC295C" w14:textId="49D3ACEC" w:rsidR="00E1725D" w:rsidRPr="00B873E7" w:rsidRDefault="00E1725D" w:rsidP="00B83D08">
                  <w:pPr>
                    <w:spacing w:before="0" w:after="0"/>
                    <w:jc w:val="center"/>
                    <w:rPr>
                      <w:rFonts w:cstheme="minorHAnsi"/>
                      <w:color w:val="000000"/>
                      <w:sz w:val="20"/>
                      <w:szCs w:val="20"/>
                      <w:lang w:val="es-ES"/>
                    </w:rPr>
                  </w:pPr>
                </w:p>
              </w:tc>
              <w:tc>
                <w:tcPr>
                  <w:tcW w:w="637" w:type="pct"/>
                </w:tcPr>
                <w:p w14:paraId="6E2B8F27" w14:textId="42A833B0" w:rsidR="00E1725D" w:rsidRPr="00B873E7" w:rsidRDefault="00E1725D" w:rsidP="00B83D08">
                  <w:pPr>
                    <w:spacing w:before="0" w:after="0"/>
                    <w:jc w:val="center"/>
                    <w:rPr>
                      <w:rFonts w:cstheme="minorHAnsi"/>
                      <w:color w:val="000000"/>
                      <w:sz w:val="20"/>
                      <w:szCs w:val="20"/>
                      <w:lang w:val="es-ES"/>
                    </w:rPr>
                  </w:pPr>
                </w:p>
              </w:tc>
              <w:tc>
                <w:tcPr>
                  <w:tcW w:w="637" w:type="pct"/>
                </w:tcPr>
                <w:p w14:paraId="181FB81E" w14:textId="6967800C" w:rsidR="00E1725D" w:rsidRPr="00B873E7" w:rsidRDefault="00E1725D" w:rsidP="00B83D08">
                  <w:pPr>
                    <w:spacing w:before="0" w:after="0"/>
                    <w:jc w:val="center"/>
                    <w:rPr>
                      <w:rFonts w:cstheme="minorHAnsi"/>
                      <w:color w:val="000000"/>
                      <w:sz w:val="20"/>
                      <w:szCs w:val="20"/>
                      <w:lang w:val="es-ES"/>
                    </w:rPr>
                  </w:pPr>
                </w:p>
              </w:tc>
              <w:tc>
                <w:tcPr>
                  <w:tcW w:w="637" w:type="pct"/>
                </w:tcPr>
                <w:p w14:paraId="13E70E93" w14:textId="6DD6EDA3" w:rsidR="00E1725D" w:rsidRPr="00B873E7" w:rsidRDefault="00E1725D" w:rsidP="00B83D08">
                  <w:pPr>
                    <w:spacing w:before="0" w:after="0"/>
                    <w:jc w:val="center"/>
                    <w:rPr>
                      <w:rFonts w:cstheme="minorHAnsi"/>
                      <w:color w:val="000000"/>
                      <w:sz w:val="20"/>
                      <w:szCs w:val="20"/>
                      <w:lang w:val="es-ES"/>
                    </w:rPr>
                  </w:pPr>
                </w:p>
              </w:tc>
              <w:tc>
                <w:tcPr>
                  <w:tcW w:w="637" w:type="pct"/>
                </w:tcPr>
                <w:p w14:paraId="2226CF4F" w14:textId="58988298" w:rsidR="00E1725D" w:rsidRPr="00B873E7" w:rsidRDefault="00E1725D" w:rsidP="00B83D08">
                  <w:pPr>
                    <w:spacing w:before="0" w:after="0"/>
                    <w:jc w:val="center"/>
                    <w:rPr>
                      <w:rFonts w:cstheme="minorHAnsi"/>
                      <w:color w:val="000000"/>
                      <w:sz w:val="20"/>
                      <w:szCs w:val="20"/>
                      <w:lang w:val="es-ES"/>
                    </w:rPr>
                  </w:pPr>
                </w:p>
              </w:tc>
              <w:tc>
                <w:tcPr>
                  <w:tcW w:w="636" w:type="pct"/>
                </w:tcPr>
                <w:p w14:paraId="45EBBC20" w14:textId="65751AF8" w:rsidR="00E1725D" w:rsidRPr="00B873E7" w:rsidRDefault="00E1725D" w:rsidP="00B83D08">
                  <w:pPr>
                    <w:spacing w:before="0" w:after="0"/>
                    <w:jc w:val="center"/>
                    <w:rPr>
                      <w:rFonts w:cstheme="minorHAnsi"/>
                      <w:color w:val="000000"/>
                      <w:sz w:val="20"/>
                      <w:szCs w:val="20"/>
                      <w:lang w:val="es-ES"/>
                    </w:rPr>
                  </w:pPr>
                </w:p>
              </w:tc>
            </w:tr>
            <w:tr w:rsidR="00E1725D" w:rsidRPr="00B873E7" w14:paraId="6124D22B" w14:textId="77777777" w:rsidTr="008D712D">
              <w:trPr>
                <w:trHeight w:val="258"/>
              </w:trPr>
              <w:tc>
                <w:tcPr>
                  <w:tcW w:w="632" w:type="pct"/>
                  <w:vAlign w:val="center"/>
                </w:tcPr>
                <w:p w14:paraId="444F83BD" w14:textId="477B1EE8" w:rsidR="00E1725D" w:rsidRPr="00B873E7" w:rsidRDefault="00E1725D" w:rsidP="00E1725D">
                  <w:pPr>
                    <w:spacing w:before="0" w:after="0"/>
                    <w:rPr>
                      <w:rFonts w:cstheme="minorHAnsi"/>
                      <w:color w:val="000000"/>
                      <w:sz w:val="20"/>
                      <w:szCs w:val="20"/>
                      <w:lang w:val="es-ES"/>
                    </w:rPr>
                  </w:pPr>
                </w:p>
              </w:tc>
              <w:tc>
                <w:tcPr>
                  <w:tcW w:w="739" w:type="pct"/>
                </w:tcPr>
                <w:p w14:paraId="397DB2B7" w14:textId="033FF3DD" w:rsidR="00E1725D" w:rsidRPr="00B873E7" w:rsidRDefault="00E1725D" w:rsidP="00E1725D">
                  <w:pPr>
                    <w:spacing w:before="0" w:after="0"/>
                    <w:jc w:val="center"/>
                    <w:rPr>
                      <w:rFonts w:cstheme="minorHAnsi"/>
                      <w:b/>
                      <w:bCs/>
                      <w:color w:val="000000"/>
                      <w:sz w:val="20"/>
                      <w:szCs w:val="20"/>
                      <w:lang w:val="es-ES"/>
                    </w:rPr>
                  </w:pPr>
                </w:p>
              </w:tc>
              <w:tc>
                <w:tcPr>
                  <w:tcW w:w="445" w:type="pct"/>
                </w:tcPr>
                <w:p w14:paraId="263DF425" w14:textId="6CE40926" w:rsidR="00E1725D" w:rsidRPr="00B873E7" w:rsidRDefault="00E1725D" w:rsidP="00B83D08">
                  <w:pPr>
                    <w:spacing w:before="0" w:after="0"/>
                    <w:jc w:val="center"/>
                    <w:rPr>
                      <w:rFonts w:cstheme="minorHAnsi"/>
                      <w:b/>
                      <w:bCs/>
                      <w:color w:val="000000"/>
                      <w:sz w:val="20"/>
                      <w:szCs w:val="20"/>
                      <w:lang w:val="es-ES"/>
                    </w:rPr>
                  </w:pPr>
                </w:p>
              </w:tc>
              <w:tc>
                <w:tcPr>
                  <w:tcW w:w="637" w:type="pct"/>
                </w:tcPr>
                <w:p w14:paraId="31CBE4DE" w14:textId="5012661B" w:rsidR="00E1725D" w:rsidRPr="00B873E7" w:rsidRDefault="00E1725D" w:rsidP="00B83D08">
                  <w:pPr>
                    <w:spacing w:before="0" w:after="0"/>
                    <w:jc w:val="center"/>
                    <w:rPr>
                      <w:rFonts w:cstheme="minorHAnsi"/>
                      <w:b/>
                      <w:bCs/>
                      <w:color w:val="000000"/>
                      <w:sz w:val="20"/>
                      <w:szCs w:val="20"/>
                      <w:lang w:val="es-ES"/>
                    </w:rPr>
                  </w:pPr>
                </w:p>
              </w:tc>
              <w:tc>
                <w:tcPr>
                  <w:tcW w:w="637" w:type="pct"/>
                </w:tcPr>
                <w:p w14:paraId="7617DFAD" w14:textId="410AA2C0" w:rsidR="00E1725D" w:rsidRPr="00B873E7" w:rsidRDefault="00E1725D" w:rsidP="00B83D08">
                  <w:pPr>
                    <w:spacing w:before="0" w:after="0"/>
                    <w:jc w:val="center"/>
                    <w:rPr>
                      <w:rFonts w:cstheme="minorHAnsi"/>
                      <w:b/>
                      <w:bCs/>
                      <w:color w:val="000000"/>
                      <w:sz w:val="20"/>
                      <w:szCs w:val="20"/>
                      <w:lang w:val="es-ES"/>
                    </w:rPr>
                  </w:pPr>
                </w:p>
              </w:tc>
              <w:tc>
                <w:tcPr>
                  <w:tcW w:w="637" w:type="pct"/>
                </w:tcPr>
                <w:p w14:paraId="0CECF78C" w14:textId="545E4F07" w:rsidR="00E1725D" w:rsidRPr="00B873E7" w:rsidRDefault="00E1725D" w:rsidP="00B83D08">
                  <w:pPr>
                    <w:spacing w:before="0" w:after="0"/>
                    <w:jc w:val="center"/>
                    <w:rPr>
                      <w:rFonts w:cstheme="minorHAnsi"/>
                      <w:b/>
                      <w:bCs/>
                      <w:color w:val="000000"/>
                      <w:sz w:val="20"/>
                      <w:szCs w:val="20"/>
                      <w:lang w:val="es-ES"/>
                    </w:rPr>
                  </w:pPr>
                </w:p>
              </w:tc>
              <w:tc>
                <w:tcPr>
                  <w:tcW w:w="637" w:type="pct"/>
                </w:tcPr>
                <w:p w14:paraId="79E16789" w14:textId="60A5D161" w:rsidR="00E1725D" w:rsidRPr="00B873E7" w:rsidRDefault="00E1725D" w:rsidP="00B83D08">
                  <w:pPr>
                    <w:spacing w:before="0" w:after="0"/>
                    <w:jc w:val="center"/>
                    <w:rPr>
                      <w:rFonts w:cstheme="minorHAnsi"/>
                      <w:b/>
                      <w:bCs/>
                      <w:color w:val="000000"/>
                      <w:sz w:val="20"/>
                      <w:szCs w:val="20"/>
                      <w:lang w:val="es-ES"/>
                    </w:rPr>
                  </w:pPr>
                </w:p>
              </w:tc>
              <w:tc>
                <w:tcPr>
                  <w:tcW w:w="636" w:type="pct"/>
                </w:tcPr>
                <w:p w14:paraId="574DDD04" w14:textId="03F171C2" w:rsidR="00E1725D" w:rsidRPr="00B873E7" w:rsidRDefault="00E1725D" w:rsidP="00B83D08">
                  <w:pPr>
                    <w:spacing w:before="0" w:after="0"/>
                    <w:jc w:val="center"/>
                    <w:rPr>
                      <w:rFonts w:cstheme="minorHAnsi"/>
                      <w:b/>
                      <w:bCs/>
                      <w:color w:val="000000"/>
                      <w:sz w:val="20"/>
                      <w:szCs w:val="20"/>
                      <w:lang w:val="es-ES"/>
                    </w:rPr>
                  </w:pPr>
                </w:p>
              </w:tc>
            </w:tr>
            <w:tr w:rsidR="00E1725D" w:rsidRPr="00B873E7" w14:paraId="5CA76856" w14:textId="77777777" w:rsidTr="008D712D">
              <w:trPr>
                <w:trHeight w:val="258"/>
              </w:trPr>
              <w:tc>
                <w:tcPr>
                  <w:tcW w:w="632" w:type="pct"/>
                  <w:vAlign w:val="center"/>
                </w:tcPr>
                <w:p w14:paraId="5C9FB527" w14:textId="666CA124" w:rsidR="00E1725D" w:rsidRPr="00B873E7" w:rsidRDefault="00E1725D" w:rsidP="00E1725D">
                  <w:pPr>
                    <w:spacing w:before="0" w:after="0"/>
                    <w:rPr>
                      <w:rFonts w:cstheme="minorHAnsi"/>
                      <w:color w:val="000000"/>
                      <w:sz w:val="20"/>
                      <w:szCs w:val="20"/>
                      <w:lang w:val="es-ES"/>
                    </w:rPr>
                  </w:pPr>
                </w:p>
              </w:tc>
              <w:tc>
                <w:tcPr>
                  <w:tcW w:w="739" w:type="pct"/>
                  <w:vAlign w:val="center"/>
                </w:tcPr>
                <w:p w14:paraId="75F58AD5" w14:textId="312152A7" w:rsidR="00E1725D" w:rsidRPr="00B873E7" w:rsidRDefault="00E1725D" w:rsidP="00E1725D">
                  <w:pPr>
                    <w:spacing w:before="0" w:after="0"/>
                    <w:jc w:val="center"/>
                    <w:rPr>
                      <w:rFonts w:cstheme="minorHAnsi"/>
                      <w:sz w:val="20"/>
                      <w:szCs w:val="20"/>
                      <w:lang w:val="es-ES"/>
                    </w:rPr>
                  </w:pPr>
                </w:p>
              </w:tc>
              <w:tc>
                <w:tcPr>
                  <w:tcW w:w="445" w:type="pct"/>
                </w:tcPr>
                <w:p w14:paraId="67DBFC45" w14:textId="3A142021" w:rsidR="00E1725D" w:rsidRPr="00B873E7" w:rsidRDefault="00E1725D" w:rsidP="00B83D08">
                  <w:pPr>
                    <w:spacing w:before="0" w:after="0"/>
                    <w:jc w:val="center"/>
                    <w:rPr>
                      <w:rFonts w:cstheme="minorHAnsi"/>
                      <w:sz w:val="20"/>
                      <w:szCs w:val="20"/>
                    </w:rPr>
                  </w:pPr>
                </w:p>
              </w:tc>
              <w:tc>
                <w:tcPr>
                  <w:tcW w:w="637" w:type="pct"/>
                </w:tcPr>
                <w:p w14:paraId="7D69DCAC" w14:textId="6D5391FA" w:rsidR="00E1725D" w:rsidRPr="00B873E7" w:rsidRDefault="00E1725D" w:rsidP="00B83D08">
                  <w:pPr>
                    <w:spacing w:before="0" w:after="0"/>
                    <w:jc w:val="center"/>
                    <w:rPr>
                      <w:rFonts w:cstheme="minorHAnsi"/>
                      <w:sz w:val="20"/>
                      <w:szCs w:val="20"/>
                    </w:rPr>
                  </w:pPr>
                </w:p>
              </w:tc>
              <w:tc>
                <w:tcPr>
                  <w:tcW w:w="637" w:type="pct"/>
                </w:tcPr>
                <w:p w14:paraId="6143AB1E" w14:textId="229FF3AA" w:rsidR="00E1725D" w:rsidRPr="00B873E7" w:rsidRDefault="00E1725D" w:rsidP="00B83D08">
                  <w:pPr>
                    <w:spacing w:before="0" w:after="0"/>
                    <w:jc w:val="center"/>
                    <w:rPr>
                      <w:rFonts w:cstheme="minorHAnsi"/>
                      <w:sz w:val="20"/>
                      <w:szCs w:val="20"/>
                    </w:rPr>
                  </w:pPr>
                </w:p>
              </w:tc>
              <w:tc>
                <w:tcPr>
                  <w:tcW w:w="637" w:type="pct"/>
                </w:tcPr>
                <w:p w14:paraId="7C0888D1" w14:textId="058A3856" w:rsidR="00E1725D" w:rsidRPr="00B873E7" w:rsidRDefault="00E1725D" w:rsidP="00B83D08">
                  <w:pPr>
                    <w:spacing w:before="0" w:after="0"/>
                    <w:jc w:val="center"/>
                    <w:rPr>
                      <w:rFonts w:cstheme="minorHAnsi"/>
                      <w:sz w:val="20"/>
                      <w:szCs w:val="20"/>
                    </w:rPr>
                  </w:pPr>
                </w:p>
              </w:tc>
              <w:tc>
                <w:tcPr>
                  <w:tcW w:w="637" w:type="pct"/>
                </w:tcPr>
                <w:p w14:paraId="6E75C1D8" w14:textId="71CDF704" w:rsidR="00E1725D" w:rsidRPr="00B873E7" w:rsidRDefault="00E1725D" w:rsidP="00B83D08">
                  <w:pPr>
                    <w:spacing w:before="0" w:after="0"/>
                    <w:jc w:val="center"/>
                    <w:rPr>
                      <w:rFonts w:cstheme="minorHAnsi"/>
                      <w:sz w:val="20"/>
                      <w:szCs w:val="20"/>
                      <w:lang w:val="es-ES"/>
                    </w:rPr>
                  </w:pPr>
                </w:p>
              </w:tc>
              <w:tc>
                <w:tcPr>
                  <w:tcW w:w="636" w:type="pct"/>
                </w:tcPr>
                <w:p w14:paraId="369A687E" w14:textId="595D77E8" w:rsidR="00E1725D" w:rsidRPr="00B873E7" w:rsidRDefault="00E1725D" w:rsidP="00B83D08">
                  <w:pPr>
                    <w:spacing w:before="0" w:after="0"/>
                    <w:jc w:val="center"/>
                    <w:rPr>
                      <w:rFonts w:cstheme="minorHAnsi"/>
                      <w:sz w:val="20"/>
                      <w:szCs w:val="20"/>
                      <w:lang w:val="es-ES"/>
                    </w:rPr>
                  </w:pPr>
                </w:p>
              </w:tc>
            </w:tr>
          </w:tbl>
          <w:p w14:paraId="1D5A9EC9" w14:textId="77777777" w:rsidR="00EB1844" w:rsidRPr="00B873E7" w:rsidRDefault="00EB1844" w:rsidP="00927B4B">
            <w:pPr>
              <w:spacing w:before="0" w:after="0"/>
              <w:rPr>
                <w:rFonts w:cstheme="minorHAnsi"/>
                <w:b/>
                <w:bCs/>
                <w:color w:val="000000"/>
                <w:lang w:val="es-ES"/>
              </w:rPr>
            </w:pPr>
          </w:p>
        </w:tc>
      </w:tr>
    </w:tbl>
    <w:p w14:paraId="41E0BB07" w14:textId="1766BC51" w:rsidR="00987184" w:rsidRPr="00B873E7" w:rsidRDefault="00987184" w:rsidP="00987184">
      <w:pPr>
        <w:spacing w:before="60" w:after="0"/>
        <w:rPr>
          <w:sz w:val="18"/>
          <w:szCs w:val="18"/>
        </w:rPr>
      </w:pPr>
      <w:r w:rsidRPr="00B873E7">
        <w:rPr>
          <w:rStyle w:val="normaltextrun"/>
          <w:rFonts w:ascii="Calibri" w:hAnsi="Calibri" w:cs="Calibri"/>
          <w:i/>
          <w:iCs/>
          <w:color w:val="000000"/>
          <w:sz w:val="18"/>
          <w:szCs w:val="18"/>
          <w:shd w:val="clear" w:color="auto" w:fill="FFFFFF"/>
        </w:rPr>
        <w:t xml:space="preserve">(Nota: Se debe incluir la información para todos aquellos años disponibles (considerando la administración actual y por lo menos una anterior) y se debe elaborar un cuadro por cada rubro de inversión en el </w:t>
      </w:r>
      <w:r w:rsidR="00FA1B3F">
        <w:rPr>
          <w:rStyle w:val="normaltextrun"/>
          <w:rFonts w:ascii="Calibri" w:hAnsi="Calibri" w:cs="Calibri"/>
          <w:i/>
          <w:iCs/>
          <w:color w:val="000000"/>
          <w:sz w:val="18"/>
          <w:szCs w:val="18"/>
          <w:shd w:val="clear" w:color="auto" w:fill="FFFFFF"/>
        </w:rPr>
        <w:t>E</w:t>
      </w:r>
      <w:r w:rsidRPr="00B873E7">
        <w:rPr>
          <w:rStyle w:val="normaltextrun"/>
          <w:rFonts w:ascii="Calibri" w:hAnsi="Calibri" w:cs="Calibri"/>
          <w:i/>
          <w:iCs/>
          <w:color w:val="000000"/>
          <w:sz w:val="18"/>
          <w:szCs w:val="18"/>
          <w:shd w:val="clear" w:color="auto" w:fill="FFFFFF"/>
        </w:rPr>
        <w:t>stado de acuerdo con el Artículo 47 de la LCF).</w:t>
      </w:r>
      <w:r w:rsidRPr="00B873E7">
        <w:rPr>
          <w:rStyle w:val="eop"/>
          <w:rFonts w:ascii="Calibri" w:hAnsi="Calibri" w:cs="Calibri"/>
          <w:color w:val="000000"/>
          <w:sz w:val="18"/>
          <w:szCs w:val="18"/>
          <w:shd w:val="clear" w:color="auto" w:fill="FFFFFF"/>
        </w:rPr>
        <w:t> </w:t>
      </w:r>
    </w:p>
    <w:p w14:paraId="091885D0" w14:textId="375ED1E7" w:rsidR="00DB48E2" w:rsidRPr="00B873E7" w:rsidRDefault="00DB48E2" w:rsidP="00E75A9F">
      <w:r w:rsidRPr="00B873E7">
        <w:rPr>
          <w:rFonts w:cstheme="minorHAnsi"/>
          <w:color w:val="000000" w:themeColor="text1"/>
        </w:rPr>
        <w:t xml:space="preserve">En la entidad federativa, no se dispone de una definición precisa de la población potencial, objetivo y </w:t>
      </w:r>
      <w:r w:rsidR="003C776C" w:rsidRPr="00B873E7">
        <w:rPr>
          <w:rFonts w:cstheme="minorHAnsi"/>
          <w:color w:val="000000" w:themeColor="text1"/>
        </w:rPr>
        <w:t>atendid</w:t>
      </w:r>
      <w:r w:rsidR="003C776C">
        <w:rPr>
          <w:rFonts w:cstheme="minorHAnsi"/>
          <w:color w:val="000000" w:themeColor="text1"/>
        </w:rPr>
        <w:t>a</w:t>
      </w:r>
      <w:r w:rsidRPr="00B873E7">
        <w:rPr>
          <w:rFonts w:cstheme="minorHAnsi"/>
          <w:color w:val="000000" w:themeColor="text1"/>
        </w:rPr>
        <w:t>, por lo que no se ha definido ni cuantificado a la población potencial y objetivo por rubro de gasto</w:t>
      </w:r>
      <w:r w:rsidR="0041685D" w:rsidRPr="00B873E7">
        <w:rPr>
          <w:rFonts w:cstheme="minorHAnsi"/>
          <w:color w:val="000000" w:themeColor="text1"/>
        </w:rPr>
        <w:t>, tampoco se tiene cuantificada la población para cada uno de los 17</w:t>
      </w:r>
      <w:r w:rsidRPr="00B873E7">
        <w:rPr>
          <w:rFonts w:cstheme="minorHAnsi"/>
          <w:color w:val="000000" w:themeColor="text1"/>
        </w:rPr>
        <w:t xml:space="preserve"> Pp que recibe financiamiento del Fondo.</w:t>
      </w:r>
    </w:p>
    <w:p w14:paraId="072B1985" w14:textId="7D0CB70C" w:rsidR="002B6303" w:rsidRDefault="002B6303" w:rsidP="00E75A9F">
      <w:pPr>
        <w:rPr>
          <w:rFonts w:cstheme="minorHAnsi"/>
          <w:color w:val="000000" w:themeColor="text1"/>
        </w:rPr>
      </w:pPr>
      <w:r w:rsidRPr="00B873E7">
        <w:t xml:space="preserve">Previo al ejercicio 2016, en Hidalgo no se contaba con la definición y cuantificación de las poblaciones potencial, objetivo y atendida, que permitiera conocer el avance de cobertura del Fondo en el Estado. Las definiciones de los tres tipos de población (potencial, objetivo y atendida), se propusieron al interior del Estado a finales del ejercicio fiscal 2016, para que entraran en vigor en el ejercicio 2017. En el plan de trabajo realizado para solventar las recomendaciones de la evaluación 2015 realizada al Fondo, se definió y cuantificó a la población potencial, objetivo y atendida como a la población total del Estado de Hidalgo. Dado que los tres tipos de población corresponden a la misma definición y cuantificación esta no permite visualizar el avance de la cobertura que han tenido los recursos del FAFEF en la población de la entidad federativa. Posteriormente, la Evaluación </w:t>
      </w:r>
      <w:r w:rsidRPr="00B873E7">
        <w:rPr>
          <w:rFonts w:cstheme="minorHAnsi"/>
          <w:color w:val="000000" w:themeColor="text1"/>
        </w:rPr>
        <w:t xml:space="preserve">Específica de Desempeño realizada en el </w:t>
      </w:r>
      <w:r w:rsidR="00FA1B3F">
        <w:rPr>
          <w:rFonts w:cstheme="minorHAnsi"/>
          <w:color w:val="000000" w:themeColor="text1"/>
        </w:rPr>
        <w:t>E</w:t>
      </w:r>
      <w:r w:rsidRPr="00B873E7">
        <w:rPr>
          <w:rFonts w:cstheme="minorHAnsi"/>
          <w:color w:val="000000" w:themeColor="text1"/>
        </w:rPr>
        <w:t>stado al FAFEF en 2018 recomienda utilizar como población potencial a todos los habitantes del Estado de Hidalgo; como la población objetivo a todo aquel municipio que haya solicitado cierta obra o acción perteneciente al Fondo; y finalmente, como población atendida a todos aquellos habitantes de los municipios que se hayan visto beneficiados con alguna obra y/o acción financiada con recursos del FAFEF. Sin embargo, está definición no cumple con el objetivo de contar con una base poblacional para la planeación del ejercicio de los recursos y la elaboración de planes estratégicos para su atención</w:t>
      </w:r>
      <w:r w:rsidR="00DB48E2" w:rsidRPr="00B873E7">
        <w:rPr>
          <w:rFonts w:cstheme="minorHAnsi"/>
          <w:color w:val="000000" w:themeColor="text1"/>
        </w:rPr>
        <w:t>.</w:t>
      </w:r>
      <w:r w:rsidR="00DB48E2">
        <w:rPr>
          <w:rFonts w:cstheme="minorHAnsi"/>
          <w:color w:val="000000" w:themeColor="text1"/>
        </w:rPr>
        <w:t xml:space="preserve"> </w:t>
      </w:r>
    </w:p>
    <w:p w14:paraId="4E2E3A5B" w14:textId="6BD73B1F" w:rsidR="00EB1844" w:rsidRDefault="00B873E7" w:rsidP="005E1463">
      <w:pPr>
        <w:rPr>
          <w:rFonts w:cstheme="minorHAnsi"/>
        </w:rPr>
      </w:pPr>
      <w:r w:rsidRPr="00260902">
        <w:rPr>
          <w:rFonts w:cstheme="minorHAnsi"/>
        </w:rPr>
        <w:t>Considerando lo anterior, no se cuenta con información que permita valorar la evolución de la cobertura del FAFEF en la entidad federativa, por cada rubro de gasto o por cada Pp que recibe financiamiento del Fondo</w:t>
      </w:r>
      <w:r>
        <w:rPr>
          <w:rFonts w:cstheme="minorHAnsi"/>
        </w:rPr>
        <w:t>.</w:t>
      </w:r>
      <w:r w:rsidR="00EB1844">
        <w:rPr>
          <w:rFonts w:cstheme="minorHAnsi"/>
        </w:rPr>
        <w:br w:type="page"/>
      </w:r>
    </w:p>
    <w:p w14:paraId="5E818C46" w14:textId="77777777" w:rsidR="00EB1844" w:rsidRDefault="00EB1844" w:rsidP="00EB1844">
      <w:pPr>
        <w:pStyle w:val="Anexos"/>
        <w:sectPr w:rsidR="00EB1844" w:rsidSect="008063B1">
          <w:headerReference w:type="default" r:id="rId52"/>
          <w:footerReference w:type="default" r:id="rId53"/>
          <w:pgSz w:w="15840" w:h="12240" w:orient="landscape" w:code="1"/>
          <w:pgMar w:top="1134" w:right="1134" w:bottom="1134" w:left="1134" w:header="709" w:footer="709" w:gutter="0"/>
          <w:cols w:space="708"/>
          <w:docGrid w:linePitch="360"/>
        </w:sectPr>
      </w:pPr>
      <w:bookmarkStart w:id="123" w:name="_Toc45480708"/>
    </w:p>
    <w:p w14:paraId="2AEF43C1" w14:textId="77777777" w:rsidR="00EB1844" w:rsidRPr="009F1F87" w:rsidRDefault="00EB1844" w:rsidP="00A44AB3">
      <w:pPr>
        <w:pStyle w:val="Anexos"/>
        <w:spacing w:after="120"/>
        <w:rPr>
          <w:i w:val="0"/>
          <w:iCs/>
        </w:rPr>
      </w:pPr>
      <w:bookmarkStart w:id="124" w:name="_Toc45480707"/>
      <w:bookmarkStart w:id="125" w:name="_Toc54262975"/>
      <w:bookmarkStart w:id="126" w:name="_Toc55497587"/>
      <w:bookmarkStart w:id="127" w:name="_Toc55542098"/>
      <w:bookmarkStart w:id="128" w:name="_Toc56423508"/>
      <w:bookmarkStart w:id="129" w:name="_Toc56423719"/>
      <w:bookmarkStart w:id="130" w:name="_Toc56449870"/>
      <w:r w:rsidRPr="009F1F87">
        <w:rPr>
          <w:i w:val="0"/>
          <w:iCs/>
        </w:rPr>
        <w:lastRenderedPageBreak/>
        <w:t>Anexo 5. Diagramas de flujo de la coordinación del Fondo</w:t>
      </w:r>
      <w:bookmarkEnd w:id="124"/>
      <w:bookmarkEnd w:id="125"/>
      <w:bookmarkEnd w:id="126"/>
      <w:bookmarkEnd w:id="127"/>
      <w:bookmarkEnd w:id="128"/>
      <w:bookmarkEnd w:id="129"/>
      <w:bookmarkEnd w:id="130"/>
    </w:p>
    <w:p w14:paraId="5A8E505A" w14:textId="77777777" w:rsidR="004D36C7" w:rsidRPr="00E108D0" w:rsidRDefault="004D36C7" w:rsidP="004D36C7">
      <w:pPr>
        <w:spacing w:after="360"/>
        <w:jc w:val="center"/>
        <w:rPr>
          <w:b/>
          <w:bCs/>
        </w:rPr>
      </w:pPr>
      <w:bookmarkStart w:id="131" w:name="_Hlk55385860"/>
      <w:r w:rsidRPr="00E108D0">
        <w:rPr>
          <w:b/>
          <w:bCs/>
        </w:rPr>
        <w:t>a) Diagrama de Alto Nivel (Diagrama PEPSU)</w:t>
      </w:r>
      <w:r w:rsidRPr="00E108D0">
        <w:rPr>
          <w:b/>
          <w:bCs/>
          <w:vertAlign w:val="superscript"/>
        </w:rPr>
        <w:t>1</w:t>
      </w:r>
    </w:p>
    <w:bookmarkEnd w:id="131"/>
    <w:tbl>
      <w:tblPr>
        <w:tblW w:w="51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2"/>
        <w:gridCol w:w="1987"/>
        <w:gridCol w:w="2550"/>
        <w:gridCol w:w="3686"/>
        <w:gridCol w:w="2691"/>
        <w:gridCol w:w="2411"/>
      </w:tblGrid>
      <w:tr w:rsidR="00EB1844" w:rsidRPr="00074BB0" w14:paraId="5412E497" w14:textId="77777777" w:rsidTr="006A72DC">
        <w:trPr>
          <w:trHeight w:val="136"/>
          <w:tblHeader/>
        </w:trPr>
        <w:tc>
          <w:tcPr>
            <w:tcW w:w="202" w:type="pct"/>
            <w:tcBorders>
              <w:top w:val="single" w:sz="4" w:space="0" w:color="auto"/>
              <w:left w:val="single" w:sz="4" w:space="0" w:color="auto"/>
              <w:bottom w:val="single" w:sz="4" w:space="0" w:color="auto"/>
              <w:right w:val="single" w:sz="4" w:space="0" w:color="auto"/>
            </w:tcBorders>
            <w:shd w:val="clear" w:color="auto" w:fill="9CC2E5"/>
          </w:tcPr>
          <w:p w14:paraId="027BBF00" w14:textId="77777777" w:rsidR="00EB1844" w:rsidRPr="00324399" w:rsidRDefault="00EB1844" w:rsidP="00927B4B">
            <w:pPr>
              <w:spacing w:before="0" w:after="0"/>
              <w:jc w:val="center"/>
              <w:rPr>
                <w:rFonts w:eastAsia="Times New Roman" w:cstheme="minorHAnsi"/>
                <w:b/>
                <w:bCs/>
                <w:sz w:val="20"/>
                <w:szCs w:val="20"/>
                <w:lang w:eastAsia="es-MX"/>
              </w:rPr>
            </w:pPr>
          </w:p>
        </w:tc>
        <w:tc>
          <w:tcPr>
            <w:tcW w:w="715" w:type="pct"/>
            <w:tcBorders>
              <w:top w:val="single" w:sz="4" w:space="0" w:color="auto"/>
              <w:left w:val="single" w:sz="4" w:space="0" w:color="auto"/>
              <w:bottom w:val="single" w:sz="4" w:space="0" w:color="auto"/>
              <w:right w:val="single" w:sz="4" w:space="0" w:color="auto"/>
            </w:tcBorders>
            <w:shd w:val="clear" w:color="auto" w:fill="9CC2E5"/>
            <w:hideMark/>
          </w:tcPr>
          <w:p w14:paraId="605B108E" w14:textId="77777777" w:rsidR="00EB1844" w:rsidRPr="00324399" w:rsidRDefault="00EB1844" w:rsidP="00927B4B">
            <w:pPr>
              <w:spacing w:before="0" w:after="0"/>
              <w:jc w:val="center"/>
              <w:rPr>
                <w:rFonts w:eastAsia="Times New Roman" w:cstheme="minorHAnsi"/>
                <w:b/>
                <w:bCs/>
                <w:sz w:val="20"/>
                <w:szCs w:val="20"/>
                <w:lang w:eastAsia="es-MX"/>
              </w:rPr>
            </w:pPr>
            <w:r w:rsidRPr="00324399">
              <w:rPr>
                <w:rFonts w:eastAsia="Times New Roman" w:cstheme="minorHAnsi"/>
                <w:b/>
                <w:bCs/>
                <w:sz w:val="20"/>
                <w:szCs w:val="20"/>
                <w:lang w:eastAsia="es-MX"/>
              </w:rPr>
              <w:t>Proveedor</w:t>
            </w:r>
          </w:p>
        </w:tc>
        <w:tc>
          <w:tcPr>
            <w:tcW w:w="918" w:type="pct"/>
            <w:tcBorders>
              <w:top w:val="single" w:sz="4" w:space="0" w:color="auto"/>
              <w:left w:val="single" w:sz="4" w:space="0" w:color="auto"/>
              <w:right w:val="single" w:sz="4" w:space="0" w:color="auto"/>
            </w:tcBorders>
            <w:shd w:val="clear" w:color="auto" w:fill="9CC2E5"/>
          </w:tcPr>
          <w:p w14:paraId="20970237" w14:textId="77777777" w:rsidR="00EB1844" w:rsidRPr="00324399" w:rsidRDefault="00EB1844" w:rsidP="00927B4B">
            <w:pPr>
              <w:spacing w:before="0" w:after="0"/>
              <w:jc w:val="center"/>
              <w:rPr>
                <w:rFonts w:eastAsia="Times New Roman" w:cstheme="minorHAnsi"/>
                <w:b/>
                <w:bCs/>
                <w:sz w:val="20"/>
                <w:szCs w:val="20"/>
                <w:lang w:eastAsia="es-MX"/>
              </w:rPr>
            </w:pPr>
            <w:r w:rsidRPr="00324399">
              <w:rPr>
                <w:rFonts w:eastAsia="Times New Roman" w:cstheme="minorHAnsi"/>
                <w:b/>
                <w:bCs/>
                <w:sz w:val="20"/>
                <w:szCs w:val="20"/>
                <w:lang w:eastAsia="es-MX"/>
              </w:rPr>
              <w:t>Entrada</w:t>
            </w:r>
          </w:p>
        </w:tc>
        <w:tc>
          <w:tcPr>
            <w:tcW w:w="1327" w:type="pct"/>
            <w:tcBorders>
              <w:top w:val="single" w:sz="4" w:space="0" w:color="auto"/>
              <w:left w:val="single" w:sz="4" w:space="0" w:color="auto"/>
              <w:bottom w:val="single" w:sz="4" w:space="0" w:color="auto"/>
              <w:right w:val="single" w:sz="4" w:space="0" w:color="auto"/>
            </w:tcBorders>
            <w:shd w:val="clear" w:color="auto" w:fill="9CC2E5"/>
            <w:hideMark/>
          </w:tcPr>
          <w:p w14:paraId="5C3CAE4D" w14:textId="77777777" w:rsidR="00EB1844" w:rsidRPr="00324399" w:rsidRDefault="00EB1844" w:rsidP="00927B4B">
            <w:pPr>
              <w:spacing w:before="0" w:after="0"/>
              <w:jc w:val="center"/>
              <w:rPr>
                <w:rFonts w:eastAsia="Times New Roman" w:cstheme="minorHAnsi"/>
                <w:b/>
                <w:bCs/>
                <w:sz w:val="20"/>
                <w:szCs w:val="20"/>
                <w:lang w:eastAsia="es-MX"/>
              </w:rPr>
            </w:pPr>
            <w:r w:rsidRPr="00324399">
              <w:rPr>
                <w:rFonts w:eastAsia="Times New Roman" w:cstheme="minorHAnsi"/>
                <w:b/>
                <w:bCs/>
                <w:sz w:val="20"/>
                <w:szCs w:val="20"/>
                <w:lang w:eastAsia="es-MX"/>
              </w:rPr>
              <w:t>Proceso</w:t>
            </w:r>
          </w:p>
        </w:tc>
        <w:tc>
          <w:tcPr>
            <w:tcW w:w="969" w:type="pct"/>
            <w:tcBorders>
              <w:top w:val="single" w:sz="4" w:space="0" w:color="auto"/>
              <w:left w:val="single" w:sz="4" w:space="0" w:color="auto"/>
              <w:bottom w:val="single" w:sz="4" w:space="0" w:color="auto"/>
              <w:right w:val="single" w:sz="4" w:space="0" w:color="auto"/>
            </w:tcBorders>
            <w:shd w:val="clear" w:color="auto" w:fill="9CC2E5"/>
          </w:tcPr>
          <w:p w14:paraId="1EF7B444" w14:textId="77777777" w:rsidR="00EB1844" w:rsidRPr="00324399" w:rsidRDefault="00EB1844" w:rsidP="00927B4B">
            <w:pPr>
              <w:spacing w:before="0" w:after="0"/>
              <w:jc w:val="center"/>
              <w:rPr>
                <w:rFonts w:eastAsia="Times New Roman" w:cstheme="minorHAnsi"/>
                <w:b/>
                <w:bCs/>
                <w:sz w:val="20"/>
                <w:szCs w:val="20"/>
                <w:lang w:eastAsia="es-MX"/>
              </w:rPr>
            </w:pPr>
            <w:r w:rsidRPr="00324399">
              <w:rPr>
                <w:rFonts w:eastAsia="Times New Roman" w:cstheme="minorHAnsi"/>
                <w:b/>
                <w:bCs/>
                <w:sz w:val="20"/>
                <w:szCs w:val="20"/>
                <w:lang w:eastAsia="es-MX"/>
              </w:rPr>
              <w:t>Salida</w:t>
            </w:r>
          </w:p>
        </w:tc>
        <w:tc>
          <w:tcPr>
            <w:tcW w:w="868" w:type="pct"/>
            <w:tcBorders>
              <w:top w:val="single" w:sz="4" w:space="0" w:color="auto"/>
              <w:left w:val="single" w:sz="4" w:space="0" w:color="auto"/>
              <w:bottom w:val="single" w:sz="4" w:space="0" w:color="auto"/>
              <w:right w:val="single" w:sz="4" w:space="0" w:color="auto"/>
            </w:tcBorders>
            <w:shd w:val="clear" w:color="auto" w:fill="9CC2E5"/>
          </w:tcPr>
          <w:p w14:paraId="1FCB4496" w14:textId="77777777" w:rsidR="00EB1844" w:rsidRPr="00324399" w:rsidRDefault="00EB1844" w:rsidP="00927B4B">
            <w:pPr>
              <w:spacing w:before="0" w:after="0"/>
              <w:jc w:val="center"/>
              <w:rPr>
                <w:rFonts w:eastAsia="Times New Roman" w:cstheme="minorHAnsi"/>
                <w:b/>
                <w:bCs/>
                <w:sz w:val="20"/>
                <w:szCs w:val="20"/>
                <w:lang w:eastAsia="es-MX"/>
              </w:rPr>
            </w:pPr>
            <w:r w:rsidRPr="00324399">
              <w:rPr>
                <w:rFonts w:eastAsia="Times New Roman" w:cstheme="minorHAnsi"/>
                <w:b/>
                <w:bCs/>
                <w:sz w:val="20"/>
                <w:szCs w:val="20"/>
                <w:lang w:eastAsia="es-MX"/>
              </w:rPr>
              <w:t>Usuario</w:t>
            </w:r>
          </w:p>
        </w:tc>
      </w:tr>
      <w:tr w:rsidR="00EB1844" w:rsidRPr="00074BB0" w14:paraId="0A5CE310" w14:textId="77777777" w:rsidTr="006A72DC">
        <w:trPr>
          <w:trHeight w:val="420"/>
        </w:trPr>
        <w:tc>
          <w:tcPr>
            <w:tcW w:w="202" w:type="pct"/>
            <w:vMerge w:val="restart"/>
            <w:tcBorders>
              <w:top w:val="single" w:sz="4" w:space="0" w:color="auto"/>
              <w:left w:val="single" w:sz="4" w:space="0" w:color="auto"/>
              <w:right w:val="single" w:sz="4" w:space="0" w:color="auto"/>
            </w:tcBorders>
            <w:shd w:val="clear" w:color="auto" w:fill="D9D9D9"/>
            <w:textDirection w:val="btLr"/>
          </w:tcPr>
          <w:p w14:paraId="73D8543D" w14:textId="77777777" w:rsidR="00EB1844" w:rsidRPr="00324399" w:rsidRDefault="00EB1844" w:rsidP="00927B4B">
            <w:pPr>
              <w:spacing w:before="0" w:after="0"/>
              <w:ind w:right="113"/>
              <w:jc w:val="center"/>
              <w:rPr>
                <w:rFonts w:eastAsia="Times New Roman" w:cstheme="minorHAnsi"/>
                <w:b/>
                <w:bCs/>
                <w:sz w:val="20"/>
                <w:szCs w:val="20"/>
                <w:lang w:eastAsia="es-MX"/>
              </w:rPr>
            </w:pPr>
            <w:r w:rsidRPr="003176BC">
              <w:rPr>
                <w:rFonts w:eastAsia="Times New Roman" w:cstheme="minorHAnsi"/>
                <w:b/>
                <w:bCs/>
                <w:color w:val="808080" w:themeColor="background1" w:themeShade="80"/>
                <w:sz w:val="20"/>
                <w:szCs w:val="20"/>
                <w:lang w:eastAsia="es-MX"/>
              </w:rPr>
              <w:t>Asignación</w:t>
            </w:r>
          </w:p>
        </w:tc>
        <w:tc>
          <w:tcPr>
            <w:tcW w:w="715" w:type="pct"/>
            <w:tcBorders>
              <w:top w:val="single" w:sz="4" w:space="0" w:color="auto"/>
              <w:left w:val="single" w:sz="4" w:space="0" w:color="auto"/>
              <w:right w:val="single" w:sz="4" w:space="0" w:color="auto"/>
            </w:tcBorders>
            <w:shd w:val="clear" w:color="auto" w:fill="auto"/>
          </w:tcPr>
          <w:p w14:paraId="4D248AC4" w14:textId="77777777" w:rsidR="00EB1844" w:rsidRPr="00324399" w:rsidRDefault="00EB1844" w:rsidP="00927B4B">
            <w:pPr>
              <w:spacing w:before="0" w:after="0"/>
              <w:rPr>
                <w:rFonts w:eastAsia="Times New Roman" w:cstheme="minorHAnsi"/>
                <w:color w:val="000000"/>
                <w:sz w:val="20"/>
                <w:szCs w:val="20"/>
                <w:lang w:eastAsia="es-MX"/>
              </w:rPr>
            </w:pPr>
            <w:r w:rsidRPr="00324399">
              <w:rPr>
                <w:rFonts w:eastAsia="Times New Roman" w:cstheme="minorHAnsi"/>
                <w:color w:val="000000"/>
                <w:sz w:val="20"/>
                <w:szCs w:val="20"/>
                <w:lang w:eastAsia="es-MX"/>
              </w:rPr>
              <w:t>SHCP</w:t>
            </w:r>
          </w:p>
        </w:tc>
        <w:tc>
          <w:tcPr>
            <w:tcW w:w="918" w:type="pct"/>
            <w:tcBorders>
              <w:top w:val="single" w:sz="4" w:space="0" w:color="auto"/>
              <w:left w:val="single" w:sz="4" w:space="0" w:color="auto"/>
              <w:bottom w:val="single" w:sz="4" w:space="0" w:color="auto"/>
              <w:right w:val="single" w:sz="4" w:space="0" w:color="auto"/>
            </w:tcBorders>
            <w:shd w:val="clear" w:color="auto" w:fill="auto"/>
          </w:tcPr>
          <w:p w14:paraId="0DEC5C8B" w14:textId="77777777" w:rsidR="00EB1844" w:rsidRPr="00324399" w:rsidRDefault="00EB1844" w:rsidP="00927B4B">
            <w:pPr>
              <w:spacing w:before="0" w:after="0"/>
              <w:rPr>
                <w:rFonts w:eastAsia="Times New Roman" w:cstheme="minorHAnsi"/>
                <w:color w:val="000000"/>
                <w:sz w:val="20"/>
                <w:szCs w:val="20"/>
                <w:lang w:eastAsia="es-MX"/>
              </w:rPr>
            </w:pPr>
            <w:r w:rsidRPr="00324399">
              <w:rPr>
                <w:rFonts w:eastAsia="Times New Roman" w:cstheme="minorHAnsi"/>
                <w:color w:val="000000"/>
                <w:sz w:val="20"/>
                <w:szCs w:val="20"/>
                <w:lang w:eastAsia="es-MX"/>
              </w:rPr>
              <w:t>Programación y presupuestación del gasto público federal.</w:t>
            </w:r>
          </w:p>
        </w:tc>
        <w:tc>
          <w:tcPr>
            <w:tcW w:w="1327" w:type="pct"/>
            <w:tcBorders>
              <w:top w:val="single" w:sz="4" w:space="0" w:color="auto"/>
              <w:left w:val="single" w:sz="4" w:space="0" w:color="auto"/>
              <w:bottom w:val="single" w:sz="4" w:space="0" w:color="auto"/>
              <w:right w:val="single" w:sz="4" w:space="0" w:color="auto"/>
            </w:tcBorders>
            <w:shd w:val="clear" w:color="auto" w:fill="auto"/>
          </w:tcPr>
          <w:p w14:paraId="3FA70415" w14:textId="5F0228E9" w:rsidR="00EB1844" w:rsidRPr="00324399" w:rsidRDefault="00085D24" w:rsidP="00927B4B">
            <w:pPr>
              <w:spacing w:before="0" w:after="0"/>
              <w:rPr>
                <w:rFonts w:eastAsia="Times New Roman" w:cstheme="minorHAnsi"/>
                <w:color w:val="000000"/>
                <w:sz w:val="20"/>
                <w:szCs w:val="20"/>
                <w:lang w:eastAsia="es-MX"/>
              </w:rPr>
            </w:pPr>
            <w:r w:rsidRPr="00324399">
              <w:rPr>
                <w:rFonts w:eastAsia="Times New Roman" w:cstheme="minorHAnsi"/>
                <w:color w:val="000000"/>
                <w:sz w:val="20"/>
                <w:szCs w:val="20"/>
                <w:lang w:eastAsia="es-MX"/>
              </w:rPr>
              <w:t>Conforme el Artículo 6 de la LFPRH, el Ejecutivo Federal, por conducto de la Secretaría de Hacienda y Crédito Público (SHCP), está a cargo de la programación y presupuestación del gasto público federal. La SHCP a través de la DGPyP “A” lleva a cabo la estimación del presupuesto del FAFEF con base en la proyección de recaudación federal participable, así como, la distribución para cada entidad federativa conforme lo establecido en el Artículo 46 de la LCF</w:t>
            </w:r>
          </w:p>
        </w:tc>
        <w:tc>
          <w:tcPr>
            <w:tcW w:w="969" w:type="pct"/>
            <w:tcBorders>
              <w:top w:val="single" w:sz="4" w:space="0" w:color="auto"/>
              <w:left w:val="single" w:sz="4" w:space="0" w:color="auto"/>
              <w:bottom w:val="single" w:sz="4" w:space="0" w:color="auto"/>
              <w:right w:val="single" w:sz="4" w:space="0" w:color="auto"/>
            </w:tcBorders>
            <w:shd w:val="clear" w:color="auto" w:fill="auto"/>
          </w:tcPr>
          <w:p w14:paraId="05546D54" w14:textId="77777777" w:rsidR="00EB1844" w:rsidRPr="00324399" w:rsidRDefault="00EB1844" w:rsidP="00927B4B">
            <w:pPr>
              <w:spacing w:before="0" w:after="0"/>
              <w:rPr>
                <w:rFonts w:eastAsia="Times New Roman" w:cstheme="minorHAnsi"/>
                <w:color w:val="000000"/>
                <w:sz w:val="20"/>
                <w:szCs w:val="20"/>
                <w:lang w:eastAsia="es-MX"/>
              </w:rPr>
            </w:pPr>
            <w:r w:rsidRPr="00324399">
              <w:rPr>
                <w:rFonts w:eastAsia="Times New Roman" w:cstheme="minorHAnsi"/>
                <w:color w:val="000000"/>
                <w:sz w:val="20"/>
                <w:szCs w:val="20"/>
                <w:lang w:eastAsia="es-MX"/>
              </w:rPr>
              <w:t>Proyecto del Presupuesto de Egresos de la Federación</w:t>
            </w:r>
          </w:p>
        </w:tc>
        <w:tc>
          <w:tcPr>
            <w:tcW w:w="868" w:type="pct"/>
            <w:tcBorders>
              <w:top w:val="single" w:sz="4" w:space="0" w:color="auto"/>
              <w:left w:val="single" w:sz="4" w:space="0" w:color="auto"/>
              <w:bottom w:val="single" w:sz="4" w:space="0" w:color="auto"/>
              <w:right w:val="single" w:sz="4" w:space="0" w:color="auto"/>
            </w:tcBorders>
            <w:shd w:val="clear" w:color="auto" w:fill="auto"/>
          </w:tcPr>
          <w:p w14:paraId="12F2DEE0" w14:textId="50082ED9" w:rsidR="00EB1844" w:rsidRPr="00324399" w:rsidRDefault="00E668DA" w:rsidP="00927B4B">
            <w:pPr>
              <w:spacing w:before="0" w:after="0"/>
              <w:rPr>
                <w:rFonts w:eastAsia="Times New Roman" w:cstheme="minorHAnsi"/>
                <w:color w:val="000000"/>
                <w:sz w:val="20"/>
                <w:szCs w:val="20"/>
                <w:lang w:eastAsia="es-MX"/>
              </w:rPr>
            </w:pPr>
            <w:r w:rsidRPr="00324399">
              <w:rPr>
                <w:rFonts w:eastAsia="Times New Roman" w:cstheme="minorHAnsi"/>
                <w:color w:val="000000"/>
                <w:sz w:val="20"/>
                <w:szCs w:val="20"/>
                <w:lang w:eastAsia="es-MX"/>
              </w:rPr>
              <w:t xml:space="preserve">Cámara de diputados </w:t>
            </w:r>
          </w:p>
        </w:tc>
      </w:tr>
      <w:tr w:rsidR="002D1BD2" w:rsidRPr="00074BB0" w14:paraId="12568C06" w14:textId="77777777" w:rsidTr="006A72DC">
        <w:trPr>
          <w:trHeight w:val="420"/>
        </w:trPr>
        <w:tc>
          <w:tcPr>
            <w:tcW w:w="202" w:type="pct"/>
            <w:vMerge/>
            <w:tcBorders>
              <w:top w:val="single" w:sz="4" w:space="0" w:color="auto"/>
              <w:left w:val="single" w:sz="4" w:space="0" w:color="auto"/>
              <w:right w:val="single" w:sz="4" w:space="0" w:color="auto"/>
            </w:tcBorders>
            <w:shd w:val="clear" w:color="auto" w:fill="D9D9D9"/>
            <w:textDirection w:val="btLr"/>
          </w:tcPr>
          <w:p w14:paraId="23453406" w14:textId="77777777" w:rsidR="002D1BD2" w:rsidRPr="00324399" w:rsidRDefault="002D1BD2" w:rsidP="002D1BD2">
            <w:pPr>
              <w:spacing w:before="0" w:after="0"/>
              <w:ind w:right="113"/>
              <w:jc w:val="center"/>
              <w:rPr>
                <w:rFonts w:eastAsia="Times New Roman" w:cstheme="minorHAnsi"/>
                <w:b/>
                <w:bCs/>
                <w:sz w:val="20"/>
                <w:szCs w:val="20"/>
                <w:lang w:eastAsia="es-MX"/>
              </w:rPr>
            </w:pPr>
          </w:p>
        </w:tc>
        <w:tc>
          <w:tcPr>
            <w:tcW w:w="715" w:type="pct"/>
            <w:tcBorders>
              <w:top w:val="single" w:sz="4" w:space="0" w:color="auto"/>
              <w:left w:val="single" w:sz="4" w:space="0" w:color="auto"/>
              <w:right w:val="single" w:sz="4" w:space="0" w:color="auto"/>
            </w:tcBorders>
            <w:shd w:val="clear" w:color="auto" w:fill="auto"/>
          </w:tcPr>
          <w:p w14:paraId="30E985F9" w14:textId="385A3672" w:rsidR="002D1BD2" w:rsidRPr="00324399" w:rsidRDefault="002D1BD2" w:rsidP="002D1BD2">
            <w:pPr>
              <w:spacing w:before="0" w:after="0"/>
              <w:rPr>
                <w:rFonts w:eastAsia="Times New Roman" w:cstheme="minorHAnsi"/>
                <w:color w:val="000000"/>
                <w:sz w:val="20"/>
                <w:szCs w:val="20"/>
                <w:lang w:eastAsia="es-MX"/>
              </w:rPr>
            </w:pPr>
            <w:r w:rsidRPr="00324399">
              <w:rPr>
                <w:rFonts w:cstheme="minorHAnsi"/>
                <w:sz w:val="20"/>
                <w:szCs w:val="20"/>
              </w:rPr>
              <w:t>Cámara de Diputados</w:t>
            </w:r>
          </w:p>
        </w:tc>
        <w:tc>
          <w:tcPr>
            <w:tcW w:w="918" w:type="pct"/>
            <w:tcBorders>
              <w:top w:val="single" w:sz="4" w:space="0" w:color="auto"/>
              <w:left w:val="single" w:sz="4" w:space="0" w:color="auto"/>
              <w:bottom w:val="single" w:sz="4" w:space="0" w:color="auto"/>
              <w:right w:val="single" w:sz="4" w:space="0" w:color="auto"/>
            </w:tcBorders>
            <w:shd w:val="clear" w:color="auto" w:fill="auto"/>
          </w:tcPr>
          <w:p w14:paraId="09C5795A" w14:textId="77E772BA" w:rsidR="002D1BD2" w:rsidRPr="00324399" w:rsidRDefault="002D1BD2" w:rsidP="002D1BD2">
            <w:pPr>
              <w:spacing w:before="0" w:after="0"/>
              <w:rPr>
                <w:rFonts w:eastAsia="Times New Roman" w:cstheme="minorHAnsi"/>
                <w:color w:val="000000"/>
                <w:sz w:val="20"/>
                <w:szCs w:val="20"/>
                <w:lang w:eastAsia="es-MX"/>
              </w:rPr>
            </w:pPr>
            <w:r w:rsidRPr="00324399">
              <w:rPr>
                <w:rFonts w:cstheme="minorHAnsi"/>
                <w:sz w:val="20"/>
                <w:szCs w:val="20"/>
              </w:rPr>
              <w:t>PPEF</w:t>
            </w:r>
          </w:p>
        </w:tc>
        <w:tc>
          <w:tcPr>
            <w:tcW w:w="1327" w:type="pct"/>
            <w:tcBorders>
              <w:top w:val="single" w:sz="4" w:space="0" w:color="auto"/>
              <w:left w:val="single" w:sz="4" w:space="0" w:color="auto"/>
              <w:bottom w:val="single" w:sz="4" w:space="0" w:color="auto"/>
              <w:right w:val="single" w:sz="4" w:space="0" w:color="auto"/>
            </w:tcBorders>
            <w:shd w:val="clear" w:color="auto" w:fill="auto"/>
          </w:tcPr>
          <w:p w14:paraId="77CD27A4" w14:textId="05293612" w:rsidR="002D1BD2" w:rsidRPr="00324399" w:rsidRDefault="002D1BD2" w:rsidP="002D1BD2">
            <w:pPr>
              <w:spacing w:before="0" w:after="0"/>
              <w:rPr>
                <w:rFonts w:eastAsia="Times New Roman" w:cstheme="minorHAnsi"/>
                <w:color w:val="000000"/>
                <w:sz w:val="20"/>
                <w:szCs w:val="20"/>
                <w:lang w:eastAsia="es-MX"/>
              </w:rPr>
            </w:pPr>
            <w:r w:rsidRPr="00324399">
              <w:rPr>
                <w:rFonts w:cstheme="minorHAnsi"/>
                <w:sz w:val="20"/>
                <w:szCs w:val="20"/>
              </w:rPr>
              <w:t>Discusión y aprobación, en su caso, del PPEF</w:t>
            </w:r>
          </w:p>
        </w:tc>
        <w:tc>
          <w:tcPr>
            <w:tcW w:w="969" w:type="pct"/>
            <w:tcBorders>
              <w:top w:val="single" w:sz="4" w:space="0" w:color="auto"/>
              <w:left w:val="single" w:sz="4" w:space="0" w:color="auto"/>
              <w:bottom w:val="single" w:sz="4" w:space="0" w:color="auto"/>
              <w:right w:val="single" w:sz="4" w:space="0" w:color="auto"/>
            </w:tcBorders>
            <w:shd w:val="clear" w:color="auto" w:fill="auto"/>
          </w:tcPr>
          <w:p w14:paraId="1476B664" w14:textId="190C049E" w:rsidR="002D1BD2" w:rsidRPr="00324399" w:rsidRDefault="002D1BD2" w:rsidP="002D1BD2">
            <w:pPr>
              <w:spacing w:before="0" w:after="0"/>
              <w:rPr>
                <w:rFonts w:eastAsia="Times New Roman" w:cstheme="minorHAnsi"/>
                <w:color w:val="000000"/>
                <w:sz w:val="20"/>
                <w:szCs w:val="20"/>
                <w:lang w:eastAsia="es-MX"/>
              </w:rPr>
            </w:pPr>
            <w:r w:rsidRPr="00324399">
              <w:rPr>
                <w:rFonts w:cstheme="minorHAnsi"/>
                <w:sz w:val="20"/>
                <w:szCs w:val="20"/>
              </w:rPr>
              <w:t>Presupuesto de Egresos de la Federación (PEF) con monto de FAFEF</w:t>
            </w:r>
          </w:p>
        </w:tc>
        <w:tc>
          <w:tcPr>
            <w:tcW w:w="868" w:type="pct"/>
            <w:tcBorders>
              <w:top w:val="single" w:sz="4" w:space="0" w:color="auto"/>
              <w:left w:val="single" w:sz="4" w:space="0" w:color="auto"/>
              <w:bottom w:val="single" w:sz="4" w:space="0" w:color="auto"/>
              <w:right w:val="single" w:sz="4" w:space="0" w:color="auto"/>
            </w:tcBorders>
            <w:shd w:val="clear" w:color="auto" w:fill="auto"/>
          </w:tcPr>
          <w:p w14:paraId="293FDEE4" w14:textId="659786DF" w:rsidR="002D1BD2" w:rsidRPr="00324399" w:rsidRDefault="002D1BD2" w:rsidP="002D1BD2">
            <w:pPr>
              <w:spacing w:before="0" w:after="0"/>
              <w:rPr>
                <w:rFonts w:eastAsia="Times New Roman" w:cstheme="minorHAnsi"/>
                <w:color w:val="000000"/>
                <w:sz w:val="20"/>
                <w:szCs w:val="20"/>
                <w:lang w:eastAsia="es-MX"/>
              </w:rPr>
            </w:pPr>
            <w:r w:rsidRPr="00324399">
              <w:rPr>
                <w:rFonts w:eastAsia="Times New Roman" w:cstheme="minorHAnsi"/>
                <w:color w:val="000000"/>
                <w:sz w:val="20"/>
                <w:szCs w:val="20"/>
                <w:lang w:eastAsia="es-MX"/>
              </w:rPr>
              <w:t>SFP-Unidades ejecutoras y de planeación</w:t>
            </w:r>
          </w:p>
        </w:tc>
      </w:tr>
      <w:tr w:rsidR="00EB1844" w:rsidRPr="00074BB0" w14:paraId="38B03707" w14:textId="77777777" w:rsidTr="006A72DC">
        <w:trPr>
          <w:trHeight w:val="420"/>
        </w:trPr>
        <w:tc>
          <w:tcPr>
            <w:tcW w:w="202" w:type="pct"/>
            <w:vMerge/>
            <w:tcBorders>
              <w:left w:val="single" w:sz="4" w:space="0" w:color="auto"/>
              <w:right w:val="single" w:sz="4" w:space="0" w:color="auto"/>
            </w:tcBorders>
            <w:shd w:val="clear" w:color="auto" w:fill="D9D9D9"/>
            <w:textDirection w:val="btLr"/>
          </w:tcPr>
          <w:p w14:paraId="287F8C52" w14:textId="77777777" w:rsidR="00EB1844" w:rsidRPr="00324399" w:rsidRDefault="00EB1844" w:rsidP="00927B4B">
            <w:pPr>
              <w:spacing w:before="0" w:after="0"/>
              <w:ind w:left="113" w:right="113"/>
              <w:jc w:val="center"/>
              <w:rPr>
                <w:rFonts w:eastAsia="Times New Roman" w:cstheme="minorHAnsi"/>
                <w:b/>
                <w:bCs/>
                <w:sz w:val="20"/>
                <w:szCs w:val="20"/>
                <w:lang w:eastAsia="es-MX"/>
              </w:rPr>
            </w:pPr>
          </w:p>
        </w:tc>
        <w:tc>
          <w:tcPr>
            <w:tcW w:w="715" w:type="pct"/>
            <w:tcBorders>
              <w:top w:val="single" w:sz="4" w:space="0" w:color="auto"/>
              <w:left w:val="single" w:sz="4" w:space="0" w:color="auto"/>
              <w:right w:val="single" w:sz="4" w:space="0" w:color="auto"/>
            </w:tcBorders>
            <w:shd w:val="clear" w:color="auto" w:fill="auto"/>
          </w:tcPr>
          <w:p w14:paraId="4036DF69" w14:textId="77777777" w:rsidR="00EB1844" w:rsidRPr="00324399" w:rsidRDefault="00EB1844" w:rsidP="00927B4B">
            <w:pPr>
              <w:spacing w:before="0" w:after="0"/>
              <w:rPr>
                <w:rFonts w:eastAsia="Times New Roman" w:cstheme="minorHAnsi"/>
                <w:color w:val="000000"/>
                <w:sz w:val="20"/>
                <w:szCs w:val="20"/>
                <w:lang w:eastAsia="es-MX"/>
              </w:rPr>
            </w:pPr>
            <w:r w:rsidRPr="00324399">
              <w:rPr>
                <w:rFonts w:eastAsia="Times New Roman" w:cstheme="minorHAnsi"/>
                <w:color w:val="000000"/>
                <w:sz w:val="20"/>
                <w:szCs w:val="20"/>
                <w:lang w:eastAsia="es-MX"/>
              </w:rPr>
              <w:t>SFP-Instancias ejecutoras y de planeación</w:t>
            </w:r>
          </w:p>
        </w:tc>
        <w:tc>
          <w:tcPr>
            <w:tcW w:w="918" w:type="pct"/>
            <w:tcBorders>
              <w:top w:val="single" w:sz="4" w:space="0" w:color="auto"/>
              <w:left w:val="single" w:sz="4" w:space="0" w:color="auto"/>
              <w:bottom w:val="single" w:sz="4" w:space="0" w:color="auto"/>
              <w:right w:val="single" w:sz="4" w:space="0" w:color="auto"/>
            </w:tcBorders>
            <w:shd w:val="clear" w:color="auto" w:fill="auto"/>
          </w:tcPr>
          <w:p w14:paraId="14258CC6" w14:textId="77777777" w:rsidR="00EB1844" w:rsidRPr="00324399" w:rsidRDefault="00EB1844" w:rsidP="00927B4B">
            <w:pPr>
              <w:spacing w:before="0" w:after="0"/>
              <w:rPr>
                <w:rFonts w:eastAsia="Times New Roman" w:cstheme="minorHAnsi"/>
                <w:color w:val="000000"/>
                <w:sz w:val="20"/>
                <w:szCs w:val="20"/>
                <w:lang w:eastAsia="es-MX"/>
              </w:rPr>
            </w:pPr>
            <w:r w:rsidRPr="00324399">
              <w:rPr>
                <w:rFonts w:eastAsia="Times New Roman" w:cstheme="minorHAnsi"/>
                <w:color w:val="000000"/>
                <w:sz w:val="20"/>
                <w:szCs w:val="20"/>
                <w:lang w:eastAsia="es-MX"/>
              </w:rPr>
              <w:t>Identificación de las problemáticas a atender con el FAFEF</w:t>
            </w:r>
          </w:p>
        </w:tc>
        <w:tc>
          <w:tcPr>
            <w:tcW w:w="1327" w:type="pct"/>
            <w:tcBorders>
              <w:top w:val="single" w:sz="4" w:space="0" w:color="auto"/>
              <w:left w:val="single" w:sz="4" w:space="0" w:color="auto"/>
              <w:bottom w:val="single" w:sz="4" w:space="0" w:color="auto"/>
              <w:right w:val="single" w:sz="4" w:space="0" w:color="auto"/>
            </w:tcBorders>
            <w:shd w:val="clear" w:color="auto" w:fill="auto"/>
          </w:tcPr>
          <w:p w14:paraId="7F96424C" w14:textId="77777777" w:rsidR="00EB1844" w:rsidRPr="00324399" w:rsidRDefault="00EB1844" w:rsidP="00927B4B">
            <w:pPr>
              <w:spacing w:before="0" w:after="0"/>
              <w:rPr>
                <w:rFonts w:eastAsia="Times New Roman" w:cstheme="minorHAnsi"/>
                <w:color w:val="000000"/>
                <w:sz w:val="20"/>
                <w:szCs w:val="20"/>
                <w:lang w:eastAsia="es-MX"/>
              </w:rPr>
            </w:pPr>
            <w:r w:rsidRPr="00324399">
              <w:rPr>
                <w:rFonts w:eastAsia="Times New Roman" w:cstheme="minorHAnsi"/>
                <w:color w:val="000000"/>
                <w:sz w:val="20"/>
                <w:szCs w:val="20"/>
                <w:lang w:eastAsia="es-MX"/>
              </w:rPr>
              <w:t>Mesas de trabajo para determinar los conceptos susceptibles de ser financiados con recursos del Fondo, en el que participan el Comité de Planeación para el Desarrollo del Estado de Hidalgo (COPLADEHI), el Subcomité de Obras Públicas, los Comités de Planeación para el Desarrollo Regional (COPLADER), los Comités de Planeación para el Desarrollo Municipal (COPLADEM).</w:t>
            </w:r>
          </w:p>
        </w:tc>
        <w:tc>
          <w:tcPr>
            <w:tcW w:w="969" w:type="pct"/>
            <w:tcBorders>
              <w:top w:val="single" w:sz="4" w:space="0" w:color="auto"/>
              <w:left w:val="single" w:sz="4" w:space="0" w:color="auto"/>
              <w:bottom w:val="single" w:sz="4" w:space="0" w:color="auto"/>
              <w:right w:val="single" w:sz="4" w:space="0" w:color="auto"/>
            </w:tcBorders>
            <w:shd w:val="clear" w:color="auto" w:fill="auto"/>
          </w:tcPr>
          <w:p w14:paraId="427A4A8E" w14:textId="77777777" w:rsidR="00EB1844" w:rsidRPr="00324399" w:rsidRDefault="00EB1844" w:rsidP="00927B4B">
            <w:pPr>
              <w:spacing w:before="0" w:after="0"/>
              <w:rPr>
                <w:rFonts w:eastAsia="Times New Roman" w:cstheme="minorHAnsi"/>
                <w:color w:val="000000"/>
                <w:sz w:val="20"/>
                <w:szCs w:val="20"/>
                <w:lang w:eastAsia="es-MX"/>
              </w:rPr>
            </w:pPr>
            <w:r w:rsidRPr="00324399">
              <w:rPr>
                <w:rFonts w:eastAsia="Times New Roman" w:cstheme="minorHAnsi"/>
                <w:color w:val="000000"/>
                <w:sz w:val="20"/>
                <w:szCs w:val="20"/>
                <w:lang w:eastAsia="es-MX"/>
              </w:rPr>
              <w:t>Proyecto de Presupuesto de Egresos del Estado.</w:t>
            </w:r>
          </w:p>
        </w:tc>
        <w:tc>
          <w:tcPr>
            <w:tcW w:w="868" w:type="pct"/>
            <w:tcBorders>
              <w:top w:val="single" w:sz="4" w:space="0" w:color="auto"/>
              <w:left w:val="single" w:sz="4" w:space="0" w:color="auto"/>
              <w:bottom w:val="single" w:sz="4" w:space="0" w:color="auto"/>
              <w:right w:val="single" w:sz="4" w:space="0" w:color="auto"/>
            </w:tcBorders>
            <w:shd w:val="clear" w:color="auto" w:fill="auto"/>
          </w:tcPr>
          <w:p w14:paraId="688B079E" w14:textId="59594E8B" w:rsidR="00EB1844" w:rsidRPr="00324399" w:rsidRDefault="002D1BD2" w:rsidP="00927B4B">
            <w:pPr>
              <w:spacing w:before="0" w:after="0"/>
              <w:rPr>
                <w:rFonts w:eastAsia="Times New Roman" w:cstheme="minorHAnsi"/>
                <w:color w:val="000000"/>
                <w:sz w:val="20"/>
                <w:szCs w:val="20"/>
                <w:lang w:eastAsia="es-MX"/>
              </w:rPr>
            </w:pPr>
            <w:r w:rsidRPr="00324399">
              <w:rPr>
                <w:rFonts w:eastAsia="Times New Roman" w:cstheme="minorHAnsi"/>
                <w:color w:val="000000"/>
                <w:sz w:val="20"/>
                <w:szCs w:val="20"/>
                <w:lang w:eastAsia="es-MX"/>
              </w:rPr>
              <w:t>Congreso del Estado</w:t>
            </w:r>
          </w:p>
        </w:tc>
      </w:tr>
      <w:tr w:rsidR="002D1BD2" w:rsidRPr="00074BB0" w14:paraId="55CECB48" w14:textId="77777777" w:rsidTr="006A72DC">
        <w:trPr>
          <w:trHeight w:val="420"/>
        </w:trPr>
        <w:tc>
          <w:tcPr>
            <w:tcW w:w="202" w:type="pct"/>
            <w:vMerge/>
            <w:tcBorders>
              <w:left w:val="single" w:sz="4" w:space="0" w:color="auto"/>
              <w:right w:val="single" w:sz="4" w:space="0" w:color="auto"/>
            </w:tcBorders>
            <w:shd w:val="clear" w:color="auto" w:fill="D9D9D9"/>
            <w:textDirection w:val="btLr"/>
          </w:tcPr>
          <w:p w14:paraId="0BD8FE6E" w14:textId="77777777" w:rsidR="002D1BD2" w:rsidRPr="00324399" w:rsidRDefault="002D1BD2" w:rsidP="002D1BD2">
            <w:pPr>
              <w:spacing w:before="0" w:after="0"/>
              <w:ind w:left="113" w:right="113"/>
              <w:jc w:val="center"/>
              <w:rPr>
                <w:rFonts w:eastAsia="Times New Roman" w:cstheme="minorHAnsi"/>
                <w:b/>
                <w:bCs/>
                <w:sz w:val="20"/>
                <w:szCs w:val="20"/>
                <w:lang w:eastAsia="es-MX"/>
              </w:rPr>
            </w:pPr>
          </w:p>
        </w:tc>
        <w:tc>
          <w:tcPr>
            <w:tcW w:w="715" w:type="pct"/>
            <w:tcBorders>
              <w:top w:val="single" w:sz="4" w:space="0" w:color="auto"/>
              <w:left w:val="single" w:sz="4" w:space="0" w:color="auto"/>
              <w:right w:val="single" w:sz="4" w:space="0" w:color="auto"/>
            </w:tcBorders>
            <w:shd w:val="clear" w:color="auto" w:fill="auto"/>
            <w:vAlign w:val="center"/>
          </w:tcPr>
          <w:p w14:paraId="1EA5675A" w14:textId="6C9F041D" w:rsidR="002D1BD2" w:rsidRPr="00324399" w:rsidRDefault="002D1BD2" w:rsidP="002D1BD2">
            <w:pPr>
              <w:spacing w:before="0" w:after="0"/>
              <w:rPr>
                <w:rFonts w:eastAsia="Times New Roman" w:cstheme="minorHAnsi"/>
                <w:color w:val="000000"/>
                <w:sz w:val="20"/>
                <w:szCs w:val="20"/>
                <w:lang w:eastAsia="es-MX"/>
              </w:rPr>
            </w:pPr>
            <w:r w:rsidRPr="00324399">
              <w:rPr>
                <w:rFonts w:cstheme="minorHAnsi"/>
                <w:sz w:val="20"/>
                <w:szCs w:val="20"/>
              </w:rPr>
              <w:t>Congreso del Estado</w:t>
            </w:r>
          </w:p>
        </w:tc>
        <w:tc>
          <w:tcPr>
            <w:tcW w:w="918" w:type="pct"/>
            <w:tcBorders>
              <w:top w:val="single" w:sz="4" w:space="0" w:color="auto"/>
              <w:left w:val="single" w:sz="4" w:space="0" w:color="auto"/>
              <w:bottom w:val="single" w:sz="4" w:space="0" w:color="auto"/>
              <w:right w:val="single" w:sz="4" w:space="0" w:color="auto"/>
            </w:tcBorders>
            <w:shd w:val="clear" w:color="auto" w:fill="auto"/>
            <w:vAlign w:val="center"/>
          </w:tcPr>
          <w:p w14:paraId="4A7AB3AC" w14:textId="2B6DCA31" w:rsidR="002D1BD2" w:rsidRPr="00324399" w:rsidRDefault="002D1BD2" w:rsidP="002D1BD2">
            <w:pPr>
              <w:spacing w:before="0" w:after="0"/>
              <w:rPr>
                <w:rFonts w:eastAsia="Times New Roman" w:cstheme="minorHAnsi"/>
                <w:color w:val="000000"/>
                <w:sz w:val="20"/>
                <w:szCs w:val="20"/>
                <w:lang w:eastAsia="es-MX"/>
              </w:rPr>
            </w:pPr>
            <w:r w:rsidRPr="00324399">
              <w:rPr>
                <w:rFonts w:eastAsia="Times New Roman" w:cstheme="minorHAnsi"/>
                <w:color w:val="000000"/>
                <w:sz w:val="20"/>
                <w:szCs w:val="20"/>
                <w:lang w:eastAsia="es-MX"/>
              </w:rPr>
              <w:t>Proyecto Presupuesto de Egresos del Estado (PPED)</w:t>
            </w:r>
          </w:p>
        </w:tc>
        <w:tc>
          <w:tcPr>
            <w:tcW w:w="1327" w:type="pct"/>
            <w:tcBorders>
              <w:top w:val="single" w:sz="4" w:space="0" w:color="auto"/>
              <w:left w:val="single" w:sz="4" w:space="0" w:color="auto"/>
              <w:bottom w:val="single" w:sz="4" w:space="0" w:color="auto"/>
              <w:right w:val="single" w:sz="4" w:space="0" w:color="auto"/>
            </w:tcBorders>
            <w:shd w:val="clear" w:color="auto" w:fill="auto"/>
            <w:vAlign w:val="center"/>
          </w:tcPr>
          <w:p w14:paraId="604BAE5D" w14:textId="2DF284CE" w:rsidR="002D1BD2" w:rsidRPr="00324399" w:rsidRDefault="002D1BD2" w:rsidP="002D1BD2">
            <w:pPr>
              <w:spacing w:before="0" w:after="0"/>
              <w:rPr>
                <w:rFonts w:eastAsia="Times New Roman" w:cstheme="minorHAnsi"/>
                <w:color w:val="000000"/>
                <w:sz w:val="20"/>
                <w:szCs w:val="20"/>
                <w:lang w:eastAsia="es-MX"/>
              </w:rPr>
            </w:pPr>
            <w:r w:rsidRPr="00324399">
              <w:rPr>
                <w:rFonts w:eastAsia="Times New Roman" w:cstheme="minorHAnsi"/>
                <w:color w:val="000000"/>
                <w:sz w:val="20"/>
                <w:szCs w:val="20"/>
                <w:lang w:eastAsia="es-MX"/>
              </w:rPr>
              <w:t>Discusión y, en su caso, aprobación de la Ley de Ingresos y del PPED</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526D20AB" w14:textId="4BDDA5DB" w:rsidR="002D1BD2" w:rsidRPr="00324399" w:rsidRDefault="002D1BD2" w:rsidP="002D1BD2">
            <w:pPr>
              <w:spacing w:before="0" w:after="0"/>
              <w:rPr>
                <w:rFonts w:eastAsia="Times New Roman" w:cstheme="minorHAnsi"/>
                <w:color w:val="000000"/>
                <w:sz w:val="20"/>
                <w:szCs w:val="20"/>
                <w:lang w:eastAsia="es-MX"/>
              </w:rPr>
            </w:pPr>
            <w:r w:rsidRPr="00324399">
              <w:rPr>
                <w:rFonts w:eastAsia="Times New Roman" w:cstheme="minorHAnsi"/>
                <w:color w:val="000000"/>
                <w:sz w:val="20"/>
                <w:szCs w:val="20"/>
                <w:lang w:eastAsia="es-MX"/>
              </w:rPr>
              <w:t>Ley de Ingresos (LI) y Presupuesto de Egresos del Estado (PED)</w:t>
            </w:r>
          </w:p>
        </w:tc>
        <w:tc>
          <w:tcPr>
            <w:tcW w:w="868" w:type="pct"/>
            <w:tcBorders>
              <w:top w:val="single" w:sz="4" w:space="0" w:color="auto"/>
              <w:left w:val="single" w:sz="4" w:space="0" w:color="auto"/>
              <w:bottom w:val="single" w:sz="4" w:space="0" w:color="auto"/>
              <w:right w:val="single" w:sz="4" w:space="0" w:color="auto"/>
            </w:tcBorders>
            <w:shd w:val="clear" w:color="auto" w:fill="auto"/>
            <w:vAlign w:val="center"/>
          </w:tcPr>
          <w:p w14:paraId="3F8B15C4" w14:textId="56C4E10A" w:rsidR="002D1BD2" w:rsidRPr="00324399" w:rsidRDefault="002D1BD2" w:rsidP="002D1BD2">
            <w:pPr>
              <w:spacing w:before="0" w:after="0"/>
              <w:rPr>
                <w:rFonts w:eastAsia="Times New Roman" w:cstheme="minorHAnsi"/>
                <w:color w:val="000000"/>
                <w:sz w:val="20"/>
                <w:szCs w:val="20"/>
                <w:lang w:eastAsia="es-MX"/>
              </w:rPr>
            </w:pPr>
            <w:r w:rsidRPr="00324399">
              <w:rPr>
                <w:rFonts w:eastAsia="Times New Roman" w:cstheme="minorHAnsi"/>
                <w:color w:val="000000"/>
                <w:sz w:val="20"/>
                <w:szCs w:val="20"/>
                <w:lang w:eastAsia="es-MX"/>
              </w:rPr>
              <w:t>SFP-Unidades ejecutoras y de planeación</w:t>
            </w:r>
          </w:p>
        </w:tc>
      </w:tr>
      <w:tr w:rsidR="00EB1844" w:rsidRPr="00074BB0" w14:paraId="309328A8" w14:textId="77777777" w:rsidTr="006A72DC">
        <w:trPr>
          <w:trHeight w:val="420"/>
        </w:trPr>
        <w:tc>
          <w:tcPr>
            <w:tcW w:w="202" w:type="pct"/>
            <w:vMerge/>
            <w:tcBorders>
              <w:left w:val="single" w:sz="4" w:space="0" w:color="auto"/>
              <w:right w:val="single" w:sz="4" w:space="0" w:color="auto"/>
            </w:tcBorders>
            <w:shd w:val="clear" w:color="auto" w:fill="D9D9D9"/>
            <w:textDirection w:val="btLr"/>
          </w:tcPr>
          <w:p w14:paraId="5B3BE055" w14:textId="77777777" w:rsidR="00EB1844" w:rsidRPr="00324399" w:rsidRDefault="00EB1844" w:rsidP="00927B4B">
            <w:pPr>
              <w:spacing w:before="0" w:after="0"/>
              <w:ind w:left="113" w:right="113"/>
              <w:jc w:val="center"/>
              <w:rPr>
                <w:rFonts w:eastAsia="Times New Roman" w:cstheme="minorHAnsi"/>
                <w:b/>
                <w:bCs/>
                <w:sz w:val="20"/>
                <w:szCs w:val="20"/>
                <w:lang w:eastAsia="es-MX"/>
              </w:rPr>
            </w:pPr>
          </w:p>
        </w:tc>
        <w:tc>
          <w:tcPr>
            <w:tcW w:w="715" w:type="pct"/>
            <w:tcBorders>
              <w:top w:val="single" w:sz="4" w:space="0" w:color="auto"/>
              <w:left w:val="single" w:sz="4" w:space="0" w:color="auto"/>
              <w:right w:val="single" w:sz="4" w:space="0" w:color="auto"/>
            </w:tcBorders>
            <w:shd w:val="clear" w:color="auto" w:fill="auto"/>
          </w:tcPr>
          <w:p w14:paraId="231A0016" w14:textId="77777777" w:rsidR="00EB1844" w:rsidRPr="00324399" w:rsidRDefault="00EB1844" w:rsidP="00927B4B">
            <w:pPr>
              <w:spacing w:before="0" w:after="0"/>
              <w:rPr>
                <w:rFonts w:eastAsia="Times New Roman" w:cstheme="minorHAnsi"/>
                <w:color w:val="000000"/>
                <w:sz w:val="20"/>
                <w:szCs w:val="20"/>
                <w:lang w:eastAsia="es-MX"/>
              </w:rPr>
            </w:pPr>
            <w:r w:rsidRPr="00324399">
              <w:rPr>
                <w:rFonts w:cstheme="minorHAnsi"/>
                <w:sz w:val="20"/>
                <w:szCs w:val="20"/>
              </w:rPr>
              <w:t>UPLAPH-SFP</w:t>
            </w:r>
          </w:p>
        </w:tc>
        <w:tc>
          <w:tcPr>
            <w:tcW w:w="918" w:type="pct"/>
            <w:tcBorders>
              <w:top w:val="single" w:sz="4" w:space="0" w:color="auto"/>
              <w:left w:val="single" w:sz="4" w:space="0" w:color="auto"/>
              <w:bottom w:val="single" w:sz="4" w:space="0" w:color="auto"/>
              <w:right w:val="single" w:sz="4" w:space="0" w:color="auto"/>
            </w:tcBorders>
            <w:shd w:val="clear" w:color="auto" w:fill="auto"/>
          </w:tcPr>
          <w:p w14:paraId="3782125A" w14:textId="77777777" w:rsidR="00EB1844" w:rsidRPr="00324399" w:rsidRDefault="00EB1844" w:rsidP="00927B4B">
            <w:pPr>
              <w:spacing w:before="0" w:after="0"/>
              <w:rPr>
                <w:rFonts w:eastAsia="Times New Roman" w:cstheme="minorHAnsi"/>
                <w:color w:val="000000"/>
                <w:sz w:val="20"/>
                <w:szCs w:val="20"/>
                <w:lang w:eastAsia="es-MX"/>
              </w:rPr>
            </w:pPr>
            <w:r w:rsidRPr="00324399">
              <w:rPr>
                <w:rFonts w:eastAsia="Times New Roman" w:cstheme="minorHAnsi"/>
                <w:color w:val="000000"/>
                <w:sz w:val="20"/>
                <w:szCs w:val="20"/>
                <w:lang w:eastAsia="es-MX"/>
              </w:rPr>
              <w:t>Definir el proceso de programación y presupuestación</w:t>
            </w:r>
          </w:p>
        </w:tc>
        <w:tc>
          <w:tcPr>
            <w:tcW w:w="1327" w:type="pct"/>
            <w:tcBorders>
              <w:top w:val="single" w:sz="4" w:space="0" w:color="auto"/>
              <w:left w:val="single" w:sz="4" w:space="0" w:color="auto"/>
              <w:bottom w:val="single" w:sz="4" w:space="0" w:color="auto"/>
              <w:right w:val="single" w:sz="4" w:space="0" w:color="auto"/>
            </w:tcBorders>
            <w:shd w:val="clear" w:color="auto" w:fill="auto"/>
          </w:tcPr>
          <w:p w14:paraId="1406CFAE" w14:textId="78A944E4" w:rsidR="00EB1844" w:rsidRPr="00324399" w:rsidRDefault="00EB1844" w:rsidP="00927B4B">
            <w:pPr>
              <w:spacing w:before="0" w:after="0"/>
              <w:rPr>
                <w:rFonts w:eastAsia="Times New Roman" w:cstheme="minorHAnsi"/>
                <w:color w:val="000000"/>
                <w:sz w:val="20"/>
                <w:szCs w:val="20"/>
                <w:lang w:eastAsia="es-MX"/>
              </w:rPr>
            </w:pPr>
            <w:r w:rsidRPr="00324399">
              <w:rPr>
                <w:rFonts w:eastAsia="Times New Roman" w:cstheme="minorHAnsi"/>
                <w:color w:val="000000"/>
                <w:sz w:val="20"/>
                <w:szCs w:val="20"/>
                <w:lang w:eastAsia="es-MX"/>
              </w:rPr>
              <w:t xml:space="preserve">Ordenar los distintos </w:t>
            </w:r>
            <w:r w:rsidR="009D24DC" w:rsidRPr="009D24DC">
              <w:rPr>
                <w:rFonts w:eastAsia="Times New Roman" w:cstheme="minorHAnsi"/>
                <w:color w:val="000000"/>
                <w:sz w:val="20"/>
                <w:szCs w:val="20"/>
                <w:lang w:eastAsia="es-MX"/>
              </w:rPr>
              <w:t>Pp</w:t>
            </w:r>
            <w:r w:rsidRPr="00324399">
              <w:rPr>
                <w:rFonts w:eastAsia="Times New Roman" w:cstheme="minorHAnsi"/>
                <w:color w:val="000000"/>
                <w:sz w:val="20"/>
                <w:szCs w:val="20"/>
                <w:lang w:eastAsia="es-MX"/>
              </w:rPr>
              <w:t>, proyectos, obras y acciones para su orientación en función de las prioridades y estrategias que garanticen el bienestar social y el desarrollo económico de la entidad federativa.</w:t>
            </w:r>
          </w:p>
        </w:tc>
        <w:tc>
          <w:tcPr>
            <w:tcW w:w="969" w:type="pct"/>
            <w:tcBorders>
              <w:top w:val="single" w:sz="4" w:space="0" w:color="auto"/>
              <w:left w:val="single" w:sz="4" w:space="0" w:color="auto"/>
              <w:bottom w:val="single" w:sz="4" w:space="0" w:color="auto"/>
              <w:right w:val="single" w:sz="4" w:space="0" w:color="auto"/>
            </w:tcBorders>
            <w:shd w:val="clear" w:color="auto" w:fill="auto"/>
          </w:tcPr>
          <w:p w14:paraId="6459F68A" w14:textId="77777777" w:rsidR="00EB1844" w:rsidRPr="00324399" w:rsidRDefault="00EB1844" w:rsidP="00927B4B">
            <w:pPr>
              <w:spacing w:before="0" w:after="0"/>
              <w:rPr>
                <w:rFonts w:eastAsia="Times New Roman" w:cstheme="minorHAnsi"/>
                <w:color w:val="000000"/>
                <w:sz w:val="20"/>
                <w:szCs w:val="20"/>
                <w:lang w:eastAsia="es-MX"/>
              </w:rPr>
            </w:pPr>
            <w:r w:rsidRPr="00324399">
              <w:rPr>
                <w:rFonts w:eastAsia="Times New Roman" w:cstheme="minorHAnsi"/>
                <w:color w:val="000000"/>
                <w:sz w:val="20"/>
                <w:szCs w:val="20"/>
                <w:lang w:eastAsia="es-MX"/>
              </w:rPr>
              <w:t>Programación y presupuestación programática</w:t>
            </w:r>
          </w:p>
        </w:tc>
        <w:tc>
          <w:tcPr>
            <w:tcW w:w="868" w:type="pct"/>
            <w:tcBorders>
              <w:top w:val="single" w:sz="4" w:space="0" w:color="auto"/>
              <w:left w:val="single" w:sz="4" w:space="0" w:color="auto"/>
              <w:bottom w:val="single" w:sz="4" w:space="0" w:color="auto"/>
              <w:right w:val="single" w:sz="4" w:space="0" w:color="auto"/>
            </w:tcBorders>
            <w:shd w:val="clear" w:color="auto" w:fill="auto"/>
          </w:tcPr>
          <w:p w14:paraId="6A53EC0A" w14:textId="63DF86BA" w:rsidR="00EB1844" w:rsidRPr="00324399" w:rsidRDefault="002D1BD2" w:rsidP="00927B4B">
            <w:pPr>
              <w:spacing w:before="0" w:after="0"/>
              <w:rPr>
                <w:rFonts w:eastAsia="Times New Roman" w:cstheme="minorHAnsi"/>
                <w:color w:val="000000"/>
                <w:sz w:val="20"/>
                <w:szCs w:val="20"/>
                <w:lang w:eastAsia="es-MX"/>
              </w:rPr>
            </w:pPr>
            <w:r w:rsidRPr="00324399">
              <w:rPr>
                <w:rFonts w:eastAsia="Times New Roman" w:cstheme="minorHAnsi"/>
                <w:color w:val="000000"/>
                <w:sz w:val="20"/>
                <w:szCs w:val="20"/>
                <w:lang w:eastAsia="es-MX"/>
              </w:rPr>
              <w:t>SFP-Unidades ejecutoras y de planeación</w:t>
            </w:r>
          </w:p>
        </w:tc>
      </w:tr>
      <w:tr w:rsidR="00EB1844" w:rsidRPr="00074BB0" w14:paraId="66CE33A5" w14:textId="77777777" w:rsidTr="006A72DC">
        <w:trPr>
          <w:trHeight w:val="420"/>
        </w:trPr>
        <w:tc>
          <w:tcPr>
            <w:tcW w:w="202" w:type="pct"/>
            <w:vMerge/>
            <w:tcBorders>
              <w:left w:val="single" w:sz="4" w:space="0" w:color="auto"/>
              <w:right w:val="single" w:sz="4" w:space="0" w:color="auto"/>
            </w:tcBorders>
            <w:shd w:val="clear" w:color="auto" w:fill="D9D9D9"/>
            <w:textDirection w:val="btLr"/>
          </w:tcPr>
          <w:p w14:paraId="188B7386" w14:textId="77777777" w:rsidR="00EB1844" w:rsidRPr="00324399" w:rsidRDefault="00EB1844" w:rsidP="00927B4B">
            <w:pPr>
              <w:spacing w:before="0" w:after="0"/>
              <w:ind w:left="113" w:right="113"/>
              <w:jc w:val="center"/>
              <w:rPr>
                <w:rFonts w:eastAsia="Times New Roman" w:cstheme="minorHAnsi"/>
                <w:b/>
                <w:bCs/>
                <w:sz w:val="20"/>
                <w:szCs w:val="20"/>
                <w:lang w:eastAsia="es-MX"/>
              </w:rPr>
            </w:pPr>
          </w:p>
        </w:tc>
        <w:tc>
          <w:tcPr>
            <w:tcW w:w="715" w:type="pct"/>
            <w:tcBorders>
              <w:top w:val="single" w:sz="4" w:space="0" w:color="auto"/>
              <w:left w:val="single" w:sz="4" w:space="0" w:color="auto"/>
              <w:right w:val="single" w:sz="4" w:space="0" w:color="auto"/>
            </w:tcBorders>
            <w:shd w:val="clear" w:color="auto" w:fill="auto"/>
          </w:tcPr>
          <w:p w14:paraId="38DBA1E3" w14:textId="77777777" w:rsidR="00EB1844" w:rsidRPr="00324399" w:rsidRDefault="00EB1844" w:rsidP="00927B4B">
            <w:pPr>
              <w:spacing w:before="0" w:after="0"/>
              <w:rPr>
                <w:rFonts w:eastAsia="Times New Roman" w:cstheme="minorHAnsi"/>
                <w:color w:val="000000"/>
                <w:sz w:val="20"/>
                <w:szCs w:val="20"/>
                <w:lang w:eastAsia="es-MX"/>
              </w:rPr>
            </w:pPr>
            <w:r w:rsidRPr="00324399">
              <w:rPr>
                <w:rFonts w:eastAsia="Times New Roman" w:cstheme="minorHAnsi"/>
                <w:color w:val="000000"/>
                <w:sz w:val="20"/>
                <w:szCs w:val="20"/>
                <w:lang w:eastAsia="es-MX"/>
              </w:rPr>
              <w:t>SHCP</w:t>
            </w:r>
          </w:p>
        </w:tc>
        <w:tc>
          <w:tcPr>
            <w:tcW w:w="918" w:type="pct"/>
            <w:tcBorders>
              <w:top w:val="single" w:sz="4" w:space="0" w:color="auto"/>
              <w:left w:val="single" w:sz="4" w:space="0" w:color="auto"/>
              <w:bottom w:val="single" w:sz="4" w:space="0" w:color="auto"/>
              <w:right w:val="single" w:sz="4" w:space="0" w:color="auto"/>
            </w:tcBorders>
            <w:shd w:val="clear" w:color="auto" w:fill="auto"/>
          </w:tcPr>
          <w:p w14:paraId="5CDE62DF" w14:textId="77777777" w:rsidR="00EB1844" w:rsidRPr="00324399" w:rsidRDefault="00EB1844" w:rsidP="00927B4B">
            <w:pPr>
              <w:spacing w:before="0" w:after="0"/>
              <w:rPr>
                <w:rFonts w:eastAsia="Times New Roman" w:cstheme="minorHAnsi"/>
                <w:color w:val="000000"/>
                <w:sz w:val="20"/>
                <w:szCs w:val="20"/>
                <w:lang w:eastAsia="es-MX"/>
              </w:rPr>
            </w:pPr>
            <w:r w:rsidRPr="00324399">
              <w:rPr>
                <w:rFonts w:eastAsia="Times New Roman" w:cstheme="minorHAnsi"/>
                <w:color w:val="000000"/>
                <w:sz w:val="20"/>
                <w:szCs w:val="20"/>
                <w:lang w:eastAsia="es-MX"/>
              </w:rPr>
              <w:t>Asignación del presupuesto FAFEF</w:t>
            </w:r>
          </w:p>
        </w:tc>
        <w:tc>
          <w:tcPr>
            <w:tcW w:w="1327" w:type="pct"/>
            <w:tcBorders>
              <w:top w:val="single" w:sz="4" w:space="0" w:color="auto"/>
              <w:left w:val="single" w:sz="4" w:space="0" w:color="auto"/>
              <w:bottom w:val="single" w:sz="4" w:space="0" w:color="auto"/>
              <w:right w:val="single" w:sz="4" w:space="0" w:color="auto"/>
            </w:tcBorders>
            <w:shd w:val="clear" w:color="auto" w:fill="auto"/>
          </w:tcPr>
          <w:p w14:paraId="5A83E3F2" w14:textId="77777777" w:rsidR="00EB1844" w:rsidRPr="00324399" w:rsidRDefault="00EB1844" w:rsidP="00927B4B">
            <w:pPr>
              <w:spacing w:before="0" w:after="0"/>
              <w:rPr>
                <w:rFonts w:eastAsia="Times New Roman" w:cstheme="minorHAnsi"/>
                <w:color w:val="000000"/>
                <w:sz w:val="20"/>
                <w:szCs w:val="20"/>
                <w:lang w:eastAsia="es-MX"/>
              </w:rPr>
            </w:pPr>
            <w:r w:rsidRPr="00324399">
              <w:rPr>
                <w:rFonts w:eastAsia="Times New Roman" w:cstheme="minorHAnsi"/>
                <w:color w:val="000000"/>
                <w:sz w:val="20"/>
                <w:szCs w:val="20"/>
                <w:lang w:eastAsia="es-MX"/>
              </w:rPr>
              <w:t xml:space="preserve">Publicación en el DOF de los montos y calendarización de los recursos del Fondo </w:t>
            </w:r>
          </w:p>
        </w:tc>
        <w:tc>
          <w:tcPr>
            <w:tcW w:w="969" w:type="pct"/>
            <w:tcBorders>
              <w:top w:val="single" w:sz="4" w:space="0" w:color="auto"/>
              <w:left w:val="single" w:sz="4" w:space="0" w:color="auto"/>
              <w:bottom w:val="single" w:sz="4" w:space="0" w:color="auto"/>
              <w:right w:val="single" w:sz="4" w:space="0" w:color="auto"/>
            </w:tcBorders>
            <w:shd w:val="clear" w:color="auto" w:fill="auto"/>
          </w:tcPr>
          <w:p w14:paraId="10CC9A14" w14:textId="77777777" w:rsidR="00EB1844" w:rsidRPr="00324399" w:rsidRDefault="00EB1844" w:rsidP="00927B4B">
            <w:pPr>
              <w:spacing w:before="0" w:after="0"/>
              <w:rPr>
                <w:rFonts w:eastAsia="Times New Roman" w:cstheme="minorHAnsi"/>
                <w:color w:val="000000"/>
                <w:sz w:val="20"/>
                <w:szCs w:val="20"/>
                <w:lang w:eastAsia="es-MX"/>
              </w:rPr>
            </w:pPr>
            <w:r w:rsidRPr="00324399">
              <w:rPr>
                <w:rFonts w:eastAsia="Times New Roman" w:cstheme="minorHAnsi"/>
                <w:color w:val="000000"/>
                <w:sz w:val="20"/>
                <w:szCs w:val="20"/>
                <w:lang w:eastAsia="es-MX"/>
              </w:rPr>
              <w:t>Presupuesto de Egresos de Federación que incluye los recursos del FAFEF.</w:t>
            </w:r>
          </w:p>
        </w:tc>
        <w:tc>
          <w:tcPr>
            <w:tcW w:w="868" w:type="pct"/>
            <w:tcBorders>
              <w:top w:val="single" w:sz="4" w:space="0" w:color="auto"/>
              <w:left w:val="single" w:sz="4" w:space="0" w:color="auto"/>
              <w:bottom w:val="single" w:sz="4" w:space="0" w:color="auto"/>
              <w:right w:val="single" w:sz="4" w:space="0" w:color="auto"/>
            </w:tcBorders>
            <w:shd w:val="clear" w:color="auto" w:fill="auto"/>
          </w:tcPr>
          <w:p w14:paraId="143F989B" w14:textId="77777777" w:rsidR="00EB1844" w:rsidRPr="00324399" w:rsidRDefault="00EB1844" w:rsidP="00927B4B">
            <w:pPr>
              <w:spacing w:before="0" w:after="0"/>
              <w:rPr>
                <w:rFonts w:eastAsia="Times New Roman" w:cstheme="minorHAnsi"/>
                <w:color w:val="000000"/>
                <w:sz w:val="20"/>
                <w:szCs w:val="20"/>
                <w:lang w:eastAsia="es-MX"/>
              </w:rPr>
            </w:pPr>
            <w:r w:rsidRPr="00324399">
              <w:rPr>
                <w:rFonts w:eastAsia="Times New Roman" w:cstheme="minorHAnsi"/>
                <w:color w:val="000000"/>
                <w:sz w:val="20"/>
                <w:szCs w:val="20"/>
                <w:lang w:eastAsia="es-MX"/>
              </w:rPr>
              <w:t>SFP</w:t>
            </w:r>
          </w:p>
        </w:tc>
      </w:tr>
      <w:tr w:rsidR="007C3D85" w:rsidRPr="00074BB0" w14:paraId="3A5644D2" w14:textId="77777777" w:rsidTr="006A72DC">
        <w:trPr>
          <w:trHeight w:val="420"/>
        </w:trPr>
        <w:tc>
          <w:tcPr>
            <w:tcW w:w="202" w:type="pct"/>
            <w:vMerge w:val="restart"/>
            <w:tcBorders>
              <w:left w:val="single" w:sz="4" w:space="0" w:color="auto"/>
              <w:right w:val="single" w:sz="4" w:space="0" w:color="auto"/>
            </w:tcBorders>
            <w:shd w:val="clear" w:color="auto" w:fill="C5E0B3" w:themeFill="accent6" w:themeFillTint="66"/>
            <w:textDirection w:val="btLr"/>
          </w:tcPr>
          <w:p w14:paraId="0FA029C5" w14:textId="77777777" w:rsidR="007C3D85" w:rsidRPr="00324399" w:rsidRDefault="007C3D85" w:rsidP="00927B4B">
            <w:pPr>
              <w:spacing w:before="0" w:after="0"/>
              <w:ind w:left="113" w:right="113"/>
              <w:jc w:val="center"/>
              <w:rPr>
                <w:rFonts w:eastAsia="Times New Roman" w:cstheme="minorHAnsi"/>
                <w:b/>
                <w:bCs/>
                <w:sz w:val="20"/>
                <w:szCs w:val="20"/>
                <w:lang w:eastAsia="es-MX"/>
              </w:rPr>
            </w:pPr>
            <w:r w:rsidRPr="00E178E2">
              <w:rPr>
                <w:rFonts w:eastAsia="Times New Roman" w:cstheme="minorHAnsi"/>
                <w:b/>
                <w:bCs/>
                <w:color w:val="70AD47" w:themeColor="accent6"/>
                <w:sz w:val="20"/>
                <w:szCs w:val="20"/>
                <w:lang w:eastAsia="es-MX"/>
              </w:rPr>
              <w:t>Ejercicio</w:t>
            </w:r>
          </w:p>
        </w:tc>
        <w:tc>
          <w:tcPr>
            <w:tcW w:w="715" w:type="pct"/>
            <w:tcBorders>
              <w:top w:val="single" w:sz="4" w:space="0" w:color="auto"/>
              <w:left w:val="single" w:sz="4" w:space="0" w:color="auto"/>
              <w:right w:val="single" w:sz="4" w:space="0" w:color="auto"/>
            </w:tcBorders>
            <w:shd w:val="clear" w:color="auto" w:fill="auto"/>
          </w:tcPr>
          <w:p w14:paraId="0E6F2277" w14:textId="77777777" w:rsidR="007C3D85" w:rsidRPr="00324399" w:rsidRDefault="007C3D85" w:rsidP="00927B4B">
            <w:pPr>
              <w:spacing w:before="0" w:after="0"/>
              <w:rPr>
                <w:rFonts w:eastAsia="Times New Roman" w:cstheme="minorHAnsi"/>
                <w:color w:val="000000"/>
                <w:sz w:val="20"/>
                <w:szCs w:val="20"/>
                <w:lang w:eastAsia="es-MX"/>
              </w:rPr>
            </w:pPr>
            <w:r w:rsidRPr="00324399">
              <w:rPr>
                <w:rFonts w:eastAsia="Times New Roman" w:cstheme="minorHAnsi"/>
                <w:color w:val="000000"/>
                <w:sz w:val="20"/>
                <w:szCs w:val="20"/>
                <w:lang w:eastAsia="es-MX"/>
              </w:rPr>
              <w:t>DGPyP “A” de la SHCP</w:t>
            </w:r>
          </w:p>
        </w:tc>
        <w:tc>
          <w:tcPr>
            <w:tcW w:w="918" w:type="pct"/>
            <w:tcBorders>
              <w:top w:val="single" w:sz="4" w:space="0" w:color="auto"/>
              <w:left w:val="single" w:sz="4" w:space="0" w:color="auto"/>
              <w:bottom w:val="single" w:sz="4" w:space="0" w:color="auto"/>
              <w:right w:val="single" w:sz="4" w:space="0" w:color="auto"/>
            </w:tcBorders>
            <w:shd w:val="clear" w:color="auto" w:fill="auto"/>
          </w:tcPr>
          <w:p w14:paraId="5889F609" w14:textId="77777777" w:rsidR="007C3D85" w:rsidRPr="00324399" w:rsidRDefault="007C3D85" w:rsidP="00927B4B">
            <w:pPr>
              <w:spacing w:before="0" w:after="0"/>
              <w:rPr>
                <w:rFonts w:eastAsia="Times New Roman" w:cstheme="minorHAnsi"/>
                <w:color w:val="000000"/>
                <w:sz w:val="20"/>
                <w:szCs w:val="20"/>
                <w:lang w:eastAsia="es-MX"/>
              </w:rPr>
            </w:pPr>
            <w:r w:rsidRPr="00324399">
              <w:rPr>
                <w:rFonts w:eastAsia="Times New Roman" w:cstheme="minorHAnsi"/>
                <w:color w:val="000000"/>
                <w:sz w:val="20"/>
                <w:szCs w:val="20"/>
                <w:lang w:eastAsia="es-MX"/>
              </w:rPr>
              <w:t>Registro de cuentas para la entrega de los recursos</w:t>
            </w:r>
          </w:p>
        </w:tc>
        <w:tc>
          <w:tcPr>
            <w:tcW w:w="1327" w:type="pct"/>
            <w:tcBorders>
              <w:top w:val="single" w:sz="4" w:space="0" w:color="auto"/>
              <w:left w:val="single" w:sz="4" w:space="0" w:color="auto"/>
              <w:bottom w:val="single" w:sz="4" w:space="0" w:color="auto"/>
              <w:right w:val="single" w:sz="4" w:space="0" w:color="auto"/>
            </w:tcBorders>
            <w:shd w:val="clear" w:color="auto" w:fill="auto"/>
          </w:tcPr>
          <w:p w14:paraId="3FB0AA0F" w14:textId="77777777" w:rsidR="007C3D85" w:rsidRPr="00324399" w:rsidRDefault="007C3D85" w:rsidP="00927B4B">
            <w:pPr>
              <w:spacing w:before="0" w:after="0"/>
              <w:rPr>
                <w:rFonts w:eastAsia="Times New Roman" w:cstheme="minorHAnsi"/>
                <w:color w:val="000000"/>
                <w:sz w:val="20"/>
                <w:szCs w:val="20"/>
                <w:lang w:eastAsia="es-MX"/>
              </w:rPr>
            </w:pPr>
            <w:r w:rsidRPr="00324399">
              <w:rPr>
                <w:rFonts w:eastAsia="Times New Roman" w:cstheme="minorHAnsi"/>
                <w:color w:val="000000"/>
                <w:sz w:val="20"/>
                <w:szCs w:val="20"/>
                <w:lang w:eastAsia="es-MX"/>
              </w:rPr>
              <w:t>Solicitud de cuentas bancarias</w:t>
            </w:r>
          </w:p>
        </w:tc>
        <w:tc>
          <w:tcPr>
            <w:tcW w:w="969" w:type="pct"/>
            <w:tcBorders>
              <w:top w:val="single" w:sz="4" w:space="0" w:color="auto"/>
              <w:left w:val="single" w:sz="4" w:space="0" w:color="auto"/>
              <w:bottom w:val="single" w:sz="4" w:space="0" w:color="auto"/>
              <w:right w:val="single" w:sz="4" w:space="0" w:color="auto"/>
            </w:tcBorders>
            <w:shd w:val="clear" w:color="auto" w:fill="auto"/>
          </w:tcPr>
          <w:p w14:paraId="7778E5C6" w14:textId="77777777" w:rsidR="007C3D85" w:rsidRPr="00324399" w:rsidRDefault="007C3D85" w:rsidP="00927B4B">
            <w:pPr>
              <w:spacing w:before="0" w:after="0"/>
              <w:rPr>
                <w:rFonts w:eastAsia="Times New Roman" w:cstheme="minorHAnsi"/>
                <w:color w:val="000000"/>
                <w:sz w:val="20"/>
                <w:szCs w:val="20"/>
                <w:lang w:eastAsia="es-MX"/>
              </w:rPr>
            </w:pPr>
            <w:r w:rsidRPr="00324399">
              <w:rPr>
                <w:rFonts w:eastAsia="Times New Roman" w:cstheme="minorHAnsi"/>
                <w:color w:val="000000"/>
                <w:sz w:val="20"/>
                <w:szCs w:val="20"/>
                <w:lang w:eastAsia="es-MX"/>
              </w:rPr>
              <w:t>Datos de cuentas bancarias</w:t>
            </w:r>
          </w:p>
        </w:tc>
        <w:tc>
          <w:tcPr>
            <w:tcW w:w="868" w:type="pct"/>
            <w:tcBorders>
              <w:top w:val="single" w:sz="4" w:space="0" w:color="auto"/>
              <w:left w:val="single" w:sz="4" w:space="0" w:color="auto"/>
              <w:bottom w:val="single" w:sz="4" w:space="0" w:color="auto"/>
              <w:right w:val="single" w:sz="4" w:space="0" w:color="auto"/>
            </w:tcBorders>
            <w:shd w:val="clear" w:color="auto" w:fill="auto"/>
          </w:tcPr>
          <w:p w14:paraId="7413E572" w14:textId="77777777" w:rsidR="007C3D85" w:rsidRPr="00324399" w:rsidRDefault="007C3D85" w:rsidP="00927B4B">
            <w:pPr>
              <w:spacing w:before="0" w:after="0"/>
              <w:rPr>
                <w:rFonts w:eastAsia="Times New Roman" w:cstheme="minorHAnsi"/>
                <w:color w:val="000000"/>
                <w:sz w:val="20"/>
                <w:szCs w:val="20"/>
                <w:lang w:eastAsia="es-MX"/>
              </w:rPr>
            </w:pPr>
            <w:r w:rsidRPr="00324399">
              <w:rPr>
                <w:rFonts w:eastAsia="Times New Roman" w:cstheme="minorHAnsi"/>
                <w:color w:val="000000"/>
                <w:sz w:val="20"/>
                <w:szCs w:val="20"/>
                <w:lang w:eastAsia="es-MX"/>
              </w:rPr>
              <w:t>SFP</w:t>
            </w:r>
          </w:p>
        </w:tc>
      </w:tr>
      <w:tr w:rsidR="007C3D85" w:rsidRPr="00074BB0" w14:paraId="516B445E" w14:textId="77777777" w:rsidTr="006A72DC">
        <w:trPr>
          <w:trHeight w:val="420"/>
        </w:trPr>
        <w:tc>
          <w:tcPr>
            <w:tcW w:w="202" w:type="pct"/>
            <w:vMerge/>
            <w:tcBorders>
              <w:left w:val="single" w:sz="4" w:space="0" w:color="auto"/>
              <w:right w:val="single" w:sz="4" w:space="0" w:color="auto"/>
            </w:tcBorders>
            <w:shd w:val="clear" w:color="auto" w:fill="C5E0B3" w:themeFill="accent6" w:themeFillTint="66"/>
            <w:textDirection w:val="btLr"/>
          </w:tcPr>
          <w:p w14:paraId="1A9AF040" w14:textId="77777777" w:rsidR="007C3D85" w:rsidRPr="00324399" w:rsidRDefault="007C3D85" w:rsidP="00927B4B">
            <w:pPr>
              <w:spacing w:before="0" w:after="0"/>
              <w:ind w:left="113" w:right="113"/>
              <w:jc w:val="center"/>
              <w:rPr>
                <w:rFonts w:eastAsia="Times New Roman" w:cstheme="minorHAnsi"/>
                <w:b/>
                <w:bCs/>
                <w:sz w:val="20"/>
                <w:szCs w:val="20"/>
                <w:lang w:eastAsia="es-MX"/>
              </w:rPr>
            </w:pPr>
          </w:p>
        </w:tc>
        <w:tc>
          <w:tcPr>
            <w:tcW w:w="715" w:type="pct"/>
            <w:tcBorders>
              <w:top w:val="single" w:sz="4" w:space="0" w:color="auto"/>
              <w:left w:val="single" w:sz="4" w:space="0" w:color="auto"/>
              <w:right w:val="single" w:sz="4" w:space="0" w:color="auto"/>
            </w:tcBorders>
            <w:shd w:val="clear" w:color="auto" w:fill="auto"/>
          </w:tcPr>
          <w:p w14:paraId="44FF976C" w14:textId="77777777" w:rsidR="007C3D85" w:rsidRPr="00324399" w:rsidRDefault="007C3D85" w:rsidP="00927B4B">
            <w:pPr>
              <w:spacing w:before="0" w:after="0"/>
              <w:rPr>
                <w:rFonts w:eastAsia="Times New Roman" w:cstheme="minorHAnsi"/>
                <w:color w:val="000000"/>
                <w:sz w:val="20"/>
                <w:szCs w:val="20"/>
                <w:lang w:eastAsia="es-MX"/>
              </w:rPr>
            </w:pPr>
            <w:r w:rsidRPr="00324399">
              <w:rPr>
                <w:rFonts w:eastAsia="Times New Roman" w:cstheme="minorHAnsi"/>
                <w:color w:val="000000"/>
                <w:sz w:val="20"/>
                <w:szCs w:val="20"/>
                <w:lang w:eastAsia="es-MX"/>
              </w:rPr>
              <w:t>DGPyP “A” de la SHCP</w:t>
            </w:r>
          </w:p>
        </w:tc>
        <w:tc>
          <w:tcPr>
            <w:tcW w:w="918" w:type="pct"/>
            <w:tcBorders>
              <w:top w:val="single" w:sz="4" w:space="0" w:color="auto"/>
              <w:left w:val="single" w:sz="4" w:space="0" w:color="auto"/>
              <w:bottom w:val="single" w:sz="4" w:space="0" w:color="auto"/>
              <w:right w:val="single" w:sz="4" w:space="0" w:color="auto"/>
            </w:tcBorders>
            <w:shd w:val="clear" w:color="auto" w:fill="auto"/>
          </w:tcPr>
          <w:p w14:paraId="1C60F1B6" w14:textId="77777777" w:rsidR="007C3D85" w:rsidRPr="00324399" w:rsidRDefault="007C3D85" w:rsidP="00927B4B">
            <w:pPr>
              <w:spacing w:before="0" w:after="0"/>
              <w:rPr>
                <w:rFonts w:eastAsia="Times New Roman" w:cstheme="minorHAnsi"/>
                <w:color w:val="000000"/>
                <w:sz w:val="20"/>
                <w:szCs w:val="20"/>
                <w:lang w:eastAsia="es-MX"/>
              </w:rPr>
            </w:pPr>
            <w:r w:rsidRPr="00324399">
              <w:rPr>
                <w:rFonts w:eastAsia="Times New Roman" w:cstheme="minorHAnsi"/>
                <w:color w:val="000000"/>
                <w:sz w:val="20"/>
                <w:szCs w:val="20"/>
                <w:lang w:eastAsia="es-MX"/>
              </w:rPr>
              <w:t>Ficha de información de pagos efectuados</w:t>
            </w:r>
          </w:p>
        </w:tc>
        <w:tc>
          <w:tcPr>
            <w:tcW w:w="1327" w:type="pct"/>
            <w:tcBorders>
              <w:top w:val="single" w:sz="4" w:space="0" w:color="auto"/>
              <w:left w:val="single" w:sz="4" w:space="0" w:color="auto"/>
              <w:bottom w:val="single" w:sz="4" w:space="0" w:color="auto"/>
              <w:right w:val="single" w:sz="4" w:space="0" w:color="auto"/>
            </w:tcBorders>
            <w:shd w:val="clear" w:color="auto" w:fill="auto"/>
          </w:tcPr>
          <w:p w14:paraId="4E25A709" w14:textId="77777777" w:rsidR="007C3D85" w:rsidRPr="00324399" w:rsidRDefault="007C3D85" w:rsidP="00927B4B">
            <w:pPr>
              <w:spacing w:before="0" w:after="0"/>
              <w:rPr>
                <w:rFonts w:eastAsia="Times New Roman" w:cstheme="minorHAnsi"/>
                <w:color w:val="000000"/>
                <w:sz w:val="20"/>
                <w:szCs w:val="20"/>
                <w:lang w:eastAsia="es-MX"/>
              </w:rPr>
            </w:pPr>
            <w:r w:rsidRPr="00324399">
              <w:rPr>
                <w:rFonts w:eastAsia="Times New Roman" w:cstheme="minorHAnsi"/>
                <w:color w:val="000000"/>
                <w:sz w:val="20"/>
                <w:szCs w:val="20"/>
                <w:lang w:eastAsia="es-MX"/>
              </w:rPr>
              <w:t>Ministración mensual de recursos conforme a calendario</w:t>
            </w:r>
          </w:p>
        </w:tc>
        <w:tc>
          <w:tcPr>
            <w:tcW w:w="969" w:type="pct"/>
            <w:tcBorders>
              <w:top w:val="single" w:sz="4" w:space="0" w:color="auto"/>
              <w:left w:val="single" w:sz="4" w:space="0" w:color="auto"/>
              <w:bottom w:val="single" w:sz="4" w:space="0" w:color="auto"/>
              <w:right w:val="single" w:sz="4" w:space="0" w:color="auto"/>
            </w:tcBorders>
            <w:shd w:val="clear" w:color="auto" w:fill="auto"/>
          </w:tcPr>
          <w:p w14:paraId="1585EEE5" w14:textId="77777777" w:rsidR="007C3D85" w:rsidRPr="00324399" w:rsidRDefault="007C3D85" w:rsidP="00927B4B">
            <w:pPr>
              <w:spacing w:before="0" w:after="0"/>
              <w:rPr>
                <w:rFonts w:eastAsia="Times New Roman" w:cstheme="minorHAnsi"/>
                <w:color w:val="000000"/>
                <w:sz w:val="20"/>
                <w:szCs w:val="20"/>
                <w:lang w:eastAsia="es-MX"/>
              </w:rPr>
            </w:pPr>
            <w:r w:rsidRPr="00324399">
              <w:rPr>
                <w:rFonts w:eastAsia="Times New Roman" w:cstheme="minorHAnsi"/>
                <w:color w:val="000000"/>
                <w:sz w:val="20"/>
                <w:szCs w:val="20"/>
                <w:lang w:eastAsia="es-MX"/>
              </w:rPr>
              <w:t>Dispersión o pago por parte de TESOFE</w:t>
            </w:r>
          </w:p>
        </w:tc>
        <w:tc>
          <w:tcPr>
            <w:tcW w:w="868" w:type="pct"/>
            <w:tcBorders>
              <w:top w:val="single" w:sz="4" w:space="0" w:color="auto"/>
              <w:left w:val="single" w:sz="4" w:space="0" w:color="auto"/>
              <w:bottom w:val="single" w:sz="4" w:space="0" w:color="auto"/>
              <w:right w:val="single" w:sz="4" w:space="0" w:color="auto"/>
            </w:tcBorders>
            <w:shd w:val="clear" w:color="auto" w:fill="auto"/>
          </w:tcPr>
          <w:p w14:paraId="4E2A8CE0" w14:textId="77777777" w:rsidR="007C3D85" w:rsidRPr="00324399" w:rsidRDefault="007C3D85" w:rsidP="00927B4B">
            <w:pPr>
              <w:spacing w:before="0" w:after="0"/>
              <w:rPr>
                <w:rFonts w:eastAsia="Times New Roman" w:cstheme="minorHAnsi"/>
                <w:color w:val="000000"/>
                <w:sz w:val="20"/>
                <w:szCs w:val="20"/>
                <w:lang w:eastAsia="es-MX"/>
              </w:rPr>
            </w:pPr>
            <w:r w:rsidRPr="00324399">
              <w:rPr>
                <w:rFonts w:eastAsia="Times New Roman" w:cstheme="minorHAnsi"/>
                <w:color w:val="000000"/>
                <w:sz w:val="20"/>
                <w:szCs w:val="20"/>
                <w:lang w:eastAsia="es-MX"/>
              </w:rPr>
              <w:t>SFP</w:t>
            </w:r>
          </w:p>
        </w:tc>
      </w:tr>
      <w:tr w:rsidR="002E59A5" w:rsidRPr="00074BB0" w14:paraId="7C253DE3" w14:textId="77777777" w:rsidTr="006A72DC">
        <w:trPr>
          <w:trHeight w:val="420"/>
        </w:trPr>
        <w:tc>
          <w:tcPr>
            <w:tcW w:w="202" w:type="pct"/>
            <w:vMerge/>
            <w:tcBorders>
              <w:left w:val="single" w:sz="4" w:space="0" w:color="auto"/>
              <w:right w:val="single" w:sz="4" w:space="0" w:color="auto"/>
            </w:tcBorders>
            <w:shd w:val="clear" w:color="auto" w:fill="C5E0B3" w:themeFill="accent6" w:themeFillTint="66"/>
          </w:tcPr>
          <w:p w14:paraId="3C8525C2" w14:textId="77777777" w:rsidR="002E59A5" w:rsidRPr="00324399" w:rsidRDefault="002E59A5" w:rsidP="00927B4B">
            <w:pPr>
              <w:spacing w:before="0" w:after="0"/>
              <w:ind w:left="113" w:right="113"/>
              <w:jc w:val="center"/>
              <w:rPr>
                <w:rFonts w:eastAsia="Times New Roman" w:cstheme="minorHAnsi"/>
                <w:sz w:val="20"/>
                <w:szCs w:val="20"/>
                <w:lang w:eastAsia="es-MX"/>
              </w:rPr>
            </w:pPr>
          </w:p>
        </w:tc>
        <w:tc>
          <w:tcPr>
            <w:tcW w:w="715" w:type="pct"/>
            <w:tcBorders>
              <w:top w:val="single" w:sz="4" w:space="0" w:color="auto"/>
              <w:left w:val="single" w:sz="4" w:space="0" w:color="auto"/>
              <w:right w:val="single" w:sz="4" w:space="0" w:color="auto"/>
            </w:tcBorders>
            <w:shd w:val="clear" w:color="auto" w:fill="auto"/>
          </w:tcPr>
          <w:p w14:paraId="5B06512D" w14:textId="4A2844B3" w:rsidR="002E59A5" w:rsidRPr="00324399" w:rsidRDefault="002E59A5" w:rsidP="00927B4B">
            <w:pPr>
              <w:spacing w:before="0" w:after="0"/>
              <w:rPr>
                <w:rFonts w:eastAsia="Times New Roman" w:cstheme="minorHAnsi"/>
                <w:color w:val="000000"/>
                <w:sz w:val="20"/>
                <w:szCs w:val="20"/>
                <w:lang w:eastAsia="es-MX"/>
              </w:rPr>
            </w:pPr>
            <w:r w:rsidRPr="00324399">
              <w:rPr>
                <w:rFonts w:eastAsia="Times New Roman" w:cstheme="minorHAnsi"/>
                <w:color w:val="000000"/>
                <w:sz w:val="20"/>
                <w:szCs w:val="20"/>
                <w:lang w:eastAsia="es-MX"/>
              </w:rPr>
              <w:t>SFP</w:t>
            </w:r>
          </w:p>
        </w:tc>
        <w:tc>
          <w:tcPr>
            <w:tcW w:w="918" w:type="pct"/>
            <w:tcBorders>
              <w:top w:val="single" w:sz="4" w:space="0" w:color="auto"/>
              <w:left w:val="single" w:sz="4" w:space="0" w:color="auto"/>
              <w:bottom w:val="single" w:sz="4" w:space="0" w:color="auto"/>
              <w:right w:val="single" w:sz="4" w:space="0" w:color="auto"/>
            </w:tcBorders>
            <w:shd w:val="clear" w:color="auto" w:fill="auto"/>
          </w:tcPr>
          <w:p w14:paraId="1C65130D" w14:textId="584F3546" w:rsidR="002E59A5" w:rsidRPr="00324399" w:rsidRDefault="004E2CC6" w:rsidP="00927B4B">
            <w:pPr>
              <w:spacing w:before="0" w:after="0"/>
              <w:rPr>
                <w:rFonts w:eastAsia="Times New Roman" w:cstheme="minorHAnsi"/>
                <w:color w:val="000000"/>
                <w:sz w:val="20"/>
                <w:szCs w:val="20"/>
                <w:lang w:eastAsia="es-MX"/>
              </w:rPr>
            </w:pPr>
            <w:r w:rsidRPr="00324399">
              <w:rPr>
                <w:rFonts w:eastAsia="Times New Roman" w:cstheme="minorHAnsi"/>
                <w:color w:val="000000"/>
                <w:sz w:val="20"/>
                <w:szCs w:val="20"/>
                <w:lang w:eastAsia="es-MX"/>
              </w:rPr>
              <w:t>Notificación</w:t>
            </w:r>
          </w:p>
        </w:tc>
        <w:tc>
          <w:tcPr>
            <w:tcW w:w="1327" w:type="pct"/>
            <w:tcBorders>
              <w:top w:val="single" w:sz="4" w:space="0" w:color="auto"/>
              <w:left w:val="single" w:sz="4" w:space="0" w:color="auto"/>
              <w:bottom w:val="single" w:sz="4" w:space="0" w:color="auto"/>
              <w:right w:val="single" w:sz="4" w:space="0" w:color="auto"/>
            </w:tcBorders>
            <w:shd w:val="clear" w:color="auto" w:fill="auto"/>
          </w:tcPr>
          <w:p w14:paraId="6C989C2F" w14:textId="40A175ED" w:rsidR="002E59A5" w:rsidRPr="00324399" w:rsidRDefault="004E2CC6" w:rsidP="00927B4B">
            <w:pPr>
              <w:spacing w:before="0" w:after="0"/>
              <w:rPr>
                <w:rFonts w:eastAsia="Times New Roman" w:cstheme="minorHAnsi"/>
                <w:color w:val="000000"/>
                <w:sz w:val="20"/>
                <w:szCs w:val="20"/>
                <w:lang w:eastAsia="es-MX"/>
              </w:rPr>
            </w:pPr>
            <w:r w:rsidRPr="00324399">
              <w:rPr>
                <w:rFonts w:eastAsia="Times New Roman" w:cstheme="minorHAnsi"/>
                <w:color w:val="000000"/>
                <w:sz w:val="20"/>
                <w:szCs w:val="20"/>
                <w:lang w:eastAsia="es-MX"/>
              </w:rPr>
              <w:t>Notifica la afectación al FAFEF para saneamiento financiero a la SHCP.</w:t>
            </w:r>
          </w:p>
        </w:tc>
        <w:tc>
          <w:tcPr>
            <w:tcW w:w="969" w:type="pct"/>
            <w:tcBorders>
              <w:top w:val="single" w:sz="4" w:space="0" w:color="auto"/>
              <w:left w:val="single" w:sz="4" w:space="0" w:color="auto"/>
              <w:bottom w:val="single" w:sz="4" w:space="0" w:color="auto"/>
              <w:right w:val="single" w:sz="4" w:space="0" w:color="auto"/>
            </w:tcBorders>
            <w:shd w:val="clear" w:color="auto" w:fill="auto"/>
          </w:tcPr>
          <w:p w14:paraId="35AC9556" w14:textId="587F058A" w:rsidR="002E59A5" w:rsidRPr="00324399" w:rsidRDefault="004E2CC6" w:rsidP="00927B4B">
            <w:pPr>
              <w:spacing w:before="0" w:after="0"/>
              <w:rPr>
                <w:rFonts w:eastAsia="Times New Roman" w:cstheme="minorHAnsi"/>
                <w:color w:val="000000"/>
                <w:sz w:val="20"/>
                <w:szCs w:val="20"/>
                <w:lang w:eastAsia="es-MX"/>
              </w:rPr>
            </w:pPr>
            <w:r w:rsidRPr="00324399">
              <w:rPr>
                <w:rFonts w:eastAsia="Times New Roman" w:cstheme="minorHAnsi"/>
                <w:color w:val="000000"/>
                <w:sz w:val="20"/>
                <w:szCs w:val="20"/>
                <w:lang w:eastAsia="es-MX"/>
              </w:rPr>
              <w:t>Notificación</w:t>
            </w:r>
          </w:p>
        </w:tc>
        <w:tc>
          <w:tcPr>
            <w:tcW w:w="868" w:type="pct"/>
            <w:tcBorders>
              <w:top w:val="single" w:sz="4" w:space="0" w:color="auto"/>
              <w:left w:val="single" w:sz="4" w:space="0" w:color="auto"/>
              <w:bottom w:val="single" w:sz="4" w:space="0" w:color="auto"/>
              <w:right w:val="single" w:sz="4" w:space="0" w:color="auto"/>
            </w:tcBorders>
            <w:shd w:val="clear" w:color="auto" w:fill="auto"/>
          </w:tcPr>
          <w:p w14:paraId="38E9CB33" w14:textId="1206D219" w:rsidR="002E59A5" w:rsidRPr="00324399" w:rsidRDefault="004E2CC6" w:rsidP="00927B4B">
            <w:pPr>
              <w:spacing w:before="0" w:after="0"/>
              <w:rPr>
                <w:rFonts w:eastAsia="Times New Roman" w:cstheme="minorHAnsi"/>
                <w:color w:val="000000"/>
                <w:sz w:val="20"/>
                <w:szCs w:val="20"/>
                <w:lang w:eastAsia="es-MX"/>
              </w:rPr>
            </w:pPr>
            <w:r w:rsidRPr="00324399">
              <w:rPr>
                <w:rFonts w:eastAsia="Times New Roman" w:cstheme="minorHAnsi"/>
                <w:color w:val="000000"/>
                <w:sz w:val="20"/>
                <w:szCs w:val="20"/>
                <w:lang w:eastAsia="es-MX"/>
              </w:rPr>
              <w:t>Coordinación de Planeación Financiera de la SFP.</w:t>
            </w:r>
          </w:p>
        </w:tc>
      </w:tr>
      <w:tr w:rsidR="002E59A5" w:rsidRPr="00074BB0" w14:paraId="4EA6A75E" w14:textId="77777777" w:rsidTr="006A72DC">
        <w:trPr>
          <w:trHeight w:val="420"/>
        </w:trPr>
        <w:tc>
          <w:tcPr>
            <w:tcW w:w="202" w:type="pct"/>
            <w:vMerge/>
            <w:tcBorders>
              <w:left w:val="single" w:sz="4" w:space="0" w:color="auto"/>
              <w:right w:val="single" w:sz="4" w:space="0" w:color="auto"/>
            </w:tcBorders>
            <w:shd w:val="clear" w:color="auto" w:fill="C5E0B3" w:themeFill="accent6" w:themeFillTint="66"/>
          </w:tcPr>
          <w:p w14:paraId="267E7B84" w14:textId="77777777" w:rsidR="002E59A5" w:rsidRPr="00324399" w:rsidRDefault="002E59A5" w:rsidP="00927B4B">
            <w:pPr>
              <w:spacing w:before="0" w:after="0"/>
              <w:ind w:left="113" w:right="113"/>
              <w:jc w:val="center"/>
              <w:rPr>
                <w:rFonts w:eastAsia="Times New Roman" w:cstheme="minorHAnsi"/>
                <w:sz w:val="20"/>
                <w:szCs w:val="20"/>
                <w:lang w:eastAsia="es-MX"/>
              </w:rPr>
            </w:pPr>
          </w:p>
        </w:tc>
        <w:tc>
          <w:tcPr>
            <w:tcW w:w="715" w:type="pct"/>
            <w:tcBorders>
              <w:top w:val="single" w:sz="4" w:space="0" w:color="auto"/>
              <w:left w:val="single" w:sz="4" w:space="0" w:color="auto"/>
              <w:right w:val="single" w:sz="4" w:space="0" w:color="auto"/>
            </w:tcBorders>
            <w:shd w:val="clear" w:color="auto" w:fill="auto"/>
          </w:tcPr>
          <w:p w14:paraId="5D553538" w14:textId="4115F87B" w:rsidR="002E59A5" w:rsidRPr="00324399" w:rsidRDefault="004E2CC6" w:rsidP="00927B4B">
            <w:pPr>
              <w:spacing w:before="0" w:after="0"/>
              <w:rPr>
                <w:rFonts w:eastAsia="Times New Roman" w:cstheme="minorHAnsi"/>
                <w:color w:val="000000"/>
                <w:sz w:val="20"/>
                <w:szCs w:val="20"/>
                <w:lang w:eastAsia="es-MX"/>
              </w:rPr>
            </w:pPr>
            <w:r w:rsidRPr="00324399">
              <w:rPr>
                <w:rFonts w:eastAsia="Times New Roman" w:cstheme="minorHAnsi"/>
                <w:color w:val="000000"/>
                <w:sz w:val="20"/>
                <w:szCs w:val="20"/>
                <w:lang w:eastAsia="es-MX"/>
              </w:rPr>
              <w:t>Coordinación de Planeación Financiera de la SFP.</w:t>
            </w:r>
          </w:p>
        </w:tc>
        <w:tc>
          <w:tcPr>
            <w:tcW w:w="918" w:type="pct"/>
            <w:tcBorders>
              <w:top w:val="single" w:sz="4" w:space="0" w:color="auto"/>
              <w:left w:val="single" w:sz="4" w:space="0" w:color="auto"/>
              <w:bottom w:val="single" w:sz="4" w:space="0" w:color="auto"/>
              <w:right w:val="single" w:sz="4" w:space="0" w:color="auto"/>
            </w:tcBorders>
            <w:shd w:val="clear" w:color="auto" w:fill="auto"/>
          </w:tcPr>
          <w:p w14:paraId="28E77D03" w14:textId="3DE6DA67" w:rsidR="002E59A5" w:rsidRPr="00324399" w:rsidRDefault="007C76BA" w:rsidP="00927B4B">
            <w:pPr>
              <w:spacing w:before="0" w:after="0"/>
              <w:rPr>
                <w:rFonts w:eastAsia="Times New Roman" w:cstheme="minorHAnsi"/>
                <w:color w:val="000000"/>
                <w:sz w:val="20"/>
                <w:szCs w:val="20"/>
                <w:lang w:eastAsia="es-MX"/>
              </w:rPr>
            </w:pPr>
            <w:r w:rsidRPr="00324399">
              <w:rPr>
                <w:rFonts w:eastAsia="Times New Roman" w:cstheme="minorHAnsi"/>
                <w:color w:val="000000"/>
                <w:sz w:val="20"/>
                <w:szCs w:val="20"/>
                <w:lang w:eastAsia="es-MX"/>
              </w:rPr>
              <w:t>Ejecución de pagos</w:t>
            </w:r>
          </w:p>
        </w:tc>
        <w:tc>
          <w:tcPr>
            <w:tcW w:w="1327" w:type="pct"/>
            <w:tcBorders>
              <w:top w:val="single" w:sz="4" w:space="0" w:color="auto"/>
              <w:left w:val="single" w:sz="4" w:space="0" w:color="auto"/>
              <w:bottom w:val="single" w:sz="4" w:space="0" w:color="auto"/>
              <w:right w:val="single" w:sz="4" w:space="0" w:color="auto"/>
            </w:tcBorders>
            <w:shd w:val="clear" w:color="auto" w:fill="auto"/>
          </w:tcPr>
          <w:p w14:paraId="53B3A37F" w14:textId="3D64F08F" w:rsidR="002E59A5" w:rsidRPr="00324399" w:rsidRDefault="007C76BA" w:rsidP="00927B4B">
            <w:pPr>
              <w:spacing w:before="0" w:after="0"/>
              <w:rPr>
                <w:rFonts w:eastAsia="Times New Roman" w:cstheme="minorHAnsi"/>
                <w:color w:val="000000"/>
                <w:sz w:val="20"/>
                <w:szCs w:val="20"/>
                <w:lang w:eastAsia="es-MX"/>
              </w:rPr>
            </w:pPr>
            <w:r w:rsidRPr="00324399">
              <w:rPr>
                <w:rFonts w:cstheme="minorHAnsi"/>
                <w:sz w:val="20"/>
                <w:szCs w:val="20"/>
              </w:rPr>
              <w:t>Ejecuta los pagos por los conceptos de amortización e intereses de la deuda</w:t>
            </w:r>
          </w:p>
        </w:tc>
        <w:tc>
          <w:tcPr>
            <w:tcW w:w="969" w:type="pct"/>
            <w:tcBorders>
              <w:top w:val="single" w:sz="4" w:space="0" w:color="auto"/>
              <w:left w:val="single" w:sz="4" w:space="0" w:color="auto"/>
              <w:bottom w:val="single" w:sz="4" w:space="0" w:color="auto"/>
              <w:right w:val="single" w:sz="4" w:space="0" w:color="auto"/>
            </w:tcBorders>
            <w:shd w:val="clear" w:color="auto" w:fill="auto"/>
          </w:tcPr>
          <w:p w14:paraId="2D941CF3" w14:textId="28AB4CAD" w:rsidR="002E59A5" w:rsidRPr="00324399" w:rsidRDefault="007C76BA" w:rsidP="00927B4B">
            <w:pPr>
              <w:spacing w:before="0" w:after="0"/>
              <w:rPr>
                <w:rFonts w:eastAsia="Times New Roman" w:cstheme="minorHAnsi"/>
                <w:color w:val="000000"/>
                <w:sz w:val="20"/>
                <w:szCs w:val="20"/>
                <w:lang w:eastAsia="es-MX"/>
              </w:rPr>
            </w:pPr>
            <w:r w:rsidRPr="00324399">
              <w:rPr>
                <w:rFonts w:eastAsia="Times New Roman" w:cstheme="minorHAnsi"/>
                <w:color w:val="000000"/>
                <w:sz w:val="20"/>
                <w:szCs w:val="20"/>
                <w:lang w:eastAsia="es-MX"/>
              </w:rPr>
              <w:t>Registro de operaciones en el SIFAP</w:t>
            </w:r>
          </w:p>
        </w:tc>
        <w:tc>
          <w:tcPr>
            <w:tcW w:w="868" w:type="pct"/>
            <w:tcBorders>
              <w:top w:val="single" w:sz="4" w:space="0" w:color="auto"/>
              <w:left w:val="single" w:sz="4" w:space="0" w:color="auto"/>
              <w:bottom w:val="single" w:sz="4" w:space="0" w:color="auto"/>
              <w:right w:val="single" w:sz="4" w:space="0" w:color="auto"/>
            </w:tcBorders>
            <w:shd w:val="clear" w:color="auto" w:fill="auto"/>
          </w:tcPr>
          <w:p w14:paraId="262759A4" w14:textId="5C7C1711" w:rsidR="002E59A5" w:rsidRPr="00324399" w:rsidRDefault="0011060D" w:rsidP="00927B4B">
            <w:pPr>
              <w:spacing w:before="0" w:after="0"/>
              <w:rPr>
                <w:rFonts w:eastAsia="Times New Roman" w:cstheme="minorHAnsi"/>
                <w:color w:val="000000"/>
                <w:sz w:val="20"/>
                <w:szCs w:val="20"/>
                <w:lang w:eastAsia="es-MX"/>
              </w:rPr>
            </w:pPr>
            <w:r w:rsidRPr="00324399">
              <w:rPr>
                <w:rFonts w:eastAsia="Times New Roman" w:cstheme="minorHAnsi"/>
                <w:color w:val="000000"/>
                <w:sz w:val="20"/>
                <w:szCs w:val="20"/>
                <w:lang w:eastAsia="es-MX"/>
              </w:rPr>
              <w:t>SFP</w:t>
            </w:r>
          </w:p>
        </w:tc>
      </w:tr>
      <w:tr w:rsidR="007C3D85" w:rsidRPr="00074BB0" w14:paraId="68E352D6" w14:textId="77777777" w:rsidTr="006A72DC">
        <w:trPr>
          <w:trHeight w:val="420"/>
        </w:trPr>
        <w:tc>
          <w:tcPr>
            <w:tcW w:w="202" w:type="pct"/>
            <w:vMerge/>
            <w:tcBorders>
              <w:left w:val="single" w:sz="4" w:space="0" w:color="auto"/>
              <w:right w:val="single" w:sz="4" w:space="0" w:color="auto"/>
            </w:tcBorders>
            <w:shd w:val="clear" w:color="auto" w:fill="C5E0B3" w:themeFill="accent6" w:themeFillTint="66"/>
          </w:tcPr>
          <w:p w14:paraId="1B2A9F92" w14:textId="77777777" w:rsidR="007C3D85" w:rsidRPr="00324399" w:rsidRDefault="007C3D85" w:rsidP="00927B4B">
            <w:pPr>
              <w:spacing w:before="0" w:after="0"/>
              <w:ind w:left="113" w:right="113"/>
              <w:jc w:val="center"/>
              <w:rPr>
                <w:rFonts w:eastAsia="Times New Roman" w:cstheme="minorHAnsi"/>
                <w:sz w:val="20"/>
                <w:szCs w:val="20"/>
                <w:lang w:eastAsia="es-MX"/>
              </w:rPr>
            </w:pPr>
          </w:p>
        </w:tc>
        <w:tc>
          <w:tcPr>
            <w:tcW w:w="715" w:type="pct"/>
            <w:tcBorders>
              <w:top w:val="single" w:sz="4" w:space="0" w:color="auto"/>
              <w:left w:val="single" w:sz="4" w:space="0" w:color="auto"/>
              <w:right w:val="single" w:sz="4" w:space="0" w:color="auto"/>
            </w:tcBorders>
            <w:shd w:val="clear" w:color="auto" w:fill="auto"/>
          </w:tcPr>
          <w:p w14:paraId="4D385A36" w14:textId="62C22727" w:rsidR="007C3D85" w:rsidRPr="00324399" w:rsidRDefault="007C3D85" w:rsidP="00927B4B">
            <w:pPr>
              <w:spacing w:before="0" w:after="0"/>
              <w:rPr>
                <w:rFonts w:eastAsia="Times New Roman" w:cstheme="minorHAnsi"/>
                <w:color w:val="000000"/>
                <w:sz w:val="20"/>
                <w:szCs w:val="20"/>
                <w:lang w:eastAsia="es-MX"/>
              </w:rPr>
            </w:pPr>
            <w:r w:rsidRPr="00324399">
              <w:rPr>
                <w:rFonts w:eastAsia="Times New Roman" w:cstheme="minorHAnsi"/>
                <w:color w:val="000000"/>
                <w:sz w:val="20"/>
                <w:szCs w:val="20"/>
                <w:lang w:eastAsia="es-MX"/>
              </w:rPr>
              <w:t>Unidades ejecutoras de obra en la entidad federativa.</w:t>
            </w:r>
          </w:p>
        </w:tc>
        <w:tc>
          <w:tcPr>
            <w:tcW w:w="918" w:type="pct"/>
            <w:tcBorders>
              <w:top w:val="single" w:sz="4" w:space="0" w:color="auto"/>
              <w:left w:val="single" w:sz="4" w:space="0" w:color="auto"/>
              <w:bottom w:val="single" w:sz="4" w:space="0" w:color="auto"/>
              <w:right w:val="single" w:sz="4" w:space="0" w:color="auto"/>
            </w:tcBorders>
            <w:shd w:val="clear" w:color="auto" w:fill="auto"/>
          </w:tcPr>
          <w:p w14:paraId="05E9AFF9" w14:textId="77777777" w:rsidR="007C3D85" w:rsidRPr="00324399" w:rsidRDefault="007C3D85" w:rsidP="00927B4B">
            <w:pPr>
              <w:spacing w:before="0" w:after="0"/>
              <w:rPr>
                <w:rFonts w:eastAsia="Times New Roman" w:cstheme="minorHAnsi"/>
                <w:color w:val="000000"/>
                <w:sz w:val="20"/>
                <w:szCs w:val="20"/>
                <w:lang w:eastAsia="es-MX"/>
              </w:rPr>
            </w:pPr>
            <w:r w:rsidRPr="00324399">
              <w:rPr>
                <w:rFonts w:eastAsia="Times New Roman" w:cstheme="minorHAnsi"/>
                <w:color w:val="000000"/>
                <w:sz w:val="20"/>
                <w:szCs w:val="20"/>
                <w:lang w:eastAsia="es-MX"/>
              </w:rPr>
              <w:t>Registro de expedientes técnicos</w:t>
            </w:r>
          </w:p>
        </w:tc>
        <w:tc>
          <w:tcPr>
            <w:tcW w:w="1327" w:type="pct"/>
            <w:tcBorders>
              <w:top w:val="single" w:sz="4" w:space="0" w:color="auto"/>
              <w:left w:val="single" w:sz="4" w:space="0" w:color="auto"/>
              <w:bottom w:val="single" w:sz="4" w:space="0" w:color="auto"/>
              <w:right w:val="single" w:sz="4" w:space="0" w:color="auto"/>
            </w:tcBorders>
            <w:shd w:val="clear" w:color="auto" w:fill="auto"/>
          </w:tcPr>
          <w:p w14:paraId="71109B93" w14:textId="77777777" w:rsidR="007C3D85" w:rsidRPr="00324399" w:rsidRDefault="007C3D85" w:rsidP="00927B4B">
            <w:pPr>
              <w:spacing w:before="0" w:after="0"/>
              <w:rPr>
                <w:rFonts w:eastAsia="Times New Roman" w:cstheme="minorHAnsi"/>
                <w:color w:val="000000"/>
                <w:sz w:val="20"/>
                <w:szCs w:val="20"/>
                <w:lang w:eastAsia="es-MX"/>
              </w:rPr>
            </w:pPr>
            <w:r w:rsidRPr="00324399">
              <w:rPr>
                <w:rFonts w:eastAsia="Times New Roman" w:cstheme="minorHAnsi"/>
                <w:color w:val="000000"/>
                <w:sz w:val="20"/>
                <w:szCs w:val="20"/>
                <w:lang w:eastAsia="es-MX"/>
              </w:rPr>
              <w:t>Las instancias ejecutoras deben registrar los expedientes técnicos proyectos de inversión en el Sistema de Dictaminación de Expedientes Técnicos (SIDET) de la SFP.</w:t>
            </w:r>
          </w:p>
        </w:tc>
        <w:tc>
          <w:tcPr>
            <w:tcW w:w="969" w:type="pct"/>
            <w:tcBorders>
              <w:top w:val="single" w:sz="4" w:space="0" w:color="auto"/>
              <w:left w:val="single" w:sz="4" w:space="0" w:color="auto"/>
              <w:bottom w:val="single" w:sz="4" w:space="0" w:color="auto"/>
              <w:right w:val="single" w:sz="4" w:space="0" w:color="auto"/>
            </w:tcBorders>
            <w:shd w:val="clear" w:color="auto" w:fill="auto"/>
          </w:tcPr>
          <w:p w14:paraId="252D587B" w14:textId="77777777" w:rsidR="007C3D85" w:rsidRPr="00324399" w:rsidRDefault="007C3D85" w:rsidP="00927B4B">
            <w:pPr>
              <w:spacing w:before="0" w:after="0"/>
              <w:rPr>
                <w:rFonts w:eastAsia="Times New Roman" w:cstheme="minorHAnsi"/>
                <w:color w:val="000000"/>
                <w:sz w:val="20"/>
                <w:szCs w:val="20"/>
                <w:lang w:eastAsia="es-MX"/>
              </w:rPr>
            </w:pPr>
            <w:r w:rsidRPr="00324399">
              <w:rPr>
                <w:rFonts w:eastAsia="Times New Roman" w:cstheme="minorHAnsi"/>
                <w:color w:val="000000"/>
                <w:sz w:val="20"/>
                <w:szCs w:val="20"/>
                <w:lang w:eastAsia="es-MX"/>
              </w:rPr>
              <w:t>Expediente dictaminado por la Subsecretaría de Programación</w:t>
            </w:r>
          </w:p>
        </w:tc>
        <w:tc>
          <w:tcPr>
            <w:tcW w:w="868" w:type="pct"/>
            <w:tcBorders>
              <w:top w:val="single" w:sz="4" w:space="0" w:color="auto"/>
              <w:left w:val="single" w:sz="4" w:space="0" w:color="auto"/>
              <w:bottom w:val="single" w:sz="4" w:space="0" w:color="auto"/>
              <w:right w:val="single" w:sz="4" w:space="0" w:color="auto"/>
            </w:tcBorders>
            <w:shd w:val="clear" w:color="auto" w:fill="auto"/>
          </w:tcPr>
          <w:p w14:paraId="57A826BF" w14:textId="0093DFA1" w:rsidR="007C3D85" w:rsidRPr="00324399" w:rsidRDefault="007C3D85" w:rsidP="00927B4B">
            <w:pPr>
              <w:spacing w:before="0" w:after="0"/>
              <w:rPr>
                <w:rFonts w:eastAsia="Times New Roman" w:cstheme="minorHAnsi"/>
                <w:color w:val="000000"/>
                <w:sz w:val="20"/>
                <w:szCs w:val="20"/>
                <w:lang w:eastAsia="es-MX"/>
              </w:rPr>
            </w:pPr>
            <w:r w:rsidRPr="00324399">
              <w:rPr>
                <w:rFonts w:eastAsia="Times New Roman" w:cstheme="minorHAnsi"/>
                <w:color w:val="000000"/>
                <w:sz w:val="20"/>
                <w:szCs w:val="20"/>
                <w:lang w:eastAsia="es-MX"/>
              </w:rPr>
              <w:t>Unidades ejecutoras de obra en la entidad federativa.</w:t>
            </w:r>
          </w:p>
        </w:tc>
      </w:tr>
      <w:tr w:rsidR="007C3D85" w:rsidRPr="00074BB0" w14:paraId="710D9E3E" w14:textId="77777777" w:rsidTr="006A72DC">
        <w:trPr>
          <w:trHeight w:val="420"/>
        </w:trPr>
        <w:tc>
          <w:tcPr>
            <w:tcW w:w="202" w:type="pct"/>
            <w:vMerge/>
            <w:tcBorders>
              <w:left w:val="single" w:sz="4" w:space="0" w:color="auto"/>
              <w:right w:val="single" w:sz="4" w:space="0" w:color="auto"/>
            </w:tcBorders>
            <w:shd w:val="clear" w:color="auto" w:fill="C5E0B3" w:themeFill="accent6" w:themeFillTint="66"/>
            <w:textDirection w:val="btLr"/>
          </w:tcPr>
          <w:p w14:paraId="73EDD9B2" w14:textId="77777777" w:rsidR="007C3D85" w:rsidRPr="00324399" w:rsidRDefault="007C3D85" w:rsidP="00927B4B">
            <w:pPr>
              <w:spacing w:before="0" w:after="0"/>
              <w:ind w:left="113" w:right="113"/>
              <w:jc w:val="center"/>
              <w:rPr>
                <w:rFonts w:eastAsia="Times New Roman" w:cstheme="minorHAnsi"/>
                <w:b/>
                <w:bCs/>
                <w:sz w:val="20"/>
                <w:szCs w:val="20"/>
                <w:lang w:eastAsia="es-MX"/>
              </w:rPr>
            </w:pPr>
          </w:p>
        </w:tc>
        <w:tc>
          <w:tcPr>
            <w:tcW w:w="715" w:type="pct"/>
            <w:tcBorders>
              <w:top w:val="single" w:sz="4" w:space="0" w:color="auto"/>
              <w:left w:val="single" w:sz="4" w:space="0" w:color="auto"/>
              <w:right w:val="single" w:sz="4" w:space="0" w:color="auto"/>
            </w:tcBorders>
            <w:shd w:val="clear" w:color="auto" w:fill="auto"/>
          </w:tcPr>
          <w:p w14:paraId="06C56878" w14:textId="77777777" w:rsidR="007C3D85" w:rsidRPr="00324399" w:rsidRDefault="007C3D85" w:rsidP="00927B4B">
            <w:pPr>
              <w:spacing w:before="0" w:after="0"/>
              <w:rPr>
                <w:rFonts w:eastAsia="Times New Roman" w:cstheme="minorHAnsi"/>
                <w:color w:val="000000"/>
                <w:sz w:val="20"/>
                <w:szCs w:val="20"/>
                <w:lang w:eastAsia="es-MX"/>
              </w:rPr>
            </w:pPr>
            <w:r w:rsidRPr="00324399">
              <w:rPr>
                <w:rFonts w:eastAsia="Times New Roman" w:cstheme="minorHAnsi"/>
                <w:color w:val="000000"/>
                <w:sz w:val="20"/>
                <w:szCs w:val="20"/>
                <w:lang w:eastAsia="es-MX"/>
              </w:rPr>
              <w:t>Subsecretaría de Programación</w:t>
            </w:r>
          </w:p>
        </w:tc>
        <w:tc>
          <w:tcPr>
            <w:tcW w:w="918" w:type="pct"/>
            <w:tcBorders>
              <w:top w:val="single" w:sz="4" w:space="0" w:color="auto"/>
              <w:left w:val="single" w:sz="4" w:space="0" w:color="auto"/>
              <w:bottom w:val="single" w:sz="4" w:space="0" w:color="auto"/>
              <w:right w:val="single" w:sz="4" w:space="0" w:color="auto"/>
            </w:tcBorders>
            <w:shd w:val="clear" w:color="auto" w:fill="auto"/>
          </w:tcPr>
          <w:p w14:paraId="5E457F29" w14:textId="77777777" w:rsidR="007C3D85" w:rsidRPr="00324399" w:rsidRDefault="007C3D85" w:rsidP="00927B4B">
            <w:pPr>
              <w:spacing w:before="0" w:after="0"/>
              <w:rPr>
                <w:rFonts w:eastAsia="Times New Roman" w:cstheme="minorHAnsi"/>
                <w:color w:val="000000"/>
                <w:sz w:val="20"/>
                <w:szCs w:val="20"/>
                <w:lang w:eastAsia="es-MX"/>
              </w:rPr>
            </w:pPr>
            <w:r w:rsidRPr="00324399">
              <w:rPr>
                <w:rFonts w:eastAsia="Times New Roman" w:cstheme="minorHAnsi"/>
                <w:color w:val="000000"/>
                <w:sz w:val="20"/>
                <w:szCs w:val="20"/>
                <w:lang w:eastAsia="es-MX"/>
              </w:rPr>
              <w:t>Oficios de autorización</w:t>
            </w:r>
          </w:p>
        </w:tc>
        <w:tc>
          <w:tcPr>
            <w:tcW w:w="1327" w:type="pct"/>
            <w:tcBorders>
              <w:top w:val="single" w:sz="4" w:space="0" w:color="auto"/>
              <w:left w:val="single" w:sz="4" w:space="0" w:color="auto"/>
              <w:bottom w:val="single" w:sz="4" w:space="0" w:color="auto"/>
              <w:right w:val="single" w:sz="4" w:space="0" w:color="auto"/>
            </w:tcBorders>
            <w:shd w:val="clear" w:color="auto" w:fill="auto"/>
          </w:tcPr>
          <w:p w14:paraId="2B2C313F" w14:textId="77777777" w:rsidR="007C3D85" w:rsidRPr="00324399" w:rsidRDefault="007C3D85" w:rsidP="00927B4B">
            <w:pPr>
              <w:rPr>
                <w:rFonts w:eastAsia="Times New Roman" w:cstheme="minorHAnsi"/>
                <w:color w:val="000000"/>
                <w:sz w:val="20"/>
                <w:szCs w:val="20"/>
                <w:lang w:eastAsia="es-MX"/>
              </w:rPr>
            </w:pPr>
            <w:r w:rsidRPr="00324399">
              <w:rPr>
                <w:rFonts w:cstheme="minorHAnsi"/>
                <w:sz w:val="20"/>
                <w:szCs w:val="20"/>
              </w:rPr>
              <w:t>La Subsecretaría de Programación emite los oficios de autorización de recursos para la realización de las obras consignados en los expedientes técnicos.</w:t>
            </w:r>
          </w:p>
        </w:tc>
        <w:tc>
          <w:tcPr>
            <w:tcW w:w="969" w:type="pct"/>
            <w:tcBorders>
              <w:top w:val="single" w:sz="4" w:space="0" w:color="auto"/>
              <w:left w:val="single" w:sz="4" w:space="0" w:color="auto"/>
              <w:bottom w:val="single" w:sz="4" w:space="0" w:color="auto"/>
              <w:right w:val="single" w:sz="4" w:space="0" w:color="auto"/>
            </w:tcBorders>
            <w:shd w:val="clear" w:color="auto" w:fill="auto"/>
          </w:tcPr>
          <w:p w14:paraId="596A0032" w14:textId="77777777" w:rsidR="007C3D85" w:rsidRPr="00324399" w:rsidRDefault="007C3D85" w:rsidP="00927B4B">
            <w:pPr>
              <w:spacing w:before="0" w:after="0"/>
              <w:rPr>
                <w:rFonts w:eastAsia="Times New Roman" w:cstheme="minorHAnsi"/>
                <w:color w:val="000000"/>
                <w:sz w:val="20"/>
                <w:szCs w:val="20"/>
                <w:lang w:eastAsia="es-MX"/>
              </w:rPr>
            </w:pPr>
            <w:r w:rsidRPr="00324399">
              <w:rPr>
                <w:rFonts w:eastAsia="Times New Roman" w:cstheme="minorHAnsi"/>
                <w:color w:val="000000"/>
                <w:sz w:val="20"/>
                <w:szCs w:val="20"/>
                <w:lang w:eastAsia="es-MX"/>
              </w:rPr>
              <w:t>Autorización de recursos</w:t>
            </w:r>
          </w:p>
        </w:tc>
        <w:tc>
          <w:tcPr>
            <w:tcW w:w="868" w:type="pct"/>
            <w:tcBorders>
              <w:top w:val="single" w:sz="4" w:space="0" w:color="auto"/>
              <w:left w:val="single" w:sz="4" w:space="0" w:color="auto"/>
              <w:bottom w:val="single" w:sz="4" w:space="0" w:color="auto"/>
              <w:right w:val="single" w:sz="4" w:space="0" w:color="auto"/>
            </w:tcBorders>
            <w:shd w:val="clear" w:color="auto" w:fill="auto"/>
          </w:tcPr>
          <w:p w14:paraId="529674DA" w14:textId="7F4211B2" w:rsidR="007C3D85" w:rsidRPr="00324399" w:rsidRDefault="007C3D85" w:rsidP="00927B4B">
            <w:pPr>
              <w:spacing w:before="0" w:after="0"/>
              <w:rPr>
                <w:rFonts w:eastAsia="Times New Roman" w:cstheme="minorHAnsi"/>
                <w:color w:val="000000"/>
                <w:sz w:val="20"/>
                <w:szCs w:val="20"/>
                <w:lang w:eastAsia="es-MX"/>
              </w:rPr>
            </w:pPr>
            <w:r w:rsidRPr="00324399">
              <w:rPr>
                <w:rFonts w:eastAsia="Times New Roman" w:cstheme="minorHAnsi"/>
                <w:color w:val="000000"/>
                <w:sz w:val="20"/>
                <w:szCs w:val="20"/>
                <w:lang w:eastAsia="es-MX"/>
              </w:rPr>
              <w:t>Unidades ejecutoras de obra en la entidad federativa.</w:t>
            </w:r>
          </w:p>
        </w:tc>
      </w:tr>
      <w:tr w:rsidR="007C3D85" w:rsidRPr="00074BB0" w14:paraId="2B4CB370" w14:textId="77777777" w:rsidTr="006A72DC">
        <w:trPr>
          <w:trHeight w:val="420"/>
        </w:trPr>
        <w:tc>
          <w:tcPr>
            <w:tcW w:w="202" w:type="pct"/>
            <w:vMerge/>
            <w:tcBorders>
              <w:left w:val="single" w:sz="4" w:space="0" w:color="auto"/>
              <w:right w:val="single" w:sz="4" w:space="0" w:color="auto"/>
            </w:tcBorders>
            <w:shd w:val="clear" w:color="auto" w:fill="C5E0B3" w:themeFill="accent6" w:themeFillTint="66"/>
          </w:tcPr>
          <w:p w14:paraId="327CA291" w14:textId="77777777" w:rsidR="007C3D85" w:rsidRPr="00324399" w:rsidRDefault="007C3D85" w:rsidP="00927B4B">
            <w:pPr>
              <w:spacing w:before="0" w:after="0"/>
              <w:rPr>
                <w:rFonts w:eastAsia="Times New Roman" w:cstheme="minorHAnsi"/>
                <w:sz w:val="20"/>
                <w:szCs w:val="20"/>
                <w:lang w:eastAsia="es-MX"/>
              </w:rPr>
            </w:pPr>
          </w:p>
        </w:tc>
        <w:tc>
          <w:tcPr>
            <w:tcW w:w="715" w:type="pct"/>
            <w:tcBorders>
              <w:top w:val="single" w:sz="4" w:space="0" w:color="auto"/>
              <w:left w:val="single" w:sz="4" w:space="0" w:color="auto"/>
              <w:right w:val="single" w:sz="4" w:space="0" w:color="auto"/>
            </w:tcBorders>
            <w:shd w:val="clear" w:color="auto" w:fill="auto"/>
          </w:tcPr>
          <w:p w14:paraId="727559D5" w14:textId="16C095AF" w:rsidR="007C3D85" w:rsidRPr="00324399" w:rsidRDefault="007C3D85" w:rsidP="00927B4B">
            <w:pPr>
              <w:spacing w:before="0" w:after="0"/>
              <w:rPr>
                <w:rFonts w:eastAsia="Times New Roman" w:cstheme="minorHAnsi"/>
                <w:color w:val="000000"/>
                <w:sz w:val="20"/>
                <w:szCs w:val="20"/>
                <w:lang w:eastAsia="es-MX"/>
              </w:rPr>
            </w:pPr>
            <w:r w:rsidRPr="00324399">
              <w:rPr>
                <w:rFonts w:eastAsia="Times New Roman" w:cstheme="minorHAnsi"/>
                <w:color w:val="000000"/>
                <w:sz w:val="20"/>
                <w:szCs w:val="20"/>
                <w:lang w:eastAsia="es-MX"/>
              </w:rPr>
              <w:t>Unidades ejecutoras de obra por administración directa en la entidad federativa.</w:t>
            </w:r>
          </w:p>
        </w:tc>
        <w:tc>
          <w:tcPr>
            <w:tcW w:w="918" w:type="pct"/>
            <w:tcBorders>
              <w:top w:val="single" w:sz="4" w:space="0" w:color="auto"/>
              <w:left w:val="single" w:sz="4" w:space="0" w:color="auto"/>
              <w:bottom w:val="single" w:sz="4" w:space="0" w:color="auto"/>
              <w:right w:val="single" w:sz="4" w:space="0" w:color="auto"/>
            </w:tcBorders>
            <w:shd w:val="clear" w:color="auto" w:fill="auto"/>
          </w:tcPr>
          <w:p w14:paraId="1B043352" w14:textId="77777777" w:rsidR="007C3D85" w:rsidRPr="00324399" w:rsidRDefault="007C3D85" w:rsidP="00927B4B">
            <w:pPr>
              <w:spacing w:before="0" w:after="0"/>
              <w:rPr>
                <w:rFonts w:eastAsia="Times New Roman" w:cstheme="minorHAnsi"/>
                <w:color w:val="000000"/>
                <w:sz w:val="20"/>
                <w:szCs w:val="20"/>
                <w:lang w:eastAsia="es-MX"/>
              </w:rPr>
            </w:pPr>
            <w:r w:rsidRPr="00324399">
              <w:rPr>
                <w:rFonts w:eastAsia="Times New Roman" w:cstheme="minorHAnsi"/>
                <w:color w:val="000000"/>
                <w:sz w:val="20"/>
                <w:szCs w:val="20"/>
                <w:lang w:eastAsia="es-MX"/>
              </w:rPr>
              <w:t>Oficios de autorización de obras del Programa de Inversión</w:t>
            </w:r>
          </w:p>
        </w:tc>
        <w:tc>
          <w:tcPr>
            <w:tcW w:w="1327" w:type="pct"/>
            <w:tcBorders>
              <w:top w:val="single" w:sz="4" w:space="0" w:color="auto"/>
              <w:left w:val="single" w:sz="4" w:space="0" w:color="auto"/>
              <w:bottom w:val="single" w:sz="4" w:space="0" w:color="auto"/>
              <w:right w:val="single" w:sz="4" w:space="0" w:color="auto"/>
            </w:tcBorders>
            <w:shd w:val="clear" w:color="auto" w:fill="auto"/>
          </w:tcPr>
          <w:p w14:paraId="0B319CD8" w14:textId="2992AE04" w:rsidR="007C3D85" w:rsidRPr="00324399" w:rsidRDefault="007C3D85" w:rsidP="00927B4B">
            <w:pPr>
              <w:spacing w:before="0" w:after="0"/>
              <w:rPr>
                <w:rFonts w:eastAsia="Times New Roman" w:cstheme="minorHAnsi"/>
                <w:color w:val="000000"/>
                <w:sz w:val="20"/>
                <w:szCs w:val="20"/>
                <w:lang w:eastAsia="es-MX"/>
              </w:rPr>
            </w:pPr>
            <w:r w:rsidRPr="00324399">
              <w:rPr>
                <w:rFonts w:eastAsia="Times New Roman" w:cstheme="minorHAnsi"/>
                <w:color w:val="000000"/>
                <w:sz w:val="20"/>
                <w:szCs w:val="20"/>
                <w:lang w:eastAsia="es-MX"/>
              </w:rPr>
              <w:t xml:space="preserve">Trámite de gastos a comprobar amparados </w:t>
            </w:r>
            <w:r w:rsidRPr="00324399">
              <w:rPr>
                <w:rFonts w:cstheme="minorHAnsi"/>
                <w:sz w:val="20"/>
                <w:szCs w:val="20"/>
              </w:rPr>
              <w:t>con recibos y pagarés respaldados por las unidades ejecutoras.</w:t>
            </w:r>
          </w:p>
        </w:tc>
        <w:tc>
          <w:tcPr>
            <w:tcW w:w="969" w:type="pct"/>
            <w:tcBorders>
              <w:top w:val="single" w:sz="4" w:space="0" w:color="auto"/>
              <w:left w:val="single" w:sz="4" w:space="0" w:color="auto"/>
              <w:bottom w:val="single" w:sz="4" w:space="0" w:color="auto"/>
              <w:right w:val="single" w:sz="4" w:space="0" w:color="auto"/>
            </w:tcBorders>
            <w:shd w:val="clear" w:color="auto" w:fill="auto"/>
          </w:tcPr>
          <w:p w14:paraId="095ACBF6" w14:textId="027D8CD1" w:rsidR="007C3D85" w:rsidRPr="00324399" w:rsidRDefault="007C3D85" w:rsidP="00927B4B">
            <w:pPr>
              <w:spacing w:before="0" w:after="0"/>
              <w:rPr>
                <w:rFonts w:eastAsia="Times New Roman" w:cstheme="minorHAnsi"/>
                <w:color w:val="000000"/>
                <w:sz w:val="20"/>
                <w:szCs w:val="20"/>
                <w:lang w:eastAsia="es-MX"/>
              </w:rPr>
            </w:pPr>
            <w:r w:rsidRPr="00324399">
              <w:rPr>
                <w:rFonts w:eastAsia="Times New Roman" w:cstheme="minorHAnsi"/>
                <w:color w:val="000000"/>
                <w:sz w:val="20"/>
                <w:szCs w:val="20"/>
                <w:lang w:eastAsia="es-MX"/>
              </w:rPr>
              <w:t>Radicación de recursos</w:t>
            </w:r>
          </w:p>
        </w:tc>
        <w:tc>
          <w:tcPr>
            <w:tcW w:w="868" w:type="pct"/>
            <w:tcBorders>
              <w:top w:val="single" w:sz="4" w:space="0" w:color="auto"/>
              <w:left w:val="single" w:sz="4" w:space="0" w:color="auto"/>
              <w:bottom w:val="single" w:sz="4" w:space="0" w:color="auto"/>
              <w:right w:val="single" w:sz="4" w:space="0" w:color="auto"/>
            </w:tcBorders>
            <w:shd w:val="clear" w:color="auto" w:fill="auto"/>
          </w:tcPr>
          <w:p w14:paraId="7B4F4666" w14:textId="77777777" w:rsidR="007C3D85" w:rsidRPr="00324399" w:rsidRDefault="007C3D85" w:rsidP="00927B4B">
            <w:pPr>
              <w:spacing w:before="0" w:after="0"/>
              <w:rPr>
                <w:rFonts w:eastAsia="Times New Roman" w:cstheme="minorHAnsi"/>
                <w:color w:val="000000"/>
                <w:sz w:val="20"/>
                <w:szCs w:val="20"/>
                <w:lang w:eastAsia="es-MX"/>
              </w:rPr>
            </w:pPr>
            <w:r w:rsidRPr="00324399">
              <w:rPr>
                <w:rFonts w:eastAsia="Times New Roman" w:cstheme="minorHAnsi"/>
                <w:color w:val="000000"/>
                <w:sz w:val="20"/>
                <w:szCs w:val="20"/>
                <w:lang w:eastAsia="es-MX"/>
              </w:rPr>
              <w:t>Dirección General de Contabilidad Gubernamental</w:t>
            </w:r>
          </w:p>
        </w:tc>
      </w:tr>
      <w:tr w:rsidR="007C3D85" w:rsidRPr="00074BB0" w14:paraId="752EC6E7" w14:textId="77777777" w:rsidTr="006A72DC">
        <w:trPr>
          <w:trHeight w:val="420"/>
        </w:trPr>
        <w:tc>
          <w:tcPr>
            <w:tcW w:w="202" w:type="pct"/>
            <w:vMerge/>
            <w:tcBorders>
              <w:left w:val="single" w:sz="4" w:space="0" w:color="auto"/>
              <w:right w:val="single" w:sz="4" w:space="0" w:color="auto"/>
            </w:tcBorders>
            <w:shd w:val="clear" w:color="auto" w:fill="C5E0B3" w:themeFill="accent6" w:themeFillTint="66"/>
          </w:tcPr>
          <w:p w14:paraId="21DE8A37" w14:textId="77777777" w:rsidR="007C3D85" w:rsidRPr="00324399" w:rsidRDefault="007C3D85" w:rsidP="00A656FC">
            <w:pPr>
              <w:spacing w:before="0" w:after="0"/>
              <w:rPr>
                <w:rFonts w:eastAsia="Times New Roman" w:cstheme="minorHAnsi"/>
                <w:sz w:val="20"/>
                <w:szCs w:val="20"/>
                <w:lang w:eastAsia="es-MX"/>
              </w:rPr>
            </w:pPr>
          </w:p>
        </w:tc>
        <w:tc>
          <w:tcPr>
            <w:tcW w:w="715" w:type="pct"/>
            <w:tcBorders>
              <w:top w:val="single" w:sz="4" w:space="0" w:color="auto"/>
              <w:left w:val="single" w:sz="4" w:space="0" w:color="auto"/>
              <w:right w:val="single" w:sz="4" w:space="0" w:color="auto"/>
            </w:tcBorders>
            <w:shd w:val="clear" w:color="auto" w:fill="auto"/>
          </w:tcPr>
          <w:p w14:paraId="71691C98" w14:textId="617D30AD" w:rsidR="007C3D85" w:rsidRPr="00324399" w:rsidRDefault="007C3D85" w:rsidP="00A656FC">
            <w:pPr>
              <w:spacing w:before="0" w:after="0"/>
              <w:rPr>
                <w:rFonts w:eastAsia="Times New Roman" w:cstheme="minorHAnsi"/>
                <w:color w:val="000000"/>
                <w:sz w:val="20"/>
                <w:szCs w:val="20"/>
                <w:lang w:eastAsia="es-MX"/>
              </w:rPr>
            </w:pPr>
            <w:r w:rsidRPr="00324399">
              <w:rPr>
                <w:rFonts w:eastAsia="Times New Roman" w:cstheme="minorHAnsi"/>
                <w:color w:val="000000"/>
                <w:sz w:val="20"/>
                <w:szCs w:val="20"/>
                <w:lang w:eastAsia="es-MX"/>
              </w:rPr>
              <w:t>Unidades ejecutoras de obra por contrato en la entidad federativa.</w:t>
            </w:r>
          </w:p>
        </w:tc>
        <w:tc>
          <w:tcPr>
            <w:tcW w:w="918" w:type="pct"/>
            <w:tcBorders>
              <w:top w:val="single" w:sz="4" w:space="0" w:color="auto"/>
              <w:left w:val="single" w:sz="4" w:space="0" w:color="auto"/>
              <w:bottom w:val="single" w:sz="4" w:space="0" w:color="auto"/>
              <w:right w:val="single" w:sz="4" w:space="0" w:color="auto"/>
            </w:tcBorders>
            <w:shd w:val="clear" w:color="auto" w:fill="auto"/>
          </w:tcPr>
          <w:p w14:paraId="687AF165" w14:textId="3D1C5ACD" w:rsidR="007C3D85" w:rsidRPr="00324399" w:rsidRDefault="007C3D85" w:rsidP="00A656FC">
            <w:pPr>
              <w:spacing w:before="0" w:after="0"/>
              <w:rPr>
                <w:rFonts w:eastAsia="Times New Roman" w:cstheme="minorHAnsi"/>
                <w:color w:val="000000"/>
                <w:sz w:val="20"/>
                <w:szCs w:val="20"/>
                <w:lang w:eastAsia="es-MX"/>
              </w:rPr>
            </w:pPr>
            <w:r w:rsidRPr="00324399">
              <w:rPr>
                <w:rFonts w:eastAsia="Times New Roman" w:cstheme="minorHAnsi"/>
                <w:color w:val="000000"/>
                <w:sz w:val="20"/>
                <w:szCs w:val="20"/>
                <w:lang w:eastAsia="es-MX"/>
              </w:rPr>
              <w:t>Oficios de autorización de obras del Programa de Inversión</w:t>
            </w:r>
          </w:p>
        </w:tc>
        <w:tc>
          <w:tcPr>
            <w:tcW w:w="1327" w:type="pct"/>
            <w:tcBorders>
              <w:top w:val="single" w:sz="4" w:space="0" w:color="auto"/>
              <w:left w:val="single" w:sz="4" w:space="0" w:color="auto"/>
              <w:bottom w:val="single" w:sz="4" w:space="0" w:color="auto"/>
              <w:right w:val="single" w:sz="4" w:space="0" w:color="auto"/>
            </w:tcBorders>
            <w:shd w:val="clear" w:color="auto" w:fill="auto"/>
          </w:tcPr>
          <w:p w14:paraId="4F8BAB66" w14:textId="0CCF6B0A" w:rsidR="007C3D85" w:rsidRPr="00324399" w:rsidRDefault="007C3D85" w:rsidP="00A656FC">
            <w:pPr>
              <w:spacing w:before="0" w:after="0"/>
              <w:rPr>
                <w:rFonts w:eastAsia="Times New Roman" w:cstheme="minorHAnsi"/>
                <w:color w:val="000000"/>
                <w:sz w:val="20"/>
                <w:szCs w:val="20"/>
                <w:lang w:eastAsia="es-MX"/>
              </w:rPr>
            </w:pPr>
            <w:r w:rsidRPr="00324399">
              <w:rPr>
                <w:rFonts w:eastAsia="Times New Roman" w:cstheme="minorHAnsi"/>
                <w:color w:val="000000"/>
                <w:sz w:val="20"/>
                <w:szCs w:val="20"/>
                <w:lang w:eastAsia="es-MX"/>
              </w:rPr>
              <w:t>Tramites de pago por anticipos, pago por estimaciones de avance o conclusión de obras</w:t>
            </w:r>
          </w:p>
        </w:tc>
        <w:tc>
          <w:tcPr>
            <w:tcW w:w="969" w:type="pct"/>
            <w:tcBorders>
              <w:top w:val="single" w:sz="4" w:space="0" w:color="auto"/>
              <w:left w:val="single" w:sz="4" w:space="0" w:color="auto"/>
              <w:bottom w:val="single" w:sz="4" w:space="0" w:color="auto"/>
              <w:right w:val="single" w:sz="4" w:space="0" w:color="auto"/>
            </w:tcBorders>
            <w:shd w:val="clear" w:color="auto" w:fill="auto"/>
          </w:tcPr>
          <w:p w14:paraId="3C3B3DA0" w14:textId="7DF4E945" w:rsidR="007C3D85" w:rsidRPr="00324399" w:rsidRDefault="007C3D85" w:rsidP="00A656FC">
            <w:pPr>
              <w:spacing w:before="0" w:after="0"/>
              <w:rPr>
                <w:rFonts w:cstheme="minorHAnsi"/>
                <w:sz w:val="20"/>
                <w:szCs w:val="20"/>
              </w:rPr>
            </w:pPr>
            <w:r w:rsidRPr="00324399">
              <w:rPr>
                <w:rFonts w:eastAsia="Times New Roman" w:cstheme="minorHAnsi"/>
                <w:color w:val="000000"/>
                <w:sz w:val="20"/>
                <w:szCs w:val="20"/>
                <w:lang w:eastAsia="es-MX"/>
              </w:rPr>
              <w:t>Radicación de recursos</w:t>
            </w:r>
          </w:p>
        </w:tc>
        <w:tc>
          <w:tcPr>
            <w:tcW w:w="868" w:type="pct"/>
            <w:tcBorders>
              <w:top w:val="single" w:sz="4" w:space="0" w:color="auto"/>
              <w:left w:val="single" w:sz="4" w:space="0" w:color="auto"/>
              <w:bottom w:val="single" w:sz="4" w:space="0" w:color="auto"/>
              <w:right w:val="single" w:sz="4" w:space="0" w:color="auto"/>
            </w:tcBorders>
            <w:shd w:val="clear" w:color="auto" w:fill="auto"/>
          </w:tcPr>
          <w:p w14:paraId="47B7E73C" w14:textId="37A5FC45" w:rsidR="007C3D85" w:rsidRPr="00324399" w:rsidRDefault="007C3D85" w:rsidP="00A656FC">
            <w:pPr>
              <w:spacing w:before="0" w:after="0"/>
              <w:rPr>
                <w:rFonts w:eastAsia="Times New Roman" w:cstheme="minorHAnsi"/>
                <w:color w:val="000000"/>
                <w:sz w:val="20"/>
                <w:szCs w:val="20"/>
                <w:lang w:eastAsia="es-MX"/>
              </w:rPr>
            </w:pPr>
            <w:r w:rsidRPr="00324399">
              <w:rPr>
                <w:rFonts w:eastAsia="Times New Roman" w:cstheme="minorHAnsi"/>
                <w:color w:val="000000"/>
                <w:sz w:val="20"/>
                <w:szCs w:val="20"/>
                <w:lang w:eastAsia="es-MX"/>
              </w:rPr>
              <w:t>Dirección General de Contabilidad Gubernamental</w:t>
            </w:r>
          </w:p>
        </w:tc>
      </w:tr>
      <w:tr w:rsidR="007C3D85" w:rsidRPr="00074BB0" w14:paraId="546CB59C" w14:textId="77777777" w:rsidTr="006A72DC">
        <w:trPr>
          <w:trHeight w:val="420"/>
        </w:trPr>
        <w:tc>
          <w:tcPr>
            <w:tcW w:w="202" w:type="pct"/>
            <w:vMerge/>
            <w:tcBorders>
              <w:left w:val="single" w:sz="4" w:space="0" w:color="auto"/>
              <w:right w:val="single" w:sz="4" w:space="0" w:color="auto"/>
            </w:tcBorders>
            <w:shd w:val="clear" w:color="auto" w:fill="C5E0B3" w:themeFill="accent6" w:themeFillTint="66"/>
          </w:tcPr>
          <w:p w14:paraId="782C0772" w14:textId="77777777" w:rsidR="007C3D85" w:rsidRPr="00324399" w:rsidRDefault="007C3D85" w:rsidP="00927B4B">
            <w:pPr>
              <w:spacing w:before="0" w:after="0"/>
              <w:rPr>
                <w:rFonts w:eastAsia="Times New Roman" w:cstheme="minorHAnsi"/>
                <w:sz w:val="20"/>
                <w:szCs w:val="20"/>
                <w:lang w:eastAsia="es-MX"/>
              </w:rPr>
            </w:pPr>
          </w:p>
        </w:tc>
        <w:tc>
          <w:tcPr>
            <w:tcW w:w="715" w:type="pct"/>
            <w:tcBorders>
              <w:top w:val="single" w:sz="4" w:space="0" w:color="auto"/>
              <w:left w:val="single" w:sz="4" w:space="0" w:color="auto"/>
              <w:right w:val="single" w:sz="4" w:space="0" w:color="auto"/>
            </w:tcBorders>
            <w:shd w:val="clear" w:color="auto" w:fill="auto"/>
          </w:tcPr>
          <w:p w14:paraId="4C268B43" w14:textId="65AD3668" w:rsidR="007C3D85" w:rsidRPr="00324399" w:rsidRDefault="007C3D85" w:rsidP="00927B4B">
            <w:pPr>
              <w:spacing w:before="0" w:after="0"/>
              <w:rPr>
                <w:rFonts w:eastAsia="Times New Roman" w:cstheme="minorHAnsi"/>
                <w:color w:val="000000"/>
                <w:sz w:val="20"/>
                <w:szCs w:val="20"/>
                <w:lang w:eastAsia="es-MX"/>
              </w:rPr>
            </w:pPr>
            <w:r w:rsidRPr="00324399">
              <w:rPr>
                <w:rFonts w:eastAsia="Times New Roman" w:cstheme="minorHAnsi"/>
                <w:color w:val="000000"/>
                <w:sz w:val="20"/>
                <w:szCs w:val="20"/>
                <w:lang w:eastAsia="es-MX"/>
              </w:rPr>
              <w:t>Unidades ejecutoras de obra en la entidad federativa.</w:t>
            </w:r>
          </w:p>
        </w:tc>
        <w:tc>
          <w:tcPr>
            <w:tcW w:w="918" w:type="pct"/>
            <w:tcBorders>
              <w:top w:val="single" w:sz="4" w:space="0" w:color="auto"/>
              <w:left w:val="single" w:sz="4" w:space="0" w:color="auto"/>
              <w:bottom w:val="single" w:sz="4" w:space="0" w:color="auto"/>
              <w:right w:val="single" w:sz="4" w:space="0" w:color="auto"/>
            </w:tcBorders>
            <w:shd w:val="clear" w:color="auto" w:fill="auto"/>
          </w:tcPr>
          <w:p w14:paraId="7DB96413" w14:textId="47511A2A" w:rsidR="007C3D85" w:rsidRPr="00324399" w:rsidRDefault="007C3D85" w:rsidP="00927B4B">
            <w:pPr>
              <w:spacing w:before="0" w:after="0"/>
              <w:rPr>
                <w:rFonts w:eastAsia="Times New Roman" w:cstheme="minorHAnsi"/>
                <w:color w:val="000000"/>
                <w:sz w:val="20"/>
                <w:szCs w:val="20"/>
                <w:lang w:eastAsia="es-MX"/>
              </w:rPr>
            </w:pPr>
            <w:r w:rsidRPr="00324399">
              <w:rPr>
                <w:rFonts w:eastAsia="Times New Roman" w:cstheme="minorHAnsi"/>
                <w:color w:val="000000"/>
                <w:sz w:val="20"/>
                <w:szCs w:val="20"/>
                <w:lang w:eastAsia="es-MX"/>
              </w:rPr>
              <w:t>Ejecución de obras y acciones</w:t>
            </w:r>
          </w:p>
        </w:tc>
        <w:tc>
          <w:tcPr>
            <w:tcW w:w="1327" w:type="pct"/>
            <w:tcBorders>
              <w:top w:val="single" w:sz="4" w:space="0" w:color="auto"/>
              <w:left w:val="single" w:sz="4" w:space="0" w:color="auto"/>
              <w:bottom w:val="single" w:sz="4" w:space="0" w:color="auto"/>
              <w:right w:val="single" w:sz="4" w:space="0" w:color="auto"/>
            </w:tcBorders>
            <w:shd w:val="clear" w:color="auto" w:fill="auto"/>
          </w:tcPr>
          <w:p w14:paraId="4C412BD5" w14:textId="091C8C19" w:rsidR="007C3D85" w:rsidRPr="00324399" w:rsidRDefault="007C3D85" w:rsidP="00927B4B">
            <w:pPr>
              <w:spacing w:before="0" w:after="0"/>
              <w:rPr>
                <w:rFonts w:eastAsia="Times New Roman" w:cstheme="minorHAnsi"/>
                <w:color w:val="000000"/>
                <w:sz w:val="20"/>
                <w:szCs w:val="20"/>
                <w:lang w:eastAsia="es-MX"/>
              </w:rPr>
            </w:pPr>
            <w:r w:rsidRPr="00324399">
              <w:rPr>
                <w:rFonts w:eastAsia="Times New Roman" w:cstheme="minorHAnsi"/>
                <w:color w:val="000000"/>
                <w:sz w:val="20"/>
                <w:szCs w:val="20"/>
                <w:lang w:eastAsia="es-MX"/>
              </w:rPr>
              <w:t>Registro presupuestal y contable del costo por obra</w:t>
            </w:r>
          </w:p>
        </w:tc>
        <w:tc>
          <w:tcPr>
            <w:tcW w:w="969" w:type="pct"/>
            <w:tcBorders>
              <w:top w:val="single" w:sz="4" w:space="0" w:color="auto"/>
              <w:left w:val="single" w:sz="4" w:space="0" w:color="auto"/>
              <w:bottom w:val="single" w:sz="4" w:space="0" w:color="auto"/>
              <w:right w:val="single" w:sz="4" w:space="0" w:color="auto"/>
            </w:tcBorders>
            <w:shd w:val="clear" w:color="auto" w:fill="auto"/>
          </w:tcPr>
          <w:p w14:paraId="7B3B58D3" w14:textId="58626CF7" w:rsidR="007C3D85" w:rsidRPr="00324399" w:rsidRDefault="007C3D85" w:rsidP="00927B4B">
            <w:pPr>
              <w:spacing w:before="0" w:after="0"/>
              <w:rPr>
                <w:rFonts w:cstheme="minorHAnsi"/>
                <w:sz w:val="20"/>
                <w:szCs w:val="20"/>
              </w:rPr>
            </w:pPr>
            <w:r w:rsidRPr="00324399">
              <w:rPr>
                <w:rFonts w:cstheme="minorHAnsi"/>
                <w:sz w:val="20"/>
                <w:szCs w:val="20"/>
              </w:rPr>
              <w:t>Sistema de control y seguimiento de las obras autorizadas</w:t>
            </w:r>
          </w:p>
        </w:tc>
        <w:tc>
          <w:tcPr>
            <w:tcW w:w="868" w:type="pct"/>
            <w:tcBorders>
              <w:top w:val="single" w:sz="4" w:space="0" w:color="auto"/>
              <w:left w:val="single" w:sz="4" w:space="0" w:color="auto"/>
              <w:bottom w:val="single" w:sz="4" w:space="0" w:color="auto"/>
              <w:right w:val="single" w:sz="4" w:space="0" w:color="auto"/>
            </w:tcBorders>
            <w:shd w:val="clear" w:color="auto" w:fill="auto"/>
          </w:tcPr>
          <w:p w14:paraId="2ECB9DAD" w14:textId="6B62B9E9" w:rsidR="007C3D85" w:rsidRPr="00324399" w:rsidRDefault="007C3D85" w:rsidP="00927B4B">
            <w:pPr>
              <w:spacing w:before="0" w:after="0"/>
              <w:rPr>
                <w:rFonts w:eastAsia="Times New Roman" w:cstheme="minorHAnsi"/>
                <w:color w:val="000000"/>
                <w:sz w:val="20"/>
                <w:szCs w:val="20"/>
                <w:lang w:eastAsia="es-MX"/>
              </w:rPr>
            </w:pPr>
            <w:r w:rsidRPr="00324399">
              <w:rPr>
                <w:rFonts w:cstheme="minorHAnsi"/>
                <w:sz w:val="20"/>
                <w:szCs w:val="20"/>
              </w:rPr>
              <w:t>SFP</w:t>
            </w:r>
          </w:p>
        </w:tc>
      </w:tr>
      <w:tr w:rsidR="007C3D85" w:rsidRPr="00074BB0" w14:paraId="1EC82A5A" w14:textId="77777777" w:rsidTr="006A72DC">
        <w:trPr>
          <w:trHeight w:val="420"/>
        </w:trPr>
        <w:tc>
          <w:tcPr>
            <w:tcW w:w="202" w:type="pct"/>
            <w:vMerge/>
            <w:tcBorders>
              <w:left w:val="single" w:sz="4" w:space="0" w:color="auto"/>
              <w:right w:val="single" w:sz="4" w:space="0" w:color="auto"/>
            </w:tcBorders>
            <w:shd w:val="clear" w:color="auto" w:fill="C5E0B3" w:themeFill="accent6" w:themeFillTint="66"/>
          </w:tcPr>
          <w:p w14:paraId="1CE86B51" w14:textId="77777777" w:rsidR="007C3D85" w:rsidRPr="00324399" w:rsidRDefault="007C3D85" w:rsidP="007C3D85">
            <w:pPr>
              <w:spacing w:before="0" w:after="0"/>
              <w:rPr>
                <w:rFonts w:eastAsia="Times New Roman" w:cstheme="minorHAnsi"/>
                <w:sz w:val="20"/>
                <w:szCs w:val="20"/>
                <w:lang w:eastAsia="es-MX"/>
              </w:rPr>
            </w:pPr>
          </w:p>
        </w:tc>
        <w:tc>
          <w:tcPr>
            <w:tcW w:w="715" w:type="pct"/>
            <w:tcBorders>
              <w:top w:val="single" w:sz="4" w:space="0" w:color="auto"/>
              <w:left w:val="single" w:sz="4" w:space="0" w:color="auto"/>
              <w:right w:val="single" w:sz="4" w:space="0" w:color="auto"/>
            </w:tcBorders>
            <w:shd w:val="clear" w:color="auto" w:fill="auto"/>
          </w:tcPr>
          <w:p w14:paraId="1B69D659" w14:textId="4FDA434F" w:rsidR="007C3D85" w:rsidRPr="00324399" w:rsidRDefault="007C3D85" w:rsidP="007C3D85">
            <w:pPr>
              <w:spacing w:before="0" w:after="0"/>
              <w:rPr>
                <w:rFonts w:eastAsia="Times New Roman" w:cstheme="minorHAnsi"/>
                <w:color w:val="000000"/>
                <w:sz w:val="20"/>
                <w:szCs w:val="20"/>
                <w:lang w:eastAsia="es-MX"/>
              </w:rPr>
            </w:pPr>
            <w:r w:rsidRPr="00324399">
              <w:rPr>
                <w:rFonts w:cstheme="minorHAnsi"/>
                <w:sz w:val="20"/>
                <w:szCs w:val="20"/>
              </w:rPr>
              <w:t>SFP</w:t>
            </w:r>
          </w:p>
        </w:tc>
        <w:tc>
          <w:tcPr>
            <w:tcW w:w="918" w:type="pct"/>
            <w:tcBorders>
              <w:top w:val="single" w:sz="4" w:space="0" w:color="auto"/>
              <w:left w:val="single" w:sz="4" w:space="0" w:color="auto"/>
              <w:bottom w:val="single" w:sz="4" w:space="0" w:color="auto"/>
              <w:right w:val="single" w:sz="4" w:space="0" w:color="auto"/>
            </w:tcBorders>
            <w:shd w:val="clear" w:color="auto" w:fill="auto"/>
          </w:tcPr>
          <w:p w14:paraId="4650D897" w14:textId="0AB112E2" w:rsidR="007C3D85" w:rsidRPr="00324399" w:rsidRDefault="007C3D85" w:rsidP="007C3D85">
            <w:pPr>
              <w:spacing w:before="0" w:after="0"/>
              <w:rPr>
                <w:rFonts w:eastAsia="Times New Roman" w:cstheme="minorHAnsi"/>
                <w:color w:val="000000"/>
                <w:sz w:val="20"/>
                <w:szCs w:val="20"/>
                <w:lang w:eastAsia="es-MX"/>
              </w:rPr>
            </w:pPr>
            <w:r w:rsidRPr="00324399">
              <w:rPr>
                <w:rFonts w:eastAsia="Times New Roman" w:cstheme="minorHAnsi"/>
                <w:color w:val="000000"/>
                <w:sz w:val="20"/>
                <w:szCs w:val="20"/>
                <w:lang w:eastAsia="es-MX"/>
              </w:rPr>
              <w:t>Finiquito de proyectos de obras y acciones</w:t>
            </w:r>
          </w:p>
        </w:tc>
        <w:tc>
          <w:tcPr>
            <w:tcW w:w="1327" w:type="pct"/>
            <w:tcBorders>
              <w:top w:val="single" w:sz="4" w:space="0" w:color="auto"/>
              <w:left w:val="single" w:sz="4" w:space="0" w:color="auto"/>
              <w:bottom w:val="single" w:sz="4" w:space="0" w:color="auto"/>
              <w:right w:val="single" w:sz="4" w:space="0" w:color="auto"/>
            </w:tcBorders>
            <w:shd w:val="clear" w:color="auto" w:fill="auto"/>
          </w:tcPr>
          <w:p w14:paraId="269204E7" w14:textId="53CD6A66" w:rsidR="007C3D85" w:rsidRPr="00324399" w:rsidRDefault="007C3D85" w:rsidP="007C3D85">
            <w:pPr>
              <w:spacing w:before="0" w:after="0"/>
              <w:rPr>
                <w:rFonts w:eastAsia="Times New Roman" w:cstheme="minorHAnsi"/>
                <w:color w:val="000000"/>
                <w:sz w:val="20"/>
                <w:szCs w:val="20"/>
                <w:lang w:eastAsia="es-MX"/>
              </w:rPr>
            </w:pPr>
            <w:r w:rsidRPr="00324399">
              <w:rPr>
                <w:rFonts w:eastAsia="Times New Roman" w:cstheme="minorHAnsi"/>
                <w:color w:val="000000"/>
                <w:sz w:val="20"/>
                <w:szCs w:val="20"/>
                <w:lang w:eastAsia="es-MX"/>
              </w:rPr>
              <w:t>La SFP es la responsable de constatar el finiquito de los trabajos y el ejercicio de los recursos de las obras y acciones autorizadas para cada proyecto de inversión</w:t>
            </w:r>
          </w:p>
        </w:tc>
        <w:tc>
          <w:tcPr>
            <w:tcW w:w="969" w:type="pct"/>
            <w:tcBorders>
              <w:top w:val="single" w:sz="4" w:space="0" w:color="auto"/>
              <w:left w:val="single" w:sz="4" w:space="0" w:color="auto"/>
              <w:bottom w:val="single" w:sz="4" w:space="0" w:color="auto"/>
              <w:right w:val="single" w:sz="4" w:space="0" w:color="auto"/>
            </w:tcBorders>
            <w:shd w:val="clear" w:color="auto" w:fill="auto"/>
          </w:tcPr>
          <w:p w14:paraId="4AD2E8E9" w14:textId="03799DAB" w:rsidR="007C3D85" w:rsidRPr="00324399" w:rsidRDefault="007C3D85" w:rsidP="007C3D85">
            <w:pPr>
              <w:spacing w:before="0" w:after="0"/>
              <w:rPr>
                <w:rFonts w:cstheme="minorHAnsi"/>
                <w:sz w:val="20"/>
                <w:szCs w:val="20"/>
              </w:rPr>
            </w:pPr>
            <w:r w:rsidRPr="00324399">
              <w:rPr>
                <w:rFonts w:cstheme="minorHAnsi"/>
                <w:sz w:val="20"/>
                <w:szCs w:val="20"/>
              </w:rPr>
              <w:t>Cierre de ejercicio</w:t>
            </w:r>
          </w:p>
        </w:tc>
        <w:tc>
          <w:tcPr>
            <w:tcW w:w="868" w:type="pct"/>
            <w:tcBorders>
              <w:top w:val="single" w:sz="4" w:space="0" w:color="auto"/>
              <w:left w:val="single" w:sz="4" w:space="0" w:color="auto"/>
              <w:bottom w:val="single" w:sz="4" w:space="0" w:color="auto"/>
              <w:right w:val="single" w:sz="4" w:space="0" w:color="auto"/>
            </w:tcBorders>
            <w:shd w:val="clear" w:color="auto" w:fill="auto"/>
          </w:tcPr>
          <w:p w14:paraId="183E0811" w14:textId="32E48CEA" w:rsidR="007C3D85" w:rsidRPr="00324399" w:rsidRDefault="007C3D85" w:rsidP="007C3D85">
            <w:pPr>
              <w:spacing w:before="0" w:after="0"/>
              <w:rPr>
                <w:rFonts w:cstheme="minorHAnsi"/>
                <w:sz w:val="20"/>
                <w:szCs w:val="20"/>
              </w:rPr>
            </w:pPr>
            <w:r w:rsidRPr="00324399">
              <w:rPr>
                <w:rFonts w:eastAsia="Times New Roman" w:cstheme="minorHAnsi"/>
                <w:color w:val="000000"/>
                <w:sz w:val="20"/>
                <w:szCs w:val="20"/>
                <w:lang w:eastAsia="es-MX"/>
              </w:rPr>
              <w:t>Unidades ejecutoras de obra en la entidad federativa.</w:t>
            </w:r>
          </w:p>
        </w:tc>
      </w:tr>
      <w:tr w:rsidR="007C3D85" w:rsidRPr="00074BB0" w14:paraId="52A920BE" w14:textId="77777777" w:rsidTr="006A72DC">
        <w:trPr>
          <w:trHeight w:val="604"/>
        </w:trPr>
        <w:tc>
          <w:tcPr>
            <w:tcW w:w="202" w:type="pct"/>
            <w:vMerge w:val="restart"/>
            <w:tcBorders>
              <w:top w:val="single" w:sz="4" w:space="0" w:color="auto"/>
              <w:left w:val="single" w:sz="4" w:space="0" w:color="auto"/>
              <w:right w:val="single" w:sz="4" w:space="0" w:color="auto"/>
            </w:tcBorders>
            <w:shd w:val="clear" w:color="auto" w:fill="9CC2E5"/>
            <w:textDirection w:val="btLr"/>
          </w:tcPr>
          <w:p w14:paraId="388C973F" w14:textId="3F149BFE" w:rsidR="007C3D85" w:rsidRPr="001176CA" w:rsidRDefault="00080DFC" w:rsidP="00080DFC">
            <w:pPr>
              <w:spacing w:before="0" w:after="0"/>
              <w:ind w:left="113" w:right="113"/>
              <w:jc w:val="center"/>
              <w:rPr>
                <w:rFonts w:eastAsia="Times New Roman" w:cstheme="minorHAnsi"/>
                <w:b/>
                <w:bCs/>
                <w:color w:val="2E74B5" w:themeColor="accent1" w:themeShade="BF"/>
                <w:sz w:val="20"/>
                <w:szCs w:val="20"/>
                <w:lang w:eastAsia="es-MX"/>
              </w:rPr>
            </w:pPr>
            <w:r w:rsidRPr="001176CA">
              <w:rPr>
                <w:rFonts w:eastAsia="Times New Roman" w:cstheme="minorHAnsi"/>
                <w:b/>
                <w:bCs/>
                <w:color w:val="2E74B5" w:themeColor="accent1" w:themeShade="BF"/>
                <w:sz w:val="20"/>
                <w:szCs w:val="20"/>
                <w:lang w:eastAsia="es-MX"/>
              </w:rPr>
              <w:lastRenderedPageBreak/>
              <w:t>Seguimiento</w:t>
            </w:r>
          </w:p>
        </w:tc>
        <w:tc>
          <w:tcPr>
            <w:tcW w:w="715" w:type="pct"/>
            <w:tcBorders>
              <w:top w:val="single" w:sz="4" w:space="0" w:color="auto"/>
              <w:left w:val="single" w:sz="4" w:space="0" w:color="auto"/>
              <w:right w:val="single" w:sz="4" w:space="0" w:color="auto"/>
            </w:tcBorders>
          </w:tcPr>
          <w:p w14:paraId="04931146" w14:textId="088575D3" w:rsidR="007C3D85" w:rsidRPr="00324399" w:rsidRDefault="007C3D85" w:rsidP="007C3D85">
            <w:pPr>
              <w:spacing w:before="0" w:after="0"/>
              <w:rPr>
                <w:rFonts w:cstheme="minorHAnsi"/>
                <w:sz w:val="20"/>
                <w:szCs w:val="20"/>
              </w:rPr>
            </w:pPr>
            <w:r w:rsidRPr="00324399">
              <w:rPr>
                <w:rFonts w:eastAsia="Times New Roman" w:cstheme="minorHAnsi"/>
                <w:color w:val="000000"/>
                <w:sz w:val="20"/>
                <w:szCs w:val="20"/>
                <w:lang w:eastAsia="es-MX"/>
              </w:rPr>
              <w:t>Unidades ejecutoras de obra en la entidad federativa.</w:t>
            </w:r>
          </w:p>
        </w:tc>
        <w:tc>
          <w:tcPr>
            <w:tcW w:w="918" w:type="pct"/>
            <w:tcBorders>
              <w:top w:val="single" w:sz="4" w:space="0" w:color="auto"/>
              <w:left w:val="single" w:sz="4" w:space="0" w:color="auto"/>
              <w:bottom w:val="single" w:sz="4" w:space="0" w:color="auto"/>
              <w:right w:val="single" w:sz="4" w:space="0" w:color="auto"/>
            </w:tcBorders>
          </w:tcPr>
          <w:p w14:paraId="190A658D" w14:textId="77777777" w:rsidR="007C3D85" w:rsidRPr="00324399" w:rsidRDefault="007C3D85" w:rsidP="007C3D85">
            <w:pPr>
              <w:spacing w:before="0" w:after="0"/>
              <w:rPr>
                <w:rFonts w:cstheme="minorHAnsi"/>
                <w:sz w:val="20"/>
                <w:szCs w:val="20"/>
              </w:rPr>
            </w:pPr>
            <w:r w:rsidRPr="00324399">
              <w:rPr>
                <w:rFonts w:eastAsia="Times New Roman" w:cstheme="minorHAnsi"/>
                <w:color w:val="000000"/>
                <w:sz w:val="20"/>
                <w:szCs w:val="20"/>
                <w:lang w:eastAsia="es-MX"/>
              </w:rPr>
              <w:t>Captura de Información sobre el ejercicio del gasto.</w:t>
            </w:r>
          </w:p>
        </w:tc>
        <w:tc>
          <w:tcPr>
            <w:tcW w:w="1327" w:type="pct"/>
            <w:tcBorders>
              <w:top w:val="single" w:sz="4" w:space="0" w:color="auto"/>
              <w:left w:val="single" w:sz="4" w:space="0" w:color="auto"/>
              <w:bottom w:val="single" w:sz="4" w:space="0" w:color="auto"/>
              <w:right w:val="single" w:sz="4" w:space="0" w:color="auto"/>
            </w:tcBorders>
          </w:tcPr>
          <w:p w14:paraId="3EE691C3" w14:textId="77777777" w:rsidR="007C3D85" w:rsidRPr="00324399" w:rsidRDefault="007C3D85" w:rsidP="007C3D85">
            <w:pPr>
              <w:spacing w:before="0" w:after="0"/>
              <w:rPr>
                <w:rFonts w:cstheme="minorHAnsi"/>
                <w:sz w:val="20"/>
                <w:szCs w:val="20"/>
              </w:rPr>
            </w:pPr>
            <w:r w:rsidRPr="00324399">
              <w:rPr>
                <w:rFonts w:eastAsia="Times New Roman" w:cstheme="minorHAnsi"/>
                <w:color w:val="000000"/>
                <w:sz w:val="20"/>
                <w:szCs w:val="20"/>
                <w:lang w:eastAsia="es-MX"/>
              </w:rPr>
              <w:t>Captura trimestral del origen y destino de los recursos en el SRFT.</w:t>
            </w:r>
          </w:p>
        </w:tc>
        <w:tc>
          <w:tcPr>
            <w:tcW w:w="969" w:type="pct"/>
            <w:tcBorders>
              <w:top w:val="single" w:sz="4" w:space="0" w:color="auto"/>
              <w:left w:val="single" w:sz="4" w:space="0" w:color="auto"/>
              <w:bottom w:val="single" w:sz="4" w:space="0" w:color="auto"/>
              <w:right w:val="single" w:sz="4" w:space="0" w:color="auto"/>
            </w:tcBorders>
          </w:tcPr>
          <w:p w14:paraId="2E72C0E1" w14:textId="77777777" w:rsidR="007C3D85" w:rsidRPr="00324399" w:rsidRDefault="007C3D85" w:rsidP="007C3D85">
            <w:pPr>
              <w:spacing w:before="0" w:after="0"/>
              <w:rPr>
                <w:rFonts w:cstheme="minorHAnsi"/>
                <w:sz w:val="20"/>
                <w:szCs w:val="20"/>
              </w:rPr>
            </w:pPr>
            <w:r w:rsidRPr="00324399">
              <w:rPr>
                <w:rFonts w:eastAsia="Times New Roman" w:cstheme="minorHAnsi"/>
                <w:color w:val="000000"/>
                <w:sz w:val="20"/>
                <w:szCs w:val="20"/>
                <w:lang w:eastAsia="es-MX"/>
              </w:rPr>
              <w:t>Reportes trimestrales sobre el destino del gasto, ejercicio del gasto e indicadores, para su validación.</w:t>
            </w:r>
          </w:p>
        </w:tc>
        <w:tc>
          <w:tcPr>
            <w:tcW w:w="868" w:type="pct"/>
            <w:tcBorders>
              <w:top w:val="single" w:sz="4" w:space="0" w:color="auto"/>
              <w:left w:val="single" w:sz="4" w:space="0" w:color="auto"/>
              <w:bottom w:val="single" w:sz="4" w:space="0" w:color="auto"/>
              <w:right w:val="single" w:sz="4" w:space="0" w:color="auto"/>
            </w:tcBorders>
          </w:tcPr>
          <w:p w14:paraId="035E45D1" w14:textId="77777777" w:rsidR="007C3D85" w:rsidRPr="00324399" w:rsidRDefault="007C3D85" w:rsidP="007C3D85">
            <w:pPr>
              <w:spacing w:before="0" w:after="0"/>
              <w:rPr>
                <w:rFonts w:cstheme="minorHAnsi"/>
                <w:sz w:val="20"/>
                <w:szCs w:val="20"/>
              </w:rPr>
            </w:pPr>
            <w:r w:rsidRPr="00324399">
              <w:rPr>
                <w:rFonts w:eastAsia="Times New Roman" w:cstheme="minorHAnsi"/>
                <w:color w:val="000000"/>
                <w:sz w:val="20"/>
                <w:szCs w:val="20"/>
                <w:lang w:eastAsia="es-MX"/>
              </w:rPr>
              <w:t>SFP</w:t>
            </w:r>
          </w:p>
        </w:tc>
      </w:tr>
      <w:tr w:rsidR="007C3D85" w:rsidRPr="00074BB0" w14:paraId="78AC0451" w14:textId="77777777" w:rsidTr="006A72DC">
        <w:trPr>
          <w:trHeight w:val="420"/>
        </w:trPr>
        <w:tc>
          <w:tcPr>
            <w:tcW w:w="202" w:type="pct"/>
            <w:vMerge/>
            <w:tcBorders>
              <w:left w:val="single" w:sz="4" w:space="0" w:color="auto"/>
              <w:right w:val="single" w:sz="4" w:space="0" w:color="auto"/>
            </w:tcBorders>
            <w:shd w:val="clear" w:color="auto" w:fill="9CC2E5"/>
          </w:tcPr>
          <w:p w14:paraId="3D59ED3E" w14:textId="77777777" w:rsidR="007C3D85" w:rsidRPr="00324399" w:rsidRDefault="007C3D85" w:rsidP="007C3D85">
            <w:pPr>
              <w:spacing w:before="0" w:after="0"/>
              <w:rPr>
                <w:rFonts w:eastAsia="Times New Roman" w:cstheme="minorHAnsi"/>
                <w:sz w:val="20"/>
                <w:szCs w:val="20"/>
                <w:lang w:eastAsia="es-MX"/>
              </w:rPr>
            </w:pPr>
          </w:p>
        </w:tc>
        <w:tc>
          <w:tcPr>
            <w:tcW w:w="715" w:type="pct"/>
            <w:tcBorders>
              <w:top w:val="single" w:sz="4" w:space="0" w:color="auto"/>
              <w:left w:val="single" w:sz="4" w:space="0" w:color="auto"/>
              <w:right w:val="single" w:sz="4" w:space="0" w:color="auto"/>
            </w:tcBorders>
          </w:tcPr>
          <w:p w14:paraId="3DEF43A8" w14:textId="77777777" w:rsidR="007C3D85" w:rsidRPr="00324399" w:rsidRDefault="007C3D85" w:rsidP="007C3D85">
            <w:pPr>
              <w:spacing w:before="0" w:after="0"/>
              <w:rPr>
                <w:rFonts w:eastAsia="Times New Roman" w:cstheme="minorHAnsi"/>
                <w:color w:val="000000"/>
                <w:sz w:val="20"/>
                <w:szCs w:val="20"/>
                <w:lang w:eastAsia="es-MX"/>
              </w:rPr>
            </w:pPr>
            <w:r w:rsidRPr="00324399">
              <w:rPr>
                <w:rFonts w:eastAsia="Times New Roman" w:cstheme="minorHAnsi"/>
                <w:color w:val="000000"/>
                <w:sz w:val="20"/>
                <w:szCs w:val="20"/>
                <w:lang w:eastAsia="es-MX"/>
              </w:rPr>
              <w:t>SFP</w:t>
            </w:r>
          </w:p>
        </w:tc>
        <w:tc>
          <w:tcPr>
            <w:tcW w:w="918" w:type="pct"/>
            <w:tcBorders>
              <w:top w:val="single" w:sz="4" w:space="0" w:color="auto"/>
              <w:left w:val="single" w:sz="4" w:space="0" w:color="auto"/>
              <w:bottom w:val="single" w:sz="4" w:space="0" w:color="auto"/>
              <w:right w:val="single" w:sz="4" w:space="0" w:color="auto"/>
            </w:tcBorders>
          </w:tcPr>
          <w:p w14:paraId="1F035F99" w14:textId="77777777" w:rsidR="007C3D85" w:rsidRPr="00324399" w:rsidRDefault="007C3D85" w:rsidP="007C3D85">
            <w:pPr>
              <w:spacing w:before="0" w:after="0"/>
              <w:rPr>
                <w:rFonts w:eastAsia="Times New Roman" w:cstheme="minorHAnsi"/>
                <w:color w:val="000000"/>
                <w:sz w:val="20"/>
                <w:szCs w:val="20"/>
                <w:lang w:eastAsia="es-MX"/>
              </w:rPr>
            </w:pPr>
            <w:r w:rsidRPr="00324399">
              <w:rPr>
                <w:rFonts w:eastAsia="Times New Roman" w:cstheme="minorHAnsi"/>
                <w:color w:val="000000"/>
                <w:sz w:val="20"/>
                <w:szCs w:val="20"/>
                <w:lang w:eastAsia="es-MX"/>
              </w:rPr>
              <w:t>Validación de la información</w:t>
            </w:r>
          </w:p>
        </w:tc>
        <w:tc>
          <w:tcPr>
            <w:tcW w:w="1327" w:type="pct"/>
            <w:tcBorders>
              <w:top w:val="single" w:sz="4" w:space="0" w:color="auto"/>
              <w:left w:val="single" w:sz="4" w:space="0" w:color="auto"/>
              <w:bottom w:val="single" w:sz="4" w:space="0" w:color="auto"/>
              <w:right w:val="single" w:sz="4" w:space="0" w:color="auto"/>
            </w:tcBorders>
          </w:tcPr>
          <w:p w14:paraId="5F7722B5" w14:textId="77777777" w:rsidR="007C3D85" w:rsidRPr="00324399" w:rsidRDefault="007C3D85" w:rsidP="007C3D85">
            <w:pPr>
              <w:spacing w:before="0" w:after="0"/>
              <w:rPr>
                <w:rFonts w:eastAsia="Times New Roman" w:cstheme="minorHAnsi"/>
                <w:color w:val="000000"/>
                <w:sz w:val="20"/>
                <w:szCs w:val="20"/>
                <w:lang w:eastAsia="es-MX"/>
              </w:rPr>
            </w:pPr>
            <w:r w:rsidRPr="00324399">
              <w:rPr>
                <w:rFonts w:eastAsia="Times New Roman" w:cstheme="minorHAnsi"/>
                <w:color w:val="000000"/>
                <w:sz w:val="20"/>
                <w:szCs w:val="20"/>
                <w:lang w:eastAsia="es-MX"/>
              </w:rPr>
              <w:t>La SFP revisa y valida la información captura por los ejecutores del gasto en el SRFT.</w:t>
            </w:r>
          </w:p>
        </w:tc>
        <w:tc>
          <w:tcPr>
            <w:tcW w:w="969" w:type="pct"/>
            <w:tcBorders>
              <w:top w:val="single" w:sz="4" w:space="0" w:color="auto"/>
              <w:left w:val="single" w:sz="4" w:space="0" w:color="auto"/>
              <w:bottom w:val="single" w:sz="4" w:space="0" w:color="auto"/>
              <w:right w:val="single" w:sz="4" w:space="0" w:color="auto"/>
            </w:tcBorders>
          </w:tcPr>
          <w:p w14:paraId="787B6772" w14:textId="77777777" w:rsidR="007C3D85" w:rsidRPr="00324399" w:rsidRDefault="007C3D85" w:rsidP="007C3D85">
            <w:pPr>
              <w:spacing w:before="0" w:after="0"/>
              <w:rPr>
                <w:rFonts w:eastAsia="Times New Roman" w:cstheme="minorHAnsi"/>
                <w:color w:val="000000"/>
                <w:sz w:val="20"/>
                <w:szCs w:val="20"/>
                <w:lang w:eastAsia="es-MX"/>
              </w:rPr>
            </w:pPr>
            <w:r w:rsidRPr="00324399">
              <w:rPr>
                <w:rFonts w:eastAsia="Times New Roman" w:cstheme="minorHAnsi"/>
                <w:color w:val="000000"/>
                <w:sz w:val="20"/>
                <w:szCs w:val="20"/>
                <w:lang w:eastAsia="es-MX"/>
              </w:rPr>
              <w:t>Observaciones a los informes trimestrales en el SRFT o en su caso la aceptación de los mismos.</w:t>
            </w:r>
          </w:p>
        </w:tc>
        <w:tc>
          <w:tcPr>
            <w:tcW w:w="868" w:type="pct"/>
            <w:tcBorders>
              <w:top w:val="single" w:sz="4" w:space="0" w:color="auto"/>
              <w:left w:val="single" w:sz="4" w:space="0" w:color="auto"/>
              <w:bottom w:val="single" w:sz="4" w:space="0" w:color="auto"/>
              <w:right w:val="single" w:sz="4" w:space="0" w:color="auto"/>
            </w:tcBorders>
          </w:tcPr>
          <w:p w14:paraId="313C7D9F" w14:textId="10117B38" w:rsidR="007C3D85" w:rsidRPr="00324399" w:rsidRDefault="007C3D85" w:rsidP="007C3D85">
            <w:pPr>
              <w:spacing w:before="0" w:after="0"/>
              <w:rPr>
                <w:rFonts w:eastAsia="Times New Roman" w:cstheme="minorHAnsi"/>
                <w:color w:val="000000"/>
                <w:sz w:val="20"/>
                <w:szCs w:val="20"/>
                <w:lang w:eastAsia="es-MX"/>
              </w:rPr>
            </w:pPr>
            <w:r w:rsidRPr="00324399">
              <w:rPr>
                <w:rFonts w:eastAsia="Times New Roman" w:cstheme="minorHAnsi"/>
                <w:color w:val="000000"/>
                <w:sz w:val="20"/>
                <w:szCs w:val="20"/>
                <w:lang w:eastAsia="es-MX"/>
              </w:rPr>
              <w:t>Unidades ejecutoras de obra en la entidad federativa.</w:t>
            </w:r>
          </w:p>
        </w:tc>
      </w:tr>
      <w:tr w:rsidR="007C3D85" w:rsidRPr="00074BB0" w14:paraId="5E86F9DA" w14:textId="77777777" w:rsidTr="006A72DC">
        <w:trPr>
          <w:trHeight w:val="420"/>
        </w:trPr>
        <w:tc>
          <w:tcPr>
            <w:tcW w:w="202" w:type="pct"/>
            <w:vMerge/>
            <w:tcBorders>
              <w:left w:val="single" w:sz="4" w:space="0" w:color="auto"/>
              <w:right w:val="single" w:sz="4" w:space="0" w:color="auto"/>
            </w:tcBorders>
            <w:shd w:val="clear" w:color="auto" w:fill="9CC2E5"/>
          </w:tcPr>
          <w:p w14:paraId="7A2E832B" w14:textId="77777777" w:rsidR="007C3D85" w:rsidRPr="00324399" w:rsidRDefault="007C3D85" w:rsidP="007C3D85">
            <w:pPr>
              <w:spacing w:before="0" w:after="0"/>
              <w:rPr>
                <w:rFonts w:eastAsia="Times New Roman" w:cstheme="minorHAnsi"/>
                <w:sz w:val="20"/>
                <w:szCs w:val="20"/>
                <w:lang w:eastAsia="es-MX"/>
              </w:rPr>
            </w:pPr>
          </w:p>
        </w:tc>
        <w:tc>
          <w:tcPr>
            <w:tcW w:w="715" w:type="pct"/>
            <w:tcBorders>
              <w:top w:val="single" w:sz="4" w:space="0" w:color="auto"/>
              <w:left w:val="single" w:sz="4" w:space="0" w:color="auto"/>
              <w:right w:val="single" w:sz="4" w:space="0" w:color="auto"/>
            </w:tcBorders>
          </w:tcPr>
          <w:p w14:paraId="656B109D" w14:textId="77777777" w:rsidR="007C3D85" w:rsidRPr="00324399" w:rsidRDefault="007C3D85" w:rsidP="007C3D85">
            <w:pPr>
              <w:spacing w:before="0" w:after="0"/>
              <w:jc w:val="left"/>
              <w:rPr>
                <w:rFonts w:eastAsia="Times New Roman" w:cstheme="minorHAnsi"/>
                <w:color w:val="000000"/>
                <w:sz w:val="20"/>
                <w:szCs w:val="20"/>
                <w:lang w:eastAsia="es-MX"/>
              </w:rPr>
            </w:pPr>
            <w:r w:rsidRPr="00324399">
              <w:rPr>
                <w:rFonts w:eastAsia="Times New Roman" w:cstheme="minorHAnsi"/>
                <w:color w:val="000000"/>
                <w:sz w:val="20"/>
                <w:szCs w:val="20"/>
                <w:lang w:eastAsia="es-MX"/>
              </w:rPr>
              <w:t>SF</w:t>
            </w:r>
          </w:p>
        </w:tc>
        <w:tc>
          <w:tcPr>
            <w:tcW w:w="918" w:type="pct"/>
            <w:tcBorders>
              <w:top w:val="single" w:sz="4" w:space="0" w:color="auto"/>
              <w:left w:val="single" w:sz="4" w:space="0" w:color="auto"/>
              <w:bottom w:val="single" w:sz="4" w:space="0" w:color="auto"/>
              <w:right w:val="single" w:sz="4" w:space="0" w:color="auto"/>
            </w:tcBorders>
          </w:tcPr>
          <w:p w14:paraId="57694AF3" w14:textId="77777777" w:rsidR="007C3D85" w:rsidRPr="00324399" w:rsidRDefault="007C3D85" w:rsidP="007C3D85">
            <w:pPr>
              <w:spacing w:before="0" w:after="0"/>
              <w:rPr>
                <w:rFonts w:eastAsia="Times New Roman" w:cstheme="minorHAnsi"/>
                <w:color w:val="000000"/>
                <w:sz w:val="20"/>
                <w:szCs w:val="20"/>
                <w:lang w:eastAsia="es-MX"/>
              </w:rPr>
            </w:pPr>
            <w:r w:rsidRPr="00324399">
              <w:rPr>
                <w:rFonts w:eastAsia="Times New Roman" w:cstheme="minorHAnsi"/>
                <w:color w:val="000000"/>
                <w:sz w:val="20"/>
                <w:szCs w:val="20"/>
                <w:lang w:eastAsia="es-MX"/>
              </w:rPr>
              <w:t>Informes trimestrales al SRFT</w:t>
            </w:r>
          </w:p>
        </w:tc>
        <w:tc>
          <w:tcPr>
            <w:tcW w:w="1327" w:type="pct"/>
            <w:tcBorders>
              <w:top w:val="single" w:sz="4" w:space="0" w:color="auto"/>
              <w:left w:val="single" w:sz="4" w:space="0" w:color="auto"/>
              <w:bottom w:val="single" w:sz="4" w:space="0" w:color="auto"/>
              <w:right w:val="single" w:sz="4" w:space="0" w:color="auto"/>
            </w:tcBorders>
          </w:tcPr>
          <w:p w14:paraId="7D6D260A" w14:textId="77777777" w:rsidR="007C3D85" w:rsidRPr="00324399" w:rsidRDefault="007C3D85" w:rsidP="007C3D85">
            <w:pPr>
              <w:spacing w:before="0" w:after="0"/>
              <w:rPr>
                <w:rFonts w:eastAsia="Times New Roman" w:cstheme="minorHAnsi"/>
                <w:color w:val="000000"/>
                <w:sz w:val="20"/>
                <w:szCs w:val="20"/>
                <w:lang w:eastAsia="es-MX"/>
              </w:rPr>
            </w:pPr>
            <w:r w:rsidRPr="00324399">
              <w:rPr>
                <w:rFonts w:eastAsia="Times New Roman" w:cstheme="minorHAnsi"/>
                <w:color w:val="000000"/>
                <w:sz w:val="20"/>
                <w:szCs w:val="20"/>
                <w:lang w:eastAsia="es-MX"/>
              </w:rPr>
              <w:t xml:space="preserve">Información de los reportes trimestrales validada por la SFP. </w:t>
            </w:r>
          </w:p>
        </w:tc>
        <w:tc>
          <w:tcPr>
            <w:tcW w:w="969" w:type="pct"/>
            <w:tcBorders>
              <w:top w:val="single" w:sz="4" w:space="0" w:color="auto"/>
              <w:left w:val="single" w:sz="4" w:space="0" w:color="auto"/>
              <w:bottom w:val="single" w:sz="4" w:space="0" w:color="auto"/>
              <w:right w:val="single" w:sz="4" w:space="0" w:color="auto"/>
            </w:tcBorders>
          </w:tcPr>
          <w:p w14:paraId="5F593EB3" w14:textId="77777777" w:rsidR="007C3D85" w:rsidRPr="00324399" w:rsidRDefault="007C3D85" w:rsidP="007C3D85">
            <w:pPr>
              <w:spacing w:before="0" w:after="0"/>
              <w:rPr>
                <w:rFonts w:eastAsia="Times New Roman" w:cstheme="minorHAnsi"/>
                <w:color w:val="000000"/>
                <w:sz w:val="20"/>
                <w:szCs w:val="20"/>
                <w:lang w:eastAsia="es-MX"/>
              </w:rPr>
            </w:pPr>
            <w:r w:rsidRPr="00324399">
              <w:rPr>
                <w:rFonts w:eastAsia="Times New Roman" w:cstheme="minorHAnsi"/>
                <w:color w:val="000000"/>
                <w:sz w:val="20"/>
                <w:szCs w:val="20"/>
                <w:lang w:eastAsia="es-MX"/>
              </w:rPr>
              <w:t>Informes validados por la SF</w:t>
            </w:r>
          </w:p>
        </w:tc>
        <w:tc>
          <w:tcPr>
            <w:tcW w:w="868" w:type="pct"/>
            <w:tcBorders>
              <w:top w:val="single" w:sz="4" w:space="0" w:color="auto"/>
              <w:left w:val="single" w:sz="4" w:space="0" w:color="auto"/>
              <w:bottom w:val="single" w:sz="4" w:space="0" w:color="auto"/>
              <w:right w:val="single" w:sz="4" w:space="0" w:color="auto"/>
            </w:tcBorders>
          </w:tcPr>
          <w:p w14:paraId="7DC7369C" w14:textId="77777777" w:rsidR="007C3D85" w:rsidRPr="00324399" w:rsidRDefault="007C3D85" w:rsidP="007C3D85">
            <w:pPr>
              <w:spacing w:before="0" w:after="0"/>
              <w:rPr>
                <w:rFonts w:eastAsia="Times New Roman" w:cstheme="minorHAnsi"/>
                <w:color w:val="000000"/>
                <w:sz w:val="20"/>
                <w:szCs w:val="20"/>
                <w:lang w:eastAsia="es-MX"/>
              </w:rPr>
            </w:pPr>
            <w:r w:rsidRPr="00324399">
              <w:rPr>
                <w:rFonts w:eastAsia="Times New Roman" w:cstheme="minorHAnsi"/>
                <w:color w:val="000000"/>
                <w:sz w:val="20"/>
                <w:szCs w:val="20"/>
                <w:lang w:eastAsia="es-MX"/>
              </w:rPr>
              <w:t>DGPyP “A” de la SHCP</w:t>
            </w:r>
          </w:p>
        </w:tc>
      </w:tr>
      <w:tr w:rsidR="007C3D85" w:rsidRPr="00074BB0" w14:paraId="7BD1A2AB" w14:textId="77777777" w:rsidTr="006A72DC">
        <w:trPr>
          <w:trHeight w:val="420"/>
        </w:trPr>
        <w:tc>
          <w:tcPr>
            <w:tcW w:w="202" w:type="pct"/>
            <w:vMerge/>
            <w:tcBorders>
              <w:left w:val="single" w:sz="4" w:space="0" w:color="auto"/>
              <w:right w:val="single" w:sz="4" w:space="0" w:color="auto"/>
            </w:tcBorders>
            <w:shd w:val="clear" w:color="auto" w:fill="9CC2E5"/>
          </w:tcPr>
          <w:p w14:paraId="7B2C11B5" w14:textId="77777777" w:rsidR="007C3D85" w:rsidRPr="00324399" w:rsidRDefault="007C3D85" w:rsidP="007C3D85">
            <w:pPr>
              <w:spacing w:before="0" w:after="0"/>
              <w:rPr>
                <w:rFonts w:eastAsia="Times New Roman" w:cstheme="minorHAnsi"/>
                <w:sz w:val="20"/>
                <w:szCs w:val="20"/>
                <w:lang w:eastAsia="es-MX"/>
              </w:rPr>
            </w:pPr>
          </w:p>
        </w:tc>
        <w:tc>
          <w:tcPr>
            <w:tcW w:w="715" w:type="pct"/>
            <w:tcBorders>
              <w:top w:val="single" w:sz="4" w:space="0" w:color="auto"/>
              <w:left w:val="single" w:sz="4" w:space="0" w:color="auto"/>
              <w:bottom w:val="single" w:sz="4" w:space="0" w:color="auto"/>
              <w:right w:val="single" w:sz="4" w:space="0" w:color="auto"/>
            </w:tcBorders>
          </w:tcPr>
          <w:p w14:paraId="64B05413" w14:textId="77777777" w:rsidR="007C3D85" w:rsidRPr="00324399" w:rsidRDefault="007C3D85" w:rsidP="007C3D85">
            <w:pPr>
              <w:spacing w:before="0" w:after="0"/>
              <w:rPr>
                <w:rFonts w:eastAsia="Times New Roman" w:cstheme="minorHAnsi"/>
                <w:color w:val="000000"/>
                <w:sz w:val="20"/>
                <w:szCs w:val="20"/>
                <w:lang w:eastAsia="es-MX"/>
              </w:rPr>
            </w:pPr>
            <w:r w:rsidRPr="00324399">
              <w:rPr>
                <w:rFonts w:eastAsia="Times New Roman" w:cstheme="minorHAnsi"/>
                <w:color w:val="000000"/>
                <w:sz w:val="20"/>
                <w:szCs w:val="20"/>
                <w:lang w:eastAsia="es-MX"/>
              </w:rPr>
              <w:t>DGPyP “A” de la SHCP</w:t>
            </w:r>
          </w:p>
        </w:tc>
        <w:tc>
          <w:tcPr>
            <w:tcW w:w="918" w:type="pct"/>
            <w:tcBorders>
              <w:top w:val="single" w:sz="4" w:space="0" w:color="auto"/>
              <w:left w:val="single" w:sz="4" w:space="0" w:color="auto"/>
              <w:bottom w:val="single" w:sz="4" w:space="0" w:color="auto"/>
              <w:right w:val="single" w:sz="4" w:space="0" w:color="auto"/>
            </w:tcBorders>
          </w:tcPr>
          <w:p w14:paraId="5B96388A" w14:textId="77777777" w:rsidR="007C3D85" w:rsidRPr="00324399" w:rsidRDefault="007C3D85" w:rsidP="007C3D85">
            <w:pPr>
              <w:spacing w:before="0" w:after="0"/>
              <w:jc w:val="left"/>
              <w:rPr>
                <w:rFonts w:eastAsia="Times New Roman" w:cstheme="minorHAnsi"/>
                <w:color w:val="000000"/>
                <w:sz w:val="20"/>
                <w:szCs w:val="20"/>
                <w:lang w:eastAsia="es-MX"/>
              </w:rPr>
            </w:pPr>
            <w:r w:rsidRPr="00324399">
              <w:rPr>
                <w:rFonts w:eastAsia="Times New Roman" w:cstheme="minorHAnsi"/>
                <w:color w:val="000000"/>
                <w:sz w:val="20"/>
                <w:szCs w:val="20"/>
                <w:lang w:eastAsia="es-MX"/>
              </w:rPr>
              <w:t>Observaciones a los informes trimestrales del SRFT.</w:t>
            </w:r>
          </w:p>
        </w:tc>
        <w:tc>
          <w:tcPr>
            <w:tcW w:w="1327" w:type="pct"/>
            <w:tcBorders>
              <w:top w:val="single" w:sz="4" w:space="0" w:color="auto"/>
              <w:left w:val="single" w:sz="4" w:space="0" w:color="auto"/>
              <w:bottom w:val="single" w:sz="4" w:space="0" w:color="auto"/>
              <w:right w:val="single" w:sz="4" w:space="0" w:color="auto"/>
            </w:tcBorders>
          </w:tcPr>
          <w:p w14:paraId="2D03E598" w14:textId="77777777" w:rsidR="007C3D85" w:rsidRPr="00324399" w:rsidRDefault="007C3D85" w:rsidP="007C3D85">
            <w:pPr>
              <w:spacing w:before="0" w:after="0"/>
              <w:rPr>
                <w:rFonts w:eastAsia="Times New Roman" w:cstheme="minorHAnsi"/>
                <w:color w:val="000000"/>
                <w:sz w:val="20"/>
                <w:szCs w:val="20"/>
                <w:lang w:eastAsia="es-MX"/>
              </w:rPr>
            </w:pPr>
            <w:r w:rsidRPr="00324399">
              <w:rPr>
                <w:rFonts w:eastAsia="Times New Roman" w:cstheme="minorHAnsi"/>
                <w:color w:val="000000"/>
                <w:sz w:val="20"/>
                <w:szCs w:val="20"/>
                <w:lang w:eastAsia="es-MX"/>
              </w:rPr>
              <w:t>La DGPyP “A” de la SHCP emite observaciones a los informes del SRFT</w:t>
            </w:r>
          </w:p>
        </w:tc>
        <w:tc>
          <w:tcPr>
            <w:tcW w:w="969" w:type="pct"/>
            <w:tcBorders>
              <w:top w:val="single" w:sz="4" w:space="0" w:color="auto"/>
              <w:left w:val="single" w:sz="4" w:space="0" w:color="auto"/>
              <w:bottom w:val="single" w:sz="4" w:space="0" w:color="auto"/>
              <w:right w:val="single" w:sz="4" w:space="0" w:color="auto"/>
            </w:tcBorders>
          </w:tcPr>
          <w:p w14:paraId="098BBB6F" w14:textId="77777777" w:rsidR="007C3D85" w:rsidRPr="00324399" w:rsidRDefault="007C3D85" w:rsidP="007C3D85">
            <w:pPr>
              <w:spacing w:before="0" w:after="0"/>
              <w:rPr>
                <w:rFonts w:eastAsia="Times New Roman" w:cstheme="minorHAnsi"/>
                <w:color w:val="000000"/>
                <w:sz w:val="20"/>
                <w:szCs w:val="20"/>
                <w:lang w:eastAsia="es-MX"/>
              </w:rPr>
            </w:pPr>
            <w:r w:rsidRPr="00324399">
              <w:rPr>
                <w:rFonts w:eastAsia="Times New Roman" w:cstheme="minorHAnsi"/>
                <w:color w:val="000000"/>
                <w:sz w:val="20"/>
                <w:szCs w:val="20"/>
                <w:lang w:eastAsia="es-MX"/>
              </w:rPr>
              <w:t>Observaciones o aceptación de los reportes trimestrales</w:t>
            </w:r>
          </w:p>
        </w:tc>
        <w:tc>
          <w:tcPr>
            <w:tcW w:w="868" w:type="pct"/>
            <w:tcBorders>
              <w:top w:val="single" w:sz="4" w:space="0" w:color="auto"/>
              <w:left w:val="single" w:sz="4" w:space="0" w:color="auto"/>
              <w:bottom w:val="single" w:sz="4" w:space="0" w:color="auto"/>
              <w:right w:val="single" w:sz="4" w:space="0" w:color="auto"/>
            </w:tcBorders>
          </w:tcPr>
          <w:p w14:paraId="50A2422D" w14:textId="77777777" w:rsidR="007C3D85" w:rsidRPr="00324399" w:rsidRDefault="007C3D85" w:rsidP="007C3D85">
            <w:pPr>
              <w:spacing w:before="0" w:after="0"/>
              <w:rPr>
                <w:rFonts w:eastAsia="Times New Roman" w:cstheme="minorHAnsi"/>
                <w:color w:val="000000"/>
                <w:sz w:val="20"/>
                <w:szCs w:val="20"/>
                <w:lang w:eastAsia="es-MX"/>
              </w:rPr>
            </w:pPr>
            <w:r w:rsidRPr="00324399">
              <w:rPr>
                <w:rFonts w:eastAsia="Times New Roman" w:cstheme="minorHAnsi"/>
                <w:color w:val="000000"/>
                <w:sz w:val="20"/>
                <w:szCs w:val="20"/>
                <w:lang w:eastAsia="es-MX"/>
              </w:rPr>
              <w:t>SFP</w:t>
            </w:r>
          </w:p>
        </w:tc>
      </w:tr>
      <w:tr w:rsidR="007C3D85" w:rsidRPr="00074BB0" w14:paraId="08831C3E" w14:textId="77777777" w:rsidTr="006A72DC">
        <w:trPr>
          <w:trHeight w:val="420"/>
        </w:trPr>
        <w:tc>
          <w:tcPr>
            <w:tcW w:w="202" w:type="pct"/>
            <w:vMerge/>
            <w:tcBorders>
              <w:left w:val="single" w:sz="4" w:space="0" w:color="auto"/>
              <w:right w:val="single" w:sz="4" w:space="0" w:color="auto"/>
            </w:tcBorders>
            <w:shd w:val="clear" w:color="auto" w:fill="9CC2E5"/>
          </w:tcPr>
          <w:p w14:paraId="345A70A9" w14:textId="77777777" w:rsidR="007C3D85" w:rsidRPr="00324399" w:rsidRDefault="007C3D85" w:rsidP="007C3D85">
            <w:pPr>
              <w:spacing w:before="0" w:after="0"/>
              <w:rPr>
                <w:rFonts w:eastAsia="Times New Roman" w:cstheme="minorHAnsi"/>
                <w:sz w:val="20"/>
                <w:szCs w:val="20"/>
                <w:lang w:eastAsia="es-MX"/>
              </w:rPr>
            </w:pPr>
          </w:p>
        </w:tc>
        <w:tc>
          <w:tcPr>
            <w:tcW w:w="715" w:type="pct"/>
            <w:tcBorders>
              <w:top w:val="single" w:sz="4" w:space="0" w:color="auto"/>
              <w:left w:val="single" w:sz="4" w:space="0" w:color="auto"/>
              <w:right w:val="single" w:sz="4" w:space="0" w:color="auto"/>
            </w:tcBorders>
          </w:tcPr>
          <w:p w14:paraId="0CA0C4A9" w14:textId="77777777" w:rsidR="007C3D85" w:rsidRPr="00324399" w:rsidRDefault="007C3D85" w:rsidP="007C3D85">
            <w:pPr>
              <w:spacing w:before="0" w:after="0"/>
              <w:rPr>
                <w:rFonts w:eastAsia="Times New Roman" w:cstheme="minorHAnsi"/>
                <w:color w:val="000000"/>
                <w:sz w:val="20"/>
                <w:szCs w:val="20"/>
                <w:lang w:eastAsia="es-MX"/>
              </w:rPr>
            </w:pPr>
            <w:r w:rsidRPr="00324399">
              <w:rPr>
                <w:rFonts w:eastAsia="Times New Roman" w:cstheme="minorHAnsi"/>
                <w:color w:val="000000"/>
                <w:sz w:val="20"/>
                <w:szCs w:val="20"/>
                <w:lang w:eastAsia="es-MX"/>
              </w:rPr>
              <w:t>SFP</w:t>
            </w:r>
          </w:p>
        </w:tc>
        <w:tc>
          <w:tcPr>
            <w:tcW w:w="918" w:type="pct"/>
            <w:tcBorders>
              <w:top w:val="single" w:sz="4" w:space="0" w:color="auto"/>
              <w:left w:val="single" w:sz="4" w:space="0" w:color="auto"/>
              <w:bottom w:val="single" w:sz="4" w:space="0" w:color="auto"/>
              <w:right w:val="single" w:sz="4" w:space="0" w:color="auto"/>
            </w:tcBorders>
          </w:tcPr>
          <w:p w14:paraId="0EA542E4" w14:textId="77777777" w:rsidR="007C3D85" w:rsidRPr="00324399" w:rsidRDefault="007C3D85" w:rsidP="007C3D85">
            <w:pPr>
              <w:spacing w:before="0" w:after="0"/>
              <w:jc w:val="left"/>
              <w:rPr>
                <w:rFonts w:eastAsia="Times New Roman" w:cstheme="minorHAnsi"/>
                <w:color w:val="000000"/>
                <w:sz w:val="20"/>
                <w:szCs w:val="20"/>
                <w:lang w:eastAsia="es-MX"/>
              </w:rPr>
            </w:pPr>
            <w:r w:rsidRPr="00324399">
              <w:rPr>
                <w:rFonts w:eastAsia="Times New Roman" w:cstheme="minorHAnsi"/>
                <w:color w:val="000000"/>
                <w:sz w:val="20"/>
                <w:szCs w:val="20"/>
                <w:lang w:eastAsia="es-MX"/>
              </w:rPr>
              <w:t>Solventar observaciones</w:t>
            </w:r>
          </w:p>
        </w:tc>
        <w:tc>
          <w:tcPr>
            <w:tcW w:w="1327" w:type="pct"/>
            <w:tcBorders>
              <w:top w:val="single" w:sz="4" w:space="0" w:color="auto"/>
              <w:left w:val="single" w:sz="4" w:space="0" w:color="auto"/>
              <w:bottom w:val="single" w:sz="4" w:space="0" w:color="auto"/>
              <w:right w:val="single" w:sz="4" w:space="0" w:color="auto"/>
            </w:tcBorders>
          </w:tcPr>
          <w:p w14:paraId="7503E0D8" w14:textId="77777777" w:rsidR="007C3D85" w:rsidRPr="00324399" w:rsidRDefault="007C3D85" w:rsidP="007C3D85">
            <w:pPr>
              <w:spacing w:before="0" w:after="0"/>
              <w:rPr>
                <w:rFonts w:eastAsia="Times New Roman" w:cstheme="minorHAnsi"/>
                <w:color w:val="000000"/>
                <w:sz w:val="20"/>
                <w:szCs w:val="20"/>
                <w:lang w:eastAsia="es-MX"/>
              </w:rPr>
            </w:pPr>
            <w:r w:rsidRPr="00324399">
              <w:rPr>
                <w:rFonts w:eastAsia="Times New Roman" w:cstheme="minorHAnsi"/>
                <w:color w:val="000000"/>
                <w:sz w:val="20"/>
                <w:szCs w:val="20"/>
                <w:lang w:eastAsia="es-MX"/>
              </w:rPr>
              <w:t>En caso de haberlas, la SFP solventa las observaciones realizadas por la DGPyP “A” de la SHCP a los informes trimestrales del SRFT.</w:t>
            </w:r>
          </w:p>
        </w:tc>
        <w:tc>
          <w:tcPr>
            <w:tcW w:w="969" w:type="pct"/>
            <w:tcBorders>
              <w:top w:val="single" w:sz="4" w:space="0" w:color="auto"/>
              <w:left w:val="single" w:sz="4" w:space="0" w:color="auto"/>
              <w:bottom w:val="single" w:sz="4" w:space="0" w:color="auto"/>
              <w:right w:val="single" w:sz="4" w:space="0" w:color="auto"/>
            </w:tcBorders>
          </w:tcPr>
          <w:p w14:paraId="30D5AB44" w14:textId="77777777" w:rsidR="007C3D85" w:rsidRPr="00324399" w:rsidRDefault="007C3D85" w:rsidP="007C3D85">
            <w:pPr>
              <w:spacing w:before="0" w:after="0"/>
              <w:rPr>
                <w:rFonts w:eastAsia="Times New Roman" w:cstheme="minorHAnsi"/>
                <w:color w:val="000000"/>
                <w:sz w:val="20"/>
                <w:szCs w:val="20"/>
                <w:lang w:eastAsia="es-MX"/>
              </w:rPr>
            </w:pPr>
            <w:r w:rsidRPr="00324399">
              <w:rPr>
                <w:rFonts w:eastAsia="Times New Roman" w:cstheme="minorHAnsi"/>
                <w:color w:val="000000"/>
                <w:sz w:val="20"/>
                <w:szCs w:val="20"/>
                <w:lang w:eastAsia="es-MX"/>
              </w:rPr>
              <w:t>Cierre del SRFT.</w:t>
            </w:r>
          </w:p>
        </w:tc>
        <w:tc>
          <w:tcPr>
            <w:tcW w:w="868" w:type="pct"/>
            <w:tcBorders>
              <w:top w:val="single" w:sz="4" w:space="0" w:color="auto"/>
              <w:left w:val="single" w:sz="4" w:space="0" w:color="auto"/>
              <w:bottom w:val="single" w:sz="4" w:space="0" w:color="auto"/>
              <w:right w:val="single" w:sz="4" w:space="0" w:color="auto"/>
            </w:tcBorders>
          </w:tcPr>
          <w:p w14:paraId="10181FA8" w14:textId="77777777" w:rsidR="007C3D85" w:rsidRPr="00324399" w:rsidRDefault="007C3D85" w:rsidP="007C3D85">
            <w:pPr>
              <w:spacing w:before="0" w:after="0"/>
              <w:rPr>
                <w:rFonts w:eastAsia="Times New Roman" w:cstheme="minorHAnsi"/>
                <w:color w:val="000000"/>
                <w:sz w:val="20"/>
                <w:szCs w:val="20"/>
                <w:lang w:eastAsia="es-MX"/>
              </w:rPr>
            </w:pPr>
            <w:r w:rsidRPr="00324399">
              <w:rPr>
                <w:rFonts w:eastAsia="Times New Roman" w:cstheme="minorHAnsi"/>
                <w:color w:val="000000"/>
                <w:sz w:val="20"/>
                <w:szCs w:val="20"/>
                <w:lang w:eastAsia="es-MX"/>
              </w:rPr>
              <w:t>SHCP.</w:t>
            </w:r>
          </w:p>
        </w:tc>
      </w:tr>
      <w:tr w:rsidR="007C3D85" w:rsidRPr="00074BB0" w14:paraId="26B6AF88" w14:textId="77777777" w:rsidTr="006A72DC">
        <w:trPr>
          <w:trHeight w:val="420"/>
        </w:trPr>
        <w:tc>
          <w:tcPr>
            <w:tcW w:w="202" w:type="pct"/>
            <w:vMerge/>
            <w:tcBorders>
              <w:left w:val="single" w:sz="4" w:space="0" w:color="auto"/>
              <w:right w:val="single" w:sz="4" w:space="0" w:color="auto"/>
            </w:tcBorders>
            <w:shd w:val="clear" w:color="auto" w:fill="9CC2E5"/>
          </w:tcPr>
          <w:p w14:paraId="28DF3072" w14:textId="77777777" w:rsidR="007C3D85" w:rsidRPr="00324399" w:rsidRDefault="007C3D85" w:rsidP="007C3D85">
            <w:pPr>
              <w:spacing w:before="0" w:after="0"/>
              <w:rPr>
                <w:rFonts w:eastAsia="Times New Roman" w:cstheme="minorHAnsi"/>
                <w:sz w:val="20"/>
                <w:szCs w:val="20"/>
                <w:lang w:eastAsia="es-MX"/>
              </w:rPr>
            </w:pPr>
          </w:p>
        </w:tc>
        <w:tc>
          <w:tcPr>
            <w:tcW w:w="715" w:type="pct"/>
            <w:tcBorders>
              <w:top w:val="single" w:sz="4" w:space="0" w:color="auto"/>
              <w:left w:val="single" w:sz="4" w:space="0" w:color="auto"/>
              <w:bottom w:val="single" w:sz="4" w:space="0" w:color="auto"/>
              <w:right w:val="single" w:sz="4" w:space="0" w:color="auto"/>
            </w:tcBorders>
          </w:tcPr>
          <w:p w14:paraId="1552488E" w14:textId="77777777" w:rsidR="007C3D85" w:rsidRPr="00324399" w:rsidRDefault="007C3D85" w:rsidP="007C3D85">
            <w:pPr>
              <w:spacing w:before="0" w:after="0"/>
              <w:jc w:val="left"/>
              <w:rPr>
                <w:rFonts w:eastAsia="Times New Roman" w:cstheme="minorHAnsi"/>
                <w:color w:val="000000"/>
                <w:sz w:val="20"/>
                <w:szCs w:val="20"/>
                <w:lang w:eastAsia="es-MX"/>
              </w:rPr>
            </w:pPr>
            <w:r w:rsidRPr="00324399">
              <w:rPr>
                <w:rFonts w:eastAsia="Times New Roman" w:cstheme="minorHAnsi"/>
                <w:color w:val="000000"/>
                <w:sz w:val="20"/>
                <w:szCs w:val="20"/>
                <w:lang w:eastAsia="es-MX"/>
              </w:rPr>
              <w:t>SHCP</w:t>
            </w:r>
          </w:p>
        </w:tc>
        <w:tc>
          <w:tcPr>
            <w:tcW w:w="918" w:type="pct"/>
            <w:tcBorders>
              <w:top w:val="single" w:sz="4" w:space="0" w:color="auto"/>
              <w:left w:val="single" w:sz="4" w:space="0" w:color="auto"/>
              <w:bottom w:val="single" w:sz="4" w:space="0" w:color="auto"/>
              <w:right w:val="single" w:sz="4" w:space="0" w:color="auto"/>
            </w:tcBorders>
          </w:tcPr>
          <w:p w14:paraId="10B61979" w14:textId="77777777" w:rsidR="007C3D85" w:rsidRPr="00324399" w:rsidRDefault="007C3D85" w:rsidP="007C3D85">
            <w:pPr>
              <w:spacing w:before="0" w:after="0"/>
              <w:jc w:val="left"/>
              <w:rPr>
                <w:rFonts w:eastAsia="Times New Roman" w:cstheme="minorHAnsi"/>
                <w:color w:val="000000"/>
                <w:sz w:val="20"/>
                <w:szCs w:val="20"/>
                <w:lang w:eastAsia="es-MX"/>
              </w:rPr>
            </w:pPr>
            <w:r w:rsidRPr="00324399">
              <w:rPr>
                <w:rFonts w:eastAsia="Times New Roman" w:cstheme="minorHAnsi"/>
                <w:color w:val="000000"/>
                <w:sz w:val="20"/>
                <w:szCs w:val="20"/>
                <w:lang w:eastAsia="es-MX"/>
              </w:rPr>
              <w:t>Remite los reportes trimestrales al Congreso de la Unión.</w:t>
            </w:r>
          </w:p>
        </w:tc>
        <w:tc>
          <w:tcPr>
            <w:tcW w:w="1327" w:type="pct"/>
            <w:tcBorders>
              <w:top w:val="single" w:sz="4" w:space="0" w:color="auto"/>
              <w:left w:val="single" w:sz="4" w:space="0" w:color="auto"/>
              <w:bottom w:val="single" w:sz="4" w:space="0" w:color="auto"/>
              <w:right w:val="single" w:sz="4" w:space="0" w:color="auto"/>
            </w:tcBorders>
          </w:tcPr>
          <w:p w14:paraId="34FBFF0A" w14:textId="77777777" w:rsidR="007C3D85" w:rsidRPr="00324399" w:rsidRDefault="007C3D85" w:rsidP="007C3D85">
            <w:pPr>
              <w:spacing w:before="0" w:after="0"/>
              <w:rPr>
                <w:rFonts w:eastAsia="Times New Roman" w:cstheme="minorHAnsi"/>
                <w:color w:val="000000"/>
                <w:sz w:val="20"/>
                <w:szCs w:val="20"/>
                <w:lang w:eastAsia="es-MX"/>
              </w:rPr>
            </w:pPr>
            <w:r w:rsidRPr="00324399">
              <w:rPr>
                <w:rFonts w:eastAsia="Times New Roman" w:cstheme="minorHAnsi"/>
                <w:color w:val="000000"/>
                <w:sz w:val="20"/>
                <w:szCs w:val="20"/>
                <w:lang w:eastAsia="es-MX"/>
              </w:rPr>
              <w:t>Los reportes trimestrales deben remitirse al Congreso y ser publicados en la página web de la SHCP.</w:t>
            </w:r>
          </w:p>
        </w:tc>
        <w:tc>
          <w:tcPr>
            <w:tcW w:w="969" w:type="pct"/>
            <w:tcBorders>
              <w:top w:val="single" w:sz="4" w:space="0" w:color="auto"/>
              <w:left w:val="single" w:sz="4" w:space="0" w:color="auto"/>
              <w:bottom w:val="single" w:sz="4" w:space="0" w:color="auto"/>
              <w:right w:val="single" w:sz="4" w:space="0" w:color="auto"/>
            </w:tcBorders>
          </w:tcPr>
          <w:p w14:paraId="4273F26E" w14:textId="77777777" w:rsidR="007C3D85" w:rsidRPr="00324399" w:rsidRDefault="007C3D85" w:rsidP="007C3D85">
            <w:pPr>
              <w:spacing w:before="0" w:after="0"/>
              <w:rPr>
                <w:rFonts w:eastAsia="Times New Roman" w:cstheme="minorHAnsi"/>
                <w:color w:val="000000"/>
                <w:sz w:val="20"/>
                <w:szCs w:val="20"/>
                <w:lang w:eastAsia="es-MX"/>
              </w:rPr>
            </w:pPr>
            <w:r w:rsidRPr="00324399">
              <w:rPr>
                <w:rFonts w:eastAsia="Times New Roman" w:cstheme="minorHAnsi"/>
                <w:color w:val="000000"/>
                <w:sz w:val="20"/>
                <w:szCs w:val="20"/>
                <w:lang w:eastAsia="es-MX"/>
              </w:rPr>
              <w:t>Informes trimestrales consolidados.</w:t>
            </w:r>
          </w:p>
        </w:tc>
        <w:tc>
          <w:tcPr>
            <w:tcW w:w="868" w:type="pct"/>
            <w:tcBorders>
              <w:top w:val="single" w:sz="4" w:space="0" w:color="auto"/>
              <w:left w:val="single" w:sz="4" w:space="0" w:color="auto"/>
              <w:bottom w:val="single" w:sz="4" w:space="0" w:color="auto"/>
              <w:right w:val="single" w:sz="4" w:space="0" w:color="auto"/>
            </w:tcBorders>
          </w:tcPr>
          <w:p w14:paraId="752850F5" w14:textId="77777777" w:rsidR="007C3D85" w:rsidRPr="00324399" w:rsidRDefault="007C3D85" w:rsidP="007C3D85">
            <w:pPr>
              <w:spacing w:before="0" w:after="0"/>
              <w:rPr>
                <w:rFonts w:eastAsia="Times New Roman" w:cstheme="minorHAnsi"/>
                <w:color w:val="000000"/>
                <w:sz w:val="20"/>
                <w:szCs w:val="20"/>
                <w:lang w:eastAsia="es-MX"/>
              </w:rPr>
            </w:pPr>
            <w:r w:rsidRPr="00324399">
              <w:rPr>
                <w:rFonts w:eastAsia="Times New Roman" w:cstheme="minorHAnsi"/>
                <w:color w:val="000000"/>
                <w:sz w:val="20"/>
                <w:szCs w:val="20"/>
                <w:lang w:eastAsia="es-MX"/>
              </w:rPr>
              <w:t>Congreso de la Unión y población en general.</w:t>
            </w:r>
          </w:p>
        </w:tc>
      </w:tr>
    </w:tbl>
    <w:p w14:paraId="4978B6DE" w14:textId="77777777" w:rsidR="00EB1844" w:rsidRDefault="00EB1844" w:rsidP="00A3652E">
      <w:pPr>
        <w:pStyle w:val="Textonotapie"/>
      </w:pPr>
      <w:r w:rsidRPr="00451BBA">
        <w:rPr>
          <w:rFonts w:cs="Arial"/>
          <w:bCs/>
        </w:rPr>
        <w:t xml:space="preserve">Fuente: </w:t>
      </w:r>
      <w:r w:rsidRPr="00451BBA">
        <w:t>Elaboración propia con base en información</w:t>
      </w:r>
      <w:r>
        <w:t xml:space="preserve"> proporcionada por SHCP e información </w:t>
      </w:r>
      <w:r w:rsidRPr="00451BBA">
        <w:t>recopilada mediante la entrevista realizada a funcionarios estatales en el marco de la evaluación</w:t>
      </w:r>
      <w:r>
        <w:t>.</w:t>
      </w:r>
    </w:p>
    <w:p w14:paraId="370C40E9" w14:textId="77777777" w:rsidR="00EB1844" w:rsidRDefault="00EB1844" w:rsidP="00A3652E">
      <w:pPr>
        <w:pStyle w:val="Textonotapie"/>
      </w:pPr>
      <w:r>
        <w:t xml:space="preserve">Para la elaboración de los diagramas de alto nivel y diagrama de flujo, se utilizó la notación establecida en el documento “Guía para la Optimización, Estandarización y Mejora Continua de Procesos” publicada por la SFP en la dirección electrónica: </w:t>
      </w:r>
    </w:p>
    <w:p w14:paraId="6C22F173" w14:textId="77777777" w:rsidR="00EB1844" w:rsidRDefault="00552215" w:rsidP="00A3652E">
      <w:pPr>
        <w:pStyle w:val="Textonotapie"/>
      </w:pPr>
      <w:hyperlink r:id="rId54" w:history="1">
        <w:r w:rsidR="00EB1844" w:rsidRPr="005C4253">
          <w:rPr>
            <w:rFonts w:cstheme="minorHAnsi"/>
            <w:color w:val="2E74B5" w:themeColor="accent1" w:themeShade="BF"/>
            <w:bdr w:val="none" w:sz="0" w:space="0" w:color="auto" w:frame="1"/>
            <w:shd w:val="clear" w:color="auto" w:fill="FFFFFF"/>
          </w:rPr>
          <w:t>https://www.gob.mx/cms/uploads/attachment/file/56904/Gu_a_para_la_Optimizaci_n__Estandarizaci_n_y_Mejora_Continua_de_Procesos.pdf</w:t>
        </w:r>
      </w:hyperlink>
    </w:p>
    <w:p w14:paraId="1395BB92" w14:textId="77777777" w:rsidR="00EB1844" w:rsidRDefault="00EB1844" w:rsidP="00EB1844">
      <w:pPr>
        <w:spacing w:before="0" w:after="160" w:line="259" w:lineRule="auto"/>
        <w:jc w:val="left"/>
      </w:pPr>
      <w:r>
        <w:br w:type="page"/>
      </w:r>
    </w:p>
    <w:p w14:paraId="7750BBAF" w14:textId="77777777" w:rsidR="001C0117" w:rsidRPr="00201637" w:rsidRDefault="001C0117" w:rsidP="001C0117">
      <w:pPr>
        <w:jc w:val="center"/>
        <w:rPr>
          <w:b/>
          <w:bCs/>
        </w:rPr>
      </w:pPr>
      <w:r>
        <w:rPr>
          <w:b/>
          <w:bCs/>
        </w:rPr>
        <w:lastRenderedPageBreak/>
        <w:t>b</w:t>
      </w:r>
      <w:r w:rsidRPr="00201637">
        <w:rPr>
          <w:b/>
          <w:bCs/>
        </w:rPr>
        <w:t>)</w:t>
      </w:r>
      <w:r>
        <w:rPr>
          <w:b/>
          <w:bCs/>
        </w:rPr>
        <w:t xml:space="preserve"> </w:t>
      </w:r>
      <w:r w:rsidRPr="00201637">
        <w:rPr>
          <w:b/>
          <w:bCs/>
        </w:rPr>
        <w:t>Diagrama de Flujo del Fondo</w:t>
      </w:r>
    </w:p>
    <w:p w14:paraId="0AD99E86" w14:textId="7E9B4FA3" w:rsidR="00EB1844" w:rsidRDefault="00EB1844" w:rsidP="00AF16F5">
      <w:pPr>
        <w:spacing w:after="360"/>
        <w:jc w:val="center"/>
        <w:rPr>
          <w:b/>
          <w:bCs/>
        </w:rPr>
      </w:pPr>
      <w:r w:rsidRPr="00452379">
        <w:rPr>
          <w:b/>
          <w:bCs/>
        </w:rPr>
        <w:t>Rubro</w:t>
      </w:r>
      <w:r w:rsidR="003A212B">
        <w:rPr>
          <w:b/>
          <w:bCs/>
        </w:rPr>
        <w:t xml:space="preserve"> I.</w:t>
      </w:r>
      <w:r w:rsidR="0095088E">
        <w:rPr>
          <w:b/>
          <w:bCs/>
        </w:rPr>
        <w:t xml:space="preserve"> Inversión en infraestructura física</w:t>
      </w:r>
    </w:p>
    <w:p w14:paraId="01D3535D" w14:textId="06B609F6" w:rsidR="00CF441E" w:rsidRDefault="00CF441E" w:rsidP="005A471A">
      <w:pPr>
        <w:spacing w:after="0"/>
        <w:jc w:val="center"/>
        <w:rPr>
          <w:b/>
          <w:bCs/>
        </w:rPr>
      </w:pPr>
      <w:r w:rsidRPr="00CF441E">
        <w:rPr>
          <w:noProof/>
          <w:lang w:eastAsia="es-MX"/>
        </w:rPr>
        <w:drawing>
          <wp:inline distT="0" distB="0" distL="0" distR="0" wp14:anchorId="5A868A5A" wp14:editId="3F04AA56">
            <wp:extent cx="8618220" cy="4544060"/>
            <wp:effectExtent l="0" t="0" r="0" b="8890"/>
            <wp:docPr id="26" name="Imagen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8618220" cy="4544060"/>
                    </a:xfrm>
                    <a:prstGeom prst="rect">
                      <a:avLst/>
                    </a:prstGeom>
                    <a:noFill/>
                    <a:ln>
                      <a:noFill/>
                    </a:ln>
                  </pic:spPr>
                </pic:pic>
              </a:graphicData>
            </a:graphic>
          </wp:inline>
        </w:drawing>
      </w:r>
    </w:p>
    <w:p w14:paraId="22197FF2" w14:textId="77777777" w:rsidR="00282737" w:rsidRDefault="00282737" w:rsidP="00494427">
      <w:pPr>
        <w:spacing w:after="360"/>
        <w:jc w:val="center"/>
        <w:rPr>
          <w:b/>
          <w:bCs/>
        </w:rPr>
      </w:pPr>
    </w:p>
    <w:p w14:paraId="2FC4D5BC" w14:textId="77777777" w:rsidR="004E38DD" w:rsidRDefault="004E38DD" w:rsidP="00494427">
      <w:pPr>
        <w:spacing w:after="360"/>
        <w:jc w:val="center"/>
        <w:rPr>
          <w:b/>
          <w:bCs/>
        </w:rPr>
      </w:pPr>
    </w:p>
    <w:p w14:paraId="2D486A0F" w14:textId="77777777" w:rsidR="004E38DD" w:rsidRDefault="004E38DD" w:rsidP="00494427">
      <w:pPr>
        <w:spacing w:after="360"/>
        <w:jc w:val="center"/>
        <w:rPr>
          <w:b/>
          <w:bCs/>
        </w:rPr>
      </w:pPr>
    </w:p>
    <w:p w14:paraId="114564E8" w14:textId="76291BB9" w:rsidR="00EB1844" w:rsidRDefault="00EB1844" w:rsidP="00494427">
      <w:pPr>
        <w:spacing w:after="360"/>
        <w:jc w:val="center"/>
        <w:rPr>
          <w:b/>
          <w:bCs/>
        </w:rPr>
      </w:pPr>
      <w:r w:rsidRPr="00452379">
        <w:rPr>
          <w:b/>
          <w:bCs/>
        </w:rPr>
        <w:lastRenderedPageBreak/>
        <w:t>Rubro</w:t>
      </w:r>
      <w:r>
        <w:rPr>
          <w:b/>
          <w:bCs/>
        </w:rPr>
        <w:t xml:space="preserve"> I</w:t>
      </w:r>
      <w:r w:rsidR="000F1A24">
        <w:rPr>
          <w:b/>
          <w:bCs/>
        </w:rPr>
        <w:t>I</w:t>
      </w:r>
      <w:r>
        <w:rPr>
          <w:b/>
          <w:bCs/>
        </w:rPr>
        <w:t>. Saneamiento financiero</w:t>
      </w:r>
    </w:p>
    <w:p w14:paraId="2E3CDD84" w14:textId="1B9002AA" w:rsidR="00EB1844" w:rsidRDefault="00CF441E" w:rsidP="0085352E">
      <w:pPr>
        <w:spacing w:before="0" w:after="160" w:line="259" w:lineRule="auto"/>
        <w:jc w:val="center"/>
      </w:pPr>
      <w:r w:rsidRPr="00CF441E">
        <w:rPr>
          <w:noProof/>
          <w:lang w:eastAsia="es-MX"/>
        </w:rPr>
        <w:drawing>
          <wp:inline distT="0" distB="0" distL="0" distR="0" wp14:anchorId="0ADCDEE5" wp14:editId="237FD881">
            <wp:extent cx="8718433" cy="4316818"/>
            <wp:effectExtent l="0" t="0" r="6985" b="7620"/>
            <wp:docPr id="27" name="Imagen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8738841" cy="4326923"/>
                    </a:xfrm>
                    <a:prstGeom prst="rect">
                      <a:avLst/>
                    </a:prstGeom>
                    <a:noFill/>
                    <a:ln>
                      <a:noFill/>
                    </a:ln>
                  </pic:spPr>
                </pic:pic>
              </a:graphicData>
            </a:graphic>
          </wp:inline>
        </w:drawing>
      </w:r>
    </w:p>
    <w:p w14:paraId="2C4C07F1" w14:textId="77777777" w:rsidR="000650FF" w:rsidRDefault="000650FF" w:rsidP="004E38DD">
      <w:pPr>
        <w:pStyle w:val="Textonotapie"/>
        <w:rPr>
          <w:b/>
          <w:sz w:val="22"/>
          <w:szCs w:val="22"/>
        </w:rPr>
      </w:pPr>
      <w:bookmarkStart w:id="132" w:name="_Toc54262976"/>
      <w:bookmarkStart w:id="133" w:name="_Toc55497588"/>
      <w:bookmarkStart w:id="134" w:name="_Toc55542099"/>
      <w:bookmarkStart w:id="135" w:name="_Toc56423509"/>
      <w:bookmarkStart w:id="136" w:name="_Toc56423720"/>
    </w:p>
    <w:p w14:paraId="7BD96A7C" w14:textId="77777777" w:rsidR="000650FF" w:rsidRDefault="000650FF" w:rsidP="004E38DD">
      <w:pPr>
        <w:pStyle w:val="Textonotapie"/>
        <w:rPr>
          <w:b/>
          <w:sz w:val="22"/>
          <w:szCs w:val="22"/>
        </w:rPr>
      </w:pPr>
    </w:p>
    <w:p w14:paraId="5ED71141" w14:textId="6913AE4B" w:rsidR="000650FF" w:rsidRDefault="000650FF" w:rsidP="004E38DD">
      <w:pPr>
        <w:pStyle w:val="Textonotapie"/>
        <w:rPr>
          <w:b/>
          <w:sz w:val="22"/>
          <w:szCs w:val="22"/>
        </w:rPr>
      </w:pPr>
      <w:r>
        <w:rPr>
          <w:noProof/>
          <w:lang w:eastAsia="es-MX"/>
        </w:rPr>
        <w:lastRenderedPageBreak/>
        <w:drawing>
          <wp:inline distT="0" distB="0" distL="0" distR="0" wp14:anchorId="33126D75" wp14:editId="64FDDECB">
            <wp:extent cx="4699591" cy="1706177"/>
            <wp:effectExtent l="0" t="0" r="0" b="889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4892316" cy="1776145"/>
                    </a:xfrm>
                    <a:prstGeom prst="rect">
                      <a:avLst/>
                    </a:prstGeom>
                    <a:noFill/>
                  </pic:spPr>
                </pic:pic>
              </a:graphicData>
            </a:graphic>
          </wp:inline>
        </w:drawing>
      </w:r>
    </w:p>
    <w:p w14:paraId="3BA1D6BE" w14:textId="04C1652C" w:rsidR="000650FF" w:rsidRPr="005E1463" w:rsidRDefault="000650FF" w:rsidP="004E38DD">
      <w:pPr>
        <w:pStyle w:val="Textonotapie"/>
        <w:rPr>
          <w:sz w:val="22"/>
          <w:szCs w:val="22"/>
        </w:rPr>
      </w:pPr>
    </w:p>
    <w:tbl>
      <w:tblPr>
        <w:tblW w:w="8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9"/>
        <w:gridCol w:w="6205"/>
      </w:tblGrid>
      <w:tr w:rsidR="008F007F" w:rsidRPr="008F007F" w14:paraId="00182321" w14:textId="77777777" w:rsidTr="00AE6BEE">
        <w:trPr>
          <w:trHeight w:val="310"/>
        </w:trPr>
        <w:tc>
          <w:tcPr>
            <w:tcW w:w="1909" w:type="dxa"/>
            <w:shd w:val="clear" w:color="auto" w:fill="auto"/>
            <w:vAlign w:val="center"/>
            <w:hideMark/>
          </w:tcPr>
          <w:p w14:paraId="53D786D3" w14:textId="77777777" w:rsidR="008F007F" w:rsidRPr="008F007F" w:rsidRDefault="008F007F" w:rsidP="008F007F">
            <w:pPr>
              <w:spacing w:before="0" w:after="0"/>
              <w:jc w:val="left"/>
              <w:rPr>
                <w:rFonts w:ascii="Calibri" w:eastAsia="Times New Roman" w:hAnsi="Calibri" w:cs="Times New Roman"/>
                <w:color w:val="000000"/>
                <w:lang w:eastAsia="es-MX"/>
              </w:rPr>
            </w:pPr>
            <w:r w:rsidRPr="008F007F">
              <w:rPr>
                <w:rFonts w:ascii="Calibri" w:eastAsia="Times New Roman" w:hAnsi="Calibri" w:cs="Times New Roman"/>
                <w:color w:val="000000"/>
                <w:lang w:val="en-US" w:eastAsia="es-MX"/>
              </w:rPr>
              <w:t>CGPE</w:t>
            </w:r>
          </w:p>
        </w:tc>
        <w:tc>
          <w:tcPr>
            <w:tcW w:w="6205" w:type="dxa"/>
            <w:shd w:val="clear" w:color="auto" w:fill="auto"/>
            <w:vAlign w:val="center"/>
            <w:hideMark/>
          </w:tcPr>
          <w:p w14:paraId="0E5C2585" w14:textId="77777777" w:rsidR="008F007F" w:rsidRPr="008F007F" w:rsidRDefault="008F007F" w:rsidP="008F007F">
            <w:pPr>
              <w:spacing w:before="0" w:after="0"/>
              <w:jc w:val="left"/>
              <w:rPr>
                <w:rFonts w:ascii="Calibri" w:eastAsia="Times New Roman" w:hAnsi="Calibri" w:cs="Times New Roman"/>
                <w:color w:val="000000"/>
                <w:lang w:eastAsia="es-MX"/>
              </w:rPr>
            </w:pPr>
            <w:r w:rsidRPr="008F007F">
              <w:rPr>
                <w:rFonts w:ascii="Calibri" w:eastAsia="Times New Roman" w:hAnsi="Calibri" w:cs="Times New Roman"/>
                <w:color w:val="000000"/>
                <w:lang w:eastAsia="es-MX"/>
              </w:rPr>
              <w:t>Criterios Generales de Política Económica</w:t>
            </w:r>
          </w:p>
        </w:tc>
      </w:tr>
      <w:tr w:rsidR="008F007F" w:rsidRPr="008F007F" w14:paraId="75A18B67" w14:textId="77777777" w:rsidTr="00AE6BEE">
        <w:trPr>
          <w:trHeight w:val="310"/>
        </w:trPr>
        <w:tc>
          <w:tcPr>
            <w:tcW w:w="1909" w:type="dxa"/>
            <w:shd w:val="clear" w:color="auto" w:fill="auto"/>
            <w:vAlign w:val="center"/>
            <w:hideMark/>
          </w:tcPr>
          <w:p w14:paraId="39086B3A" w14:textId="77777777" w:rsidR="008F007F" w:rsidRPr="008F007F" w:rsidRDefault="008F007F" w:rsidP="008F007F">
            <w:pPr>
              <w:spacing w:before="0" w:after="0"/>
              <w:jc w:val="left"/>
              <w:rPr>
                <w:rFonts w:ascii="Calibri" w:eastAsia="Times New Roman" w:hAnsi="Calibri" w:cs="Times New Roman"/>
                <w:color w:val="000000"/>
                <w:lang w:eastAsia="es-MX"/>
              </w:rPr>
            </w:pPr>
            <w:r w:rsidRPr="008F007F">
              <w:rPr>
                <w:rFonts w:ascii="Calibri" w:eastAsia="Times New Roman" w:hAnsi="Calibri" w:cs="Times New Roman"/>
                <w:noProof/>
                <w:color w:val="000000"/>
                <w:lang w:eastAsia="es-MX"/>
              </w:rPr>
              <w:t>COPLADEHI</w:t>
            </w:r>
          </w:p>
        </w:tc>
        <w:tc>
          <w:tcPr>
            <w:tcW w:w="6205" w:type="dxa"/>
            <w:shd w:val="clear" w:color="auto" w:fill="auto"/>
            <w:vAlign w:val="center"/>
            <w:hideMark/>
          </w:tcPr>
          <w:p w14:paraId="1306596E" w14:textId="77777777" w:rsidR="008F007F" w:rsidRPr="008F007F" w:rsidRDefault="008F007F" w:rsidP="008F007F">
            <w:pPr>
              <w:spacing w:before="0" w:after="0"/>
              <w:jc w:val="left"/>
              <w:rPr>
                <w:rFonts w:ascii="Calibri" w:eastAsia="Times New Roman" w:hAnsi="Calibri" w:cs="Times New Roman"/>
                <w:color w:val="000000"/>
                <w:lang w:eastAsia="es-MX"/>
              </w:rPr>
            </w:pPr>
            <w:r w:rsidRPr="008F007F">
              <w:rPr>
                <w:rFonts w:ascii="Calibri" w:eastAsia="Times New Roman" w:hAnsi="Calibri" w:cstheme="minorHAnsi"/>
                <w:color w:val="000000"/>
                <w:lang w:eastAsia="es-MX"/>
              </w:rPr>
              <w:t>Comité de Planeación para el Desarrollo del Estado de Hidalgo</w:t>
            </w:r>
          </w:p>
        </w:tc>
      </w:tr>
      <w:tr w:rsidR="008F007F" w:rsidRPr="008F007F" w14:paraId="6CD85483" w14:textId="77777777" w:rsidTr="00AE6BEE">
        <w:trPr>
          <w:trHeight w:val="310"/>
        </w:trPr>
        <w:tc>
          <w:tcPr>
            <w:tcW w:w="1909" w:type="dxa"/>
            <w:shd w:val="clear" w:color="auto" w:fill="auto"/>
            <w:vAlign w:val="center"/>
            <w:hideMark/>
          </w:tcPr>
          <w:p w14:paraId="516DE255" w14:textId="77777777" w:rsidR="008F007F" w:rsidRPr="008F007F" w:rsidRDefault="008F007F" w:rsidP="008F007F">
            <w:pPr>
              <w:spacing w:before="0" w:after="0"/>
              <w:jc w:val="left"/>
              <w:rPr>
                <w:rFonts w:ascii="Calibri" w:eastAsia="Times New Roman" w:hAnsi="Calibri" w:cs="Times New Roman"/>
                <w:color w:val="000000"/>
                <w:lang w:eastAsia="es-MX"/>
              </w:rPr>
            </w:pPr>
            <w:r w:rsidRPr="008F007F">
              <w:rPr>
                <w:rFonts w:ascii="Calibri" w:eastAsia="Times New Roman" w:hAnsi="Calibri" w:cs="Times New Roman"/>
                <w:noProof/>
                <w:color w:val="000000"/>
                <w:lang w:eastAsia="es-MX"/>
              </w:rPr>
              <w:t>COPLADEM</w:t>
            </w:r>
          </w:p>
        </w:tc>
        <w:tc>
          <w:tcPr>
            <w:tcW w:w="6205" w:type="dxa"/>
            <w:shd w:val="clear" w:color="auto" w:fill="auto"/>
            <w:vAlign w:val="center"/>
            <w:hideMark/>
          </w:tcPr>
          <w:p w14:paraId="7F90B0B7" w14:textId="77777777" w:rsidR="008F007F" w:rsidRPr="008F007F" w:rsidRDefault="008F007F" w:rsidP="008F007F">
            <w:pPr>
              <w:spacing w:before="0" w:after="0"/>
              <w:jc w:val="left"/>
              <w:rPr>
                <w:rFonts w:ascii="Calibri" w:eastAsia="Times New Roman" w:hAnsi="Calibri" w:cs="Times New Roman"/>
                <w:color w:val="000000"/>
                <w:lang w:eastAsia="es-MX"/>
              </w:rPr>
            </w:pPr>
            <w:r w:rsidRPr="008F007F">
              <w:rPr>
                <w:rFonts w:ascii="Calibri" w:eastAsia="Times New Roman" w:hAnsi="Calibri" w:cstheme="minorHAnsi"/>
                <w:color w:val="000000"/>
                <w:lang w:eastAsia="es-MX"/>
              </w:rPr>
              <w:t>Comités de Planeación para el Desarrollo Municipal</w:t>
            </w:r>
          </w:p>
        </w:tc>
      </w:tr>
      <w:tr w:rsidR="008F007F" w:rsidRPr="008F007F" w14:paraId="0C1E5092" w14:textId="77777777" w:rsidTr="00AE6BEE">
        <w:trPr>
          <w:trHeight w:val="310"/>
        </w:trPr>
        <w:tc>
          <w:tcPr>
            <w:tcW w:w="1909" w:type="dxa"/>
            <w:shd w:val="clear" w:color="auto" w:fill="auto"/>
            <w:vAlign w:val="center"/>
            <w:hideMark/>
          </w:tcPr>
          <w:p w14:paraId="422F257E" w14:textId="77777777" w:rsidR="008F007F" w:rsidRPr="008F007F" w:rsidRDefault="008F007F" w:rsidP="008F007F">
            <w:pPr>
              <w:spacing w:before="0" w:after="0"/>
              <w:jc w:val="left"/>
              <w:rPr>
                <w:rFonts w:ascii="Calibri" w:eastAsia="Times New Roman" w:hAnsi="Calibri" w:cs="Times New Roman"/>
                <w:color w:val="000000"/>
                <w:lang w:eastAsia="es-MX"/>
              </w:rPr>
            </w:pPr>
            <w:r w:rsidRPr="008F007F">
              <w:rPr>
                <w:rFonts w:ascii="Calibri" w:eastAsia="Times New Roman" w:hAnsi="Calibri" w:cs="Times New Roman"/>
                <w:noProof/>
                <w:color w:val="000000"/>
                <w:lang w:eastAsia="es-MX"/>
              </w:rPr>
              <w:t>COPLADER</w:t>
            </w:r>
          </w:p>
        </w:tc>
        <w:tc>
          <w:tcPr>
            <w:tcW w:w="6205" w:type="dxa"/>
            <w:shd w:val="clear" w:color="auto" w:fill="auto"/>
            <w:vAlign w:val="center"/>
            <w:hideMark/>
          </w:tcPr>
          <w:p w14:paraId="25BE2F03" w14:textId="77777777" w:rsidR="008F007F" w:rsidRPr="008F007F" w:rsidRDefault="008F007F" w:rsidP="008F007F">
            <w:pPr>
              <w:spacing w:before="0" w:after="0"/>
              <w:jc w:val="left"/>
              <w:rPr>
                <w:rFonts w:ascii="Calibri" w:eastAsia="Times New Roman" w:hAnsi="Calibri" w:cs="Times New Roman"/>
                <w:color w:val="000000"/>
                <w:lang w:eastAsia="es-MX"/>
              </w:rPr>
            </w:pPr>
            <w:r w:rsidRPr="008F007F">
              <w:rPr>
                <w:rFonts w:ascii="Calibri" w:eastAsia="Times New Roman" w:hAnsi="Calibri" w:cstheme="minorHAnsi"/>
                <w:color w:val="000000"/>
                <w:lang w:eastAsia="es-MX"/>
              </w:rPr>
              <w:t>Comités de Planeación para el Desarrollo Regional</w:t>
            </w:r>
          </w:p>
        </w:tc>
      </w:tr>
      <w:tr w:rsidR="008F007F" w:rsidRPr="008F007F" w14:paraId="62C4D1AF" w14:textId="77777777" w:rsidTr="00AE6BEE">
        <w:trPr>
          <w:trHeight w:val="155"/>
        </w:trPr>
        <w:tc>
          <w:tcPr>
            <w:tcW w:w="1909" w:type="dxa"/>
            <w:shd w:val="clear" w:color="auto" w:fill="auto"/>
            <w:vAlign w:val="center"/>
            <w:hideMark/>
          </w:tcPr>
          <w:p w14:paraId="0205B9A6" w14:textId="77777777" w:rsidR="008F007F" w:rsidRPr="008F007F" w:rsidRDefault="008F007F" w:rsidP="008F007F">
            <w:pPr>
              <w:spacing w:before="0" w:after="0"/>
              <w:jc w:val="left"/>
              <w:rPr>
                <w:rFonts w:ascii="Calibri" w:eastAsia="Times New Roman" w:hAnsi="Calibri" w:cs="Times New Roman"/>
                <w:color w:val="000000"/>
                <w:lang w:eastAsia="es-MX"/>
              </w:rPr>
            </w:pPr>
            <w:r w:rsidRPr="008F007F">
              <w:rPr>
                <w:rFonts w:ascii="Calibri" w:eastAsia="Times New Roman" w:hAnsi="Calibri" w:cs="Times New Roman"/>
                <w:color w:val="000000"/>
                <w:lang w:val="en-US" w:eastAsia="es-MX"/>
              </w:rPr>
              <w:t>LI</w:t>
            </w:r>
          </w:p>
        </w:tc>
        <w:tc>
          <w:tcPr>
            <w:tcW w:w="6205" w:type="dxa"/>
            <w:shd w:val="clear" w:color="auto" w:fill="auto"/>
            <w:vAlign w:val="center"/>
            <w:hideMark/>
          </w:tcPr>
          <w:p w14:paraId="30AFC928" w14:textId="77777777" w:rsidR="008F007F" w:rsidRPr="008F007F" w:rsidRDefault="008F007F" w:rsidP="008F007F">
            <w:pPr>
              <w:spacing w:before="0" w:after="0"/>
              <w:jc w:val="left"/>
              <w:rPr>
                <w:rFonts w:ascii="Calibri" w:eastAsia="Times New Roman" w:hAnsi="Calibri" w:cs="Times New Roman"/>
                <w:color w:val="000000"/>
                <w:lang w:eastAsia="es-MX"/>
              </w:rPr>
            </w:pPr>
            <w:r w:rsidRPr="008F007F">
              <w:rPr>
                <w:rFonts w:ascii="Calibri" w:eastAsia="Times New Roman" w:hAnsi="Calibri" w:cs="Calibri"/>
                <w:color w:val="000000"/>
                <w:lang w:eastAsia="es-MX"/>
              </w:rPr>
              <w:t>Ley de Ingresos del Estado</w:t>
            </w:r>
          </w:p>
        </w:tc>
      </w:tr>
      <w:tr w:rsidR="008F007F" w:rsidRPr="008F007F" w14:paraId="3634E342" w14:textId="77777777" w:rsidTr="00AE6BEE">
        <w:trPr>
          <w:trHeight w:val="155"/>
        </w:trPr>
        <w:tc>
          <w:tcPr>
            <w:tcW w:w="1909" w:type="dxa"/>
            <w:shd w:val="clear" w:color="auto" w:fill="auto"/>
            <w:vAlign w:val="center"/>
            <w:hideMark/>
          </w:tcPr>
          <w:p w14:paraId="33AD025D" w14:textId="77777777" w:rsidR="008F007F" w:rsidRPr="008F007F" w:rsidRDefault="008F007F" w:rsidP="008F007F">
            <w:pPr>
              <w:spacing w:before="0" w:after="0"/>
              <w:jc w:val="left"/>
              <w:rPr>
                <w:rFonts w:ascii="Calibri" w:eastAsia="Times New Roman" w:hAnsi="Calibri" w:cs="Times New Roman"/>
                <w:color w:val="000000"/>
                <w:lang w:eastAsia="es-MX"/>
              </w:rPr>
            </w:pPr>
            <w:r w:rsidRPr="008F007F">
              <w:rPr>
                <w:rFonts w:ascii="Calibri" w:eastAsia="Times New Roman" w:hAnsi="Calibri" w:cs="Times New Roman"/>
                <w:color w:val="000000"/>
                <w:lang w:val="en-US" w:eastAsia="es-MX"/>
              </w:rPr>
              <w:t>PEE</w:t>
            </w:r>
          </w:p>
        </w:tc>
        <w:tc>
          <w:tcPr>
            <w:tcW w:w="6205" w:type="dxa"/>
            <w:shd w:val="clear" w:color="auto" w:fill="auto"/>
            <w:vAlign w:val="center"/>
            <w:hideMark/>
          </w:tcPr>
          <w:p w14:paraId="0F4070D2" w14:textId="77777777" w:rsidR="008F007F" w:rsidRPr="008F007F" w:rsidRDefault="008F007F" w:rsidP="008F007F">
            <w:pPr>
              <w:spacing w:before="0" w:after="0"/>
              <w:jc w:val="left"/>
              <w:rPr>
                <w:rFonts w:ascii="Calibri" w:eastAsia="Times New Roman" w:hAnsi="Calibri" w:cs="Times New Roman"/>
                <w:color w:val="000000"/>
                <w:lang w:eastAsia="es-MX"/>
              </w:rPr>
            </w:pPr>
            <w:r w:rsidRPr="008F007F">
              <w:rPr>
                <w:rFonts w:ascii="Calibri" w:eastAsia="Times New Roman" w:hAnsi="Calibri" w:cs="Calibri"/>
                <w:color w:val="000000"/>
                <w:lang w:eastAsia="es-MX"/>
              </w:rPr>
              <w:t>Presupuesto de Egresos del Estado</w:t>
            </w:r>
          </w:p>
        </w:tc>
      </w:tr>
      <w:tr w:rsidR="008F007F" w:rsidRPr="008F007F" w14:paraId="4D41FAB4" w14:textId="77777777" w:rsidTr="00AE6BEE">
        <w:trPr>
          <w:trHeight w:val="155"/>
        </w:trPr>
        <w:tc>
          <w:tcPr>
            <w:tcW w:w="1909" w:type="dxa"/>
            <w:shd w:val="clear" w:color="auto" w:fill="auto"/>
            <w:vAlign w:val="center"/>
            <w:hideMark/>
          </w:tcPr>
          <w:p w14:paraId="25FF32F2" w14:textId="77777777" w:rsidR="008F007F" w:rsidRPr="008F007F" w:rsidRDefault="008F007F" w:rsidP="008F007F">
            <w:pPr>
              <w:spacing w:before="0" w:after="0"/>
              <w:jc w:val="left"/>
              <w:rPr>
                <w:rFonts w:ascii="Calibri" w:eastAsia="Times New Roman" w:hAnsi="Calibri" w:cs="Times New Roman"/>
                <w:color w:val="000000"/>
                <w:lang w:eastAsia="es-MX"/>
              </w:rPr>
            </w:pPr>
            <w:r w:rsidRPr="008F007F">
              <w:rPr>
                <w:rFonts w:ascii="Calibri" w:eastAsia="Times New Roman" w:hAnsi="Calibri" w:cs="Times New Roman"/>
                <w:noProof/>
                <w:color w:val="000000"/>
                <w:lang w:eastAsia="es-MX"/>
              </w:rPr>
              <w:t>SHCP</w:t>
            </w:r>
          </w:p>
        </w:tc>
        <w:tc>
          <w:tcPr>
            <w:tcW w:w="6205" w:type="dxa"/>
            <w:shd w:val="clear" w:color="auto" w:fill="auto"/>
            <w:vAlign w:val="center"/>
            <w:hideMark/>
          </w:tcPr>
          <w:p w14:paraId="4A522AD5" w14:textId="77777777" w:rsidR="008F007F" w:rsidRPr="008F007F" w:rsidRDefault="008F007F" w:rsidP="008F007F">
            <w:pPr>
              <w:spacing w:before="0" w:after="0"/>
              <w:jc w:val="left"/>
              <w:rPr>
                <w:rFonts w:ascii="Calibri" w:eastAsia="Times New Roman" w:hAnsi="Calibri" w:cs="Times New Roman"/>
                <w:color w:val="000000"/>
                <w:lang w:eastAsia="es-MX"/>
              </w:rPr>
            </w:pPr>
            <w:r w:rsidRPr="008F007F">
              <w:rPr>
                <w:rFonts w:ascii="Calibri" w:eastAsia="Times New Roman" w:hAnsi="Calibri" w:cs="Times New Roman"/>
                <w:color w:val="000000"/>
                <w:lang w:eastAsia="es-MX"/>
              </w:rPr>
              <w:t>Secretaría de Hacienda y Crédito Público</w:t>
            </w:r>
          </w:p>
        </w:tc>
      </w:tr>
      <w:tr w:rsidR="008F007F" w:rsidRPr="008F007F" w14:paraId="5A7ACDFB" w14:textId="77777777" w:rsidTr="00AE6BEE">
        <w:trPr>
          <w:trHeight w:val="310"/>
        </w:trPr>
        <w:tc>
          <w:tcPr>
            <w:tcW w:w="1909" w:type="dxa"/>
            <w:shd w:val="clear" w:color="auto" w:fill="auto"/>
            <w:vAlign w:val="center"/>
            <w:hideMark/>
          </w:tcPr>
          <w:p w14:paraId="773BB69C" w14:textId="77777777" w:rsidR="008F007F" w:rsidRPr="008F007F" w:rsidRDefault="008F007F" w:rsidP="008F007F">
            <w:pPr>
              <w:spacing w:before="0" w:after="0"/>
              <w:jc w:val="left"/>
              <w:rPr>
                <w:rFonts w:ascii="Calibri" w:eastAsia="Times New Roman" w:hAnsi="Calibri" w:cs="Times New Roman"/>
                <w:color w:val="000000"/>
                <w:lang w:eastAsia="es-MX"/>
              </w:rPr>
            </w:pPr>
            <w:r w:rsidRPr="008F007F">
              <w:rPr>
                <w:rFonts w:ascii="Calibri" w:eastAsia="Times New Roman" w:hAnsi="Calibri" w:cs="Times New Roman"/>
                <w:color w:val="000000"/>
                <w:lang w:val="en-US" w:eastAsia="es-MX"/>
              </w:rPr>
              <w:t>SIDET</w:t>
            </w:r>
          </w:p>
        </w:tc>
        <w:tc>
          <w:tcPr>
            <w:tcW w:w="6205" w:type="dxa"/>
            <w:shd w:val="clear" w:color="auto" w:fill="auto"/>
            <w:vAlign w:val="center"/>
            <w:hideMark/>
          </w:tcPr>
          <w:p w14:paraId="48D97C1A" w14:textId="77777777" w:rsidR="008F007F" w:rsidRPr="008F007F" w:rsidRDefault="008F007F" w:rsidP="008F007F">
            <w:pPr>
              <w:spacing w:before="0" w:after="0"/>
              <w:jc w:val="left"/>
              <w:rPr>
                <w:rFonts w:ascii="Calibri" w:eastAsia="Times New Roman" w:hAnsi="Calibri" w:cs="Times New Roman"/>
                <w:color w:val="000000"/>
                <w:lang w:eastAsia="es-MX"/>
              </w:rPr>
            </w:pPr>
            <w:r w:rsidRPr="008F007F">
              <w:rPr>
                <w:rFonts w:ascii="Calibri" w:eastAsia="Times New Roman" w:hAnsi="Calibri" w:cs="Times New Roman"/>
                <w:color w:val="000000"/>
                <w:lang w:eastAsia="es-MX"/>
              </w:rPr>
              <w:t>Sistema de Dictaminación de Expedientes Técnicos</w:t>
            </w:r>
          </w:p>
        </w:tc>
      </w:tr>
      <w:tr w:rsidR="008F007F" w:rsidRPr="008F007F" w14:paraId="794A8353" w14:textId="77777777" w:rsidTr="00AE6BEE">
        <w:trPr>
          <w:trHeight w:val="310"/>
        </w:trPr>
        <w:tc>
          <w:tcPr>
            <w:tcW w:w="1909" w:type="dxa"/>
            <w:shd w:val="clear" w:color="auto" w:fill="auto"/>
            <w:vAlign w:val="center"/>
            <w:hideMark/>
          </w:tcPr>
          <w:p w14:paraId="343CFC89" w14:textId="77777777" w:rsidR="008F007F" w:rsidRPr="008F007F" w:rsidRDefault="008F007F" w:rsidP="008F007F">
            <w:pPr>
              <w:spacing w:before="0" w:after="0"/>
              <w:jc w:val="left"/>
              <w:rPr>
                <w:rFonts w:ascii="Calibri" w:eastAsia="Times New Roman" w:hAnsi="Calibri" w:cs="Times New Roman"/>
                <w:color w:val="000000"/>
                <w:lang w:eastAsia="es-MX"/>
              </w:rPr>
            </w:pPr>
            <w:r w:rsidRPr="008F007F">
              <w:rPr>
                <w:rFonts w:ascii="Calibri" w:eastAsia="Times New Roman" w:hAnsi="Calibri" w:cs="Times New Roman"/>
                <w:color w:val="000000"/>
                <w:lang w:val="en-US" w:eastAsia="es-MX"/>
              </w:rPr>
              <w:t>SIFAP</w:t>
            </w:r>
          </w:p>
        </w:tc>
        <w:tc>
          <w:tcPr>
            <w:tcW w:w="6205" w:type="dxa"/>
            <w:shd w:val="clear" w:color="auto" w:fill="auto"/>
            <w:vAlign w:val="center"/>
            <w:hideMark/>
          </w:tcPr>
          <w:p w14:paraId="22B0F242" w14:textId="77777777" w:rsidR="008F007F" w:rsidRPr="008F007F" w:rsidRDefault="008F007F" w:rsidP="008F007F">
            <w:pPr>
              <w:spacing w:before="0" w:after="0"/>
              <w:jc w:val="left"/>
              <w:rPr>
                <w:rFonts w:ascii="Calibri" w:eastAsia="Times New Roman" w:hAnsi="Calibri" w:cs="Times New Roman"/>
                <w:color w:val="000000"/>
                <w:lang w:eastAsia="es-MX"/>
              </w:rPr>
            </w:pPr>
            <w:r w:rsidRPr="008F007F">
              <w:rPr>
                <w:rFonts w:ascii="Calibri" w:eastAsia="Times New Roman" w:hAnsi="Calibri" w:cs="Times New Roman"/>
                <w:color w:val="000000"/>
                <w:lang w:eastAsia="es-MX"/>
              </w:rPr>
              <w:t>Sistema de Finanzas y Administración Pública</w:t>
            </w:r>
          </w:p>
        </w:tc>
      </w:tr>
      <w:tr w:rsidR="008F007F" w:rsidRPr="008F007F" w14:paraId="5ED717CE" w14:textId="77777777" w:rsidTr="00AE6BEE">
        <w:trPr>
          <w:trHeight w:val="310"/>
        </w:trPr>
        <w:tc>
          <w:tcPr>
            <w:tcW w:w="1909" w:type="dxa"/>
            <w:shd w:val="clear" w:color="auto" w:fill="auto"/>
            <w:vAlign w:val="center"/>
            <w:hideMark/>
          </w:tcPr>
          <w:p w14:paraId="3A9CED94" w14:textId="77777777" w:rsidR="008F007F" w:rsidRPr="008F007F" w:rsidRDefault="008F007F" w:rsidP="008F007F">
            <w:pPr>
              <w:spacing w:before="0" w:after="0"/>
              <w:jc w:val="left"/>
              <w:rPr>
                <w:rFonts w:ascii="Calibri" w:eastAsia="Times New Roman" w:hAnsi="Calibri" w:cs="Times New Roman"/>
                <w:color w:val="000000"/>
                <w:lang w:eastAsia="es-MX"/>
              </w:rPr>
            </w:pPr>
            <w:r w:rsidRPr="008F007F">
              <w:rPr>
                <w:rFonts w:ascii="Calibri" w:eastAsia="Times New Roman" w:hAnsi="Calibri" w:cs="Times New Roman"/>
                <w:color w:val="000000"/>
                <w:lang w:val="en-US" w:eastAsia="es-MX"/>
              </w:rPr>
              <w:t>SRFT</w:t>
            </w:r>
          </w:p>
        </w:tc>
        <w:tc>
          <w:tcPr>
            <w:tcW w:w="6205" w:type="dxa"/>
            <w:shd w:val="clear" w:color="auto" w:fill="auto"/>
            <w:vAlign w:val="center"/>
            <w:hideMark/>
          </w:tcPr>
          <w:p w14:paraId="31532C4B" w14:textId="77777777" w:rsidR="008F007F" w:rsidRPr="008F007F" w:rsidRDefault="008F007F" w:rsidP="008F007F">
            <w:pPr>
              <w:spacing w:before="0" w:after="0"/>
              <w:jc w:val="left"/>
              <w:rPr>
                <w:rFonts w:ascii="Calibri" w:eastAsia="Times New Roman" w:hAnsi="Calibri" w:cs="Times New Roman"/>
                <w:color w:val="000000"/>
                <w:lang w:eastAsia="es-MX"/>
              </w:rPr>
            </w:pPr>
            <w:r w:rsidRPr="008F007F">
              <w:rPr>
                <w:rFonts w:ascii="Calibri" w:eastAsia="Times New Roman" w:hAnsi="Calibri" w:cs="Times New Roman"/>
                <w:color w:val="000000"/>
                <w:lang w:eastAsia="es-MX"/>
              </w:rPr>
              <w:t>Sistema de Reporte de Recursos Federales Transferidos</w:t>
            </w:r>
          </w:p>
        </w:tc>
      </w:tr>
      <w:tr w:rsidR="008F007F" w:rsidRPr="008F007F" w14:paraId="4A3387CE" w14:textId="77777777" w:rsidTr="00AE6BEE">
        <w:trPr>
          <w:trHeight w:val="317"/>
        </w:trPr>
        <w:tc>
          <w:tcPr>
            <w:tcW w:w="1909" w:type="dxa"/>
            <w:shd w:val="clear" w:color="auto" w:fill="auto"/>
            <w:vAlign w:val="center"/>
            <w:hideMark/>
          </w:tcPr>
          <w:p w14:paraId="7CB91C83" w14:textId="77777777" w:rsidR="008F007F" w:rsidRPr="008F007F" w:rsidRDefault="008F007F" w:rsidP="008F007F">
            <w:pPr>
              <w:spacing w:before="0" w:after="0"/>
              <w:jc w:val="left"/>
              <w:rPr>
                <w:rFonts w:ascii="Calibri" w:eastAsia="Times New Roman" w:hAnsi="Calibri" w:cs="Times New Roman"/>
                <w:color w:val="000000"/>
                <w:lang w:eastAsia="es-MX"/>
              </w:rPr>
            </w:pPr>
            <w:r w:rsidRPr="008F007F">
              <w:rPr>
                <w:rFonts w:ascii="Calibri" w:eastAsia="Times New Roman" w:hAnsi="Calibri" w:cs="Times New Roman"/>
                <w:noProof/>
                <w:color w:val="000000"/>
                <w:lang w:eastAsia="es-MX"/>
              </w:rPr>
              <w:t>UPLAPH</w:t>
            </w:r>
          </w:p>
        </w:tc>
        <w:tc>
          <w:tcPr>
            <w:tcW w:w="6205" w:type="dxa"/>
            <w:shd w:val="clear" w:color="auto" w:fill="auto"/>
            <w:vAlign w:val="center"/>
            <w:hideMark/>
          </w:tcPr>
          <w:p w14:paraId="6487D642" w14:textId="77777777" w:rsidR="008F007F" w:rsidRPr="008F007F" w:rsidRDefault="008F007F" w:rsidP="008F007F">
            <w:pPr>
              <w:spacing w:before="0" w:after="0"/>
              <w:jc w:val="left"/>
              <w:rPr>
                <w:rFonts w:ascii="Calibri" w:eastAsia="Times New Roman" w:hAnsi="Calibri" w:cs="Times New Roman"/>
                <w:color w:val="000000"/>
                <w:lang w:eastAsia="es-MX"/>
              </w:rPr>
            </w:pPr>
            <w:r w:rsidRPr="008F007F">
              <w:rPr>
                <w:rFonts w:ascii="Calibri" w:eastAsia="Times New Roman" w:hAnsi="Calibri" w:cstheme="minorHAnsi"/>
                <w:color w:val="000000"/>
                <w:lang w:eastAsia="es-MX"/>
              </w:rPr>
              <w:t>Unidad de Planeación y Prospectiva de Hidalgo</w:t>
            </w:r>
          </w:p>
        </w:tc>
      </w:tr>
    </w:tbl>
    <w:p w14:paraId="7017B01F" w14:textId="77777777" w:rsidR="00E41803" w:rsidRDefault="00E41803" w:rsidP="004E38DD">
      <w:pPr>
        <w:pStyle w:val="Textonotapie"/>
        <w:rPr>
          <w:b/>
          <w:sz w:val="22"/>
          <w:szCs w:val="22"/>
        </w:rPr>
      </w:pPr>
    </w:p>
    <w:p w14:paraId="41949D86" w14:textId="1E36669E" w:rsidR="00FF26A6" w:rsidRPr="00186F27" w:rsidRDefault="00443E2A" w:rsidP="004E38DD">
      <w:pPr>
        <w:pStyle w:val="Textonotapie"/>
        <w:rPr>
          <w:sz w:val="22"/>
          <w:szCs w:val="22"/>
        </w:rPr>
      </w:pPr>
      <w:r w:rsidRPr="00443E2A">
        <w:rPr>
          <w:bCs/>
          <w:sz w:val="22"/>
          <w:szCs w:val="22"/>
        </w:rPr>
        <w:t>Nota</w:t>
      </w:r>
      <w:r>
        <w:rPr>
          <w:bCs/>
          <w:sz w:val="22"/>
          <w:szCs w:val="22"/>
        </w:rPr>
        <w:t xml:space="preserve">: </w:t>
      </w:r>
      <w:r w:rsidR="00FF26A6" w:rsidRPr="00443E2A">
        <w:rPr>
          <w:bCs/>
          <w:sz w:val="22"/>
          <w:szCs w:val="22"/>
        </w:rPr>
        <w:t>Para los</w:t>
      </w:r>
      <w:r w:rsidR="00FF26A6" w:rsidRPr="005E1463">
        <w:rPr>
          <w:sz w:val="22"/>
          <w:szCs w:val="22"/>
        </w:rPr>
        <w:t xml:space="preserve"> rubros de modernización de los registros públicos de la propiedad y del comercio locales y apoyos a la educación pública, no se presentan diagramas de flujo puesto que no fue posible identificar en el Manual de Normas y Lineamientos para el Ejercicio de los Recursos del Programa de Inversión 2018, ni en ninguna otra fuente de información, procedimientos relacionados directamente con el ejercicio de los Pp correspondientes a estos rubros.</w:t>
      </w:r>
    </w:p>
    <w:p w14:paraId="48BE4F7F" w14:textId="77777777" w:rsidR="0085352E" w:rsidRDefault="0085352E">
      <w:pPr>
        <w:spacing w:before="0" w:after="160" w:line="259" w:lineRule="auto"/>
        <w:jc w:val="left"/>
        <w:rPr>
          <w:b/>
          <w:bCs/>
          <w:iCs/>
          <w:szCs w:val="24"/>
        </w:rPr>
      </w:pPr>
      <w:r>
        <w:rPr>
          <w:i/>
          <w:iCs/>
        </w:rPr>
        <w:br w:type="page"/>
      </w:r>
    </w:p>
    <w:p w14:paraId="53190698" w14:textId="11962962" w:rsidR="00EB1844" w:rsidRPr="001A05C8" w:rsidRDefault="00EB1844" w:rsidP="00EB1844">
      <w:pPr>
        <w:pStyle w:val="Anexos"/>
        <w:rPr>
          <w:i w:val="0"/>
          <w:iCs/>
        </w:rPr>
      </w:pPr>
      <w:bookmarkStart w:id="137" w:name="_Toc56449871"/>
      <w:r w:rsidRPr="004C7D0F">
        <w:rPr>
          <w:i w:val="0"/>
          <w:iCs/>
        </w:rPr>
        <w:lastRenderedPageBreak/>
        <w:t>Anexo 6. Complementariedades y coincidencias entre programas federales</w:t>
      </w:r>
      <w:bookmarkEnd w:id="123"/>
      <w:bookmarkEnd w:id="132"/>
      <w:bookmarkEnd w:id="133"/>
      <w:bookmarkEnd w:id="134"/>
      <w:r>
        <w:rPr>
          <w:i w:val="0"/>
          <w:iCs/>
        </w:rPr>
        <w:t xml:space="preserve"> y s</w:t>
      </w:r>
      <w:r w:rsidRPr="001A05C8">
        <w:rPr>
          <w:i w:val="0"/>
          <w:iCs/>
        </w:rPr>
        <w:t>inergias con políticas, programas o proyectos locales</w:t>
      </w:r>
      <w:bookmarkEnd w:id="135"/>
      <w:bookmarkEnd w:id="136"/>
      <w:bookmarkEnd w:id="137"/>
    </w:p>
    <w:tbl>
      <w:tblPr>
        <w:tblStyle w:val="Tablaconcuadrcula3"/>
        <w:tblW w:w="5000" w:type="pct"/>
        <w:jc w:val="center"/>
        <w:tblLook w:val="04A0" w:firstRow="1" w:lastRow="0" w:firstColumn="1" w:lastColumn="0" w:noHBand="0" w:noVBand="1"/>
      </w:tblPr>
      <w:tblGrid>
        <w:gridCol w:w="2828"/>
        <w:gridCol w:w="2696"/>
        <w:gridCol w:w="3117"/>
        <w:gridCol w:w="1701"/>
        <w:gridCol w:w="3220"/>
      </w:tblGrid>
      <w:tr w:rsidR="00EB1844" w:rsidRPr="00017ED8" w14:paraId="4F1EEE98" w14:textId="77777777" w:rsidTr="00E634C6">
        <w:trPr>
          <w:trHeight w:val="1191"/>
          <w:tblHeader/>
          <w:jc w:val="center"/>
        </w:trPr>
        <w:tc>
          <w:tcPr>
            <w:tcW w:w="1043" w:type="pct"/>
            <w:shd w:val="clear" w:color="auto" w:fill="9CC2E5"/>
            <w:vAlign w:val="center"/>
          </w:tcPr>
          <w:p w14:paraId="021ED85A" w14:textId="77777777" w:rsidR="00EB1844" w:rsidRPr="00017ED8" w:rsidRDefault="00EB1844" w:rsidP="00282737">
            <w:pPr>
              <w:spacing w:before="0" w:after="0"/>
              <w:jc w:val="center"/>
              <w:rPr>
                <w:rFonts w:cstheme="minorHAnsi"/>
                <w:b/>
                <w:sz w:val="20"/>
                <w:szCs w:val="20"/>
              </w:rPr>
            </w:pPr>
            <w:r w:rsidRPr="00017ED8">
              <w:rPr>
                <w:rFonts w:cstheme="minorHAnsi"/>
                <w:b/>
                <w:sz w:val="20"/>
                <w:szCs w:val="20"/>
              </w:rPr>
              <w:t>Nombre de las políticas, programas o proyectos locales</w:t>
            </w:r>
          </w:p>
        </w:tc>
        <w:tc>
          <w:tcPr>
            <w:tcW w:w="994" w:type="pct"/>
            <w:shd w:val="clear" w:color="auto" w:fill="9CC2E5"/>
            <w:vAlign w:val="center"/>
          </w:tcPr>
          <w:p w14:paraId="745EB415" w14:textId="77777777" w:rsidR="00EB1844" w:rsidRPr="00017ED8" w:rsidRDefault="00EB1844" w:rsidP="00282737">
            <w:pPr>
              <w:spacing w:before="0" w:after="0"/>
              <w:jc w:val="center"/>
              <w:rPr>
                <w:rFonts w:cstheme="minorHAnsi"/>
                <w:b/>
                <w:sz w:val="20"/>
                <w:szCs w:val="20"/>
              </w:rPr>
            </w:pPr>
            <w:r w:rsidRPr="00017ED8">
              <w:rPr>
                <w:rFonts w:cstheme="minorHAnsi"/>
                <w:b/>
                <w:sz w:val="20"/>
                <w:szCs w:val="20"/>
              </w:rPr>
              <w:t>Características generales</w:t>
            </w:r>
          </w:p>
        </w:tc>
        <w:tc>
          <w:tcPr>
            <w:tcW w:w="1149" w:type="pct"/>
            <w:shd w:val="clear" w:color="auto" w:fill="9CC2E5"/>
            <w:vAlign w:val="center"/>
          </w:tcPr>
          <w:p w14:paraId="702F7D18" w14:textId="77777777" w:rsidR="00EB1844" w:rsidRPr="00017ED8" w:rsidRDefault="00EB1844" w:rsidP="00282737">
            <w:pPr>
              <w:spacing w:before="0" w:after="0"/>
              <w:jc w:val="center"/>
              <w:rPr>
                <w:rFonts w:cstheme="minorHAnsi"/>
                <w:b/>
                <w:sz w:val="20"/>
                <w:szCs w:val="20"/>
              </w:rPr>
            </w:pPr>
            <w:r w:rsidRPr="00017ED8">
              <w:rPr>
                <w:rFonts w:cstheme="minorHAnsi"/>
                <w:b/>
                <w:sz w:val="20"/>
                <w:szCs w:val="20"/>
              </w:rPr>
              <w:t>Objetivos</w:t>
            </w:r>
          </w:p>
        </w:tc>
        <w:tc>
          <w:tcPr>
            <w:tcW w:w="627" w:type="pct"/>
            <w:shd w:val="clear" w:color="auto" w:fill="9CC2E5"/>
            <w:vAlign w:val="center"/>
          </w:tcPr>
          <w:p w14:paraId="68DEEF09" w14:textId="77777777" w:rsidR="00EB1844" w:rsidRPr="00017ED8" w:rsidRDefault="00EB1844" w:rsidP="00282737">
            <w:pPr>
              <w:spacing w:before="0" w:after="0"/>
              <w:jc w:val="center"/>
              <w:rPr>
                <w:rFonts w:cstheme="minorHAnsi"/>
                <w:b/>
                <w:sz w:val="20"/>
                <w:szCs w:val="20"/>
              </w:rPr>
            </w:pPr>
            <w:r w:rsidRPr="00017ED8">
              <w:rPr>
                <w:rFonts w:cstheme="minorHAnsi"/>
                <w:b/>
                <w:sz w:val="20"/>
                <w:szCs w:val="20"/>
              </w:rPr>
              <w:t>Modalidad</w:t>
            </w:r>
          </w:p>
        </w:tc>
        <w:tc>
          <w:tcPr>
            <w:tcW w:w="1187" w:type="pct"/>
            <w:shd w:val="clear" w:color="auto" w:fill="9CC2E5"/>
            <w:vAlign w:val="center"/>
          </w:tcPr>
          <w:p w14:paraId="4B852D12" w14:textId="09265FF7" w:rsidR="00EB1844" w:rsidRPr="00017ED8" w:rsidRDefault="00632ADB" w:rsidP="00282737">
            <w:pPr>
              <w:spacing w:before="0" w:after="0"/>
              <w:jc w:val="center"/>
              <w:rPr>
                <w:rFonts w:cstheme="minorHAnsi"/>
                <w:b/>
                <w:sz w:val="20"/>
                <w:szCs w:val="20"/>
              </w:rPr>
            </w:pPr>
            <w:r w:rsidRPr="00632ADB">
              <w:rPr>
                <w:rFonts w:cstheme="minorHAnsi"/>
                <w:b/>
                <w:sz w:val="20"/>
                <w:szCs w:val="20"/>
              </w:rPr>
              <w:t>Sinergias que tendría con el Fondo</w:t>
            </w:r>
          </w:p>
        </w:tc>
      </w:tr>
      <w:tr w:rsidR="00EB1844" w:rsidRPr="00017ED8" w14:paraId="1A9391B8" w14:textId="77777777" w:rsidTr="00E634C6">
        <w:trPr>
          <w:trHeight w:val="238"/>
          <w:jc w:val="center"/>
        </w:trPr>
        <w:tc>
          <w:tcPr>
            <w:tcW w:w="1043" w:type="pct"/>
            <w:vAlign w:val="center"/>
          </w:tcPr>
          <w:p w14:paraId="70B41C00" w14:textId="2A97C627" w:rsidR="00EB1844" w:rsidRPr="00017ED8" w:rsidRDefault="00EB1844" w:rsidP="00282737">
            <w:pPr>
              <w:autoSpaceDE w:val="0"/>
              <w:autoSpaceDN w:val="0"/>
              <w:adjustRightInd w:val="0"/>
              <w:spacing w:before="0" w:after="0"/>
              <w:jc w:val="left"/>
              <w:rPr>
                <w:rFonts w:cstheme="minorHAnsi"/>
                <w:sz w:val="20"/>
                <w:szCs w:val="20"/>
              </w:rPr>
            </w:pPr>
            <w:r w:rsidRPr="00017ED8">
              <w:rPr>
                <w:rFonts w:cs="Arial"/>
                <w:color w:val="000000"/>
                <w:sz w:val="20"/>
                <w:szCs w:val="20"/>
              </w:rPr>
              <w:t>Inversión para el Fortalecimiento de la Gobernab</w:t>
            </w:r>
            <w:r w:rsidR="000B7129">
              <w:rPr>
                <w:rFonts w:cs="Arial"/>
                <w:color w:val="000000"/>
                <w:sz w:val="20"/>
                <w:szCs w:val="20"/>
              </w:rPr>
              <w:t>ilidad Democrática y Gobernanza</w:t>
            </w:r>
          </w:p>
        </w:tc>
        <w:tc>
          <w:tcPr>
            <w:tcW w:w="994" w:type="pct"/>
            <w:vAlign w:val="center"/>
          </w:tcPr>
          <w:p w14:paraId="48A32396" w14:textId="611AD21A" w:rsidR="00EB1844" w:rsidRPr="00017ED8" w:rsidRDefault="00EB1844" w:rsidP="00927B4B">
            <w:pPr>
              <w:spacing w:before="0" w:after="0"/>
              <w:rPr>
                <w:rFonts w:cstheme="minorHAnsi"/>
                <w:sz w:val="20"/>
                <w:szCs w:val="20"/>
              </w:rPr>
            </w:pPr>
            <w:r w:rsidRPr="00017ED8">
              <w:rPr>
                <w:rFonts w:cstheme="minorHAnsi"/>
                <w:sz w:val="20"/>
                <w:szCs w:val="20"/>
              </w:rPr>
              <w:t xml:space="preserve">La población del </w:t>
            </w:r>
            <w:r w:rsidR="00FA1B3F">
              <w:rPr>
                <w:rFonts w:cstheme="minorHAnsi"/>
                <w:sz w:val="20"/>
                <w:szCs w:val="20"/>
              </w:rPr>
              <w:t>E</w:t>
            </w:r>
            <w:r w:rsidRPr="00017ED8">
              <w:rPr>
                <w:rFonts w:cstheme="minorHAnsi"/>
                <w:sz w:val="20"/>
                <w:szCs w:val="20"/>
              </w:rPr>
              <w:t>stado de Hidalgo recibe solución a sus conflictos y peticiones en el ámbito político social.</w:t>
            </w:r>
          </w:p>
        </w:tc>
        <w:tc>
          <w:tcPr>
            <w:tcW w:w="1149" w:type="pct"/>
            <w:vAlign w:val="center"/>
          </w:tcPr>
          <w:p w14:paraId="35990770" w14:textId="77777777" w:rsidR="00EB1844" w:rsidRPr="00017ED8" w:rsidRDefault="00EB1844" w:rsidP="00927B4B">
            <w:pPr>
              <w:autoSpaceDE w:val="0"/>
              <w:autoSpaceDN w:val="0"/>
              <w:adjustRightInd w:val="0"/>
              <w:spacing w:before="0" w:after="0"/>
              <w:rPr>
                <w:rFonts w:cstheme="minorHAnsi"/>
                <w:sz w:val="20"/>
                <w:szCs w:val="20"/>
              </w:rPr>
            </w:pPr>
            <w:r w:rsidRPr="00017ED8">
              <w:rPr>
                <w:rFonts w:cs="Arial"/>
                <w:color w:val="000000"/>
                <w:sz w:val="20"/>
                <w:szCs w:val="20"/>
              </w:rPr>
              <w:t>Contribuir a establecer un vínculo permanente entre la sociedad civil y el gobierno, mediante el dialogo, constructivo como herramienta fundamental para la concentración, con la finalidad de prevenir y en su caso, solucionar conflictos políticos, sociales, agrarios y religiosos bajo la perspectiva de género.</w:t>
            </w:r>
          </w:p>
        </w:tc>
        <w:tc>
          <w:tcPr>
            <w:tcW w:w="627" w:type="pct"/>
          </w:tcPr>
          <w:p w14:paraId="4ABF1446" w14:textId="7DB8F020" w:rsidR="00EB1844" w:rsidRPr="00017ED8" w:rsidRDefault="00EB1844" w:rsidP="00927B4B">
            <w:pPr>
              <w:spacing w:before="0" w:after="0"/>
              <w:jc w:val="center"/>
              <w:rPr>
                <w:rFonts w:cstheme="minorHAnsi"/>
                <w:sz w:val="20"/>
                <w:szCs w:val="20"/>
              </w:rPr>
            </w:pPr>
            <w:r w:rsidRPr="00017ED8">
              <w:rPr>
                <w:rFonts w:cstheme="minorHAnsi"/>
                <w:sz w:val="20"/>
                <w:szCs w:val="20"/>
              </w:rPr>
              <w:t>R</w:t>
            </w:r>
          </w:p>
        </w:tc>
        <w:tc>
          <w:tcPr>
            <w:tcW w:w="1187" w:type="pct"/>
          </w:tcPr>
          <w:p w14:paraId="1F79B14D" w14:textId="77777777" w:rsidR="00EB1844" w:rsidRPr="00017ED8" w:rsidRDefault="00EB1844" w:rsidP="00282737">
            <w:pPr>
              <w:spacing w:before="0" w:after="0"/>
              <w:jc w:val="center"/>
              <w:rPr>
                <w:rFonts w:cstheme="minorHAnsi"/>
                <w:sz w:val="20"/>
                <w:szCs w:val="20"/>
              </w:rPr>
            </w:pPr>
            <w:r w:rsidRPr="00017ED8">
              <w:rPr>
                <w:rFonts w:cs="Arial"/>
                <w:color w:val="000000"/>
                <w:sz w:val="20"/>
                <w:szCs w:val="20"/>
              </w:rPr>
              <w:t>Complementa</w:t>
            </w:r>
          </w:p>
        </w:tc>
      </w:tr>
      <w:tr w:rsidR="00EB1844" w:rsidRPr="00017ED8" w14:paraId="479B365A" w14:textId="77777777" w:rsidTr="00E634C6">
        <w:trPr>
          <w:trHeight w:val="238"/>
          <w:jc w:val="center"/>
        </w:trPr>
        <w:tc>
          <w:tcPr>
            <w:tcW w:w="1043" w:type="pct"/>
            <w:vAlign w:val="center"/>
          </w:tcPr>
          <w:p w14:paraId="2A4A02E8" w14:textId="6E2F12A1" w:rsidR="00EB1844" w:rsidRPr="00017ED8" w:rsidRDefault="00EB1844" w:rsidP="00282737">
            <w:pPr>
              <w:spacing w:before="0" w:after="0"/>
              <w:jc w:val="left"/>
              <w:rPr>
                <w:rFonts w:cstheme="minorHAnsi"/>
                <w:sz w:val="20"/>
                <w:szCs w:val="20"/>
              </w:rPr>
            </w:pPr>
            <w:r w:rsidRPr="00017ED8">
              <w:rPr>
                <w:rFonts w:cs="Arial"/>
                <w:color w:val="000000"/>
                <w:sz w:val="20"/>
                <w:szCs w:val="20"/>
              </w:rPr>
              <w:t>Inversión para el Fort</w:t>
            </w:r>
            <w:r w:rsidR="000B7129">
              <w:rPr>
                <w:rFonts w:cs="Arial"/>
                <w:color w:val="000000"/>
                <w:sz w:val="20"/>
                <w:szCs w:val="20"/>
              </w:rPr>
              <w:t>alecimiento de Hacienda Pública</w:t>
            </w:r>
          </w:p>
        </w:tc>
        <w:tc>
          <w:tcPr>
            <w:tcW w:w="994" w:type="pct"/>
            <w:vAlign w:val="center"/>
          </w:tcPr>
          <w:p w14:paraId="745E478F" w14:textId="77777777" w:rsidR="00EB1844" w:rsidRPr="00017ED8" w:rsidRDefault="00EB1844" w:rsidP="002A2194">
            <w:pPr>
              <w:autoSpaceDE w:val="0"/>
              <w:autoSpaceDN w:val="0"/>
              <w:adjustRightInd w:val="0"/>
              <w:spacing w:before="0" w:after="0"/>
              <w:rPr>
                <w:rFonts w:cstheme="minorHAnsi"/>
                <w:sz w:val="20"/>
                <w:szCs w:val="20"/>
              </w:rPr>
            </w:pPr>
            <w:r w:rsidRPr="00017ED8">
              <w:rPr>
                <w:rFonts w:cs="Arial"/>
                <w:color w:val="000000"/>
                <w:sz w:val="20"/>
                <w:szCs w:val="20"/>
              </w:rPr>
              <w:t>Inversión para modernizar los registros públicos de la propiedad y del comercio local, en el marco de la coordinación para homologar los registros públicos; así como para modernización de los catastros.</w:t>
            </w:r>
          </w:p>
        </w:tc>
        <w:tc>
          <w:tcPr>
            <w:tcW w:w="1149" w:type="pct"/>
            <w:vAlign w:val="center"/>
          </w:tcPr>
          <w:p w14:paraId="5FEC2B83" w14:textId="77777777" w:rsidR="00EB1844" w:rsidRPr="00017ED8" w:rsidRDefault="00EB1844" w:rsidP="00927B4B">
            <w:pPr>
              <w:autoSpaceDE w:val="0"/>
              <w:autoSpaceDN w:val="0"/>
              <w:adjustRightInd w:val="0"/>
              <w:spacing w:before="0" w:after="0"/>
              <w:rPr>
                <w:rFonts w:cstheme="minorHAnsi"/>
                <w:sz w:val="20"/>
                <w:szCs w:val="20"/>
              </w:rPr>
            </w:pPr>
            <w:r w:rsidRPr="00017ED8">
              <w:rPr>
                <w:sz w:val="20"/>
                <w:szCs w:val="20"/>
              </w:rPr>
              <w:t>Contribuir a que el Estado de Hidalgo obtenga suficientes ingresos a través de participaciones federales, derivado de una alta recaudación por el impuesto predial mediante</w:t>
            </w:r>
            <w:r>
              <w:rPr>
                <w:sz w:val="20"/>
                <w:szCs w:val="20"/>
              </w:rPr>
              <w:t xml:space="preserve"> </w:t>
            </w:r>
            <w:r w:rsidRPr="00017ED8">
              <w:rPr>
                <w:sz w:val="20"/>
                <w:szCs w:val="20"/>
              </w:rPr>
              <w:t>la actualización en el sistema estatal de administración territorial de información inmobiliaria propia y aquella que obtenga mediante convenio que para ese efecto celebre con las diversas dependencias y entidades de la administración pública federal, estatal y municipal, así como con particulares que tengan información inmobiliaria de la entidad federativa o que la requieran.</w:t>
            </w:r>
          </w:p>
        </w:tc>
        <w:tc>
          <w:tcPr>
            <w:tcW w:w="627" w:type="pct"/>
          </w:tcPr>
          <w:p w14:paraId="024E3675" w14:textId="60AF6903" w:rsidR="00EB1844" w:rsidRPr="00017ED8" w:rsidRDefault="00EB1844" w:rsidP="00927B4B">
            <w:pPr>
              <w:spacing w:before="0" w:after="0"/>
              <w:jc w:val="center"/>
              <w:rPr>
                <w:rFonts w:cstheme="minorHAnsi"/>
                <w:sz w:val="20"/>
                <w:szCs w:val="20"/>
              </w:rPr>
            </w:pPr>
            <w:r w:rsidRPr="00017ED8">
              <w:rPr>
                <w:rFonts w:cstheme="minorHAnsi"/>
                <w:sz w:val="20"/>
                <w:szCs w:val="20"/>
              </w:rPr>
              <w:t>K</w:t>
            </w:r>
          </w:p>
        </w:tc>
        <w:tc>
          <w:tcPr>
            <w:tcW w:w="1187" w:type="pct"/>
          </w:tcPr>
          <w:p w14:paraId="0D8BCF45" w14:textId="77777777" w:rsidR="00EB1844" w:rsidRPr="00017ED8" w:rsidRDefault="00EB1844" w:rsidP="00282737">
            <w:pPr>
              <w:spacing w:before="0" w:after="0"/>
              <w:jc w:val="center"/>
              <w:rPr>
                <w:rFonts w:cstheme="minorHAnsi"/>
                <w:sz w:val="20"/>
                <w:szCs w:val="20"/>
              </w:rPr>
            </w:pPr>
            <w:r w:rsidRPr="00017ED8">
              <w:rPr>
                <w:rFonts w:cs="Arial"/>
                <w:color w:val="000000"/>
                <w:sz w:val="20"/>
                <w:szCs w:val="20"/>
              </w:rPr>
              <w:t>Complementa</w:t>
            </w:r>
          </w:p>
        </w:tc>
      </w:tr>
      <w:tr w:rsidR="00EB1844" w:rsidRPr="00017ED8" w14:paraId="2254922A" w14:textId="77777777" w:rsidTr="00E634C6">
        <w:trPr>
          <w:trHeight w:val="238"/>
          <w:jc w:val="center"/>
        </w:trPr>
        <w:tc>
          <w:tcPr>
            <w:tcW w:w="1043" w:type="pct"/>
            <w:vAlign w:val="center"/>
          </w:tcPr>
          <w:p w14:paraId="2880F297" w14:textId="41E85354" w:rsidR="00EB1844" w:rsidRPr="00017ED8" w:rsidRDefault="000B7129" w:rsidP="00282737">
            <w:pPr>
              <w:autoSpaceDE w:val="0"/>
              <w:autoSpaceDN w:val="0"/>
              <w:adjustRightInd w:val="0"/>
              <w:spacing w:before="0" w:after="0"/>
              <w:jc w:val="left"/>
              <w:rPr>
                <w:rFonts w:cs="Arial"/>
                <w:color w:val="000000"/>
                <w:sz w:val="20"/>
                <w:szCs w:val="20"/>
              </w:rPr>
            </w:pPr>
            <w:r>
              <w:rPr>
                <w:rFonts w:cs="Arial"/>
                <w:color w:val="000000"/>
                <w:sz w:val="20"/>
                <w:szCs w:val="20"/>
              </w:rPr>
              <w:t>Inversión en Obras Públicas</w:t>
            </w:r>
          </w:p>
        </w:tc>
        <w:tc>
          <w:tcPr>
            <w:tcW w:w="994" w:type="pct"/>
            <w:vAlign w:val="center"/>
          </w:tcPr>
          <w:p w14:paraId="75E740CD" w14:textId="5CFB1712" w:rsidR="00EB1844" w:rsidRPr="00017ED8" w:rsidRDefault="00EB1844" w:rsidP="00927B4B">
            <w:pPr>
              <w:spacing w:before="0" w:after="0"/>
              <w:rPr>
                <w:rFonts w:cstheme="minorHAnsi"/>
                <w:sz w:val="20"/>
                <w:szCs w:val="20"/>
              </w:rPr>
            </w:pPr>
            <w:r w:rsidRPr="00017ED8">
              <w:rPr>
                <w:rFonts w:cstheme="minorHAnsi"/>
                <w:sz w:val="20"/>
                <w:szCs w:val="20"/>
              </w:rPr>
              <w:t xml:space="preserve">Las 17 regiones del </w:t>
            </w:r>
            <w:r w:rsidR="005934C9">
              <w:rPr>
                <w:rFonts w:cstheme="minorHAnsi"/>
                <w:sz w:val="20"/>
                <w:szCs w:val="20"/>
              </w:rPr>
              <w:t>E</w:t>
            </w:r>
            <w:r w:rsidRPr="00017ED8">
              <w:rPr>
                <w:rFonts w:cstheme="minorHAnsi"/>
                <w:sz w:val="20"/>
                <w:szCs w:val="20"/>
              </w:rPr>
              <w:t>stado de Hidalgo se benefician con inversión en obra pública</w:t>
            </w:r>
          </w:p>
        </w:tc>
        <w:tc>
          <w:tcPr>
            <w:tcW w:w="1149" w:type="pct"/>
            <w:vAlign w:val="center"/>
          </w:tcPr>
          <w:p w14:paraId="43ADF048" w14:textId="77777777" w:rsidR="00EB1844" w:rsidRPr="00017ED8" w:rsidRDefault="00EB1844" w:rsidP="00927B4B">
            <w:pPr>
              <w:autoSpaceDE w:val="0"/>
              <w:autoSpaceDN w:val="0"/>
              <w:adjustRightInd w:val="0"/>
              <w:spacing w:before="0" w:after="0"/>
              <w:rPr>
                <w:rFonts w:cstheme="minorHAnsi"/>
                <w:sz w:val="20"/>
                <w:szCs w:val="20"/>
              </w:rPr>
            </w:pPr>
            <w:r w:rsidRPr="00017ED8">
              <w:rPr>
                <w:rFonts w:cs="Arial"/>
                <w:color w:val="000000"/>
                <w:sz w:val="20"/>
                <w:szCs w:val="20"/>
              </w:rPr>
              <w:t xml:space="preserve">Ampliación y modernización de carreteras, puentes vehiculares, distribuidores viales, electrificaciones, infraestructura </w:t>
            </w:r>
            <w:r w:rsidRPr="00017ED8">
              <w:rPr>
                <w:rFonts w:cs="Arial"/>
                <w:color w:val="000000"/>
                <w:sz w:val="20"/>
                <w:szCs w:val="20"/>
              </w:rPr>
              <w:lastRenderedPageBreak/>
              <w:t>educativa, infraestructura de vialidades urbanas.</w:t>
            </w:r>
          </w:p>
        </w:tc>
        <w:tc>
          <w:tcPr>
            <w:tcW w:w="627" w:type="pct"/>
          </w:tcPr>
          <w:p w14:paraId="02E7E515" w14:textId="5EDB93C7" w:rsidR="00EB1844" w:rsidRPr="00017ED8" w:rsidRDefault="00EB1844" w:rsidP="00927B4B">
            <w:pPr>
              <w:spacing w:before="0" w:after="0"/>
              <w:jc w:val="center"/>
              <w:rPr>
                <w:rFonts w:cstheme="minorHAnsi"/>
                <w:sz w:val="20"/>
                <w:szCs w:val="20"/>
              </w:rPr>
            </w:pPr>
            <w:r w:rsidRPr="00017ED8">
              <w:rPr>
                <w:rFonts w:cstheme="minorHAnsi"/>
                <w:sz w:val="20"/>
                <w:szCs w:val="20"/>
              </w:rPr>
              <w:lastRenderedPageBreak/>
              <w:t>K</w:t>
            </w:r>
          </w:p>
        </w:tc>
        <w:tc>
          <w:tcPr>
            <w:tcW w:w="1187" w:type="pct"/>
          </w:tcPr>
          <w:p w14:paraId="154C11D3" w14:textId="77777777" w:rsidR="00EB1844" w:rsidRPr="00017ED8" w:rsidRDefault="00EB1844" w:rsidP="00282737">
            <w:pPr>
              <w:spacing w:before="0" w:after="0"/>
              <w:jc w:val="center"/>
              <w:rPr>
                <w:rFonts w:cstheme="minorHAnsi"/>
                <w:sz w:val="20"/>
                <w:szCs w:val="20"/>
              </w:rPr>
            </w:pPr>
            <w:r w:rsidRPr="00017ED8">
              <w:rPr>
                <w:rFonts w:cs="Arial"/>
                <w:color w:val="000000"/>
                <w:sz w:val="20"/>
                <w:szCs w:val="20"/>
              </w:rPr>
              <w:t>Complementa</w:t>
            </w:r>
          </w:p>
        </w:tc>
      </w:tr>
      <w:tr w:rsidR="00EB1844" w:rsidRPr="00017ED8" w14:paraId="76BC25FA" w14:textId="77777777" w:rsidTr="00E634C6">
        <w:trPr>
          <w:trHeight w:val="238"/>
          <w:jc w:val="center"/>
        </w:trPr>
        <w:tc>
          <w:tcPr>
            <w:tcW w:w="1043" w:type="pct"/>
            <w:vAlign w:val="center"/>
          </w:tcPr>
          <w:p w14:paraId="21781CD1" w14:textId="27A88086" w:rsidR="00EB1844" w:rsidRPr="00017ED8" w:rsidRDefault="00EB1844" w:rsidP="00282737">
            <w:pPr>
              <w:spacing w:before="0" w:after="0"/>
              <w:jc w:val="left"/>
              <w:rPr>
                <w:rFonts w:cstheme="minorHAnsi"/>
                <w:sz w:val="20"/>
                <w:szCs w:val="20"/>
              </w:rPr>
            </w:pPr>
            <w:r w:rsidRPr="00017ED8">
              <w:rPr>
                <w:rFonts w:cs="Arial"/>
                <w:color w:val="000000"/>
                <w:sz w:val="20"/>
                <w:szCs w:val="20"/>
              </w:rPr>
              <w:t>Agua, Drenaje y Saneamiento</w:t>
            </w:r>
          </w:p>
        </w:tc>
        <w:tc>
          <w:tcPr>
            <w:tcW w:w="994" w:type="pct"/>
            <w:vAlign w:val="center"/>
          </w:tcPr>
          <w:p w14:paraId="17F64350" w14:textId="27B0EF66" w:rsidR="00EB1844" w:rsidRPr="00017ED8" w:rsidRDefault="00EB1844" w:rsidP="00927B4B">
            <w:pPr>
              <w:spacing w:before="0" w:after="0"/>
              <w:rPr>
                <w:rFonts w:cstheme="minorHAnsi"/>
                <w:sz w:val="20"/>
                <w:szCs w:val="20"/>
              </w:rPr>
            </w:pPr>
            <w:r w:rsidRPr="00017ED8">
              <w:rPr>
                <w:rFonts w:cstheme="minorHAnsi"/>
                <w:sz w:val="20"/>
                <w:szCs w:val="20"/>
              </w:rPr>
              <w:t xml:space="preserve">Las 17 regiones del </w:t>
            </w:r>
            <w:r w:rsidR="005934C9">
              <w:rPr>
                <w:rFonts w:cstheme="minorHAnsi"/>
                <w:sz w:val="20"/>
                <w:szCs w:val="20"/>
              </w:rPr>
              <w:t>E</w:t>
            </w:r>
            <w:r w:rsidRPr="00017ED8">
              <w:rPr>
                <w:rFonts w:cstheme="minorHAnsi"/>
                <w:sz w:val="20"/>
                <w:szCs w:val="20"/>
              </w:rPr>
              <w:t>stado se benefician con inversión en agua, drenaje y saneamiento.</w:t>
            </w:r>
          </w:p>
        </w:tc>
        <w:tc>
          <w:tcPr>
            <w:tcW w:w="1149" w:type="pct"/>
            <w:vAlign w:val="center"/>
          </w:tcPr>
          <w:p w14:paraId="5D810F2E" w14:textId="49DCD812" w:rsidR="00EB1844" w:rsidRPr="00017ED8" w:rsidRDefault="00EB1844" w:rsidP="00927B4B">
            <w:pPr>
              <w:autoSpaceDE w:val="0"/>
              <w:autoSpaceDN w:val="0"/>
              <w:adjustRightInd w:val="0"/>
              <w:spacing w:before="0" w:after="0"/>
              <w:rPr>
                <w:rFonts w:cstheme="minorHAnsi"/>
                <w:sz w:val="20"/>
                <w:szCs w:val="20"/>
              </w:rPr>
            </w:pPr>
            <w:r w:rsidRPr="00017ED8">
              <w:rPr>
                <w:rFonts w:cs="Arial"/>
                <w:color w:val="000000"/>
                <w:sz w:val="20"/>
                <w:szCs w:val="20"/>
              </w:rPr>
              <w:t xml:space="preserve">Contribuir al desarrollo de las regiones del </w:t>
            </w:r>
            <w:r w:rsidR="005934C9">
              <w:rPr>
                <w:rFonts w:cs="Arial"/>
                <w:color w:val="000000"/>
                <w:sz w:val="20"/>
                <w:szCs w:val="20"/>
              </w:rPr>
              <w:t>E</w:t>
            </w:r>
            <w:r w:rsidRPr="00017ED8">
              <w:rPr>
                <w:rFonts w:cs="Arial"/>
                <w:color w:val="000000"/>
                <w:sz w:val="20"/>
                <w:szCs w:val="20"/>
              </w:rPr>
              <w:t>stado de Hidalgo mediante el aumento de acciones en materia de agua, drenaje y saneamiento.</w:t>
            </w:r>
          </w:p>
        </w:tc>
        <w:tc>
          <w:tcPr>
            <w:tcW w:w="627" w:type="pct"/>
          </w:tcPr>
          <w:p w14:paraId="3B303D9D" w14:textId="4C4318B1" w:rsidR="00EB1844" w:rsidRPr="00017ED8" w:rsidRDefault="00EB1844" w:rsidP="00927B4B">
            <w:pPr>
              <w:spacing w:before="0" w:after="0"/>
              <w:jc w:val="center"/>
              <w:rPr>
                <w:rFonts w:cstheme="minorHAnsi"/>
                <w:sz w:val="20"/>
                <w:szCs w:val="20"/>
              </w:rPr>
            </w:pPr>
            <w:r w:rsidRPr="00017ED8">
              <w:rPr>
                <w:rFonts w:cstheme="minorHAnsi"/>
                <w:sz w:val="20"/>
                <w:szCs w:val="20"/>
              </w:rPr>
              <w:t>k</w:t>
            </w:r>
          </w:p>
        </w:tc>
        <w:tc>
          <w:tcPr>
            <w:tcW w:w="1187" w:type="pct"/>
          </w:tcPr>
          <w:p w14:paraId="44B88B13" w14:textId="77777777" w:rsidR="00EB1844" w:rsidRPr="00017ED8" w:rsidRDefault="00EB1844" w:rsidP="00282737">
            <w:pPr>
              <w:spacing w:before="0" w:after="0"/>
              <w:jc w:val="center"/>
              <w:rPr>
                <w:rFonts w:cstheme="minorHAnsi"/>
                <w:sz w:val="20"/>
                <w:szCs w:val="20"/>
              </w:rPr>
            </w:pPr>
            <w:r w:rsidRPr="00017ED8">
              <w:rPr>
                <w:rFonts w:cs="Arial"/>
                <w:color w:val="000000"/>
                <w:sz w:val="20"/>
                <w:szCs w:val="20"/>
              </w:rPr>
              <w:t>Complementa</w:t>
            </w:r>
          </w:p>
        </w:tc>
      </w:tr>
      <w:tr w:rsidR="00EB1844" w:rsidRPr="00017ED8" w14:paraId="3B882ED0" w14:textId="77777777" w:rsidTr="00E634C6">
        <w:trPr>
          <w:trHeight w:val="238"/>
          <w:jc w:val="center"/>
        </w:trPr>
        <w:tc>
          <w:tcPr>
            <w:tcW w:w="1043" w:type="pct"/>
            <w:vAlign w:val="center"/>
          </w:tcPr>
          <w:p w14:paraId="2B09CC00" w14:textId="57D9B855" w:rsidR="00EB1844" w:rsidRPr="00017ED8" w:rsidRDefault="000B7129" w:rsidP="00282737">
            <w:pPr>
              <w:spacing w:before="0" w:after="0"/>
              <w:jc w:val="left"/>
              <w:rPr>
                <w:rFonts w:cs="Arial"/>
                <w:color w:val="000000"/>
                <w:sz w:val="20"/>
                <w:szCs w:val="20"/>
              </w:rPr>
            </w:pPr>
            <w:r>
              <w:rPr>
                <w:rFonts w:cs="Arial"/>
                <w:color w:val="000000"/>
                <w:sz w:val="20"/>
                <w:szCs w:val="20"/>
              </w:rPr>
              <w:t>Infraestructura en Educación</w:t>
            </w:r>
          </w:p>
        </w:tc>
        <w:tc>
          <w:tcPr>
            <w:tcW w:w="994" w:type="pct"/>
            <w:vAlign w:val="center"/>
          </w:tcPr>
          <w:p w14:paraId="1086545A" w14:textId="385A1756" w:rsidR="00EB1844" w:rsidRPr="00017ED8" w:rsidRDefault="00EB1844" w:rsidP="00927B4B">
            <w:pPr>
              <w:spacing w:before="0" w:after="0"/>
              <w:rPr>
                <w:rFonts w:cstheme="minorHAnsi"/>
                <w:sz w:val="20"/>
                <w:szCs w:val="20"/>
              </w:rPr>
            </w:pPr>
            <w:r w:rsidRPr="00017ED8">
              <w:rPr>
                <w:rFonts w:cstheme="minorHAnsi"/>
                <w:sz w:val="20"/>
                <w:szCs w:val="20"/>
              </w:rPr>
              <w:t xml:space="preserve">Población hidalguense en edad de cursar educación básica, media superior y superior cuenta con espacios educativos adecuados y suficientes en el </w:t>
            </w:r>
            <w:r w:rsidR="005934C9">
              <w:rPr>
                <w:rFonts w:cstheme="minorHAnsi"/>
                <w:sz w:val="20"/>
                <w:szCs w:val="20"/>
              </w:rPr>
              <w:t>E</w:t>
            </w:r>
            <w:r w:rsidRPr="00017ED8">
              <w:rPr>
                <w:rFonts w:cstheme="minorHAnsi"/>
                <w:sz w:val="20"/>
                <w:szCs w:val="20"/>
              </w:rPr>
              <w:t>stado de Hidalgo</w:t>
            </w:r>
          </w:p>
          <w:p w14:paraId="0C5EB1C7" w14:textId="77777777" w:rsidR="00EB1844" w:rsidRPr="00017ED8" w:rsidRDefault="00EB1844" w:rsidP="00927B4B">
            <w:pPr>
              <w:spacing w:before="0" w:after="0"/>
              <w:rPr>
                <w:rFonts w:cstheme="minorHAnsi"/>
                <w:sz w:val="20"/>
                <w:szCs w:val="20"/>
              </w:rPr>
            </w:pPr>
          </w:p>
        </w:tc>
        <w:tc>
          <w:tcPr>
            <w:tcW w:w="1149" w:type="pct"/>
            <w:vAlign w:val="center"/>
          </w:tcPr>
          <w:p w14:paraId="27D6D1CC" w14:textId="733E0E30" w:rsidR="00EB1844" w:rsidRPr="00017ED8" w:rsidRDefault="00EB1844" w:rsidP="00927B4B">
            <w:pPr>
              <w:autoSpaceDE w:val="0"/>
              <w:autoSpaceDN w:val="0"/>
              <w:adjustRightInd w:val="0"/>
              <w:spacing w:before="0" w:after="0"/>
              <w:rPr>
                <w:rFonts w:cs="Arial"/>
                <w:color w:val="000000"/>
                <w:sz w:val="20"/>
                <w:szCs w:val="20"/>
              </w:rPr>
            </w:pPr>
            <w:r w:rsidRPr="00017ED8">
              <w:rPr>
                <w:rFonts w:cs="Arial"/>
                <w:color w:val="000000"/>
                <w:sz w:val="20"/>
                <w:szCs w:val="20"/>
              </w:rPr>
              <w:t xml:space="preserve">Contribuir a la calidad y pertinencias de la educación básica, media superior y superior. Mediante la infraestructura para la educación en el </w:t>
            </w:r>
            <w:r w:rsidR="005934C9">
              <w:rPr>
                <w:rFonts w:cs="Arial"/>
                <w:color w:val="000000"/>
                <w:sz w:val="20"/>
                <w:szCs w:val="20"/>
              </w:rPr>
              <w:t>E</w:t>
            </w:r>
            <w:r w:rsidRPr="00017ED8">
              <w:rPr>
                <w:rFonts w:cs="Arial"/>
                <w:color w:val="000000"/>
                <w:sz w:val="20"/>
                <w:szCs w:val="20"/>
              </w:rPr>
              <w:t>stado de Hidalgo con una formación integral.</w:t>
            </w:r>
          </w:p>
        </w:tc>
        <w:tc>
          <w:tcPr>
            <w:tcW w:w="627" w:type="pct"/>
          </w:tcPr>
          <w:p w14:paraId="773B42EB" w14:textId="5641BCA6" w:rsidR="00EB1844" w:rsidRPr="00017ED8" w:rsidRDefault="00EB1844" w:rsidP="00927B4B">
            <w:pPr>
              <w:spacing w:before="0" w:after="0"/>
              <w:jc w:val="center"/>
              <w:rPr>
                <w:rFonts w:cstheme="minorHAnsi"/>
                <w:sz w:val="20"/>
                <w:szCs w:val="20"/>
              </w:rPr>
            </w:pPr>
            <w:r w:rsidRPr="00017ED8">
              <w:rPr>
                <w:rFonts w:cstheme="minorHAnsi"/>
                <w:sz w:val="20"/>
                <w:szCs w:val="20"/>
              </w:rPr>
              <w:t>K</w:t>
            </w:r>
          </w:p>
        </w:tc>
        <w:tc>
          <w:tcPr>
            <w:tcW w:w="1187" w:type="pct"/>
          </w:tcPr>
          <w:p w14:paraId="378319F9" w14:textId="77777777" w:rsidR="00EB1844" w:rsidRPr="00017ED8" w:rsidRDefault="00EB1844" w:rsidP="00282737">
            <w:pPr>
              <w:spacing w:before="0" w:after="0"/>
              <w:jc w:val="center"/>
              <w:rPr>
                <w:rFonts w:cstheme="minorHAnsi"/>
                <w:sz w:val="20"/>
                <w:szCs w:val="20"/>
              </w:rPr>
            </w:pPr>
            <w:r w:rsidRPr="00017ED8">
              <w:rPr>
                <w:rFonts w:cs="Arial"/>
                <w:color w:val="000000"/>
                <w:sz w:val="20"/>
                <w:szCs w:val="20"/>
              </w:rPr>
              <w:t>Complementa</w:t>
            </w:r>
          </w:p>
        </w:tc>
      </w:tr>
      <w:tr w:rsidR="00EB1844" w:rsidRPr="00017ED8" w14:paraId="5F8224E3" w14:textId="77777777" w:rsidTr="00E634C6">
        <w:trPr>
          <w:trHeight w:val="238"/>
          <w:jc w:val="center"/>
        </w:trPr>
        <w:tc>
          <w:tcPr>
            <w:tcW w:w="1043" w:type="pct"/>
            <w:vAlign w:val="center"/>
          </w:tcPr>
          <w:p w14:paraId="7278B4BB" w14:textId="77777777" w:rsidR="00EB1844" w:rsidRPr="00017ED8" w:rsidRDefault="00EB1844" w:rsidP="00282737">
            <w:pPr>
              <w:spacing w:before="0" w:after="0"/>
              <w:jc w:val="left"/>
              <w:rPr>
                <w:rFonts w:cs="Arial"/>
                <w:color w:val="000000"/>
                <w:sz w:val="20"/>
                <w:szCs w:val="20"/>
              </w:rPr>
            </w:pPr>
            <w:r w:rsidRPr="00017ED8">
              <w:rPr>
                <w:rFonts w:cs="Arial"/>
                <w:color w:val="000000"/>
                <w:sz w:val="20"/>
                <w:szCs w:val="20"/>
              </w:rPr>
              <w:t>Programas Hidroagrícolas</w:t>
            </w:r>
          </w:p>
        </w:tc>
        <w:tc>
          <w:tcPr>
            <w:tcW w:w="994" w:type="pct"/>
            <w:vAlign w:val="center"/>
          </w:tcPr>
          <w:p w14:paraId="1BBA5B9A" w14:textId="77777777" w:rsidR="00EB1844" w:rsidRPr="00017ED8" w:rsidRDefault="00EB1844" w:rsidP="00927B4B">
            <w:pPr>
              <w:spacing w:before="0" w:after="0"/>
              <w:rPr>
                <w:rFonts w:cstheme="minorHAnsi"/>
                <w:sz w:val="20"/>
                <w:szCs w:val="20"/>
              </w:rPr>
            </w:pPr>
            <w:r w:rsidRPr="00017ED8">
              <w:rPr>
                <w:rFonts w:cstheme="minorHAnsi"/>
                <w:sz w:val="20"/>
                <w:szCs w:val="20"/>
              </w:rPr>
              <w:t>Productores rurales cuentan con usos eficientes y conservación del suelo y agua para la actividad primaria.</w:t>
            </w:r>
          </w:p>
        </w:tc>
        <w:tc>
          <w:tcPr>
            <w:tcW w:w="1149" w:type="pct"/>
            <w:vAlign w:val="center"/>
          </w:tcPr>
          <w:p w14:paraId="5758EB8D" w14:textId="77777777" w:rsidR="00EB1844" w:rsidRPr="00017ED8" w:rsidRDefault="00EB1844" w:rsidP="00927B4B">
            <w:pPr>
              <w:autoSpaceDE w:val="0"/>
              <w:autoSpaceDN w:val="0"/>
              <w:adjustRightInd w:val="0"/>
              <w:spacing w:before="0" w:after="0"/>
              <w:rPr>
                <w:rFonts w:cs="Arial"/>
                <w:color w:val="000000"/>
                <w:sz w:val="20"/>
                <w:szCs w:val="20"/>
              </w:rPr>
            </w:pPr>
            <w:r w:rsidRPr="00017ED8">
              <w:rPr>
                <w:rFonts w:cs="Arial"/>
                <w:color w:val="000000"/>
                <w:sz w:val="20"/>
                <w:szCs w:val="20"/>
              </w:rPr>
              <w:t>Contribuir al incremento de conservación de los recursos naturales del subsector hidroagrícola mediante la construcción de mejor infraestructura para el uso eficiente del agua.</w:t>
            </w:r>
          </w:p>
        </w:tc>
        <w:tc>
          <w:tcPr>
            <w:tcW w:w="627" w:type="pct"/>
          </w:tcPr>
          <w:p w14:paraId="09515A71" w14:textId="2F6A4960" w:rsidR="00EB1844" w:rsidRPr="00017ED8" w:rsidRDefault="00EB1844" w:rsidP="00927B4B">
            <w:pPr>
              <w:spacing w:before="0" w:after="0"/>
              <w:jc w:val="center"/>
              <w:rPr>
                <w:rFonts w:cstheme="minorHAnsi"/>
                <w:sz w:val="20"/>
                <w:szCs w:val="20"/>
              </w:rPr>
            </w:pPr>
            <w:r w:rsidRPr="00017ED8">
              <w:rPr>
                <w:rFonts w:cstheme="minorHAnsi"/>
                <w:sz w:val="20"/>
                <w:szCs w:val="20"/>
              </w:rPr>
              <w:t>K</w:t>
            </w:r>
          </w:p>
        </w:tc>
        <w:tc>
          <w:tcPr>
            <w:tcW w:w="1187" w:type="pct"/>
          </w:tcPr>
          <w:p w14:paraId="110748D7" w14:textId="77777777" w:rsidR="00EB1844" w:rsidRPr="00017ED8" w:rsidRDefault="00EB1844" w:rsidP="00282737">
            <w:pPr>
              <w:spacing w:before="0" w:after="0"/>
              <w:jc w:val="center"/>
              <w:rPr>
                <w:rFonts w:cstheme="minorHAnsi"/>
                <w:sz w:val="20"/>
                <w:szCs w:val="20"/>
              </w:rPr>
            </w:pPr>
            <w:r w:rsidRPr="00017ED8">
              <w:rPr>
                <w:rFonts w:cs="Arial"/>
                <w:color w:val="000000"/>
                <w:sz w:val="20"/>
                <w:szCs w:val="20"/>
              </w:rPr>
              <w:t>Complementa</w:t>
            </w:r>
          </w:p>
        </w:tc>
      </w:tr>
    </w:tbl>
    <w:p w14:paraId="1ECE0EEE" w14:textId="77777777" w:rsidR="00EB1844" w:rsidRDefault="00EB1844" w:rsidP="00EB1844">
      <w:pPr>
        <w:spacing w:before="0" w:after="160" w:line="259" w:lineRule="auto"/>
        <w:jc w:val="left"/>
        <w:rPr>
          <w:b/>
          <w:bCs/>
          <w:sz w:val="24"/>
          <w:szCs w:val="24"/>
        </w:rPr>
      </w:pPr>
      <w:r>
        <w:rPr>
          <w:bCs/>
        </w:rPr>
        <w:br w:type="page"/>
      </w:r>
    </w:p>
    <w:p w14:paraId="621F7A9B" w14:textId="77777777" w:rsidR="00EB1844" w:rsidRPr="00CE647A" w:rsidRDefault="00EB1844" w:rsidP="00EB1844">
      <w:pPr>
        <w:pStyle w:val="Anexos"/>
        <w:rPr>
          <w:i w:val="0"/>
          <w:iCs/>
        </w:rPr>
      </w:pPr>
      <w:bookmarkStart w:id="138" w:name="_Toc45480709"/>
      <w:bookmarkStart w:id="139" w:name="_Toc54262977"/>
      <w:bookmarkStart w:id="140" w:name="_Toc55497589"/>
      <w:bookmarkStart w:id="141" w:name="_Toc55542100"/>
      <w:bookmarkStart w:id="142" w:name="_Toc56423510"/>
      <w:bookmarkStart w:id="143" w:name="_Toc56423721"/>
      <w:bookmarkStart w:id="144" w:name="_Toc56449872"/>
      <w:r w:rsidRPr="00CE647A">
        <w:rPr>
          <w:i w:val="0"/>
          <w:iCs/>
        </w:rPr>
        <w:lastRenderedPageBreak/>
        <w:t>Anexo 7. Valor agregado de los Programas presupuestarios al Fondo</w:t>
      </w:r>
      <w:bookmarkEnd w:id="138"/>
      <w:bookmarkEnd w:id="139"/>
      <w:bookmarkEnd w:id="140"/>
      <w:bookmarkEnd w:id="141"/>
      <w:bookmarkEnd w:id="142"/>
      <w:bookmarkEnd w:id="143"/>
      <w:bookmarkEnd w:id="144"/>
    </w:p>
    <w:tbl>
      <w:tblPr>
        <w:tblStyle w:val="Tablaconcuadrcula2"/>
        <w:tblW w:w="4984" w:type="pct"/>
        <w:tblLook w:val="04A0" w:firstRow="1" w:lastRow="0" w:firstColumn="1" w:lastColumn="0" w:noHBand="0" w:noVBand="1"/>
      </w:tblPr>
      <w:tblGrid>
        <w:gridCol w:w="2122"/>
        <w:gridCol w:w="2693"/>
        <w:gridCol w:w="1622"/>
        <w:gridCol w:w="2915"/>
        <w:gridCol w:w="4167"/>
      </w:tblGrid>
      <w:tr w:rsidR="00FE644D" w:rsidRPr="00367C47" w14:paraId="1B97C8D6" w14:textId="77777777" w:rsidTr="00FE644D">
        <w:trPr>
          <w:trHeight w:val="383"/>
          <w:tblHeader/>
        </w:trPr>
        <w:tc>
          <w:tcPr>
            <w:tcW w:w="785" w:type="pct"/>
            <w:shd w:val="clear" w:color="auto" w:fill="9CC2E5"/>
            <w:vAlign w:val="center"/>
          </w:tcPr>
          <w:p w14:paraId="6CAF6459" w14:textId="77777777" w:rsidR="00EB1844" w:rsidRPr="00367C47" w:rsidRDefault="00EB1844" w:rsidP="00D96461">
            <w:pPr>
              <w:spacing w:before="0" w:after="0"/>
              <w:jc w:val="center"/>
              <w:rPr>
                <w:rFonts w:ascii="Calibri" w:eastAsia="Calibri" w:hAnsi="Calibri" w:cs="Times New Roman"/>
                <w:b/>
                <w:iCs/>
                <w:sz w:val="20"/>
                <w:szCs w:val="20"/>
                <w:lang w:val="es-ES"/>
              </w:rPr>
            </w:pPr>
            <w:r w:rsidRPr="00367C47">
              <w:rPr>
                <w:rFonts w:ascii="Calibri" w:eastAsia="Calibri" w:hAnsi="Calibri" w:cs="Times New Roman"/>
                <w:b/>
                <w:iCs/>
                <w:sz w:val="20"/>
                <w:szCs w:val="20"/>
                <w:lang w:val="es-ES"/>
              </w:rPr>
              <w:t>Nombre del Pp</w:t>
            </w:r>
          </w:p>
        </w:tc>
        <w:tc>
          <w:tcPr>
            <w:tcW w:w="996" w:type="pct"/>
            <w:shd w:val="clear" w:color="auto" w:fill="9CC2E5"/>
            <w:vAlign w:val="center"/>
          </w:tcPr>
          <w:p w14:paraId="1FA99495" w14:textId="77777777" w:rsidR="00EB1844" w:rsidRPr="00367C47" w:rsidRDefault="00EB1844" w:rsidP="00D96461">
            <w:pPr>
              <w:spacing w:before="0" w:after="0"/>
              <w:jc w:val="center"/>
              <w:rPr>
                <w:rFonts w:ascii="Calibri" w:eastAsia="Calibri" w:hAnsi="Calibri" w:cs="Times New Roman"/>
                <w:b/>
                <w:iCs/>
                <w:sz w:val="20"/>
                <w:szCs w:val="20"/>
                <w:lang w:val="es-ES"/>
              </w:rPr>
            </w:pPr>
            <w:r w:rsidRPr="00367C47">
              <w:rPr>
                <w:rFonts w:ascii="Calibri" w:eastAsia="Calibri" w:hAnsi="Calibri" w:cs="Times New Roman"/>
                <w:b/>
                <w:iCs/>
                <w:sz w:val="20"/>
                <w:szCs w:val="20"/>
                <w:lang w:val="es-ES"/>
              </w:rPr>
              <w:t>Características generales</w:t>
            </w:r>
          </w:p>
        </w:tc>
        <w:tc>
          <w:tcPr>
            <w:tcW w:w="600" w:type="pct"/>
            <w:shd w:val="clear" w:color="auto" w:fill="9CC2E5"/>
            <w:vAlign w:val="center"/>
          </w:tcPr>
          <w:p w14:paraId="47B5E17C" w14:textId="77777777" w:rsidR="00EB1844" w:rsidRPr="00367C47" w:rsidRDefault="00EB1844" w:rsidP="00D96461">
            <w:pPr>
              <w:spacing w:before="0" w:after="0"/>
              <w:jc w:val="center"/>
              <w:rPr>
                <w:rFonts w:ascii="Calibri" w:eastAsia="Calibri" w:hAnsi="Calibri" w:cs="Times New Roman"/>
                <w:b/>
                <w:iCs/>
                <w:sz w:val="20"/>
                <w:szCs w:val="20"/>
                <w:lang w:val="es-ES"/>
              </w:rPr>
            </w:pPr>
            <w:r w:rsidRPr="00367C47">
              <w:rPr>
                <w:rFonts w:ascii="Calibri" w:eastAsia="Calibri" w:hAnsi="Calibri" w:cs="Times New Roman"/>
                <w:b/>
                <w:iCs/>
                <w:sz w:val="20"/>
                <w:szCs w:val="20"/>
                <w:lang w:val="es-ES"/>
              </w:rPr>
              <w:t>Modalidad</w:t>
            </w:r>
          </w:p>
        </w:tc>
        <w:tc>
          <w:tcPr>
            <w:tcW w:w="1078" w:type="pct"/>
            <w:shd w:val="clear" w:color="auto" w:fill="9CC2E5"/>
            <w:vAlign w:val="center"/>
          </w:tcPr>
          <w:p w14:paraId="27982538" w14:textId="77777777" w:rsidR="00EB1844" w:rsidRPr="00367C47" w:rsidRDefault="00EB1844" w:rsidP="00D96461">
            <w:pPr>
              <w:spacing w:before="0" w:after="0"/>
              <w:jc w:val="center"/>
              <w:rPr>
                <w:rFonts w:ascii="Calibri" w:eastAsia="Calibri" w:hAnsi="Calibri" w:cs="Times New Roman"/>
                <w:b/>
                <w:iCs/>
                <w:sz w:val="20"/>
                <w:szCs w:val="20"/>
                <w:lang w:val="es-ES"/>
              </w:rPr>
            </w:pPr>
            <w:r w:rsidRPr="00367C47">
              <w:rPr>
                <w:rFonts w:ascii="Calibri" w:eastAsia="Calibri" w:hAnsi="Calibri" w:cs="Times New Roman"/>
                <w:b/>
                <w:iCs/>
                <w:sz w:val="20"/>
                <w:szCs w:val="20"/>
                <w:lang w:val="es-ES"/>
              </w:rPr>
              <w:t>Objetivos</w:t>
            </w:r>
          </w:p>
        </w:tc>
        <w:tc>
          <w:tcPr>
            <w:tcW w:w="1541" w:type="pct"/>
            <w:shd w:val="clear" w:color="auto" w:fill="9CC2E5"/>
            <w:vAlign w:val="center"/>
          </w:tcPr>
          <w:p w14:paraId="12D8A0A6" w14:textId="77777777" w:rsidR="00EB1844" w:rsidRPr="00367C47" w:rsidRDefault="00EB1844" w:rsidP="00D96461">
            <w:pPr>
              <w:spacing w:before="0" w:after="0"/>
              <w:jc w:val="center"/>
              <w:rPr>
                <w:rFonts w:ascii="Calibri" w:eastAsia="Calibri" w:hAnsi="Calibri" w:cs="Times New Roman"/>
                <w:b/>
                <w:iCs/>
                <w:sz w:val="20"/>
                <w:szCs w:val="20"/>
                <w:lang w:val="es-ES"/>
              </w:rPr>
            </w:pPr>
            <w:r w:rsidRPr="00367C47">
              <w:rPr>
                <w:rFonts w:ascii="Calibri" w:eastAsia="Calibri" w:hAnsi="Calibri" w:cs="Times New Roman"/>
                <w:b/>
                <w:iCs/>
                <w:sz w:val="20"/>
                <w:szCs w:val="20"/>
                <w:lang w:val="es-ES"/>
              </w:rPr>
              <w:t>Valor que agregan al Fondo</w:t>
            </w:r>
          </w:p>
        </w:tc>
      </w:tr>
      <w:tr w:rsidR="00FE644D" w:rsidRPr="00367C47" w14:paraId="78533F70" w14:textId="77777777" w:rsidTr="00FE644D">
        <w:trPr>
          <w:trHeight w:val="841"/>
        </w:trPr>
        <w:tc>
          <w:tcPr>
            <w:tcW w:w="785" w:type="pct"/>
            <w:vAlign w:val="center"/>
          </w:tcPr>
          <w:p w14:paraId="6C82D327" w14:textId="4A7AFBBF" w:rsidR="008F1163" w:rsidRPr="00367C47" w:rsidRDefault="008F1163" w:rsidP="00D96461">
            <w:pPr>
              <w:spacing w:before="0" w:after="0"/>
              <w:rPr>
                <w:rFonts w:cs="Arial"/>
                <w:color w:val="000000"/>
                <w:sz w:val="20"/>
                <w:szCs w:val="20"/>
              </w:rPr>
            </w:pPr>
            <w:r w:rsidRPr="008F1163">
              <w:rPr>
                <w:rFonts w:cs="Arial"/>
                <w:color w:val="000000"/>
                <w:sz w:val="20"/>
                <w:szCs w:val="20"/>
              </w:rPr>
              <w:t>Deuda</w:t>
            </w:r>
          </w:p>
        </w:tc>
        <w:tc>
          <w:tcPr>
            <w:tcW w:w="996" w:type="pct"/>
            <w:vAlign w:val="center"/>
          </w:tcPr>
          <w:p w14:paraId="71EB788D" w14:textId="3F9A7D5D" w:rsidR="008F1163" w:rsidRPr="00367C47" w:rsidRDefault="003C04F4" w:rsidP="00D96461">
            <w:pPr>
              <w:spacing w:before="0" w:after="0"/>
              <w:rPr>
                <w:rFonts w:cstheme="minorHAnsi"/>
                <w:sz w:val="20"/>
                <w:szCs w:val="20"/>
              </w:rPr>
            </w:pPr>
            <w:r>
              <w:rPr>
                <w:rFonts w:cstheme="minorHAnsi"/>
                <w:sz w:val="20"/>
                <w:szCs w:val="20"/>
              </w:rPr>
              <w:t>Administración de la deuda</w:t>
            </w:r>
          </w:p>
        </w:tc>
        <w:tc>
          <w:tcPr>
            <w:tcW w:w="600" w:type="pct"/>
            <w:vAlign w:val="center"/>
          </w:tcPr>
          <w:p w14:paraId="717C9CF3" w14:textId="276AD09B" w:rsidR="008F1163" w:rsidRPr="00367C47" w:rsidRDefault="008F1163" w:rsidP="00D96461">
            <w:pPr>
              <w:spacing w:before="0" w:after="0"/>
              <w:jc w:val="center"/>
              <w:rPr>
                <w:rFonts w:cs="Arial"/>
                <w:color w:val="000000"/>
                <w:sz w:val="20"/>
                <w:szCs w:val="20"/>
              </w:rPr>
            </w:pPr>
            <w:r>
              <w:rPr>
                <w:rFonts w:cs="Arial"/>
                <w:color w:val="000000"/>
                <w:sz w:val="20"/>
                <w:szCs w:val="20"/>
              </w:rPr>
              <w:t>D</w:t>
            </w:r>
          </w:p>
        </w:tc>
        <w:tc>
          <w:tcPr>
            <w:tcW w:w="1078" w:type="pct"/>
            <w:vAlign w:val="center"/>
          </w:tcPr>
          <w:p w14:paraId="549E0D7D" w14:textId="5AC3874D" w:rsidR="008F1163" w:rsidRPr="00367C47" w:rsidRDefault="008F1163" w:rsidP="008F1163">
            <w:pPr>
              <w:spacing w:before="0" w:after="0"/>
              <w:rPr>
                <w:rFonts w:ascii="Calibri" w:eastAsia="Calibri" w:hAnsi="Calibri" w:cs="Calibri"/>
                <w:sz w:val="20"/>
                <w:szCs w:val="20"/>
                <w:lang w:val="es-ES"/>
              </w:rPr>
            </w:pPr>
            <w:r>
              <w:rPr>
                <w:rFonts w:ascii="Calibri" w:eastAsia="Calibri" w:hAnsi="Calibri" w:cs="Calibri"/>
                <w:sz w:val="20"/>
                <w:szCs w:val="20"/>
                <w:lang w:val="es-ES"/>
              </w:rPr>
              <w:t>E</w:t>
            </w:r>
            <w:r w:rsidRPr="008F1163">
              <w:rPr>
                <w:rFonts w:ascii="Calibri" w:eastAsia="Calibri" w:hAnsi="Calibri" w:cs="Calibri"/>
                <w:sz w:val="20"/>
                <w:szCs w:val="20"/>
                <w:lang w:val="es-ES"/>
              </w:rPr>
              <w:t xml:space="preserve">l </w:t>
            </w:r>
            <w:r>
              <w:rPr>
                <w:rFonts w:ascii="Calibri" w:eastAsia="Calibri" w:hAnsi="Calibri" w:cs="Calibri"/>
                <w:sz w:val="20"/>
                <w:szCs w:val="20"/>
                <w:lang w:val="es-ES"/>
              </w:rPr>
              <w:t>E</w:t>
            </w:r>
            <w:r w:rsidRPr="008F1163">
              <w:rPr>
                <w:rFonts w:ascii="Calibri" w:eastAsia="Calibri" w:hAnsi="Calibri" w:cs="Calibri"/>
                <w:sz w:val="20"/>
                <w:szCs w:val="20"/>
                <w:lang w:val="es-ES"/>
              </w:rPr>
              <w:t xml:space="preserve">stado de </w:t>
            </w:r>
            <w:r>
              <w:rPr>
                <w:rFonts w:ascii="Calibri" w:eastAsia="Calibri" w:hAnsi="Calibri" w:cs="Calibri"/>
                <w:sz w:val="20"/>
                <w:szCs w:val="20"/>
                <w:lang w:val="es-ES"/>
              </w:rPr>
              <w:t>H</w:t>
            </w:r>
            <w:r w:rsidRPr="008F1163">
              <w:rPr>
                <w:rFonts w:ascii="Calibri" w:eastAsia="Calibri" w:hAnsi="Calibri" w:cs="Calibri"/>
                <w:sz w:val="20"/>
                <w:szCs w:val="20"/>
                <w:lang w:val="es-ES"/>
              </w:rPr>
              <w:t>idalgo cuenta con</w:t>
            </w:r>
            <w:r>
              <w:rPr>
                <w:rFonts w:ascii="Calibri" w:eastAsia="Calibri" w:hAnsi="Calibri" w:cs="Calibri"/>
                <w:sz w:val="20"/>
                <w:szCs w:val="20"/>
                <w:lang w:val="es-ES"/>
              </w:rPr>
              <w:t xml:space="preserve"> </w:t>
            </w:r>
            <w:r w:rsidRPr="008F1163">
              <w:rPr>
                <w:rFonts w:ascii="Calibri" w:eastAsia="Calibri" w:hAnsi="Calibri" w:cs="Calibri"/>
                <w:sz w:val="20"/>
                <w:szCs w:val="20"/>
                <w:lang w:val="es-ES"/>
              </w:rPr>
              <w:t>una calidad crediticia favorable</w:t>
            </w:r>
            <w:r>
              <w:rPr>
                <w:rFonts w:ascii="Calibri" w:eastAsia="Calibri" w:hAnsi="Calibri" w:cs="Calibri"/>
                <w:sz w:val="20"/>
                <w:szCs w:val="20"/>
                <w:lang w:val="es-ES"/>
              </w:rPr>
              <w:t>.</w:t>
            </w:r>
          </w:p>
        </w:tc>
        <w:tc>
          <w:tcPr>
            <w:tcW w:w="1541" w:type="pct"/>
            <w:vAlign w:val="center"/>
          </w:tcPr>
          <w:p w14:paraId="4E784DF3" w14:textId="27CAFCEE" w:rsidR="008F1163" w:rsidRPr="00367C47" w:rsidRDefault="003C04F4" w:rsidP="00D96461">
            <w:pPr>
              <w:spacing w:before="0" w:after="0"/>
              <w:rPr>
                <w:rFonts w:ascii="Calibri" w:eastAsia="Calibri" w:hAnsi="Calibri" w:cs="Times New Roman"/>
                <w:bCs/>
                <w:iCs/>
                <w:sz w:val="20"/>
                <w:szCs w:val="20"/>
                <w:lang w:val="es-ES"/>
              </w:rPr>
            </w:pPr>
            <w:r>
              <w:rPr>
                <w:rFonts w:ascii="Calibri" w:eastAsia="Calibri" w:hAnsi="Calibri" w:cs="Calibri"/>
                <w:sz w:val="20"/>
                <w:szCs w:val="20"/>
                <w:lang w:val="es-ES"/>
              </w:rPr>
              <w:t>C</w:t>
            </w:r>
            <w:r w:rsidRPr="003C04F4">
              <w:rPr>
                <w:rFonts w:ascii="Calibri" w:eastAsia="Calibri" w:hAnsi="Calibri" w:cs="Calibri"/>
                <w:sz w:val="20"/>
                <w:szCs w:val="20"/>
                <w:lang w:val="es-ES"/>
              </w:rPr>
              <w:t>ontribu</w:t>
            </w:r>
            <w:r>
              <w:rPr>
                <w:rFonts w:ascii="Calibri" w:eastAsia="Calibri" w:hAnsi="Calibri" w:cs="Calibri"/>
                <w:sz w:val="20"/>
                <w:szCs w:val="20"/>
                <w:lang w:val="es-ES"/>
              </w:rPr>
              <w:t>ye</w:t>
            </w:r>
            <w:r w:rsidRPr="003C04F4">
              <w:rPr>
                <w:rFonts w:ascii="Calibri" w:eastAsia="Calibri" w:hAnsi="Calibri" w:cs="Calibri"/>
                <w:sz w:val="20"/>
                <w:szCs w:val="20"/>
                <w:lang w:val="es-ES"/>
              </w:rPr>
              <w:t xml:space="preserve"> a mantener el control de la deuda y diversificar opciones de financiamiento mediante la mejora del perfil crediticio del estado</w:t>
            </w:r>
            <w:r>
              <w:rPr>
                <w:rFonts w:ascii="Calibri" w:eastAsia="Calibri" w:hAnsi="Calibri" w:cs="Calibri"/>
                <w:sz w:val="20"/>
                <w:szCs w:val="20"/>
                <w:lang w:val="es-ES"/>
              </w:rPr>
              <w:t xml:space="preserve"> a través de garantizar el pago de amortizaciones, intereses y comisiones de la deuda.</w:t>
            </w:r>
          </w:p>
        </w:tc>
      </w:tr>
      <w:tr w:rsidR="00FE644D" w:rsidRPr="00367C47" w14:paraId="0065022F" w14:textId="77777777" w:rsidTr="00FE644D">
        <w:trPr>
          <w:trHeight w:val="2482"/>
        </w:trPr>
        <w:tc>
          <w:tcPr>
            <w:tcW w:w="785" w:type="pct"/>
            <w:vAlign w:val="center"/>
          </w:tcPr>
          <w:p w14:paraId="29008CFD" w14:textId="77777777" w:rsidR="00EB1844" w:rsidRPr="00367C47" w:rsidRDefault="00EB1844" w:rsidP="00D96461">
            <w:pPr>
              <w:spacing w:before="0" w:after="0"/>
              <w:rPr>
                <w:rFonts w:ascii="Calibri" w:eastAsia="Calibri" w:hAnsi="Calibri" w:cs="Times New Roman"/>
                <w:b/>
                <w:iCs/>
                <w:sz w:val="20"/>
                <w:szCs w:val="20"/>
                <w:lang w:val="es-ES"/>
              </w:rPr>
            </w:pPr>
            <w:r w:rsidRPr="00367C47">
              <w:rPr>
                <w:rFonts w:cs="Arial"/>
                <w:color w:val="000000"/>
                <w:sz w:val="20"/>
                <w:szCs w:val="20"/>
              </w:rPr>
              <w:t>Inversión para el Fortalecimiento de la Gobernabilidad Democrática y Gobernanza.</w:t>
            </w:r>
          </w:p>
        </w:tc>
        <w:tc>
          <w:tcPr>
            <w:tcW w:w="996" w:type="pct"/>
            <w:vAlign w:val="center"/>
          </w:tcPr>
          <w:p w14:paraId="152D982F" w14:textId="2EB34060" w:rsidR="00EB1844" w:rsidRPr="00367C47" w:rsidRDefault="00EB1844" w:rsidP="00D96461">
            <w:pPr>
              <w:spacing w:before="0" w:after="0"/>
              <w:rPr>
                <w:rFonts w:ascii="Calibri" w:eastAsia="Calibri" w:hAnsi="Calibri" w:cs="Times New Roman"/>
                <w:b/>
                <w:iCs/>
                <w:sz w:val="20"/>
                <w:szCs w:val="20"/>
                <w:lang w:val="es-ES"/>
              </w:rPr>
            </w:pPr>
            <w:r w:rsidRPr="00367C47">
              <w:rPr>
                <w:rFonts w:cstheme="minorHAnsi"/>
                <w:sz w:val="20"/>
                <w:szCs w:val="20"/>
              </w:rPr>
              <w:t xml:space="preserve">La población del </w:t>
            </w:r>
            <w:r w:rsidR="005934C9">
              <w:rPr>
                <w:rFonts w:cstheme="minorHAnsi"/>
                <w:sz w:val="20"/>
                <w:szCs w:val="20"/>
              </w:rPr>
              <w:t>E</w:t>
            </w:r>
            <w:r w:rsidRPr="00367C47">
              <w:rPr>
                <w:rFonts w:cstheme="minorHAnsi"/>
                <w:sz w:val="20"/>
                <w:szCs w:val="20"/>
              </w:rPr>
              <w:t>stado de Hidalgo recibe solución a sus conflictos y peticiones en el ámbito político social</w:t>
            </w:r>
          </w:p>
        </w:tc>
        <w:tc>
          <w:tcPr>
            <w:tcW w:w="600" w:type="pct"/>
            <w:vAlign w:val="center"/>
          </w:tcPr>
          <w:p w14:paraId="1134077D" w14:textId="04F6C1C2" w:rsidR="00EB1844" w:rsidRPr="00367C47" w:rsidRDefault="00EB1844" w:rsidP="00D96461">
            <w:pPr>
              <w:spacing w:before="0" w:after="0"/>
              <w:jc w:val="center"/>
              <w:rPr>
                <w:rFonts w:ascii="Calibri" w:eastAsia="Calibri" w:hAnsi="Calibri" w:cs="Times New Roman"/>
                <w:bCs/>
                <w:iCs/>
                <w:sz w:val="20"/>
                <w:szCs w:val="20"/>
                <w:lang w:val="es-ES"/>
              </w:rPr>
            </w:pPr>
            <w:r w:rsidRPr="00367C47">
              <w:rPr>
                <w:rFonts w:cs="Arial"/>
                <w:color w:val="000000"/>
                <w:sz w:val="20"/>
                <w:szCs w:val="20"/>
              </w:rPr>
              <w:t>R</w:t>
            </w:r>
          </w:p>
        </w:tc>
        <w:tc>
          <w:tcPr>
            <w:tcW w:w="1078" w:type="pct"/>
            <w:vAlign w:val="center"/>
          </w:tcPr>
          <w:p w14:paraId="140FF3AB" w14:textId="77777777" w:rsidR="00EB1844" w:rsidRPr="00367C47" w:rsidRDefault="00EB1844" w:rsidP="00D96461">
            <w:pPr>
              <w:spacing w:before="0" w:after="0"/>
              <w:rPr>
                <w:rFonts w:ascii="Calibri" w:eastAsia="Calibri" w:hAnsi="Calibri" w:cs="Times New Roman"/>
                <w:b/>
                <w:iCs/>
                <w:sz w:val="20"/>
                <w:szCs w:val="20"/>
                <w:lang w:val="es-ES"/>
              </w:rPr>
            </w:pPr>
            <w:r w:rsidRPr="00367C47">
              <w:rPr>
                <w:rFonts w:ascii="Calibri" w:eastAsia="Calibri" w:hAnsi="Calibri" w:cs="Calibri"/>
                <w:sz w:val="20"/>
                <w:szCs w:val="20"/>
                <w:lang w:val="es-ES"/>
              </w:rPr>
              <w:t>Contribuir a establecer un vínculo permanente entre la sociedad civil y el gobierno, mediante el dialogo, constructivo como herramienta fundamental para la concentración, con la finalidad de prevenir y en su caso, solucionar conflictos políticos, sociales, agrarios y religiosos bajo la perspectiva de género.</w:t>
            </w:r>
          </w:p>
        </w:tc>
        <w:tc>
          <w:tcPr>
            <w:tcW w:w="1541" w:type="pct"/>
            <w:vAlign w:val="center"/>
          </w:tcPr>
          <w:p w14:paraId="4303B5DF" w14:textId="6B51B83F" w:rsidR="00EB1844" w:rsidRPr="00367C47" w:rsidRDefault="00EB1844" w:rsidP="00D96461">
            <w:pPr>
              <w:spacing w:before="0" w:after="0"/>
              <w:rPr>
                <w:rFonts w:ascii="Calibri" w:eastAsia="Calibri" w:hAnsi="Calibri" w:cs="Times New Roman"/>
                <w:bCs/>
                <w:iCs/>
                <w:sz w:val="20"/>
                <w:szCs w:val="20"/>
                <w:lang w:val="es-ES"/>
              </w:rPr>
            </w:pPr>
            <w:r w:rsidRPr="00367C47">
              <w:rPr>
                <w:rFonts w:ascii="Calibri" w:eastAsia="Calibri" w:hAnsi="Calibri" w:cs="Times New Roman"/>
                <w:bCs/>
                <w:iCs/>
                <w:sz w:val="20"/>
                <w:szCs w:val="20"/>
                <w:lang w:val="es-ES"/>
              </w:rPr>
              <w:t xml:space="preserve">Cumple con la LCF, está vinculado al rubro de gasto IV. </w:t>
            </w:r>
            <w:r w:rsidRPr="00367C47">
              <w:rPr>
                <w:sz w:val="20"/>
                <w:szCs w:val="20"/>
              </w:rPr>
              <w:t>Modernización de los registro</w:t>
            </w:r>
            <w:r w:rsidR="007C6C5E">
              <w:rPr>
                <w:sz w:val="20"/>
                <w:szCs w:val="20"/>
              </w:rPr>
              <w:t>s públicos de la propiedad y de</w:t>
            </w:r>
            <w:r w:rsidRPr="00367C47">
              <w:rPr>
                <w:sz w:val="20"/>
                <w:szCs w:val="20"/>
              </w:rPr>
              <w:t xml:space="preserve"> comercio locales. Los recursos del Fondo agregan valor al cubrir costos de adquisición y mantenimiento de equipos y software útiles para garantizar y modernizar la atención de la población.</w:t>
            </w:r>
          </w:p>
        </w:tc>
      </w:tr>
      <w:tr w:rsidR="00FE644D" w:rsidRPr="00367C47" w14:paraId="49D4C473" w14:textId="77777777" w:rsidTr="005E1463">
        <w:trPr>
          <w:trHeight w:val="1054"/>
        </w:trPr>
        <w:tc>
          <w:tcPr>
            <w:tcW w:w="785" w:type="pct"/>
            <w:vAlign w:val="center"/>
          </w:tcPr>
          <w:p w14:paraId="5CB9AAB4" w14:textId="1DEE1E30" w:rsidR="008F1163" w:rsidRPr="00367C47" w:rsidRDefault="008F1163" w:rsidP="00D96461">
            <w:pPr>
              <w:spacing w:before="0" w:after="0"/>
              <w:rPr>
                <w:rFonts w:cs="Arial"/>
                <w:color w:val="000000"/>
                <w:sz w:val="20"/>
                <w:szCs w:val="20"/>
              </w:rPr>
            </w:pPr>
            <w:r w:rsidRPr="008F1163">
              <w:rPr>
                <w:rFonts w:cs="Arial"/>
                <w:color w:val="000000"/>
                <w:sz w:val="20"/>
                <w:szCs w:val="20"/>
              </w:rPr>
              <w:t>Becas para la Educación</w:t>
            </w:r>
          </w:p>
        </w:tc>
        <w:tc>
          <w:tcPr>
            <w:tcW w:w="996" w:type="pct"/>
            <w:vAlign w:val="center"/>
          </w:tcPr>
          <w:p w14:paraId="59D695C1" w14:textId="7EAC941E" w:rsidR="008F1163" w:rsidRPr="00367C47" w:rsidRDefault="00F01B1E" w:rsidP="00D96461">
            <w:pPr>
              <w:spacing w:before="0" w:after="0"/>
              <w:rPr>
                <w:rFonts w:cstheme="minorHAnsi"/>
                <w:sz w:val="20"/>
                <w:szCs w:val="20"/>
              </w:rPr>
            </w:pPr>
            <w:r>
              <w:rPr>
                <w:rFonts w:cstheme="minorHAnsi"/>
                <w:sz w:val="20"/>
                <w:szCs w:val="20"/>
              </w:rPr>
              <w:t>Entrega de becas a estudiantes del sistema educativo estatal</w:t>
            </w:r>
          </w:p>
        </w:tc>
        <w:tc>
          <w:tcPr>
            <w:tcW w:w="600" w:type="pct"/>
            <w:vAlign w:val="center"/>
          </w:tcPr>
          <w:p w14:paraId="183BE934" w14:textId="064E2588" w:rsidR="008F1163" w:rsidRPr="00367C47" w:rsidRDefault="008F1163" w:rsidP="00D96461">
            <w:pPr>
              <w:spacing w:before="0" w:after="0"/>
              <w:jc w:val="center"/>
              <w:rPr>
                <w:rFonts w:cs="Arial"/>
                <w:color w:val="000000"/>
                <w:sz w:val="20"/>
                <w:szCs w:val="20"/>
              </w:rPr>
            </w:pPr>
            <w:r>
              <w:rPr>
                <w:rFonts w:cs="Arial"/>
                <w:color w:val="000000"/>
                <w:sz w:val="20"/>
                <w:szCs w:val="20"/>
              </w:rPr>
              <w:t>K</w:t>
            </w:r>
          </w:p>
        </w:tc>
        <w:tc>
          <w:tcPr>
            <w:tcW w:w="1078" w:type="pct"/>
            <w:vAlign w:val="center"/>
          </w:tcPr>
          <w:p w14:paraId="6EC8DFD9" w14:textId="1C00055B" w:rsidR="00505F48" w:rsidRPr="00505F48" w:rsidRDefault="00505F48" w:rsidP="00505F48">
            <w:pPr>
              <w:spacing w:before="0" w:after="0"/>
              <w:rPr>
                <w:rFonts w:ascii="Calibri" w:eastAsia="Calibri" w:hAnsi="Calibri" w:cs="Calibri"/>
                <w:sz w:val="20"/>
                <w:szCs w:val="20"/>
                <w:lang w:val="es-ES"/>
              </w:rPr>
            </w:pPr>
            <w:r>
              <w:rPr>
                <w:rFonts w:ascii="Calibri" w:eastAsia="Calibri" w:hAnsi="Calibri" w:cs="Calibri"/>
                <w:sz w:val="20"/>
                <w:szCs w:val="20"/>
                <w:lang w:val="es-ES"/>
              </w:rPr>
              <w:t>C</w:t>
            </w:r>
            <w:r w:rsidRPr="00505F48">
              <w:rPr>
                <w:rFonts w:ascii="Calibri" w:eastAsia="Calibri" w:hAnsi="Calibri" w:cs="Calibri"/>
                <w:sz w:val="20"/>
                <w:szCs w:val="20"/>
                <w:lang w:val="es-ES"/>
              </w:rPr>
              <w:t>ontribuir al acceso, la</w:t>
            </w:r>
            <w:r>
              <w:rPr>
                <w:rFonts w:ascii="Calibri" w:eastAsia="Calibri" w:hAnsi="Calibri" w:cs="Calibri"/>
                <w:sz w:val="20"/>
                <w:szCs w:val="20"/>
                <w:lang w:val="es-ES"/>
              </w:rPr>
              <w:t xml:space="preserve"> </w:t>
            </w:r>
            <w:r w:rsidRPr="00505F48">
              <w:rPr>
                <w:rFonts w:ascii="Calibri" w:eastAsia="Calibri" w:hAnsi="Calibri" w:cs="Calibri"/>
                <w:sz w:val="20"/>
                <w:szCs w:val="20"/>
                <w:lang w:val="es-ES"/>
              </w:rPr>
              <w:t>permanencia y egreso de los</w:t>
            </w:r>
            <w:r>
              <w:rPr>
                <w:rFonts w:ascii="Calibri" w:eastAsia="Calibri" w:hAnsi="Calibri" w:cs="Calibri"/>
                <w:sz w:val="20"/>
                <w:szCs w:val="20"/>
                <w:lang w:val="es-ES"/>
              </w:rPr>
              <w:t xml:space="preserve"> </w:t>
            </w:r>
            <w:r w:rsidRPr="00505F48">
              <w:rPr>
                <w:rFonts w:ascii="Calibri" w:eastAsia="Calibri" w:hAnsi="Calibri" w:cs="Calibri"/>
                <w:sz w:val="20"/>
                <w:szCs w:val="20"/>
                <w:lang w:val="es-ES"/>
              </w:rPr>
              <w:t>estudiantes que participan en el</w:t>
            </w:r>
            <w:r>
              <w:rPr>
                <w:rFonts w:ascii="Calibri" w:eastAsia="Calibri" w:hAnsi="Calibri" w:cs="Calibri"/>
                <w:sz w:val="20"/>
                <w:szCs w:val="20"/>
                <w:lang w:val="es-ES"/>
              </w:rPr>
              <w:t xml:space="preserve"> </w:t>
            </w:r>
            <w:r w:rsidRPr="00505F48">
              <w:rPr>
                <w:rFonts w:ascii="Calibri" w:eastAsia="Calibri" w:hAnsi="Calibri" w:cs="Calibri"/>
                <w:sz w:val="20"/>
                <w:szCs w:val="20"/>
                <w:lang w:val="es-ES"/>
              </w:rPr>
              <w:t>sistema educativo estatal</w:t>
            </w:r>
            <w:r>
              <w:rPr>
                <w:rFonts w:ascii="Calibri" w:eastAsia="Calibri" w:hAnsi="Calibri" w:cs="Calibri"/>
                <w:sz w:val="20"/>
                <w:szCs w:val="20"/>
                <w:lang w:val="es-ES"/>
              </w:rPr>
              <w:t xml:space="preserve"> </w:t>
            </w:r>
            <w:r w:rsidRPr="00505F48">
              <w:rPr>
                <w:rFonts w:ascii="Calibri" w:eastAsia="Calibri" w:hAnsi="Calibri" w:cs="Calibri"/>
                <w:sz w:val="20"/>
                <w:szCs w:val="20"/>
                <w:lang w:val="es-ES"/>
              </w:rPr>
              <w:t>mediante el otorgamiento de una</w:t>
            </w:r>
          </w:p>
          <w:p w14:paraId="4D6E2C6F" w14:textId="35AC6869" w:rsidR="008F1163" w:rsidRPr="00367C47" w:rsidRDefault="00505F48" w:rsidP="00505F48">
            <w:pPr>
              <w:spacing w:before="0" w:after="0"/>
              <w:rPr>
                <w:rFonts w:ascii="Calibri" w:eastAsia="Calibri" w:hAnsi="Calibri" w:cs="Calibri"/>
                <w:sz w:val="20"/>
                <w:szCs w:val="20"/>
                <w:lang w:val="es-ES"/>
              </w:rPr>
            </w:pPr>
            <w:r w:rsidRPr="00505F48">
              <w:rPr>
                <w:rFonts w:ascii="Calibri" w:eastAsia="Calibri" w:hAnsi="Calibri" w:cs="Calibri"/>
                <w:sz w:val="20"/>
                <w:szCs w:val="20"/>
                <w:lang w:val="es-ES"/>
              </w:rPr>
              <w:t>beca y/o apoyo económico.</w:t>
            </w:r>
          </w:p>
        </w:tc>
        <w:tc>
          <w:tcPr>
            <w:tcW w:w="1541" w:type="pct"/>
            <w:tcBorders>
              <w:bottom w:val="single" w:sz="4" w:space="0" w:color="auto"/>
            </w:tcBorders>
            <w:vAlign w:val="center"/>
          </w:tcPr>
          <w:p w14:paraId="16AB6F2D" w14:textId="61F561C2" w:rsidR="008F1163" w:rsidRPr="00367C47" w:rsidRDefault="00505F48" w:rsidP="00D96461">
            <w:pPr>
              <w:spacing w:before="0" w:after="0"/>
              <w:rPr>
                <w:rFonts w:ascii="Calibri" w:eastAsia="Calibri" w:hAnsi="Calibri" w:cs="Times New Roman"/>
                <w:bCs/>
                <w:iCs/>
                <w:sz w:val="20"/>
                <w:szCs w:val="20"/>
                <w:lang w:val="es-ES"/>
              </w:rPr>
            </w:pPr>
            <w:r w:rsidRPr="00367C47">
              <w:rPr>
                <w:rFonts w:ascii="Calibri" w:eastAsia="Calibri" w:hAnsi="Calibri" w:cs="Times New Roman"/>
                <w:bCs/>
                <w:iCs/>
                <w:sz w:val="20"/>
                <w:szCs w:val="20"/>
                <w:lang w:val="es-ES"/>
              </w:rPr>
              <w:t xml:space="preserve">Cumple con la LCF, está vinculado al rubro de gasto </w:t>
            </w:r>
            <w:r>
              <w:rPr>
                <w:rFonts w:ascii="Calibri" w:eastAsia="Calibri" w:hAnsi="Calibri" w:cs="Times New Roman"/>
                <w:bCs/>
                <w:iCs/>
                <w:sz w:val="20"/>
                <w:szCs w:val="20"/>
                <w:lang w:val="es-ES"/>
              </w:rPr>
              <w:t>VIII</w:t>
            </w:r>
            <w:r w:rsidRPr="00367C47">
              <w:rPr>
                <w:rFonts w:ascii="Calibri" w:eastAsia="Calibri" w:hAnsi="Calibri" w:cs="Times New Roman"/>
                <w:bCs/>
                <w:iCs/>
                <w:sz w:val="20"/>
                <w:szCs w:val="20"/>
                <w:lang w:val="es-ES"/>
              </w:rPr>
              <w:t>.</w:t>
            </w:r>
            <w:r>
              <w:rPr>
                <w:rFonts w:ascii="Calibri" w:eastAsia="Calibri" w:hAnsi="Calibri" w:cs="Times New Roman"/>
                <w:bCs/>
                <w:iCs/>
                <w:sz w:val="20"/>
                <w:szCs w:val="20"/>
                <w:lang w:val="es-ES"/>
              </w:rPr>
              <w:t xml:space="preserve"> </w:t>
            </w:r>
            <w:r>
              <w:rPr>
                <w:sz w:val="20"/>
                <w:szCs w:val="20"/>
              </w:rPr>
              <w:t xml:space="preserve">Para apoyar la educación pública, los recursos del Fondo agregan valor al </w:t>
            </w:r>
            <w:r w:rsidR="00F01B1E">
              <w:rPr>
                <w:sz w:val="20"/>
                <w:szCs w:val="20"/>
              </w:rPr>
              <w:t>complementar los recursos derivados de convenios con la federación para el otorgamiento de becas.</w:t>
            </w:r>
          </w:p>
        </w:tc>
      </w:tr>
      <w:tr w:rsidR="00863E40" w:rsidRPr="00367C47" w14:paraId="6E8FF5A3" w14:textId="77777777" w:rsidTr="00E67E43">
        <w:trPr>
          <w:trHeight w:val="1230"/>
        </w:trPr>
        <w:tc>
          <w:tcPr>
            <w:tcW w:w="785" w:type="pct"/>
            <w:vAlign w:val="center"/>
          </w:tcPr>
          <w:p w14:paraId="2ED57E1D" w14:textId="56627DBB" w:rsidR="00863E40" w:rsidRPr="00367C47" w:rsidRDefault="00863E40" w:rsidP="00D96461">
            <w:pPr>
              <w:spacing w:before="0" w:after="0"/>
              <w:rPr>
                <w:rFonts w:cs="Arial"/>
                <w:color w:val="000000"/>
                <w:sz w:val="20"/>
                <w:szCs w:val="20"/>
              </w:rPr>
            </w:pPr>
            <w:r w:rsidRPr="008F1163">
              <w:rPr>
                <w:rFonts w:cs="Arial"/>
                <w:color w:val="000000"/>
                <w:sz w:val="20"/>
                <w:szCs w:val="20"/>
              </w:rPr>
              <w:t>Infraestructura de Comunicaciones</w:t>
            </w:r>
          </w:p>
        </w:tc>
        <w:tc>
          <w:tcPr>
            <w:tcW w:w="996" w:type="pct"/>
            <w:vAlign w:val="center"/>
          </w:tcPr>
          <w:p w14:paraId="4F53EFC2" w14:textId="329FF4FB" w:rsidR="00863E40" w:rsidRPr="00367C47" w:rsidRDefault="00863E40" w:rsidP="00D96461">
            <w:pPr>
              <w:spacing w:before="0" w:after="0"/>
              <w:rPr>
                <w:rFonts w:cstheme="minorHAnsi"/>
                <w:sz w:val="20"/>
                <w:szCs w:val="20"/>
              </w:rPr>
            </w:pPr>
            <w:r>
              <w:rPr>
                <w:rFonts w:cstheme="minorHAnsi"/>
                <w:sz w:val="20"/>
                <w:szCs w:val="20"/>
              </w:rPr>
              <w:t>Construcción de infraestructura de comunicaciones</w:t>
            </w:r>
          </w:p>
        </w:tc>
        <w:tc>
          <w:tcPr>
            <w:tcW w:w="600" w:type="pct"/>
            <w:vAlign w:val="center"/>
          </w:tcPr>
          <w:p w14:paraId="6221BB6B" w14:textId="48A25E7C" w:rsidR="00863E40" w:rsidRPr="00367C47" w:rsidRDefault="00863E40" w:rsidP="00D96461">
            <w:pPr>
              <w:spacing w:before="0" w:after="0"/>
              <w:jc w:val="center"/>
              <w:rPr>
                <w:rFonts w:cs="Arial"/>
                <w:color w:val="000000"/>
                <w:sz w:val="20"/>
                <w:szCs w:val="20"/>
              </w:rPr>
            </w:pPr>
            <w:r>
              <w:rPr>
                <w:rFonts w:cs="Arial"/>
                <w:color w:val="000000"/>
                <w:sz w:val="20"/>
                <w:szCs w:val="20"/>
              </w:rPr>
              <w:t>K</w:t>
            </w:r>
          </w:p>
        </w:tc>
        <w:tc>
          <w:tcPr>
            <w:tcW w:w="1078" w:type="pct"/>
            <w:tcBorders>
              <w:right w:val="single" w:sz="4" w:space="0" w:color="auto"/>
            </w:tcBorders>
            <w:vAlign w:val="center"/>
          </w:tcPr>
          <w:p w14:paraId="431FDED3" w14:textId="6AFC9EB1" w:rsidR="00863E40" w:rsidRPr="00367C47" w:rsidRDefault="007C6C5E" w:rsidP="00F01B1E">
            <w:pPr>
              <w:spacing w:before="0" w:after="0"/>
              <w:rPr>
                <w:rFonts w:cs="Arial"/>
                <w:color w:val="000000"/>
                <w:sz w:val="20"/>
                <w:szCs w:val="20"/>
              </w:rPr>
            </w:pPr>
            <w:r>
              <w:rPr>
                <w:rFonts w:cs="Arial"/>
                <w:color w:val="000000"/>
                <w:sz w:val="20"/>
                <w:szCs w:val="20"/>
              </w:rPr>
              <w:t>Contribuir</w:t>
            </w:r>
            <w:r w:rsidR="00863E40" w:rsidRPr="00F01B1E">
              <w:rPr>
                <w:rFonts w:cs="Arial"/>
                <w:color w:val="000000"/>
                <w:sz w:val="20"/>
                <w:szCs w:val="20"/>
              </w:rPr>
              <w:t xml:space="preserve"> con vías de</w:t>
            </w:r>
            <w:r w:rsidR="00863E40">
              <w:rPr>
                <w:rFonts w:cs="Arial"/>
                <w:color w:val="000000"/>
                <w:sz w:val="20"/>
                <w:szCs w:val="20"/>
              </w:rPr>
              <w:t xml:space="preserve"> </w:t>
            </w:r>
            <w:r w:rsidR="00863E40" w:rsidRPr="00F01B1E">
              <w:rPr>
                <w:rFonts w:cs="Arial"/>
                <w:color w:val="000000"/>
                <w:sz w:val="20"/>
                <w:szCs w:val="20"/>
              </w:rPr>
              <w:t>comunicación transitables</w:t>
            </w:r>
            <w:r w:rsidR="00863E40">
              <w:rPr>
                <w:rFonts w:cs="Arial"/>
                <w:color w:val="000000"/>
                <w:sz w:val="20"/>
                <w:szCs w:val="20"/>
              </w:rPr>
              <w:t xml:space="preserve"> </w:t>
            </w:r>
            <w:r w:rsidR="00863E40" w:rsidRPr="00F01B1E">
              <w:rPr>
                <w:rFonts w:cs="Arial"/>
                <w:color w:val="000000"/>
                <w:sz w:val="20"/>
                <w:szCs w:val="20"/>
              </w:rPr>
              <w:t>dentro de localidades, municipios</w:t>
            </w:r>
            <w:r w:rsidR="00863E40">
              <w:rPr>
                <w:rFonts w:cs="Arial"/>
                <w:color w:val="000000"/>
                <w:sz w:val="20"/>
                <w:szCs w:val="20"/>
              </w:rPr>
              <w:t xml:space="preserve"> </w:t>
            </w:r>
            <w:r w:rsidR="00863E40" w:rsidRPr="00F01B1E">
              <w:rPr>
                <w:rFonts w:cs="Arial"/>
                <w:color w:val="000000"/>
                <w:sz w:val="20"/>
                <w:szCs w:val="20"/>
              </w:rPr>
              <w:t xml:space="preserve">y regiones del </w:t>
            </w:r>
            <w:r w:rsidR="00863E40">
              <w:rPr>
                <w:rFonts w:cs="Arial"/>
                <w:color w:val="000000"/>
                <w:sz w:val="20"/>
                <w:szCs w:val="20"/>
              </w:rPr>
              <w:t>E</w:t>
            </w:r>
            <w:r w:rsidR="00863E40" w:rsidRPr="00F01B1E">
              <w:rPr>
                <w:rFonts w:cs="Arial"/>
                <w:color w:val="000000"/>
                <w:sz w:val="20"/>
                <w:szCs w:val="20"/>
              </w:rPr>
              <w:t xml:space="preserve">stado de </w:t>
            </w:r>
            <w:r w:rsidR="00863E40">
              <w:rPr>
                <w:rFonts w:cs="Arial"/>
                <w:color w:val="000000"/>
                <w:sz w:val="20"/>
                <w:szCs w:val="20"/>
              </w:rPr>
              <w:t>H</w:t>
            </w:r>
            <w:r w:rsidR="00863E40" w:rsidRPr="00F01B1E">
              <w:rPr>
                <w:rFonts w:cs="Arial"/>
                <w:color w:val="000000"/>
                <w:sz w:val="20"/>
                <w:szCs w:val="20"/>
              </w:rPr>
              <w:t>idalgo,</w:t>
            </w:r>
            <w:r w:rsidR="00863E40">
              <w:rPr>
                <w:rFonts w:cs="Arial"/>
                <w:color w:val="000000"/>
                <w:sz w:val="20"/>
                <w:szCs w:val="20"/>
              </w:rPr>
              <w:t xml:space="preserve"> </w:t>
            </w:r>
            <w:r w:rsidR="00863E40" w:rsidRPr="00F01B1E">
              <w:rPr>
                <w:rFonts w:cs="Arial"/>
                <w:color w:val="000000"/>
                <w:sz w:val="20"/>
                <w:szCs w:val="20"/>
              </w:rPr>
              <w:t>para la movilidad segura de</w:t>
            </w:r>
            <w:r w:rsidR="00863E40">
              <w:rPr>
                <w:rFonts w:cs="Arial"/>
                <w:color w:val="000000"/>
                <w:sz w:val="20"/>
                <w:szCs w:val="20"/>
              </w:rPr>
              <w:t xml:space="preserve"> </w:t>
            </w:r>
            <w:r w:rsidR="00863E40" w:rsidRPr="00F01B1E">
              <w:rPr>
                <w:rFonts w:cs="Arial"/>
                <w:color w:val="000000"/>
                <w:sz w:val="20"/>
                <w:szCs w:val="20"/>
              </w:rPr>
              <w:t>personas, bienes y mercancías</w:t>
            </w:r>
            <w:r w:rsidR="00863E40">
              <w:rPr>
                <w:rFonts w:cs="Arial"/>
                <w:color w:val="000000"/>
                <w:sz w:val="20"/>
                <w:szCs w:val="20"/>
              </w:rPr>
              <w:t xml:space="preserve"> </w:t>
            </w:r>
            <w:r w:rsidR="00863E40" w:rsidRPr="00F01B1E">
              <w:rPr>
                <w:rFonts w:cs="Arial"/>
                <w:color w:val="000000"/>
                <w:sz w:val="20"/>
                <w:szCs w:val="20"/>
              </w:rPr>
              <w:t>mediante la construcción,</w:t>
            </w:r>
            <w:r w:rsidR="00863E40">
              <w:rPr>
                <w:rFonts w:cs="Arial"/>
                <w:color w:val="000000"/>
                <w:sz w:val="20"/>
                <w:szCs w:val="20"/>
              </w:rPr>
              <w:t xml:space="preserve"> </w:t>
            </w:r>
            <w:r w:rsidR="00863E40" w:rsidRPr="00F01B1E">
              <w:rPr>
                <w:rFonts w:cs="Arial"/>
                <w:color w:val="000000"/>
                <w:sz w:val="20"/>
                <w:szCs w:val="20"/>
              </w:rPr>
              <w:t>modernización y mejoramiento de</w:t>
            </w:r>
            <w:r w:rsidR="00863E40">
              <w:rPr>
                <w:rFonts w:cs="Arial"/>
                <w:color w:val="000000"/>
                <w:sz w:val="20"/>
                <w:szCs w:val="20"/>
              </w:rPr>
              <w:t xml:space="preserve"> </w:t>
            </w:r>
            <w:r w:rsidR="00863E40" w:rsidRPr="00F01B1E">
              <w:rPr>
                <w:rFonts w:cs="Arial"/>
                <w:color w:val="000000"/>
                <w:sz w:val="20"/>
                <w:szCs w:val="20"/>
              </w:rPr>
              <w:t>las carreteras.</w:t>
            </w:r>
          </w:p>
        </w:tc>
        <w:tc>
          <w:tcPr>
            <w:tcW w:w="1541" w:type="pct"/>
            <w:vMerge w:val="restart"/>
            <w:tcBorders>
              <w:top w:val="single" w:sz="4" w:space="0" w:color="auto"/>
              <w:left w:val="single" w:sz="4" w:space="0" w:color="auto"/>
              <w:right w:val="single" w:sz="4" w:space="0" w:color="auto"/>
            </w:tcBorders>
            <w:vAlign w:val="center"/>
          </w:tcPr>
          <w:p w14:paraId="38B40E28" w14:textId="079AFFBF" w:rsidR="00863E40" w:rsidRPr="00367C47" w:rsidRDefault="00863E40" w:rsidP="00D96461">
            <w:pPr>
              <w:spacing w:before="0" w:after="0"/>
              <w:rPr>
                <w:rFonts w:ascii="Calibri" w:eastAsia="Calibri" w:hAnsi="Calibri" w:cs="Calibri"/>
                <w:sz w:val="20"/>
                <w:szCs w:val="20"/>
                <w:lang w:val="es-ES"/>
              </w:rPr>
            </w:pPr>
            <w:r w:rsidRPr="00367C47">
              <w:rPr>
                <w:rFonts w:ascii="Calibri" w:eastAsia="Calibri" w:hAnsi="Calibri" w:cs="Calibri"/>
                <w:sz w:val="20"/>
                <w:szCs w:val="20"/>
                <w:lang w:val="es-ES"/>
              </w:rPr>
              <w:t>Cumple</w:t>
            </w:r>
            <w:r>
              <w:rPr>
                <w:rFonts w:ascii="Calibri" w:eastAsia="Calibri" w:hAnsi="Calibri" w:cs="Calibri"/>
                <w:sz w:val="20"/>
                <w:szCs w:val="20"/>
                <w:lang w:val="es-ES"/>
              </w:rPr>
              <w:t>n</w:t>
            </w:r>
            <w:r w:rsidRPr="00367C47">
              <w:rPr>
                <w:rFonts w:ascii="Calibri" w:eastAsia="Calibri" w:hAnsi="Calibri" w:cs="Calibri"/>
                <w:sz w:val="20"/>
                <w:szCs w:val="20"/>
                <w:lang w:val="es-ES"/>
              </w:rPr>
              <w:t xml:space="preserve"> con la LCF, está</w:t>
            </w:r>
            <w:r>
              <w:rPr>
                <w:rFonts w:ascii="Calibri" w:eastAsia="Calibri" w:hAnsi="Calibri" w:cs="Calibri"/>
                <w:sz w:val="20"/>
                <w:szCs w:val="20"/>
                <w:lang w:val="es-ES"/>
              </w:rPr>
              <w:t>n</w:t>
            </w:r>
            <w:r w:rsidRPr="00367C47">
              <w:rPr>
                <w:rFonts w:ascii="Calibri" w:eastAsia="Calibri" w:hAnsi="Calibri" w:cs="Calibri"/>
                <w:sz w:val="20"/>
                <w:szCs w:val="20"/>
                <w:lang w:val="es-ES"/>
              </w:rPr>
              <w:t xml:space="preserve"> vinculado</w:t>
            </w:r>
            <w:r>
              <w:rPr>
                <w:rFonts w:ascii="Calibri" w:eastAsia="Calibri" w:hAnsi="Calibri" w:cs="Calibri"/>
                <w:sz w:val="20"/>
                <w:szCs w:val="20"/>
                <w:lang w:val="es-ES"/>
              </w:rPr>
              <w:t>s</w:t>
            </w:r>
            <w:r w:rsidRPr="00367C47">
              <w:rPr>
                <w:rFonts w:ascii="Calibri" w:eastAsia="Calibri" w:hAnsi="Calibri" w:cs="Calibri"/>
                <w:sz w:val="20"/>
                <w:szCs w:val="20"/>
                <w:lang w:val="es-ES"/>
              </w:rPr>
              <w:t xml:space="preserve"> al rubro de gasto I. inversión en infraestructura física. Los recursos del Fondo agregan valor </w:t>
            </w:r>
            <w:r>
              <w:rPr>
                <w:rFonts w:ascii="Calibri" w:eastAsia="Calibri" w:hAnsi="Calibri" w:cs="Calibri"/>
                <w:sz w:val="20"/>
                <w:szCs w:val="20"/>
                <w:lang w:val="es-ES"/>
              </w:rPr>
              <w:t xml:space="preserve">al </w:t>
            </w:r>
            <w:r w:rsidRPr="00367C47">
              <w:rPr>
                <w:rFonts w:ascii="Calibri" w:eastAsia="Calibri" w:hAnsi="Calibri" w:cs="Calibri"/>
                <w:sz w:val="20"/>
                <w:szCs w:val="20"/>
                <w:lang w:val="es-ES"/>
              </w:rPr>
              <w:t>complementar los recursos provenientes de otras fuentes de financiamiento para la construcción de distintitos tipos de infraestructura</w:t>
            </w:r>
            <w:r>
              <w:rPr>
                <w:rFonts w:ascii="Calibri" w:eastAsia="Calibri" w:hAnsi="Calibri" w:cs="Calibri"/>
                <w:sz w:val="20"/>
                <w:szCs w:val="20"/>
                <w:lang w:val="es-ES"/>
              </w:rPr>
              <w:t xml:space="preserve"> tales como de comunicaciones, agua drenaje y saneamiento, de educación, hidroagrícola, de infraestructura urbana, de </w:t>
            </w:r>
            <w:r>
              <w:rPr>
                <w:rFonts w:ascii="Calibri" w:eastAsia="Calibri" w:hAnsi="Calibri" w:cs="Calibri"/>
                <w:sz w:val="20"/>
                <w:szCs w:val="20"/>
                <w:lang w:val="es-ES"/>
              </w:rPr>
              <w:lastRenderedPageBreak/>
              <w:t>salud, infraestructura para el turismo, entre otras.</w:t>
            </w:r>
          </w:p>
        </w:tc>
      </w:tr>
      <w:tr w:rsidR="00863E40" w:rsidRPr="00367C47" w14:paraId="5BEB0E81" w14:textId="77777777" w:rsidTr="00E67E43">
        <w:trPr>
          <w:trHeight w:val="1230"/>
        </w:trPr>
        <w:tc>
          <w:tcPr>
            <w:tcW w:w="785" w:type="pct"/>
            <w:vAlign w:val="center"/>
          </w:tcPr>
          <w:p w14:paraId="7306E641" w14:textId="051F1355" w:rsidR="00863E40" w:rsidRPr="008F1163" w:rsidRDefault="00863E40" w:rsidP="00D96461">
            <w:pPr>
              <w:spacing w:before="0" w:after="0"/>
              <w:rPr>
                <w:rFonts w:cs="Arial"/>
                <w:color w:val="000000"/>
                <w:sz w:val="20"/>
                <w:szCs w:val="20"/>
              </w:rPr>
            </w:pPr>
            <w:r w:rsidRPr="008F1163">
              <w:rPr>
                <w:rFonts w:cs="Arial"/>
                <w:color w:val="000000"/>
                <w:sz w:val="20"/>
                <w:szCs w:val="20"/>
              </w:rPr>
              <w:lastRenderedPageBreak/>
              <w:t>Inversión en Desarrollo Social</w:t>
            </w:r>
          </w:p>
        </w:tc>
        <w:tc>
          <w:tcPr>
            <w:tcW w:w="996" w:type="pct"/>
            <w:vAlign w:val="center"/>
          </w:tcPr>
          <w:p w14:paraId="6ABC4E49" w14:textId="5763E569" w:rsidR="00863E40" w:rsidRPr="00367C47" w:rsidRDefault="00863E40" w:rsidP="00D96461">
            <w:pPr>
              <w:spacing w:before="0" w:after="0"/>
              <w:rPr>
                <w:rFonts w:cstheme="minorHAnsi"/>
                <w:sz w:val="20"/>
                <w:szCs w:val="20"/>
              </w:rPr>
            </w:pPr>
            <w:r>
              <w:rPr>
                <w:rFonts w:cstheme="minorHAnsi"/>
                <w:sz w:val="20"/>
                <w:szCs w:val="20"/>
              </w:rPr>
              <w:t>Construcción de infraestructura para el desarrollo social</w:t>
            </w:r>
          </w:p>
        </w:tc>
        <w:tc>
          <w:tcPr>
            <w:tcW w:w="600" w:type="pct"/>
            <w:vAlign w:val="center"/>
          </w:tcPr>
          <w:p w14:paraId="55143E54" w14:textId="150A5E44" w:rsidR="00863E40" w:rsidRPr="00367C47" w:rsidRDefault="00863E40" w:rsidP="00D96461">
            <w:pPr>
              <w:spacing w:before="0" w:after="0"/>
              <w:jc w:val="center"/>
              <w:rPr>
                <w:rFonts w:cs="Arial"/>
                <w:color w:val="000000"/>
                <w:sz w:val="20"/>
                <w:szCs w:val="20"/>
              </w:rPr>
            </w:pPr>
            <w:r>
              <w:rPr>
                <w:rFonts w:cs="Arial"/>
                <w:color w:val="000000"/>
                <w:sz w:val="20"/>
                <w:szCs w:val="20"/>
              </w:rPr>
              <w:t>K</w:t>
            </w:r>
          </w:p>
        </w:tc>
        <w:tc>
          <w:tcPr>
            <w:tcW w:w="1078" w:type="pct"/>
            <w:tcBorders>
              <w:right w:val="single" w:sz="4" w:space="0" w:color="auto"/>
            </w:tcBorders>
            <w:vAlign w:val="center"/>
          </w:tcPr>
          <w:p w14:paraId="04A8075E" w14:textId="78BBF5BE" w:rsidR="00863E40" w:rsidRPr="00367C47" w:rsidRDefault="00863E40" w:rsidP="00D96461">
            <w:pPr>
              <w:spacing w:before="0" w:after="0"/>
              <w:rPr>
                <w:rFonts w:cs="Arial"/>
                <w:color w:val="000000"/>
                <w:sz w:val="20"/>
                <w:szCs w:val="20"/>
              </w:rPr>
            </w:pPr>
            <w:r>
              <w:rPr>
                <w:rFonts w:cs="Arial"/>
                <w:color w:val="000000"/>
                <w:sz w:val="20"/>
                <w:szCs w:val="20"/>
              </w:rPr>
              <w:t>Ejecución de proyectos destinados al desarrollo comunitario</w:t>
            </w:r>
          </w:p>
        </w:tc>
        <w:tc>
          <w:tcPr>
            <w:tcW w:w="1541" w:type="pct"/>
            <w:vMerge/>
            <w:tcBorders>
              <w:left w:val="single" w:sz="4" w:space="0" w:color="auto"/>
              <w:right w:val="single" w:sz="4" w:space="0" w:color="auto"/>
            </w:tcBorders>
            <w:vAlign w:val="center"/>
          </w:tcPr>
          <w:p w14:paraId="3D2F5560" w14:textId="4D61FC8E" w:rsidR="00863E40" w:rsidRPr="00367C47" w:rsidRDefault="00863E40" w:rsidP="00D96461">
            <w:pPr>
              <w:spacing w:before="0" w:after="0"/>
              <w:rPr>
                <w:rFonts w:ascii="Calibri" w:eastAsia="Calibri" w:hAnsi="Calibri" w:cs="Calibri"/>
                <w:sz w:val="20"/>
                <w:szCs w:val="20"/>
                <w:lang w:val="es-ES"/>
              </w:rPr>
            </w:pPr>
          </w:p>
        </w:tc>
      </w:tr>
      <w:tr w:rsidR="00863E40" w:rsidRPr="00367C47" w14:paraId="262EB5FF" w14:textId="77777777" w:rsidTr="00E67E43">
        <w:trPr>
          <w:trHeight w:val="1230"/>
        </w:trPr>
        <w:tc>
          <w:tcPr>
            <w:tcW w:w="785" w:type="pct"/>
            <w:vAlign w:val="center"/>
          </w:tcPr>
          <w:p w14:paraId="000AFE73" w14:textId="67F34B92" w:rsidR="00863E40" w:rsidRPr="008F1163" w:rsidRDefault="00863E40" w:rsidP="00D96461">
            <w:pPr>
              <w:spacing w:before="0" w:after="0"/>
              <w:rPr>
                <w:rFonts w:cs="Arial"/>
                <w:color w:val="000000"/>
                <w:sz w:val="20"/>
                <w:szCs w:val="20"/>
              </w:rPr>
            </w:pPr>
            <w:r w:rsidRPr="008F1163">
              <w:rPr>
                <w:rFonts w:cs="Arial"/>
                <w:color w:val="000000"/>
                <w:sz w:val="20"/>
                <w:szCs w:val="20"/>
              </w:rPr>
              <w:t>Atención a Adultos Mayores</w:t>
            </w:r>
          </w:p>
        </w:tc>
        <w:tc>
          <w:tcPr>
            <w:tcW w:w="996" w:type="pct"/>
            <w:vAlign w:val="center"/>
          </w:tcPr>
          <w:p w14:paraId="40D03853" w14:textId="5301F6F4" w:rsidR="00863E40" w:rsidRPr="00367C47" w:rsidRDefault="00863E40" w:rsidP="00D96461">
            <w:pPr>
              <w:spacing w:before="0" w:after="0"/>
              <w:rPr>
                <w:rFonts w:cstheme="minorHAnsi"/>
                <w:sz w:val="20"/>
                <w:szCs w:val="20"/>
              </w:rPr>
            </w:pPr>
            <w:r>
              <w:rPr>
                <w:rFonts w:cstheme="minorHAnsi"/>
                <w:sz w:val="20"/>
                <w:szCs w:val="20"/>
              </w:rPr>
              <w:t>Construcción de infraestructura para el desarrollo social</w:t>
            </w:r>
          </w:p>
        </w:tc>
        <w:tc>
          <w:tcPr>
            <w:tcW w:w="600" w:type="pct"/>
            <w:vAlign w:val="center"/>
          </w:tcPr>
          <w:p w14:paraId="0F0DAAFD" w14:textId="5B3C7B37" w:rsidR="00863E40" w:rsidRPr="00367C47" w:rsidRDefault="00863E40" w:rsidP="00D96461">
            <w:pPr>
              <w:spacing w:before="0" w:after="0"/>
              <w:jc w:val="center"/>
              <w:rPr>
                <w:rFonts w:cs="Arial"/>
                <w:color w:val="000000"/>
                <w:sz w:val="20"/>
                <w:szCs w:val="20"/>
              </w:rPr>
            </w:pPr>
            <w:r>
              <w:rPr>
                <w:rFonts w:cs="Arial"/>
                <w:color w:val="000000"/>
                <w:sz w:val="20"/>
                <w:szCs w:val="20"/>
              </w:rPr>
              <w:t>K</w:t>
            </w:r>
          </w:p>
        </w:tc>
        <w:tc>
          <w:tcPr>
            <w:tcW w:w="1078" w:type="pct"/>
            <w:tcBorders>
              <w:right w:val="single" w:sz="4" w:space="0" w:color="auto"/>
            </w:tcBorders>
            <w:vAlign w:val="center"/>
          </w:tcPr>
          <w:p w14:paraId="1A655D11" w14:textId="0C0FAF68" w:rsidR="00863E40" w:rsidRPr="00367C47" w:rsidRDefault="00863E40" w:rsidP="00F01B1E">
            <w:pPr>
              <w:spacing w:before="0" w:after="0"/>
              <w:rPr>
                <w:rFonts w:cs="Arial"/>
                <w:color w:val="000000"/>
                <w:sz w:val="20"/>
                <w:szCs w:val="20"/>
              </w:rPr>
            </w:pPr>
            <w:r>
              <w:rPr>
                <w:rFonts w:cs="Arial"/>
                <w:color w:val="000000"/>
                <w:sz w:val="20"/>
                <w:szCs w:val="20"/>
              </w:rPr>
              <w:t>L</w:t>
            </w:r>
            <w:r w:rsidRPr="00F01B1E">
              <w:rPr>
                <w:rFonts w:cs="Arial"/>
                <w:color w:val="000000"/>
                <w:sz w:val="20"/>
                <w:szCs w:val="20"/>
              </w:rPr>
              <w:t>as personas adultas mayores</w:t>
            </w:r>
            <w:r>
              <w:rPr>
                <w:rFonts w:cs="Arial"/>
                <w:color w:val="000000"/>
                <w:sz w:val="20"/>
                <w:szCs w:val="20"/>
              </w:rPr>
              <w:t xml:space="preserve"> </w:t>
            </w:r>
            <w:r w:rsidRPr="00F01B1E">
              <w:rPr>
                <w:rFonts w:cs="Arial"/>
                <w:color w:val="000000"/>
                <w:sz w:val="20"/>
                <w:szCs w:val="20"/>
              </w:rPr>
              <w:t>reciben mejoras en los espacios</w:t>
            </w:r>
            <w:r>
              <w:rPr>
                <w:rFonts w:cs="Arial"/>
                <w:color w:val="000000"/>
                <w:sz w:val="20"/>
                <w:szCs w:val="20"/>
              </w:rPr>
              <w:t xml:space="preserve"> </w:t>
            </w:r>
            <w:r w:rsidRPr="00F01B1E">
              <w:rPr>
                <w:rFonts w:cs="Arial"/>
                <w:color w:val="000000"/>
                <w:sz w:val="20"/>
                <w:szCs w:val="20"/>
              </w:rPr>
              <w:t>de atención gerontológica con</w:t>
            </w:r>
            <w:r>
              <w:rPr>
                <w:rFonts w:cs="Arial"/>
                <w:color w:val="000000"/>
                <w:sz w:val="20"/>
                <w:szCs w:val="20"/>
              </w:rPr>
              <w:t xml:space="preserve"> </w:t>
            </w:r>
            <w:r w:rsidRPr="00F01B1E">
              <w:rPr>
                <w:rFonts w:cs="Arial"/>
                <w:color w:val="000000"/>
                <w:sz w:val="20"/>
                <w:szCs w:val="20"/>
              </w:rPr>
              <w:t>acciones de equipamiento,</w:t>
            </w:r>
            <w:r>
              <w:rPr>
                <w:rFonts w:cs="Arial"/>
                <w:color w:val="000000"/>
                <w:sz w:val="20"/>
                <w:szCs w:val="20"/>
              </w:rPr>
              <w:t xml:space="preserve"> </w:t>
            </w:r>
            <w:r w:rsidRPr="00F01B1E">
              <w:rPr>
                <w:rFonts w:cs="Arial"/>
                <w:color w:val="000000"/>
                <w:sz w:val="20"/>
                <w:szCs w:val="20"/>
              </w:rPr>
              <w:t>adquisición, rehabilitación y</w:t>
            </w:r>
            <w:r>
              <w:rPr>
                <w:rFonts w:cs="Arial"/>
                <w:color w:val="000000"/>
                <w:sz w:val="20"/>
                <w:szCs w:val="20"/>
              </w:rPr>
              <w:t xml:space="preserve"> </w:t>
            </w:r>
            <w:r w:rsidRPr="00F01B1E">
              <w:rPr>
                <w:rFonts w:cs="Arial"/>
                <w:color w:val="000000"/>
                <w:sz w:val="20"/>
                <w:szCs w:val="20"/>
              </w:rPr>
              <w:t>construcción</w:t>
            </w:r>
          </w:p>
        </w:tc>
        <w:tc>
          <w:tcPr>
            <w:tcW w:w="1541" w:type="pct"/>
            <w:vMerge/>
            <w:tcBorders>
              <w:left w:val="single" w:sz="4" w:space="0" w:color="auto"/>
              <w:right w:val="single" w:sz="4" w:space="0" w:color="auto"/>
            </w:tcBorders>
            <w:vAlign w:val="center"/>
          </w:tcPr>
          <w:p w14:paraId="3DB00EA5" w14:textId="5A511C5E" w:rsidR="00863E40" w:rsidRPr="00367C47" w:rsidRDefault="00863E40" w:rsidP="00D96461">
            <w:pPr>
              <w:spacing w:before="0" w:after="0"/>
              <w:rPr>
                <w:rFonts w:ascii="Calibri" w:eastAsia="Calibri" w:hAnsi="Calibri" w:cs="Calibri"/>
                <w:sz w:val="20"/>
                <w:szCs w:val="20"/>
                <w:lang w:val="es-ES"/>
              </w:rPr>
            </w:pPr>
          </w:p>
        </w:tc>
      </w:tr>
      <w:tr w:rsidR="00863E40" w:rsidRPr="00367C47" w14:paraId="76F719F8" w14:textId="77777777" w:rsidTr="00E67E43">
        <w:trPr>
          <w:trHeight w:val="1230"/>
        </w:trPr>
        <w:tc>
          <w:tcPr>
            <w:tcW w:w="785" w:type="pct"/>
            <w:vAlign w:val="center"/>
          </w:tcPr>
          <w:p w14:paraId="3E117434" w14:textId="77777777" w:rsidR="00863E40" w:rsidRPr="00367C47" w:rsidRDefault="00863E40" w:rsidP="00D96461">
            <w:pPr>
              <w:spacing w:before="0" w:after="0"/>
              <w:rPr>
                <w:rFonts w:ascii="Calibri" w:eastAsia="Calibri" w:hAnsi="Calibri" w:cs="Calibri"/>
                <w:sz w:val="20"/>
                <w:szCs w:val="20"/>
                <w:lang w:val="es-ES"/>
              </w:rPr>
            </w:pPr>
            <w:r w:rsidRPr="00367C47">
              <w:rPr>
                <w:rFonts w:cs="Arial"/>
                <w:color w:val="000000"/>
                <w:sz w:val="20"/>
                <w:szCs w:val="20"/>
              </w:rPr>
              <w:t>Inversión en Obras Públicas.</w:t>
            </w:r>
          </w:p>
        </w:tc>
        <w:tc>
          <w:tcPr>
            <w:tcW w:w="996" w:type="pct"/>
            <w:vAlign w:val="center"/>
          </w:tcPr>
          <w:p w14:paraId="3EA3D266" w14:textId="2DB95CF2" w:rsidR="00863E40" w:rsidRPr="00367C47" w:rsidRDefault="00863E40" w:rsidP="00D96461">
            <w:pPr>
              <w:spacing w:before="0" w:after="0"/>
              <w:rPr>
                <w:rFonts w:ascii="Calibri" w:eastAsia="Calibri" w:hAnsi="Calibri" w:cs="Calibri"/>
                <w:sz w:val="20"/>
                <w:szCs w:val="20"/>
                <w:lang w:val="es-ES"/>
              </w:rPr>
            </w:pPr>
            <w:r w:rsidRPr="00367C47">
              <w:rPr>
                <w:rFonts w:cstheme="minorHAnsi"/>
                <w:sz w:val="20"/>
                <w:szCs w:val="20"/>
              </w:rPr>
              <w:t xml:space="preserve">Las 17 regiones del </w:t>
            </w:r>
            <w:r>
              <w:rPr>
                <w:rFonts w:cstheme="minorHAnsi"/>
                <w:sz w:val="20"/>
                <w:szCs w:val="20"/>
              </w:rPr>
              <w:t>E</w:t>
            </w:r>
            <w:r w:rsidRPr="00367C47">
              <w:rPr>
                <w:rFonts w:cstheme="minorHAnsi"/>
                <w:sz w:val="20"/>
                <w:szCs w:val="20"/>
              </w:rPr>
              <w:t>stado de Hidalgo se benefician con inversión en obra pública</w:t>
            </w:r>
          </w:p>
        </w:tc>
        <w:tc>
          <w:tcPr>
            <w:tcW w:w="600" w:type="pct"/>
            <w:vAlign w:val="center"/>
          </w:tcPr>
          <w:p w14:paraId="2DCB5D4F" w14:textId="1F160D3D" w:rsidR="00863E40" w:rsidRPr="00367C47" w:rsidRDefault="00863E40" w:rsidP="00D96461">
            <w:pPr>
              <w:spacing w:before="0" w:after="0"/>
              <w:jc w:val="center"/>
              <w:rPr>
                <w:rFonts w:ascii="Calibri" w:eastAsia="Calibri" w:hAnsi="Calibri" w:cs="Calibri"/>
                <w:sz w:val="20"/>
                <w:szCs w:val="20"/>
                <w:lang w:val="es-ES"/>
              </w:rPr>
            </w:pPr>
            <w:r w:rsidRPr="00367C47">
              <w:rPr>
                <w:rFonts w:cs="Arial"/>
                <w:color w:val="000000"/>
                <w:sz w:val="20"/>
                <w:szCs w:val="20"/>
              </w:rPr>
              <w:t>K</w:t>
            </w:r>
          </w:p>
        </w:tc>
        <w:tc>
          <w:tcPr>
            <w:tcW w:w="1078" w:type="pct"/>
            <w:tcBorders>
              <w:right w:val="single" w:sz="4" w:space="0" w:color="auto"/>
            </w:tcBorders>
            <w:vAlign w:val="center"/>
          </w:tcPr>
          <w:p w14:paraId="6DC779C3" w14:textId="77777777" w:rsidR="00863E40" w:rsidRPr="00367C47" w:rsidRDefault="00863E40" w:rsidP="00D96461">
            <w:pPr>
              <w:spacing w:before="0" w:after="0"/>
              <w:rPr>
                <w:rFonts w:ascii="Calibri" w:eastAsia="Calibri" w:hAnsi="Calibri" w:cs="Calibri"/>
                <w:sz w:val="20"/>
                <w:szCs w:val="20"/>
                <w:lang w:val="es-ES"/>
              </w:rPr>
            </w:pPr>
            <w:r w:rsidRPr="00367C47">
              <w:rPr>
                <w:rFonts w:cs="Arial"/>
                <w:color w:val="000000"/>
                <w:sz w:val="20"/>
                <w:szCs w:val="20"/>
              </w:rPr>
              <w:t>Ampliación y modernización de carreteras, puentes vehiculares, distribuidores viales, electrificaciones, infraestructura educativa, infraestructura de vialidades urbanas</w:t>
            </w:r>
          </w:p>
        </w:tc>
        <w:tc>
          <w:tcPr>
            <w:tcW w:w="1541" w:type="pct"/>
            <w:vMerge/>
            <w:tcBorders>
              <w:left w:val="single" w:sz="4" w:space="0" w:color="auto"/>
              <w:right w:val="single" w:sz="4" w:space="0" w:color="auto"/>
            </w:tcBorders>
            <w:vAlign w:val="center"/>
          </w:tcPr>
          <w:p w14:paraId="1897146B" w14:textId="2AC59BC6" w:rsidR="00863E40" w:rsidRPr="00367C47" w:rsidRDefault="00863E40" w:rsidP="00D96461">
            <w:pPr>
              <w:spacing w:before="0" w:after="0"/>
              <w:rPr>
                <w:rFonts w:ascii="Calibri" w:eastAsia="Calibri" w:hAnsi="Calibri" w:cs="Calibri"/>
                <w:sz w:val="20"/>
                <w:szCs w:val="20"/>
                <w:lang w:val="es-ES"/>
              </w:rPr>
            </w:pPr>
          </w:p>
        </w:tc>
      </w:tr>
      <w:tr w:rsidR="00863E40" w:rsidRPr="00367C47" w14:paraId="6A4B1EC6" w14:textId="77777777" w:rsidTr="00E67E43">
        <w:trPr>
          <w:trHeight w:val="283"/>
        </w:trPr>
        <w:tc>
          <w:tcPr>
            <w:tcW w:w="785" w:type="pct"/>
            <w:vAlign w:val="center"/>
          </w:tcPr>
          <w:p w14:paraId="00AC3BC7" w14:textId="77777777" w:rsidR="00863E40" w:rsidRPr="00367C47" w:rsidRDefault="00863E40" w:rsidP="00D96461">
            <w:pPr>
              <w:spacing w:before="0" w:after="0"/>
              <w:rPr>
                <w:rFonts w:ascii="Calibri" w:eastAsia="Calibri" w:hAnsi="Calibri" w:cs="Calibri"/>
                <w:sz w:val="20"/>
                <w:szCs w:val="20"/>
                <w:lang w:val="es-ES"/>
              </w:rPr>
            </w:pPr>
            <w:r w:rsidRPr="00367C47">
              <w:rPr>
                <w:rFonts w:cs="Arial"/>
                <w:color w:val="000000"/>
                <w:sz w:val="20"/>
                <w:szCs w:val="20"/>
              </w:rPr>
              <w:t xml:space="preserve">Agua, Drenaje y Saneamiento </w:t>
            </w:r>
          </w:p>
        </w:tc>
        <w:tc>
          <w:tcPr>
            <w:tcW w:w="996" w:type="pct"/>
            <w:vAlign w:val="center"/>
          </w:tcPr>
          <w:p w14:paraId="6A7DFE5B" w14:textId="3B2F80FD" w:rsidR="00863E40" w:rsidRPr="00367C47" w:rsidRDefault="00863E40" w:rsidP="00D96461">
            <w:pPr>
              <w:spacing w:before="0" w:after="0"/>
              <w:rPr>
                <w:rFonts w:ascii="Calibri" w:eastAsia="Calibri" w:hAnsi="Calibri" w:cs="Calibri"/>
                <w:sz w:val="20"/>
                <w:szCs w:val="20"/>
                <w:lang w:val="es-ES"/>
              </w:rPr>
            </w:pPr>
            <w:r w:rsidRPr="00367C47">
              <w:rPr>
                <w:rFonts w:cstheme="minorHAnsi"/>
                <w:sz w:val="20"/>
                <w:szCs w:val="20"/>
              </w:rPr>
              <w:t xml:space="preserve">Las 17 regiones del </w:t>
            </w:r>
            <w:r>
              <w:rPr>
                <w:rFonts w:cstheme="minorHAnsi"/>
                <w:sz w:val="20"/>
                <w:szCs w:val="20"/>
              </w:rPr>
              <w:t>E</w:t>
            </w:r>
            <w:r w:rsidRPr="00367C47">
              <w:rPr>
                <w:rFonts w:cstheme="minorHAnsi"/>
                <w:sz w:val="20"/>
                <w:szCs w:val="20"/>
              </w:rPr>
              <w:t>stado se benefician con inversión en agua, drenaje y saneamiento.</w:t>
            </w:r>
          </w:p>
        </w:tc>
        <w:tc>
          <w:tcPr>
            <w:tcW w:w="600" w:type="pct"/>
            <w:vAlign w:val="center"/>
          </w:tcPr>
          <w:p w14:paraId="7E93EAAF" w14:textId="4122806F" w:rsidR="00863E40" w:rsidRPr="00367C47" w:rsidRDefault="00863E40" w:rsidP="00D96461">
            <w:pPr>
              <w:spacing w:before="0" w:after="0"/>
              <w:jc w:val="center"/>
              <w:rPr>
                <w:rFonts w:ascii="Calibri" w:eastAsia="Calibri" w:hAnsi="Calibri" w:cs="Calibri"/>
                <w:sz w:val="20"/>
                <w:szCs w:val="20"/>
                <w:lang w:val="es-ES"/>
              </w:rPr>
            </w:pPr>
            <w:r w:rsidRPr="00367C47">
              <w:rPr>
                <w:rFonts w:ascii="Calibri" w:eastAsia="Calibri" w:hAnsi="Calibri" w:cs="Calibri"/>
                <w:sz w:val="20"/>
                <w:szCs w:val="20"/>
                <w:lang w:val="es-ES"/>
              </w:rPr>
              <w:t>K</w:t>
            </w:r>
          </w:p>
        </w:tc>
        <w:tc>
          <w:tcPr>
            <w:tcW w:w="1078" w:type="pct"/>
            <w:tcBorders>
              <w:right w:val="single" w:sz="4" w:space="0" w:color="auto"/>
            </w:tcBorders>
            <w:vAlign w:val="center"/>
          </w:tcPr>
          <w:p w14:paraId="0B9F2A06" w14:textId="287431EB" w:rsidR="00863E40" w:rsidRPr="00367C47" w:rsidRDefault="00863E40" w:rsidP="00D96461">
            <w:pPr>
              <w:spacing w:before="0" w:after="0"/>
              <w:rPr>
                <w:rFonts w:ascii="Calibri" w:eastAsia="Calibri" w:hAnsi="Calibri" w:cs="Calibri"/>
                <w:sz w:val="20"/>
                <w:szCs w:val="20"/>
                <w:lang w:val="es-ES"/>
              </w:rPr>
            </w:pPr>
            <w:r w:rsidRPr="00367C47">
              <w:rPr>
                <w:rFonts w:cs="Arial"/>
                <w:color w:val="000000"/>
                <w:sz w:val="20"/>
                <w:szCs w:val="20"/>
              </w:rPr>
              <w:t xml:space="preserve">Contribuir al desarrollo de las regiones del </w:t>
            </w:r>
            <w:r>
              <w:rPr>
                <w:rFonts w:cs="Arial"/>
                <w:color w:val="000000"/>
                <w:sz w:val="20"/>
                <w:szCs w:val="20"/>
              </w:rPr>
              <w:t>E</w:t>
            </w:r>
            <w:r w:rsidRPr="00367C47">
              <w:rPr>
                <w:rFonts w:cs="Arial"/>
                <w:color w:val="000000"/>
                <w:sz w:val="20"/>
                <w:szCs w:val="20"/>
              </w:rPr>
              <w:t>stado de Hidalgo mediante el aumento de acciones en materia de agua, drenaje y saneamiento</w:t>
            </w:r>
          </w:p>
        </w:tc>
        <w:tc>
          <w:tcPr>
            <w:tcW w:w="1541" w:type="pct"/>
            <w:vMerge/>
            <w:tcBorders>
              <w:left w:val="single" w:sz="4" w:space="0" w:color="auto"/>
              <w:right w:val="single" w:sz="4" w:space="0" w:color="auto"/>
            </w:tcBorders>
            <w:vAlign w:val="center"/>
          </w:tcPr>
          <w:p w14:paraId="741BD1C3" w14:textId="77777777" w:rsidR="00863E40" w:rsidRPr="00367C47" w:rsidRDefault="00863E40" w:rsidP="00D96461">
            <w:pPr>
              <w:spacing w:before="0" w:after="0"/>
              <w:rPr>
                <w:rFonts w:ascii="Calibri" w:eastAsia="Calibri" w:hAnsi="Calibri" w:cs="Calibri"/>
                <w:sz w:val="20"/>
                <w:szCs w:val="20"/>
                <w:lang w:val="es-ES"/>
              </w:rPr>
            </w:pPr>
          </w:p>
        </w:tc>
      </w:tr>
      <w:tr w:rsidR="00863E40" w:rsidRPr="00367C47" w14:paraId="076CAAB2" w14:textId="77777777" w:rsidTr="005E1463">
        <w:trPr>
          <w:trHeight w:val="1292"/>
        </w:trPr>
        <w:tc>
          <w:tcPr>
            <w:tcW w:w="785" w:type="pct"/>
            <w:vAlign w:val="center"/>
          </w:tcPr>
          <w:p w14:paraId="5EE8725C" w14:textId="0CABCD34" w:rsidR="00863E40" w:rsidRPr="00367C47" w:rsidRDefault="00863E40" w:rsidP="00D96461">
            <w:pPr>
              <w:spacing w:before="0" w:after="0"/>
              <w:rPr>
                <w:rFonts w:ascii="Calibri" w:eastAsia="Calibri" w:hAnsi="Calibri" w:cs="Calibri"/>
                <w:sz w:val="20"/>
                <w:szCs w:val="20"/>
                <w:lang w:val="es-ES"/>
              </w:rPr>
            </w:pPr>
            <w:r w:rsidRPr="00367C47">
              <w:rPr>
                <w:rFonts w:cs="Arial"/>
                <w:color w:val="000000"/>
                <w:sz w:val="20"/>
                <w:szCs w:val="20"/>
              </w:rPr>
              <w:t>Infraestructura en Educación</w:t>
            </w:r>
          </w:p>
        </w:tc>
        <w:tc>
          <w:tcPr>
            <w:tcW w:w="996" w:type="pct"/>
            <w:vAlign w:val="center"/>
          </w:tcPr>
          <w:p w14:paraId="16782ADC" w14:textId="35EC0CA6" w:rsidR="00863E40" w:rsidRPr="00367C47" w:rsidRDefault="00863E40" w:rsidP="00D96461">
            <w:pPr>
              <w:spacing w:before="0" w:after="0"/>
              <w:rPr>
                <w:rFonts w:cstheme="minorHAnsi"/>
                <w:sz w:val="20"/>
                <w:szCs w:val="20"/>
              </w:rPr>
            </w:pPr>
            <w:r w:rsidRPr="00367C47">
              <w:rPr>
                <w:rFonts w:cstheme="minorHAnsi"/>
                <w:sz w:val="20"/>
                <w:szCs w:val="20"/>
              </w:rPr>
              <w:t xml:space="preserve">Población hidalguense en edad de cursar educación básica, media superior y superior cuenta con espacios educativos adecuados y suficientes en el </w:t>
            </w:r>
            <w:r>
              <w:rPr>
                <w:rFonts w:cstheme="minorHAnsi"/>
                <w:sz w:val="20"/>
                <w:szCs w:val="20"/>
              </w:rPr>
              <w:t>E</w:t>
            </w:r>
            <w:r w:rsidRPr="00367C47">
              <w:rPr>
                <w:rFonts w:cstheme="minorHAnsi"/>
                <w:sz w:val="20"/>
                <w:szCs w:val="20"/>
              </w:rPr>
              <w:t>stado de Hidalgo</w:t>
            </w:r>
          </w:p>
          <w:p w14:paraId="1B1101EE" w14:textId="77777777" w:rsidR="00863E40" w:rsidRPr="00367C47" w:rsidRDefault="00863E40" w:rsidP="00D96461">
            <w:pPr>
              <w:spacing w:before="0" w:after="0"/>
              <w:rPr>
                <w:rFonts w:cstheme="minorHAnsi"/>
                <w:sz w:val="20"/>
                <w:szCs w:val="20"/>
              </w:rPr>
            </w:pPr>
          </w:p>
          <w:p w14:paraId="7683D04A" w14:textId="77777777" w:rsidR="00863E40" w:rsidRPr="00367C47" w:rsidRDefault="00863E40" w:rsidP="00D96461">
            <w:pPr>
              <w:spacing w:before="0" w:after="0"/>
              <w:rPr>
                <w:rFonts w:ascii="Calibri" w:eastAsia="Calibri" w:hAnsi="Calibri" w:cs="Calibri"/>
                <w:sz w:val="20"/>
                <w:szCs w:val="20"/>
                <w:lang w:val="es-ES"/>
              </w:rPr>
            </w:pPr>
          </w:p>
        </w:tc>
        <w:tc>
          <w:tcPr>
            <w:tcW w:w="600" w:type="pct"/>
            <w:vAlign w:val="center"/>
          </w:tcPr>
          <w:p w14:paraId="39DA9601" w14:textId="3600100C" w:rsidR="00863E40" w:rsidRPr="00367C47" w:rsidRDefault="00863E40" w:rsidP="00D96461">
            <w:pPr>
              <w:spacing w:before="0" w:after="0"/>
              <w:jc w:val="center"/>
              <w:rPr>
                <w:rFonts w:ascii="Calibri" w:eastAsia="Calibri" w:hAnsi="Calibri" w:cs="Calibri"/>
                <w:sz w:val="20"/>
                <w:szCs w:val="20"/>
                <w:lang w:val="es-ES"/>
              </w:rPr>
            </w:pPr>
            <w:r>
              <w:rPr>
                <w:rFonts w:ascii="Calibri" w:eastAsia="Calibri" w:hAnsi="Calibri" w:cs="Calibri"/>
                <w:sz w:val="20"/>
                <w:szCs w:val="20"/>
                <w:lang w:val="es-ES"/>
              </w:rPr>
              <w:t>K</w:t>
            </w:r>
          </w:p>
        </w:tc>
        <w:tc>
          <w:tcPr>
            <w:tcW w:w="1078" w:type="pct"/>
            <w:tcBorders>
              <w:right w:val="single" w:sz="4" w:space="0" w:color="auto"/>
            </w:tcBorders>
            <w:vAlign w:val="center"/>
          </w:tcPr>
          <w:p w14:paraId="11B9663A" w14:textId="3BADFE18" w:rsidR="00863E40" w:rsidRPr="00367C47" w:rsidRDefault="00863E40" w:rsidP="00D96461">
            <w:pPr>
              <w:spacing w:before="0" w:after="0"/>
              <w:rPr>
                <w:rFonts w:ascii="Calibri" w:eastAsia="Calibri" w:hAnsi="Calibri" w:cs="Calibri"/>
                <w:sz w:val="20"/>
                <w:szCs w:val="20"/>
                <w:lang w:val="es-ES"/>
              </w:rPr>
            </w:pPr>
            <w:r w:rsidRPr="00367C47">
              <w:rPr>
                <w:rFonts w:cs="Arial"/>
                <w:color w:val="000000"/>
                <w:sz w:val="20"/>
                <w:szCs w:val="20"/>
              </w:rPr>
              <w:t xml:space="preserve">Contribuir a la calidad y pertinencias de la educación básica, media superior y superior. Mediante la infraestructura para la educación en el </w:t>
            </w:r>
            <w:r>
              <w:rPr>
                <w:rFonts w:cs="Arial"/>
                <w:color w:val="000000"/>
                <w:sz w:val="20"/>
                <w:szCs w:val="20"/>
              </w:rPr>
              <w:t>E</w:t>
            </w:r>
            <w:r w:rsidRPr="00367C47">
              <w:rPr>
                <w:rFonts w:cs="Arial"/>
                <w:color w:val="000000"/>
                <w:sz w:val="20"/>
                <w:szCs w:val="20"/>
              </w:rPr>
              <w:t>stado de Hidalgo con una formación integral.</w:t>
            </w:r>
          </w:p>
        </w:tc>
        <w:tc>
          <w:tcPr>
            <w:tcW w:w="1541" w:type="pct"/>
            <w:vMerge/>
            <w:tcBorders>
              <w:left w:val="single" w:sz="4" w:space="0" w:color="auto"/>
              <w:right w:val="single" w:sz="4" w:space="0" w:color="auto"/>
            </w:tcBorders>
            <w:vAlign w:val="center"/>
          </w:tcPr>
          <w:p w14:paraId="10938BF3" w14:textId="77777777" w:rsidR="00863E40" w:rsidRPr="00367C47" w:rsidRDefault="00863E40" w:rsidP="00D96461">
            <w:pPr>
              <w:spacing w:before="0" w:after="0"/>
              <w:rPr>
                <w:rFonts w:ascii="Calibri" w:eastAsia="Calibri" w:hAnsi="Calibri" w:cs="Calibri"/>
                <w:sz w:val="20"/>
                <w:szCs w:val="20"/>
                <w:lang w:val="es-ES"/>
              </w:rPr>
            </w:pPr>
          </w:p>
        </w:tc>
      </w:tr>
      <w:tr w:rsidR="00863E40" w:rsidRPr="00367C47" w14:paraId="5175D3C4" w14:textId="77777777" w:rsidTr="00E67E43">
        <w:trPr>
          <w:trHeight w:val="1655"/>
        </w:trPr>
        <w:tc>
          <w:tcPr>
            <w:tcW w:w="785" w:type="pct"/>
            <w:vAlign w:val="center"/>
          </w:tcPr>
          <w:p w14:paraId="6EDD11BA" w14:textId="77777777" w:rsidR="00863E40" w:rsidRPr="00367C47" w:rsidRDefault="00863E40" w:rsidP="00D96461">
            <w:pPr>
              <w:spacing w:before="0" w:after="0"/>
              <w:rPr>
                <w:rFonts w:cs="Arial"/>
                <w:color w:val="000000"/>
                <w:sz w:val="20"/>
                <w:szCs w:val="20"/>
              </w:rPr>
            </w:pPr>
            <w:r w:rsidRPr="00367C47">
              <w:rPr>
                <w:rFonts w:cs="Arial"/>
                <w:color w:val="000000"/>
                <w:sz w:val="20"/>
                <w:szCs w:val="20"/>
              </w:rPr>
              <w:t>Programas Hidroagrícolas</w:t>
            </w:r>
          </w:p>
        </w:tc>
        <w:tc>
          <w:tcPr>
            <w:tcW w:w="996" w:type="pct"/>
            <w:vAlign w:val="center"/>
          </w:tcPr>
          <w:p w14:paraId="31FE0D13" w14:textId="356A1022" w:rsidR="00863E40" w:rsidRPr="00367C47" w:rsidRDefault="00863E40" w:rsidP="00D96461">
            <w:pPr>
              <w:spacing w:before="0" w:after="0"/>
              <w:rPr>
                <w:rFonts w:cstheme="minorHAnsi"/>
                <w:sz w:val="20"/>
                <w:szCs w:val="20"/>
              </w:rPr>
            </w:pPr>
            <w:r w:rsidRPr="00367C47">
              <w:rPr>
                <w:rFonts w:cstheme="minorHAnsi"/>
                <w:sz w:val="20"/>
                <w:szCs w:val="20"/>
              </w:rPr>
              <w:t xml:space="preserve">Productores rurales cuentan con </w:t>
            </w:r>
            <w:r w:rsidR="007C6C5E" w:rsidRPr="00367C47">
              <w:rPr>
                <w:rFonts w:cstheme="minorHAnsi"/>
                <w:sz w:val="20"/>
                <w:szCs w:val="20"/>
              </w:rPr>
              <w:t>uso eficiente</w:t>
            </w:r>
            <w:r w:rsidRPr="00367C47">
              <w:rPr>
                <w:rFonts w:cstheme="minorHAnsi"/>
                <w:sz w:val="20"/>
                <w:szCs w:val="20"/>
              </w:rPr>
              <w:t xml:space="preserve"> y conservación del suelo y agua para la actividad primaria.</w:t>
            </w:r>
          </w:p>
        </w:tc>
        <w:tc>
          <w:tcPr>
            <w:tcW w:w="600" w:type="pct"/>
            <w:vAlign w:val="center"/>
          </w:tcPr>
          <w:p w14:paraId="7A485928" w14:textId="3D78BC51" w:rsidR="00863E40" w:rsidRPr="00367C47" w:rsidRDefault="00863E40" w:rsidP="00D96461">
            <w:pPr>
              <w:spacing w:before="0" w:after="0"/>
              <w:jc w:val="center"/>
              <w:rPr>
                <w:rFonts w:ascii="Calibri" w:eastAsia="Calibri" w:hAnsi="Calibri" w:cs="Calibri"/>
                <w:sz w:val="20"/>
                <w:szCs w:val="20"/>
                <w:lang w:val="es-ES"/>
              </w:rPr>
            </w:pPr>
            <w:r>
              <w:rPr>
                <w:rFonts w:ascii="Calibri" w:eastAsia="Calibri" w:hAnsi="Calibri" w:cs="Calibri"/>
                <w:sz w:val="20"/>
                <w:szCs w:val="20"/>
                <w:lang w:val="es-ES"/>
              </w:rPr>
              <w:t>K</w:t>
            </w:r>
          </w:p>
        </w:tc>
        <w:tc>
          <w:tcPr>
            <w:tcW w:w="1078" w:type="pct"/>
            <w:tcBorders>
              <w:right w:val="single" w:sz="4" w:space="0" w:color="auto"/>
            </w:tcBorders>
            <w:vAlign w:val="center"/>
          </w:tcPr>
          <w:p w14:paraId="449149C5" w14:textId="77777777" w:rsidR="00863E40" w:rsidRPr="00367C47" w:rsidRDefault="00863E40" w:rsidP="00D96461">
            <w:pPr>
              <w:spacing w:before="0" w:after="0"/>
              <w:rPr>
                <w:rFonts w:cs="Arial"/>
                <w:color w:val="000000"/>
                <w:sz w:val="20"/>
                <w:szCs w:val="20"/>
              </w:rPr>
            </w:pPr>
            <w:r w:rsidRPr="00367C47">
              <w:rPr>
                <w:rFonts w:cs="Arial"/>
                <w:color w:val="000000"/>
                <w:sz w:val="20"/>
                <w:szCs w:val="20"/>
              </w:rPr>
              <w:t>Contribuir al incremento de conservación de los recursos naturales del subsector hidroagrícola mediante la construcción de mejor infraestructura para el uso eficiente del agua.</w:t>
            </w:r>
          </w:p>
        </w:tc>
        <w:tc>
          <w:tcPr>
            <w:tcW w:w="1541" w:type="pct"/>
            <w:vMerge/>
            <w:tcBorders>
              <w:left w:val="single" w:sz="4" w:space="0" w:color="auto"/>
              <w:right w:val="single" w:sz="4" w:space="0" w:color="auto"/>
            </w:tcBorders>
            <w:vAlign w:val="center"/>
          </w:tcPr>
          <w:p w14:paraId="14C7D652" w14:textId="77777777" w:rsidR="00863E40" w:rsidRPr="00367C47" w:rsidRDefault="00863E40" w:rsidP="00D96461">
            <w:pPr>
              <w:spacing w:before="0" w:after="0"/>
              <w:rPr>
                <w:rFonts w:ascii="Calibri" w:eastAsia="Calibri" w:hAnsi="Calibri" w:cs="Calibri"/>
                <w:sz w:val="20"/>
                <w:szCs w:val="20"/>
                <w:lang w:val="es-ES"/>
              </w:rPr>
            </w:pPr>
          </w:p>
        </w:tc>
      </w:tr>
      <w:tr w:rsidR="00863E40" w:rsidRPr="00367C47" w14:paraId="5F9E841D" w14:textId="77777777" w:rsidTr="005E1463">
        <w:trPr>
          <w:trHeight w:val="478"/>
        </w:trPr>
        <w:tc>
          <w:tcPr>
            <w:tcW w:w="785" w:type="pct"/>
            <w:vAlign w:val="center"/>
          </w:tcPr>
          <w:p w14:paraId="180F5026" w14:textId="4F6F41A8" w:rsidR="00863E40" w:rsidRPr="00367C47" w:rsidRDefault="00863E40" w:rsidP="00D96461">
            <w:pPr>
              <w:spacing w:before="0" w:after="0"/>
              <w:rPr>
                <w:rFonts w:cs="Arial"/>
                <w:color w:val="000000"/>
                <w:sz w:val="20"/>
                <w:szCs w:val="20"/>
              </w:rPr>
            </w:pPr>
            <w:r w:rsidRPr="008F1163">
              <w:rPr>
                <w:rFonts w:cs="Arial"/>
                <w:color w:val="000000"/>
                <w:sz w:val="20"/>
                <w:szCs w:val="20"/>
              </w:rPr>
              <w:lastRenderedPageBreak/>
              <w:t>Inversión en Turismo</w:t>
            </w:r>
          </w:p>
        </w:tc>
        <w:tc>
          <w:tcPr>
            <w:tcW w:w="996" w:type="pct"/>
            <w:vAlign w:val="center"/>
          </w:tcPr>
          <w:p w14:paraId="1E826EEA" w14:textId="15DE2F4B" w:rsidR="00863E40" w:rsidRPr="00367C47" w:rsidRDefault="00863E40" w:rsidP="00D96461">
            <w:pPr>
              <w:spacing w:before="0" w:after="0"/>
              <w:rPr>
                <w:rFonts w:cstheme="minorHAnsi"/>
                <w:sz w:val="20"/>
                <w:szCs w:val="20"/>
              </w:rPr>
            </w:pPr>
            <w:r w:rsidRPr="00F01B1E">
              <w:rPr>
                <w:rFonts w:cstheme="minorHAnsi"/>
                <w:sz w:val="20"/>
                <w:szCs w:val="20"/>
              </w:rPr>
              <w:t>Construcción de infraestructura</w:t>
            </w:r>
            <w:r>
              <w:rPr>
                <w:rFonts w:cstheme="minorHAnsi"/>
                <w:sz w:val="20"/>
                <w:szCs w:val="20"/>
              </w:rPr>
              <w:t xml:space="preserve"> para el turismo</w:t>
            </w:r>
          </w:p>
        </w:tc>
        <w:tc>
          <w:tcPr>
            <w:tcW w:w="600" w:type="pct"/>
            <w:vAlign w:val="center"/>
          </w:tcPr>
          <w:p w14:paraId="0CE5C7D3" w14:textId="7BD80C3A" w:rsidR="00863E40" w:rsidRDefault="00863E40" w:rsidP="00D96461">
            <w:pPr>
              <w:spacing w:before="0" w:after="0"/>
              <w:jc w:val="center"/>
              <w:rPr>
                <w:rFonts w:ascii="Calibri" w:eastAsia="Calibri" w:hAnsi="Calibri" w:cs="Calibri"/>
                <w:sz w:val="20"/>
                <w:szCs w:val="20"/>
                <w:lang w:val="es-ES"/>
              </w:rPr>
            </w:pPr>
            <w:r>
              <w:rPr>
                <w:rFonts w:ascii="Calibri" w:eastAsia="Calibri" w:hAnsi="Calibri" w:cs="Calibri"/>
                <w:sz w:val="20"/>
                <w:szCs w:val="20"/>
                <w:lang w:val="es-ES"/>
              </w:rPr>
              <w:t>K</w:t>
            </w:r>
          </w:p>
        </w:tc>
        <w:tc>
          <w:tcPr>
            <w:tcW w:w="1078" w:type="pct"/>
            <w:tcBorders>
              <w:right w:val="single" w:sz="4" w:space="0" w:color="auto"/>
            </w:tcBorders>
            <w:vAlign w:val="center"/>
          </w:tcPr>
          <w:p w14:paraId="662FA1B2" w14:textId="32ED639C" w:rsidR="00863E40" w:rsidRPr="00367C47" w:rsidRDefault="00863E40" w:rsidP="000D2257">
            <w:pPr>
              <w:spacing w:before="0" w:after="0"/>
              <w:rPr>
                <w:rFonts w:cs="Arial"/>
                <w:color w:val="000000"/>
                <w:sz w:val="20"/>
                <w:szCs w:val="20"/>
              </w:rPr>
            </w:pPr>
            <w:r>
              <w:rPr>
                <w:rFonts w:cs="Arial"/>
                <w:color w:val="000000"/>
                <w:sz w:val="20"/>
                <w:szCs w:val="20"/>
              </w:rPr>
              <w:t>E</w:t>
            </w:r>
            <w:r w:rsidRPr="000D2257">
              <w:rPr>
                <w:rFonts w:cs="Arial"/>
                <w:color w:val="000000"/>
                <w:sz w:val="20"/>
                <w:szCs w:val="20"/>
              </w:rPr>
              <w:t xml:space="preserve">l </w:t>
            </w:r>
            <w:r>
              <w:rPr>
                <w:rFonts w:cs="Arial"/>
                <w:color w:val="000000"/>
                <w:sz w:val="20"/>
                <w:szCs w:val="20"/>
              </w:rPr>
              <w:t>E</w:t>
            </w:r>
            <w:r w:rsidRPr="000D2257">
              <w:rPr>
                <w:rFonts w:cs="Arial"/>
                <w:color w:val="000000"/>
                <w:sz w:val="20"/>
                <w:szCs w:val="20"/>
              </w:rPr>
              <w:t xml:space="preserve">stado de </w:t>
            </w:r>
            <w:r>
              <w:rPr>
                <w:rFonts w:cs="Arial"/>
                <w:color w:val="000000"/>
                <w:sz w:val="20"/>
                <w:szCs w:val="20"/>
              </w:rPr>
              <w:t>H</w:t>
            </w:r>
            <w:r w:rsidRPr="000D2257">
              <w:rPr>
                <w:rFonts w:cs="Arial"/>
                <w:color w:val="000000"/>
                <w:sz w:val="20"/>
                <w:szCs w:val="20"/>
              </w:rPr>
              <w:t>idalgo se beneficia</w:t>
            </w:r>
            <w:r>
              <w:rPr>
                <w:rFonts w:cs="Arial"/>
                <w:color w:val="000000"/>
                <w:sz w:val="20"/>
                <w:szCs w:val="20"/>
              </w:rPr>
              <w:t xml:space="preserve"> </w:t>
            </w:r>
            <w:r w:rsidRPr="000D2257">
              <w:rPr>
                <w:rFonts w:cs="Arial"/>
                <w:color w:val="000000"/>
                <w:sz w:val="20"/>
                <w:szCs w:val="20"/>
              </w:rPr>
              <w:t>con un desarrollo ordenado y</w:t>
            </w:r>
            <w:r>
              <w:rPr>
                <w:rFonts w:cs="Arial"/>
                <w:color w:val="000000"/>
                <w:sz w:val="20"/>
                <w:szCs w:val="20"/>
              </w:rPr>
              <w:t xml:space="preserve"> </w:t>
            </w:r>
            <w:r w:rsidRPr="000D2257">
              <w:rPr>
                <w:rFonts w:cs="Arial"/>
                <w:color w:val="000000"/>
                <w:sz w:val="20"/>
                <w:szCs w:val="20"/>
              </w:rPr>
              <w:t>sostenible de la actividad</w:t>
            </w:r>
            <w:r>
              <w:rPr>
                <w:rFonts w:cs="Arial"/>
                <w:color w:val="000000"/>
                <w:sz w:val="20"/>
                <w:szCs w:val="20"/>
              </w:rPr>
              <w:t xml:space="preserve"> </w:t>
            </w:r>
            <w:r w:rsidRPr="000D2257">
              <w:rPr>
                <w:rFonts w:cs="Arial"/>
                <w:color w:val="000000"/>
                <w:sz w:val="20"/>
                <w:szCs w:val="20"/>
              </w:rPr>
              <w:t>turística</w:t>
            </w:r>
            <w:r>
              <w:rPr>
                <w:rFonts w:cs="Arial"/>
                <w:color w:val="000000"/>
                <w:sz w:val="20"/>
                <w:szCs w:val="20"/>
              </w:rPr>
              <w:t>.</w:t>
            </w:r>
          </w:p>
        </w:tc>
        <w:tc>
          <w:tcPr>
            <w:tcW w:w="1541" w:type="pct"/>
            <w:vMerge/>
            <w:tcBorders>
              <w:left w:val="single" w:sz="4" w:space="0" w:color="auto"/>
              <w:right w:val="single" w:sz="4" w:space="0" w:color="auto"/>
            </w:tcBorders>
            <w:vAlign w:val="center"/>
          </w:tcPr>
          <w:p w14:paraId="4C5B24C5" w14:textId="77777777" w:rsidR="00863E40" w:rsidRPr="00367C47" w:rsidRDefault="00863E40" w:rsidP="00D96461">
            <w:pPr>
              <w:spacing w:before="0" w:after="0"/>
              <w:rPr>
                <w:rFonts w:ascii="Calibri" w:eastAsia="Calibri" w:hAnsi="Calibri" w:cs="Calibri"/>
                <w:sz w:val="20"/>
                <w:szCs w:val="20"/>
                <w:lang w:val="es-ES"/>
              </w:rPr>
            </w:pPr>
          </w:p>
        </w:tc>
      </w:tr>
      <w:tr w:rsidR="00863E40" w:rsidRPr="00367C47" w14:paraId="4C2C2FD8" w14:textId="77777777" w:rsidTr="005E1463">
        <w:trPr>
          <w:trHeight w:val="1082"/>
        </w:trPr>
        <w:tc>
          <w:tcPr>
            <w:tcW w:w="785" w:type="pct"/>
            <w:vAlign w:val="center"/>
          </w:tcPr>
          <w:p w14:paraId="5F3F319D" w14:textId="438BECB6" w:rsidR="00863E40" w:rsidRPr="00367C47" w:rsidRDefault="00863E40" w:rsidP="00D96461">
            <w:pPr>
              <w:spacing w:before="0" w:after="0"/>
              <w:rPr>
                <w:rFonts w:cs="Arial"/>
                <w:color w:val="000000"/>
                <w:sz w:val="20"/>
                <w:szCs w:val="20"/>
              </w:rPr>
            </w:pPr>
            <w:r w:rsidRPr="008F1163">
              <w:rPr>
                <w:rFonts w:cs="Arial"/>
                <w:color w:val="000000"/>
                <w:sz w:val="20"/>
                <w:szCs w:val="20"/>
              </w:rPr>
              <w:t>Desarrollo de Pueblos Mágicos</w:t>
            </w:r>
          </w:p>
        </w:tc>
        <w:tc>
          <w:tcPr>
            <w:tcW w:w="996" w:type="pct"/>
            <w:vAlign w:val="center"/>
          </w:tcPr>
          <w:p w14:paraId="165F2F27" w14:textId="4E1F15E1" w:rsidR="00863E40" w:rsidRPr="00367C47" w:rsidRDefault="00863E40" w:rsidP="00D96461">
            <w:pPr>
              <w:spacing w:before="0" w:after="0"/>
              <w:rPr>
                <w:rFonts w:cstheme="minorHAnsi"/>
                <w:sz w:val="20"/>
                <w:szCs w:val="20"/>
              </w:rPr>
            </w:pPr>
            <w:r w:rsidRPr="00F01B1E">
              <w:rPr>
                <w:rFonts w:cstheme="minorHAnsi"/>
                <w:sz w:val="20"/>
                <w:szCs w:val="20"/>
              </w:rPr>
              <w:t>Construcción de infraestructura</w:t>
            </w:r>
            <w:r>
              <w:rPr>
                <w:rFonts w:cstheme="minorHAnsi"/>
                <w:sz w:val="20"/>
                <w:szCs w:val="20"/>
              </w:rPr>
              <w:t xml:space="preserve"> para el turismo</w:t>
            </w:r>
          </w:p>
        </w:tc>
        <w:tc>
          <w:tcPr>
            <w:tcW w:w="600" w:type="pct"/>
            <w:vAlign w:val="center"/>
          </w:tcPr>
          <w:p w14:paraId="5CA099D9" w14:textId="763C7C90" w:rsidR="00863E40" w:rsidRDefault="00863E40" w:rsidP="00D96461">
            <w:pPr>
              <w:spacing w:before="0" w:after="0"/>
              <w:jc w:val="center"/>
              <w:rPr>
                <w:rFonts w:ascii="Calibri" w:eastAsia="Calibri" w:hAnsi="Calibri" w:cs="Calibri"/>
                <w:sz w:val="20"/>
                <w:szCs w:val="20"/>
                <w:lang w:val="es-ES"/>
              </w:rPr>
            </w:pPr>
            <w:r>
              <w:rPr>
                <w:rFonts w:ascii="Calibri" w:eastAsia="Calibri" w:hAnsi="Calibri" w:cs="Calibri"/>
                <w:sz w:val="20"/>
                <w:szCs w:val="20"/>
                <w:lang w:val="es-ES"/>
              </w:rPr>
              <w:t>K</w:t>
            </w:r>
          </w:p>
        </w:tc>
        <w:tc>
          <w:tcPr>
            <w:tcW w:w="1078" w:type="pct"/>
            <w:tcBorders>
              <w:right w:val="single" w:sz="4" w:space="0" w:color="auto"/>
            </w:tcBorders>
            <w:vAlign w:val="center"/>
          </w:tcPr>
          <w:p w14:paraId="183AF9E5" w14:textId="5CC3926E" w:rsidR="00863E40" w:rsidRPr="00367C47" w:rsidRDefault="00863E40" w:rsidP="00D96461">
            <w:pPr>
              <w:spacing w:before="0" w:after="0"/>
              <w:rPr>
                <w:rFonts w:cs="Arial"/>
                <w:color w:val="000000"/>
                <w:sz w:val="20"/>
                <w:szCs w:val="20"/>
              </w:rPr>
            </w:pPr>
            <w:r>
              <w:t>El Estado de Hidalgo se beneficia con un desarrollo ordenado y sostenible de la actividad turística en los pueblos mágicos.</w:t>
            </w:r>
          </w:p>
        </w:tc>
        <w:tc>
          <w:tcPr>
            <w:tcW w:w="1541" w:type="pct"/>
            <w:vMerge/>
            <w:tcBorders>
              <w:left w:val="single" w:sz="4" w:space="0" w:color="auto"/>
              <w:right w:val="single" w:sz="4" w:space="0" w:color="auto"/>
            </w:tcBorders>
            <w:vAlign w:val="center"/>
          </w:tcPr>
          <w:p w14:paraId="2991746D" w14:textId="77777777" w:rsidR="00863E40" w:rsidRPr="00367C47" w:rsidRDefault="00863E40" w:rsidP="00D96461">
            <w:pPr>
              <w:spacing w:before="0" w:after="0"/>
              <w:rPr>
                <w:rFonts w:ascii="Calibri" w:eastAsia="Calibri" w:hAnsi="Calibri" w:cs="Calibri"/>
                <w:sz w:val="20"/>
                <w:szCs w:val="20"/>
                <w:lang w:val="es-ES"/>
              </w:rPr>
            </w:pPr>
          </w:p>
        </w:tc>
      </w:tr>
      <w:tr w:rsidR="00863E40" w:rsidRPr="00367C47" w14:paraId="59A1A4E4" w14:textId="77777777" w:rsidTr="005E1463">
        <w:trPr>
          <w:trHeight w:val="1106"/>
        </w:trPr>
        <w:tc>
          <w:tcPr>
            <w:tcW w:w="785" w:type="pct"/>
            <w:vAlign w:val="center"/>
          </w:tcPr>
          <w:p w14:paraId="56345ECA" w14:textId="22FEAEEE" w:rsidR="00863E40" w:rsidRPr="00367C47" w:rsidRDefault="00863E40" w:rsidP="00D96461">
            <w:pPr>
              <w:spacing w:before="0" w:after="0"/>
              <w:rPr>
                <w:rFonts w:cs="Arial"/>
                <w:color w:val="000000"/>
                <w:sz w:val="20"/>
                <w:szCs w:val="20"/>
              </w:rPr>
            </w:pPr>
            <w:r w:rsidRPr="008F1163">
              <w:rPr>
                <w:rFonts w:cs="Arial"/>
                <w:color w:val="000000"/>
                <w:sz w:val="20"/>
                <w:szCs w:val="20"/>
              </w:rPr>
              <w:t>Infraestructura para Pueblos Indígenas</w:t>
            </w:r>
          </w:p>
        </w:tc>
        <w:tc>
          <w:tcPr>
            <w:tcW w:w="996" w:type="pct"/>
            <w:vAlign w:val="center"/>
          </w:tcPr>
          <w:p w14:paraId="322545BF" w14:textId="56369DEB" w:rsidR="00863E40" w:rsidRPr="00367C47" w:rsidRDefault="00863E40" w:rsidP="00D96461">
            <w:pPr>
              <w:spacing w:before="0" w:after="0"/>
              <w:rPr>
                <w:rFonts w:cstheme="minorHAnsi"/>
                <w:sz w:val="20"/>
                <w:szCs w:val="20"/>
              </w:rPr>
            </w:pPr>
            <w:r>
              <w:rPr>
                <w:rFonts w:cstheme="minorHAnsi"/>
                <w:sz w:val="20"/>
                <w:szCs w:val="20"/>
              </w:rPr>
              <w:t>Construcción de infraestructura para el desarrollo social</w:t>
            </w:r>
          </w:p>
        </w:tc>
        <w:tc>
          <w:tcPr>
            <w:tcW w:w="600" w:type="pct"/>
            <w:vAlign w:val="center"/>
          </w:tcPr>
          <w:p w14:paraId="5AF18C79" w14:textId="546C9287" w:rsidR="00863E40" w:rsidRDefault="00863E40" w:rsidP="00D96461">
            <w:pPr>
              <w:spacing w:before="0" w:after="0"/>
              <w:jc w:val="center"/>
              <w:rPr>
                <w:rFonts w:ascii="Calibri" w:eastAsia="Calibri" w:hAnsi="Calibri" w:cs="Calibri"/>
                <w:sz w:val="20"/>
                <w:szCs w:val="20"/>
                <w:lang w:val="es-ES"/>
              </w:rPr>
            </w:pPr>
            <w:r>
              <w:rPr>
                <w:rFonts w:ascii="Calibri" w:eastAsia="Calibri" w:hAnsi="Calibri" w:cs="Calibri"/>
                <w:sz w:val="20"/>
                <w:szCs w:val="20"/>
                <w:lang w:val="es-ES"/>
              </w:rPr>
              <w:t>K</w:t>
            </w:r>
          </w:p>
        </w:tc>
        <w:tc>
          <w:tcPr>
            <w:tcW w:w="1078" w:type="pct"/>
            <w:tcBorders>
              <w:right w:val="single" w:sz="4" w:space="0" w:color="auto"/>
            </w:tcBorders>
            <w:vAlign w:val="center"/>
          </w:tcPr>
          <w:p w14:paraId="7FA6E0DC" w14:textId="086554E0" w:rsidR="00863E40" w:rsidRPr="00367C47" w:rsidRDefault="00863E40" w:rsidP="00DF5603">
            <w:pPr>
              <w:spacing w:before="0" w:after="0"/>
              <w:rPr>
                <w:rFonts w:cs="Arial"/>
                <w:color w:val="000000"/>
                <w:sz w:val="20"/>
                <w:szCs w:val="20"/>
              </w:rPr>
            </w:pPr>
            <w:r w:rsidRPr="00DF5603">
              <w:rPr>
                <w:rFonts w:cs="Arial"/>
                <w:color w:val="000000"/>
                <w:sz w:val="20"/>
                <w:szCs w:val="20"/>
              </w:rPr>
              <w:t>Atender a las</w:t>
            </w:r>
            <w:r>
              <w:rPr>
                <w:rFonts w:cs="Arial"/>
                <w:color w:val="000000"/>
                <w:sz w:val="20"/>
                <w:szCs w:val="20"/>
              </w:rPr>
              <w:t xml:space="preserve"> </w:t>
            </w:r>
            <w:r w:rsidRPr="00DF5603">
              <w:rPr>
                <w:rFonts w:cs="Arial"/>
                <w:color w:val="000000"/>
                <w:sz w:val="20"/>
                <w:szCs w:val="20"/>
              </w:rPr>
              <w:t>localidades indígenas</w:t>
            </w:r>
            <w:r>
              <w:rPr>
                <w:rFonts w:cs="Arial"/>
                <w:color w:val="000000"/>
                <w:sz w:val="20"/>
                <w:szCs w:val="20"/>
              </w:rPr>
              <w:t xml:space="preserve"> </w:t>
            </w:r>
            <w:r w:rsidRPr="00DF5603">
              <w:rPr>
                <w:rFonts w:cs="Arial"/>
                <w:color w:val="000000"/>
                <w:sz w:val="20"/>
                <w:szCs w:val="20"/>
              </w:rPr>
              <w:t>prioritarias mediante el</w:t>
            </w:r>
            <w:r>
              <w:rPr>
                <w:rFonts w:cs="Arial"/>
                <w:color w:val="000000"/>
                <w:sz w:val="20"/>
                <w:szCs w:val="20"/>
              </w:rPr>
              <w:t xml:space="preserve"> </w:t>
            </w:r>
            <w:r w:rsidRPr="00DF5603">
              <w:rPr>
                <w:rFonts w:cs="Arial"/>
                <w:color w:val="000000"/>
                <w:sz w:val="20"/>
                <w:szCs w:val="20"/>
              </w:rPr>
              <w:t>fortalecimiento e intervención</w:t>
            </w:r>
            <w:r>
              <w:rPr>
                <w:rFonts w:cs="Arial"/>
                <w:color w:val="000000"/>
                <w:sz w:val="20"/>
                <w:szCs w:val="20"/>
              </w:rPr>
              <w:t xml:space="preserve"> </w:t>
            </w:r>
            <w:r w:rsidRPr="00DF5603">
              <w:rPr>
                <w:rFonts w:cs="Arial"/>
                <w:color w:val="000000"/>
                <w:sz w:val="20"/>
                <w:szCs w:val="20"/>
              </w:rPr>
              <w:t>con obras y acciones para</w:t>
            </w:r>
            <w:r>
              <w:rPr>
                <w:rFonts w:cs="Arial"/>
                <w:color w:val="000000"/>
                <w:sz w:val="20"/>
                <w:szCs w:val="20"/>
              </w:rPr>
              <w:t xml:space="preserve"> </w:t>
            </w:r>
            <w:r w:rsidRPr="00DF5603">
              <w:rPr>
                <w:rFonts w:cs="Arial"/>
                <w:color w:val="000000"/>
                <w:sz w:val="20"/>
                <w:szCs w:val="20"/>
              </w:rPr>
              <w:t>mejorar su calidad de vida y su</w:t>
            </w:r>
            <w:r>
              <w:rPr>
                <w:rFonts w:cs="Arial"/>
                <w:color w:val="000000"/>
                <w:sz w:val="20"/>
                <w:szCs w:val="20"/>
              </w:rPr>
              <w:t xml:space="preserve"> </w:t>
            </w:r>
            <w:r w:rsidRPr="00DF5603">
              <w:rPr>
                <w:rFonts w:cs="Arial"/>
                <w:color w:val="000000"/>
                <w:sz w:val="20"/>
                <w:szCs w:val="20"/>
              </w:rPr>
              <w:t>desarrollo integral</w:t>
            </w:r>
            <w:r>
              <w:rPr>
                <w:rFonts w:cs="Arial"/>
                <w:color w:val="000000"/>
                <w:sz w:val="20"/>
                <w:szCs w:val="20"/>
              </w:rPr>
              <w:t>.</w:t>
            </w:r>
          </w:p>
        </w:tc>
        <w:tc>
          <w:tcPr>
            <w:tcW w:w="1541" w:type="pct"/>
            <w:vMerge/>
            <w:tcBorders>
              <w:left w:val="single" w:sz="4" w:space="0" w:color="auto"/>
              <w:right w:val="single" w:sz="4" w:space="0" w:color="auto"/>
            </w:tcBorders>
            <w:vAlign w:val="center"/>
          </w:tcPr>
          <w:p w14:paraId="400D4F22" w14:textId="77777777" w:rsidR="00863E40" w:rsidRPr="00367C47" w:rsidRDefault="00863E40" w:rsidP="00D96461">
            <w:pPr>
              <w:spacing w:before="0" w:after="0"/>
              <w:rPr>
                <w:rFonts w:ascii="Calibri" w:eastAsia="Calibri" w:hAnsi="Calibri" w:cs="Calibri"/>
                <w:sz w:val="20"/>
                <w:szCs w:val="20"/>
                <w:lang w:val="es-ES"/>
              </w:rPr>
            </w:pPr>
          </w:p>
        </w:tc>
      </w:tr>
      <w:tr w:rsidR="00863E40" w:rsidRPr="00367C47" w14:paraId="34F5F96A" w14:textId="77777777" w:rsidTr="005E1463">
        <w:trPr>
          <w:trHeight w:val="874"/>
        </w:trPr>
        <w:tc>
          <w:tcPr>
            <w:tcW w:w="785" w:type="pct"/>
            <w:vAlign w:val="center"/>
          </w:tcPr>
          <w:p w14:paraId="293F9AFE" w14:textId="14CAAA09" w:rsidR="00863E40" w:rsidRPr="00367C47" w:rsidRDefault="00863E40" w:rsidP="00863E40">
            <w:pPr>
              <w:spacing w:before="0" w:after="0"/>
              <w:rPr>
                <w:rFonts w:cs="Arial"/>
                <w:color w:val="000000"/>
                <w:sz w:val="20"/>
                <w:szCs w:val="20"/>
              </w:rPr>
            </w:pPr>
            <w:r w:rsidRPr="006E01F2">
              <w:rPr>
                <w:rFonts w:eastAsia="Times New Roman" w:cstheme="minorHAnsi"/>
                <w:color w:val="000000"/>
                <w:sz w:val="20"/>
                <w:szCs w:val="20"/>
                <w:lang w:eastAsia="es-MX"/>
              </w:rPr>
              <w:t>Inversión en los Municipios</w:t>
            </w:r>
          </w:p>
        </w:tc>
        <w:tc>
          <w:tcPr>
            <w:tcW w:w="996" w:type="pct"/>
            <w:vAlign w:val="center"/>
          </w:tcPr>
          <w:p w14:paraId="0829C5CA" w14:textId="01ED4DC3" w:rsidR="00863E40" w:rsidRPr="00367C47" w:rsidRDefault="00863E40" w:rsidP="00863E40">
            <w:pPr>
              <w:spacing w:before="0" w:after="0"/>
              <w:rPr>
                <w:rFonts w:cstheme="minorHAnsi"/>
                <w:sz w:val="20"/>
                <w:szCs w:val="20"/>
              </w:rPr>
            </w:pPr>
            <w:r>
              <w:rPr>
                <w:rFonts w:cstheme="minorHAnsi"/>
                <w:sz w:val="20"/>
                <w:szCs w:val="20"/>
              </w:rPr>
              <w:t>Construcción de infraestructura en los municipios</w:t>
            </w:r>
          </w:p>
        </w:tc>
        <w:tc>
          <w:tcPr>
            <w:tcW w:w="600" w:type="pct"/>
            <w:vAlign w:val="center"/>
          </w:tcPr>
          <w:p w14:paraId="45957CBF" w14:textId="3DE9CEF8" w:rsidR="00863E40" w:rsidRDefault="00863E40" w:rsidP="00863E40">
            <w:pPr>
              <w:spacing w:before="0" w:after="0"/>
              <w:jc w:val="center"/>
              <w:rPr>
                <w:rFonts w:ascii="Calibri" w:eastAsia="Calibri" w:hAnsi="Calibri" w:cs="Calibri"/>
                <w:sz w:val="20"/>
                <w:szCs w:val="20"/>
                <w:lang w:val="es-ES"/>
              </w:rPr>
            </w:pPr>
            <w:r>
              <w:rPr>
                <w:rFonts w:ascii="Calibri" w:eastAsia="Calibri" w:hAnsi="Calibri" w:cs="Calibri"/>
                <w:sz w:val="20"/>
                <w:szCs w:val="20"/>
                <w:lang w:val="es-ES"/>
              </w:rPr>
              <w:t>K</w:t>
            </w:r>
          </w:p>
        </w:tc>
        <w:tc>
          <w:tcPr>
            <w:tcW w:w="1078" w:type="pct"/>
            <w:tcBorders>
              <w:right w:val="single" w:sz="4" w:space="0" w:color="auto"/>
            </w:tcBorders>
            <w:vAlign w:val="center"/>
          </w:tcPr>
          <w:p w14:paraId="12DF853B" w14:textId="59F9FD3B" w:rsidR="00863E40" w:rsidRPr="00367C47" w:rsidRDefault="00863E40" w:rsidP="00863E40">
            <w:pPr>
              <w:spacing w:before="0" w:after="0"/>
              <w:rPr>
                <w:rFonts w:cs="Arial"/>
                <w:color w:val="000000"/>
                <w:sz w:val="20"/>
                <w:szCs w:val="20"/>
              </w:rPr>
            </w:pPr>
            <w:r>
              <w:rPr>
                <w:rFonts w:cs="Arial"/>
                <w:color w:val="000000"/>
                <w:sz w:val="20"/>
                <w:szCs w:val="20"/>
              </w:rPr>
              <w:t>Contribuir a fortalecer las capacidades institucionales de los municipios.</w:t>
            </w:r>
          </w:p>
        </w:tc>
        <w:tc>
          <w:tcPr>
            <w:tcW w:w="1541" w:type="pct"/>
            <w:vMerge/>
            <w:tcBorders>
              <w:left w:val="single" w:sz="4" w:space="0" w:color="auto"/>
              <w:right w:val="single" w:sz="4" w:space="0" w:color="auto"/>
            </w:tcBorders>
            <w:vAlign w:val="center"/>
          </w:tcPr>
          <w:p w14:paraId="2406D3BF" w14:textId="77777777" w:rsidR="00863E40" w:rsidRPr="00367C47" w:rsidRDefault="00863E40" w:rsidP="00863E40">
            <w:pPr>
              <w:spacing w:before="0" w:after="0"/>
              <w:rPr>
                <w:rFonts w:ascii="Calibri" w:eastAsia="Calibri" w:hAnsi="Calibri" w:cs="Calibri"/>
                <w:sz w:val="20"/>
                <w:szCs w:val="20"/>
                <w:lang w:val="es-ES"/>
              </w:rPr>
            </w:pPr>
          </w:p>
        </w:tc>
      </w:tr>
      <w:tr w:rsidR="00863E40" w:rsidRPr="00367C47" w14:paraId="0C7D0650" w14:textId="77777777" w:rsidTr="00FE644D">
        <w:trPr>
          <w:trHeight w:val="1655"/>
        </w:trPr>
        <w:tc>
          <w:tcPr>
            <w:tcW w:w="785" w:type="pct"/>
            <w:vAlign w:val="center"/>
          </w:tcPr>
          <w:p w14:paraId="02E15195" w14:textId="3CB93E25" w:rsidR="00863E40" w:rsidRPr="006E01F2" w:rsidRDefault="00863E40" w:rsidP="00863E40">
            <w:pPr>
              <w:spacing w:before="0" w:after="0"/>
              <w:rPr>
                <w:rFonts w:eastAsia="Times New Roman" w:cstheme="minorHAnsi"/>
                <w:color w:val="000000"/>
                <w:sz w:val="20"/>
                <w:szCs w:val="20"/>
                <w:lang w:eastAsia="es-MX"/>
              </w:rPr>
            </w:pPr>
            <w:r w:rsidRPr="008F1163">
              <w:rPr>
                <w:rFonts w:cs="Arial"/>
                <w:color w:val="000000"/>
                <w:sz w:val="20"/>
                <w:szCs w:val="20"/>
              </w:rPr>
              <w:t>Inversión en Medio Ambiente y Recursos Naturales</w:t>
            </w:r>
          </w:p>
        </w:tc>
        <w:tc>
          <w:tcPr>
            <w:tcW w:w="996" w:type="pct"/>
            <w:vAlign w:val="center"/>
          </w:tcPr>
          <w:p w14:paraId="1903603A" w14:textId="5A6ACBF8" w:rsidR="00863E40" w:rsidRPr="00367C47" w:rsidRDefault="000446B1" w:rsidP="000446B1">
            <w:pPr>
              <w:spacing w:before="0" w:after="0"/>
              <w:rPr>
                <w:rFonts w:cstheme="minorHAnsi"/>
                <w:sz w:val="20"/>
                <w:szCs w:val="20"/>
              </w:rPr>
            </w:pPr>
            <w:r w:rsidRPr="000446B1">
              <w:rPr>
                <w:rFonts w:cs="Arial"/>
                <w:color w:val="000000"/>
                <w:sz w:val="20"/>
                <w:szCs w:val="20"/>
              </w:rPr>
              <w:t>Proyectos de inversión</w:t>
            </w:r>
            <w:r>
              <w:rPr>
                <w:rFonts w:cs="Arial"/>
                <w:color w:val="000000"/>
                <w:sz w:val="20"/>
                <w:szCs w:val="20"/>
              </w:rPr>
              <w:t xml:space="preserve"> d</w:t>
            </w:r>
            <w:r w:rsidRPr="000446B1">
              <w:rPr>
                <w:rFonts w:cs="Arial"/>
                <w:color w:val="000000"/>
                <w:sz w:val="20"/>
                <w:szCs w:val="20"/>
              </w:rPr>
              <w:t>estinados a la conservación</w:t>
            </w:r>
            <w:r>
              <w:rPr>
                <w:rFonts w:cs="Arial"/>
                <w:color w:val="000000"/>
                <w:sz w:val="20"/>
                <w:szCs w:val="20"/>
              </w:rPr>
              <w:t xml:space="preserve"> d</w:t>
            </w:r>
            <w:r w:rsidRPr="000446B1">
              <w:rPr>
                <w:rFonts w:cs="Arial"/>
                <w:color w:val="000000"/>
                <w:sz w:val="20"/>
                <w:szCs w:val="20"/>
              </w:rPr>
              <w:t>el medio ambiente</w:t>
            </w:r>
          </w:p>
        </w:tc>
        <w:tc>
          <w:tcPr>
            <w:tcW w:w="600" w:type="pct"/>
            <w:vAlign w:val="center"/>
          </w:tcPr>
          <w:p w14:paraId="318F5329" w14:textId="2991D930" w:rsidR="00863E40" w:rsidRDefault="00863E40" w:rsidP="00863E40">
            <w:pPr>
              <w:spacing w:before="0" w:after="0"/>
              <w:jc w:val="center"/>
              <w:rPr>
                <w:rFonts w:ascii="Calibri" w:eastAsia="Calibri" w:hAnsi="Calibri" w:cs="Calibri"/>
                <w:sz w:val="20"/>
                <w:szCs w:val="20"/>
                <w:lang w:val="es-ES"/>
              </w:rPr>
            </w:pPr>
            <w:r>
              <w:rPr>
                <w:rFonts w:ascii="Calibri" w:eastAsia="Calibri" w:hAnsi="Calibri" w:cs="Calibri"/>
                <w:sz w:val="20"/>
                <w:szCs w:val="20"/>
                <w:lang w:val="es-ES"/>
              </w:rPr>
              <w:t>K</w:t>
            </w:r>
          </w:p>
        </w:tc>
        <w:tc>
          <w:tcPr>
            <w:tcW w:w="1078" w:type="pct"/>
            <w:vAlign w:val="center"/>
          </w:tcPr>
          <w:p w14:paraId="62761E50" w14:textId="3798E907" w:rsidR="00863E40" w:rsidRPr="00367C47" w:rsidRDefault="00863E40" w:rsidP="00863E40">
            <w:pPr>
              <w:spacing w:before="0" w:after="0"/>
              <w:rPr>
                <w:rFonts w:cs="Arial"/>
                <w:color w:val="000000"/>
                <w:sz w:val="20"/>
                <w:szCs w:val="20"/>
              </w:rPr>
            </w:pPr>
            <w:r w:rsidRPr="00863E40">
              <w:rPr>
                <w:rFonts w:cs="Arial"/>
                <w:color w:val="000000"/>
                <w:sz w:val="20"/>
                <w:szCs w:val="20"/>
              </w:rPr>
              <w:t>Contribuir a adoptar nuevas</w:t>
            </w:r>
            <w:r>
              <w:rPr>
                <w:rFonts w:cs="Arial"/>
                <w:color w:val="000000"/>
                <w:sz w:val="20"/>
                <w:szCs w:val="20"/>
              </w:rPr>
              <w:t xml:space="preserve"> </w:t>
            </w:r>
            <w:r w:rsidRPr="00863E40">
              <w:rPr>
                <w:rFonts w:cs="Arial"/>
                <w:color w:val="000000"/>
                <w:sz w:val="20"/>
                <w:szCs w:val="20"/>
              </w:rPr>
              <w:t>formas y patrones de</w:t>
            </w:r>
            <w:r>
              <w:rPr>
                <w:rFonts w:cs="Arial"/>
                <w:color w:val="000000"/>
                <w:sz w:val="20"/>
                <w:szCs w:val="20"/>
              </w:rPr>
              <w:t xml:space="preserve"> </w:t>
            </w:r>
            <w:r w:rsidRPr="00863E40">
              <w:rPr>
                <w:rFonts w:cs="Arial"/>
                <w:color w:val="000000"/>
                <w:sz w:val="20"/>
                <w:szCs w:val="20"/>
              </w:rPr>
              <w:t>aprovechamiento sostenible de</w:t>
            </w:r>
            <w:r>
              <w:rPr>
                <w:rFonts w:cs="Arial"/>
                <w:color w:val="000000"/>
                <w:sz w:val="20"/>
                <w:szCs w:val="20"/>
              </w:rPr>
              <w:t xml:space="preserve"> </w:t>
            </w:r>
            <w:r w:rsidRPr="00863E40">
              <w:rPr>
                <w:rFonts w:cs="Arial"/>
                <w:color w:val="000000"/>
                <w:sz w:val="20"/>
                <w:szCs w:val="20"/>
              </w:rPr>
              <w:t>recursos a fin de promover las</w:t>
            </w:r>
            <w:r>
              <w:rPr>
                <w:rFonts w:cs="Arial"/>
                <w:color w:val="000000"/>
                <w:sz w:val="20"/>
                <w:szCs w:val="20"/>
              </w:rPr>
              <w:t xml:space="preserve"> </w:t>
            </w:r>
            <w:r w:rsidRPr="00863E40">
              <w:rPr>
                <w:rFonts w:cs="Arial"/>
                <w:color w:val="000000"/>
                <w:sz w:val="20"/>
                <w:szCs w:val="20"/>
              </w:rPr>
              <w:t>condiciones necesarias para el</w:t>
            </w:r>
            <w:r>
              <w:rPr>
                <w:rFonts w:cs="Arial"/>
                <w:color w:val="000000"/>
                <w:sz w:val="20"/>
                <w:szCs w:val="20"/>
              </w:rPr>
              <w:t xml:space="preserve"> </w:t>
            </w:r>
            <w:r w:rsidRPr="00863E40">
              <w:rPr>
                <w:rFonts w:cs="Arial"/>
                <w:color w:val="000000"/>
                <w:sz w:val="20"/>
                <w:szCs w:val="20"/>
              </w:rPr>
              <w:t>desarrollo de la población y la</w:t>
            </w:r>
            <w:r>
              <w:rPr>
                <w:rFonts w:cs="Arial"/>
                <w:color w:val="000000"/>
                <w:sz w:val="20"/>
                <w:szCs w:val="20"/>
              </w:rPr>
              <w:t xml:space="preserve"> </w:t>
            </w:r>
            <w:r w:rsidRPr="00863E40">
              <w:rPr>
                <w:rFonts w:cs="Arial"/>
                <w:color w:val="000000"/>
                <w:sz w:val="20"/>
                <w:szCs w:val="20"/>
              </w:rPr>
              <w:t>preservación de un medio</w:t>
            </w:r>
            <w:r>
              <w:rPr>
                <w:rFonts w:cs="Arial"/>
                <w:color w:val="000000"/>
                <w:sz w:val="20"/>
                <w:szCs w:val="20"/>
              </w:rPr>
              <w:t xml:space="preserve"> </w:t>
            </w:r>
            <w:r w:rsidRPr="00863E40">
              <w:rPr>
                <w:rFonts w:cs="Arial"/>
                <w:color w:val="000000"/>
                <w:sz w:val="20"/>
                <w:szCs w:val="20"/>
              </w:rPr>
              <w:t>ambiente sano y equilibrado</w:t>
            </w:r>
            <w:r>
              <w:rPr>
                <w:rFonts w:cs="Arial"/>
                <w:color w:val="000000"/>
                <w:sz w:val="20"/>
                <w:szCs w:val="20"/>
              </w:rPr>
              <w:t>.</w:t>
            </w:r>
          </w:p>
        </w:tc>
        <w:tc>
          <w:tcPr>
            <w:tcW w:w="1541" w:type="pct"/>
            <w:vAlign w:val="center"/>
          </w:tcPr>
          <w:p w14:paraId="6875DBC5" w14:textId="5323EA57" w:rsidR="00863E40" w:rsidRPr="00367C47" w:rsidRDefault="000446B1" w:rsidP="00863E40">
            <w:pPr>
              <w:spacing w:before="0" w:after="0"/>
              <w:rPr>
                <w:rFonts w:ascii="Calibri" w:eastAsia="Calibri" w:hAnsi="Calibri" w:cs="Calibri"/>
                <w:sz w:val="20"/>
                <w:szCs w:val="20"/>
                <w:lang w:val="es-ES"/>
              </w:rPr>
            </w:pPr>
            <w:r w:rsidRPr="000446B1">
              <w:rPr>
                <w:rFonts w:ascii="Calibri" w:eastAsia="Calibri" w:hAnsi="Calibri" w:cs="Calibri"/>
                <w:sz w:val="20"/>
                <w:szCs w:val="20"/>
                <w:lang w:val="es-ES"/>
              </w:rPr>
              <w:t>Cumplen con la LCF, están vinculados al rubro de gasto I. inversión en infraestructura física. Los recursos del Fondo agregan valor al complementar los recursos provenientes de otras fuentes de financiamiento para la construcción de</w:t>
            </w:r>
            <w:r>
              <w:rPr>
                <w:rFonts w:ascii="Calibri" w:eastAsia="Calibri" w:hAnsi="Calibri" w:cs="Calibri"/>
                <w:sz w:val="20"/>
                <w:szCs w:val="20"/>
                <w:lang w:val="es-ES"/>
              </w:rPr>
              <w:t xml:space="preserve"> obras de conservación del medio ambiente.</w:t>
            </w:r>
          </w:p>
        </w:tc>
      </w:tr>
      <w:tr w:rsidR="00863E40" w:rsidRPr="00367C47" w14:paraId="31BAFBF1" w14:textId="77777777" w:rsidTr="00FE644D">
        <w:trPr>
          <w:trHeight w:val="1655"/>
        </w:trPr>
        <w:tc>
          <w:tcPr>
            <w:tcW w:w="785" w:type="pct"/>
            <w:vAlign w:val="center"/>
          </w:tcPr>
          <w:p w14:paraId="25226C0E" w14:textId="5B45CA05" w:rsidR="00863E40" w:rsidRPr="006E01F2" w:rsidRDefault="00863E40" w:rsidP="00863E40">
            <w:pPr>
              <w:spacing w:before="0" w:after="0"/>
              <w:rPr>
                <w:rFonts w:eastAsia="Times New Roman" w:cstheme="minorHAnsi"/>
                <w:color w:val="000000"/>
                <w:sz w:val="20"/>
                <w:szCs w:val="20"/>
                <w:lang w:eastAsia="es-MX"/>
              </w:rPr>
            </w:pPr>
            <w:r w:rsidRPr="008F1163">
              <w:rPr>
                <w:rFonts w:cs="Arial"/>
                <w:color w:val="000000"/>
                <w:sz w:val="20"/>
                <w:szCs w:val="20"/>
              </w:rPr>
              <w:t>Inversión en Salud</w:t>
            </w:r>
          </w:p>
        </w:tc>
        <w:tc>
          <w:tcPr>
            <w:tcW w:w="996" w:type="pct"/>
            <w:vAlign w:val="center"/>
          </w:tcPr>
          <w:p w14:paraId="349815E6" w14:textId="15E8B03E" w:rsidR="00863E40" w:rsidRPr="00367C47" w:rsidRDefault="00262206" w:rsidP="00863E40">
            <w:pPr>
              <w:spacing w:before="0" w:after="0"/>
              <w:rPr>
                <w:rFonts w:cstheme="minorHAnsi"/>
                <w:sz w:val="20"/>
                <w:szCs w:val="20"/>
              </w:rPr>
            </w:pPr>
            <w:r w:rsidRPr="000446B1">
              <w:rPr>
                <w:rFonts w:cs="Arial"/>
                <w:color w:val="000000"/>
                <w:sz w:val="20"/>
                <w:szCs w:val="20"/>
              </w:rPr>
              <w:t>Proyectos de inversión</w:t>
            </w:r>
            <w:r>
              <w:rPr>
                <w:rFonts w:cs="Arial"/>
                <w:color w:val="000000"/>
                <w:sz w:val="20"/>
                <w:szCs w:val="20"/>
              </w:rPr>
              <w:t xml:space="preserve"> d</w:t>
            </w:r>
            <w:r w:rsidRPr="000446B1">
              <w:rPr>
                <w:rFonts w:cs="Arial"/>
                <w:color w:val="000000"/>
                <w:sz w:val="20"/>
                <w:szCs w:val="20"/>
              </w:rPr>
              <w:t>estinados a l</w:t>
            </w:r>
            <w:r>
              <w:rPr>
                <w:rFonts w:cs="Arial"/>
                <w:color w:val="000000"/>
                <w:sz w:val="20"/>
                <w:szCs w:val="20"/>
              </w:rPr>
              <w:t>a construcción de infraestructura para la prestación de servicios de salud.</w:t>
            </w:r>
          </w:p>
        </w:tc>
        <w:tc>
          <w:tcPr>
            <w:tcW w:w="600" w:type="pct"/>
            <w:vAlign w:val="center"/>
          </w:tcPr>
          <w:p w14:paraId="498CF6F7" w14:textId="1F641BE0" w:rsidR="00863E40" w:rsidRDefault="00863E40" w:rsidP="00863E40">
            <w:pPr>
              <w:spacing w:before="0" w:after="0"/>
              <w:jc w:val="center"/>
              <w:rPr>
                <w:rFonts w:ascii="Calibri" w:eastAsia="Calibri" w:hAnsi="Calibri" w:cs="Calibri"/>
                <w:sz w:val="20"/>
                <w:szCs w:val="20"/>
                <w:lang w:val="es-ES"/>
              </w:rPr>
            </w:pPr>
            <w:r>
              <w:rPr>
                <w:rFonts w:ascii="Calibri" w:eastAsia="Calibri" w:hAnsi="Calibri" w:cs="Calibri"/>
                <w:sz w:val="20"/>
                <w:szCs w:val="20"/>
                <w:lang w:val="es-ES"/>
              </w:rPr>
              <w:t>K</w:t>
            </w:r>
          </w:p>
        </w:tc>
        <w:tc>
          <w:tcPr>
            <w:tcW w:w="1078" w:type="pct"/>
            <w:vAlign w:val="center"/>
          </w:tcPr>
          <w:p w14:paraId="42C8381A" w14:textId="682D841E" w:rsidR="000446B1" w:rsidRPr="000446B1" w:rsidRDefault="000446B1" w:rsidP="000446B1">
            <w:pPr>
              <w:spacing w:before="0" w:after="0"/>
              <w:rPr>
                <w:rFonts w:cs="Arial"/>
                <w:color w:val="000000"/>
                <w:sz w:val="20"/>
                <w:szCs w:val="20"/>
              </w:rPr>
            </w:pPr>
            <w:r>
              <w:rPr>
                <w:rFonts w:cs="Arial"/>
                <w:color w:val="000000"/>
                <w:sz w:val="20"/>
                <w:szCs w:val="20"/>
              </w:rPr>
              <w:t xml:space="preserve">La </w:t>
            </w:r>
            <w:r w:rsidRPr="000446B1">
              <w:rPr>
                <w:rFonts w:cs="Arial"/>
                <w:color w:val="000000"/>
                <w:sz w:val="20"/>
                <w:szCs w:val="20"/>
              </w:rPr>
              <w:t xml:space="preserve">población en el </w:t>
            </w:r>
            <w:r>
              <w:rPr>
                <w:rFonts w:cs="Arial"/>
                <w:color w:val="000000"/>
                <w:sz w:val="20"/>
                <w:szCs w:val="20"/>
              </w:rPr>
              <w:t>E</w:t>
            </w:r>
            <w:r w:rsidRPr="000446B1">
              <w:rPr>
                <w:rFonts w:cs="Arial"/>
                <w:color w:val="000000"/>
                <w:sz w:val="20"/>
                <w:szCs w:val="20"/>
              </w:rPr>
              <w:t>stado de</w:t>
            </w:r>
          </w:p>
          <w:p w14:paraId="161D132B" w14:textId="5F5CDEE4" w:rsidR="000446B1" w:rsidRPr="000446B1" w:rsidRDefault="000446B1" w:rsidP="000446B1">
            <w:pPr>
              <w:spacing w:before="0" w:after="0"/>
              <w:rPr>
                <w:rFonts w:cs="Arial"/>
                <w:color w:val="000000"/>
                <w:sz w:val="20"/>
                <w:szCs w:val="20"/>
              </w:rPr>
            </w:pPr>
            <w:r>
              <w:rPr>
                <w:rFonts w:cs="Arial"/>
                <w:color w:val="000000"/>
                <w:sz w:val="20"/>
                <w:szCs w:val="20"/>
              </w:rPr>
              <w:t>H</w:t>
            </w:r>
            <w:r w:rsidRPr="000446B1">
              <w:rPr>
                <w:rFonts w:cs="Arial"/>
                <w:color w:val="000000"/>
                <w:sz w:val="20"/>
                <w:szCs w:val="20"/>
              </w:rPr>
              <w:t>idalgo cuenta con acceso</w:t>
            </w:r>
          </w:p>
          <w:p w14:paraId="3FEB367A" w14:textId="272E4E79" w:rsidR="00863E40" w:rsidRPr="00367C47" w:rsidRDefault="000446B1" w:rsidP="000446B1">
            <w:pPr>
              <w:spacing w:before="0" w:after="0"/>
              <w:rPr>
                <w:rFonts w:cs="Arial"/>
                <w:color w:val="000000"/>
                <w:sz w:val="20"/>
                <w:szCs w:val="20"/>
              </w:rPr>
            </w:pPr>
            <w:r w:rsidRPr="000446B1">
              <w:rPr>
                <w:rFonts w:cs="Arial"/>
                <w:color w:val="000000"/>
                <w:sz w:val="20"/>
                <w:szCs w:val="20"/>
              </w:rPr>
              <w:t>efectivo a servicios de salud</w:t>
            </w:r>
          </w:p>
        </w:tc>
        <w:tc>
          <w:tcPr>
            <w:tcW w:w="1541" w:type="pct"/>
            <w:vAlign w:val="center"/>
          </w:tcPr>
          <w:p w14:paraId="3D95AA81" w14:textId="77942DEB" w:rsidR="00863E40" w:rsidRPr="00367C47" w:rsidRDefault="000446B1" w:rsidP="00863E40">
            <w:pPr>
              <w:spacing w:before="0" w:after="0"/>
              <w:rPr>
                <w:rFonts w:ascii="Calibri" w:eastAsia="Calibri" w:hAnsi="Calibri" w:cs="Calibri"/>
                <w:sz w:val="20"/>
                <w:szCs w:val="20"/>
                <w:lang w:val="es-ES"/>
              </w:rPr>
            </w:pPr>
            <w:r w:rsidRPr="000446B1">
              <w:rPr>
                <w:rFonts w:ascii="Calibri" w:eastAsia="Calibri" w:hAnsi="Calibri" w:cs="Calibri"/>
                <w:sz w:val="20"/>
                <w:szCs w:val="20"/>
                <w:lang w:val="es-ES"/>
              </w:rPr>
              <w:t>Cumplen con la LCF, están vinculados al rubro de gasto I. inversión en infraestructura física. Los recursos del Fondo agregan valor al complementar los recursos provenientes de otras fuentes de financiamiento para la construcción de</w:t>
            </w:r>
            <w:r>
              <w:rPr>
                <w:rFonts w:ascii="Calibri" w:eastAsia="Calibri" w:hAnsi="Calibri" w:cs="Calibri"/>
                <w:sz w:val="20"/>
                <w:szCs w:val="20"/>
                <w:lang w:val="es-ES"/>
              </w:rPr>
              <w:t xml:space="preserve"> obras relacionadas con la prestación de servicios de salud.</w:t>
            </w:r>
          </w:p>
        </w:tc>
      </w:tr>
      <w:tr w:rsidR="00863E40" w:rsidRPr="00367C47" w14:paraId="4AEBF9B9" w14:textId="77777777" w:rsidTr="005E1463">
        <w:trPr>
          <w:trHeight w:val="1612"/>
        </w:trPr>
        <w:tc>
          <w:tcPr>
            <w:tcW w:w="785" w:type="pct"/>
            <w:vAlign w:val="center"/>
          </w:tcPr>
          <w:p w14:paraId="036D9C71" w14:textId="374AAAC0" w:rsidR="00863E40" w:rsidRPr="006E01F2" w:rsidRDefault="00863E40" w:rsidP="00863E40">
            <w:pPr>
              <w:spacing w:before="0" w:after="0"/>
              <w:rPr>
                <w:rFonts w:eastAsia="Times New Roman" w:cstheme="minorHAnsi"/>
                <w:color w:val="000000"/>
                <w:sz w:val="20"/>
                <w:szCs w:val="20"/>
                <w:lang w:eastAsia="es-MX"/>
              </w:rPr>
            </w:pPr>
            <w:r w:rsidRPr="006E01F2">
              <w:rPr>
                <w:rFonts w:eastAsia="Times New Roman" w:cstheme="minorHAnsi"/>
                <w:color w:val="000000"/>
                <w:sz w:val="20"/>
                <w:szCs w:val="20"/>
                <w:lang w:eastAsia="es-MX"/>
              </w:rPr>
              <w:lastRenderedPageBreak/>
              <w:t>Fomento a Nuevas Inversiones Locales, Nacionales y Extranjeras</w:t>
            </w:r>
          </w:p>
        </w:tc>
        <w:tc>
          <w:tcPr>
            <w:tcW w:w="996" w:type="pct"/>
            <w:vAlign w:val="center"/>
          </w:tcPr>
          <w:p w14:paraId="1F175EF0" w14:textId="659C8816" w:rsidR="00863E40" w:rsidRPr="00367C47" w:rsidRDefault="00A21718" w:rsidP="00A21718">
            <w:pPr>
              <w:spacing w:before="0" w:after="0"/>
              <w:rPr>
                <w:rFonts w:cstheme="minorHAnsi"/>
                <w:sz w:val="20"/>
                <w:szCs w:val="20"/>
              </w:rPr>
            </w:pPr>
            <w:r w:rsidRPr="00A21718">
              <w:rPr>
                <w:rFonts w:cstheme="minorHAnsi"/>
                <w:sz w:val="20"/>
                <w:szCs w:val="20"/>
              </w:rPr>
              <w:t>Inversión destinada a la</w:t>
            </w:r>
            <w:r w:rsidR="007138D6">
              <w:rPr>
                <w:rFonts w:cstheme="minorHAnsi"/>
                <w:sz w:val="20"/>
                <w:szCs w:val="20"/>
              </w:rPr>
              <w:t xml:space="preserve"> e</w:t>
            </w:r>
            <w:r w:rsidRPr="00A21718">
              <w:rPr>
                <w:rFonts w:cstheme="minorHAnsi"/>
                <w:sz w:val="20"/>
                <w:szCs w:val="20"/>
              </w:rPr>
              <w:t>laboración de estudios y</w:t>
            </w:r>
            <w:r w:rsidR="007138D6">
              <w:rPr>
                <w:rFonts w:cstheme="minorHAnsi"/>
                <w:sz w:val="20"/>
                <w:szCs w:val="20"/>
              </w:rPr>
              <w:t xml:space="preserve"> p</w:t>
            </w:r>
            <w:r w:rsidRPr="00A21718">
              <w:rPr>
                <w:rFonts w:cstheme="minorHAnsi"/>
                <w:sz w:val="20"/>
                <w:szCs w:val="20"/>
              </w:rPr>
              <w:t>royectos para el desarrollo</w:t>
            </w:r>
            <w:r>
              <w:rPr>
                <w:rFonts w:cstheme="minorHAnsi"/>
                <w:sz w:val="20"/>
                <w:szCs w:val="20"/>
              </w:rPr>
              <w:t xml:space="preserve"> de</w:t>
            </w:r>
            <w:r w:rsidRPr="00A21718">
              <w:rPr>
                <w:rFonts w:cstheme="minorHAnsi"/>
                <w:sz w:val="20"/>
                <w:szCs w:val="20"/>
              </w:rPr>
              <w:t xml:space="preserve"> infraestructura</w:t>
            </w:r>
            <w:r w:rsidR="007138D6">
              <w:rPr>
                <w:rFonts w:cstheme="minorHAnsi"/>
                <w:sz w:val="20"/>
                <w:szCs w:val="20"/>
              </w:rPr>
              <w:t>.</w:t>
            </w:r>
          </w:p>
        </w:tc>
        <w:tc>
          <w:tcPr>
            <w:tcW w:w="600" w:type="pct"/>
            <w:vAlign w:val="center"/>
          </w:tcPr>
          <w:p w14:paraId="5EA1E664" w14:textId="46856C01" w:rsidR="00863E40" w:rsidRDefault="00863E40" w:rsidP="00863E40">
            <w:pPr>
              <w:spacing w:before="0" w:after="0"/>
              <w:jc w:val="center"/>
              <w:rPr>
                <w:rFonts w:ascii="Calibri" w:eastAsia="Calibri" w:hAnsi="Calibri" w:cs="Calibri"/>
                <w:sz w:val="20"/>
                <w:szCs w:val="20"/>
                <w:lang w:val="es-ES"/>
              </w:rPr>
            </w:pPr>
            <w:r>
              <w:rPr>
                <w:rFonts w:ascii="Calibri" w:eastAsia="Calibri" w:hAnsi="Calibri" w:cs="Calibri"/>
                <w:sz w:val="20"/>
                <w:szCs w:val="20"/>
                <w:lang w:val="es-ES"/>
              </w:rPr>
              <w:t>K</w:t>
            </w:r>
          </w:p>
        </w:tc>
        <w:tc>
          <w:tcPr>
            <w:tcW w:w="1078" w:type="pct"/>
            <w:vAlign w:val="center"/>
          </w:tcPr>
          <w:p w14:paraId="041075EE" w14:textId="2EDB29BC" w:rsidR="00863E40" w:rsidRPr="00367C47" w:rsidRDefault="00A21718" w:rsidP="007138D6">
            <w:pPr>
              <w:spacing w:before="0" w:after="0"/>
              <w:rPr>
                <w:rFonts w:cs="Arial"/>
                <w:color w:val="000000"/>
                <w:sz w:val="20"/>
                <w:szCs w:val="20"/>
              </w:rPr>
            </w:pPr>
            <w:r w:rsidRPr="00A21718">
              <w:rPr>
                <w:rFonts w:cs="Arial"/>
                <w:color w:val="000000"/>
                <w:sz w:val="20"/>
                <w:szCs w:val="20"/>
              </w:rPr>
              <w:t>Crecimiento de la captación de</w:t>
            </w:r>
            <w:r>
              <w:rPr>
                <w:rFonts w:cs="Arial"/>
                <w:color w:val="000000"/>
                <w:sz w:val="20"/>
                <w:szCs w:val="20"/>
              </w:rPr>
              <w:t xml:space="preserve"> </w:t>
            </w:r>
            <w:r w:rsidRPr="00A21718">
              <w:rPr>
                <w:rFonts w:cs="Arial"/>
                <w:color w:val="000000"/>
                <w:sz w:val="20"/>
                <w:szCs w:val="20"/>
              </w:rPr>
              <w:t>inversión privada nacional y</w:t>
            </w:r>
            <w:r w:rsidR="007138D6">
              <w:rPr>
                <w:rFonts w:cs="Arial"/>
                <w:color w:val="000000"/>
                <w:sz w:val="20"/>
                <w:szCs w:val="20"/>
              </w:rPr>
              <w:t xml:space="preserve"> e</w:t>
            </w:r>
            <w:r w:rsidRPr="00A21718">
              <w:rPr>
                <w:rFonts w:cs="Arial"/>
                <w:color w:val="000000"/>
                <w:sz w:val="20"/>
                <w:szCs w:val="20"/>
              </w:rPr>
              <w:t>xtranjera</w:t>
            </w:r>
            <w:r w:rsidR="007138D6">
              <w:rPr>
                <w:rFonts w:cs="Arial"/>
                <w:color w:val="000000"/>
                <w:sz w:val="20"/>
                <w:szCs w:val="20"/>
              </w:rPr>
              <w:t xml:space="preserve"> </w:t>
            </w:r>
            <w:r w:rsidR="007138D6" w:rsidRPr="007138D6">
              <w:rPr>
                <w:rFonts w:cs="Arial"/>
                <w:color w:val="000000"/>
                <w:sz w:val="20"/>
                <w:szCs w:val="20"/>
              </w:rPr>
              <w:t>mediante acciones que</w:t>
            </w:r>
            <w:r w:rsidR="007138D6">
              <w:rPr>
                <w:rFonts w:cs="Arial"/>
                <w:color w:val="000000"/>
                <w:sz w:val="20"/>
                <w:szCs w:val="20"/>
              </w:rPr>
              <w:t xml:space="preserve"> </w:t>
            </w:r>
            <w:r w:rsidR="007138D6" w:rsidRPr="007138D6">
              <w:rPr>
                <w:rFonts w:cs="Arial"/>
                <w:color w:val="000000"/>
                <w:sz w:val="20"/>
                <w:szCs w:val="20"/>
              </w:rPr>
              <w:t>mejoren la infraestructura</w:t>
            </w:r>
          </w:p>
        </w:tc>
        <w:tc>
          <w:tcPr>
            <w:tcW w:w="1541" w:type="pct"/>
            <w:vAlign w:val="center"/>
          </w:tcPr>
          <w:p w14:paraId="0688D8A6" w14:textId="2DBE507C" w:rsidR="00863E40" w:rsidRPr="00367C47" w:rsidRDefault="007138D6" w:rsidP="00863E40">
            <w:pPr>
              <w:spacing w:before="0" w:after="0"/>
              <w:rPr>
                <w:rFonts w:ascii="Calibri" w:eastAsia="Calibri" w:hAnsi="Calibri" w:cs="Calibri"/>
                <w:sz w:val="20"/>
                <w:szCs w:val="20"/>
                <w:lang w:val="es-ES"/>
              </w:rPr>
            </w:pPr>
            <w:r w:rsidRPr="007138D6">
              <w:rPr>
                <w:rFonts w:ascii="Calibri" w:eastAsia="Calibri" w:hAnsi="Calibri" w:cs="Calibri"/>
                <w:sz w:val="20"/>
                <w:szCs w:val="20"/>
                <w:lang w:val="es-ES"/>
              </w:rPr>
              <w:t>Cumplen con la LCF, están vinculados al rubro de gasto I. inversión en infraestructura física</w:t>
            </w:r>
            <w:r>
              <w:rPr>
                <w:rFonts w:ascii="Calibri" w:eastAsia="Calibri" w:hAnsi="Calibri" w:cs="Calibri"/>
                <w:sz w:val="20"/>
                <w:szCs w:val="20"/>
                <w:lang w:val="es-ES"/>
              </w:rPr>
              <w:t xml:space="preserve"> </w:t>
            </w:r>
            <w:r w:rsidR="007D0C6D">
              <w:rPr>
                <w:rFonts w:ascii="Calibri" w:eastAsia="Calibri" w:hAnsi="Calibri" w:cs="Calibri"/>
                <w:sz w:val="20"/>
                <w:szCs w:val="20"/>
                <w:lang w:val="es-ES"/>
              </w:rPr>
              <w:t>en relación con</w:t>
            </w:r>
            <w:r>
              <w:rPr>
                <w:rFonts w:ascii="Calibri" w:eastAsia="Calibri" w:hAnsi="Calibri" w:cs="Calibri"/>
                <w:sz w:val="20"/>
                <w:szCs w:val="20"/>
                <w:lang w:val="es-ES"/>
              </w:rPr>
              <w:t xml:space="preserve"> destinar </w:t>
            </w:r>
            <w:r>
              <w:rPr>
                <w:sz w:val="20"/>
                <w:szCs w:val="20"/>
              </w:rPr>
              <w:t xml:space="preserve">hasta un 3 por ciento del costo del programa o proyecto programado en el ejercicio fiscal correspondiente, para gastos indirectos por concepto de realización de estudios, elaboración y evaluación de proyectos, supervisión y control de estas obras de infraestructura. </w:t>
            </w:r>
          </w:p>
        </w:tc>
      </w:tr>
    </w:tbl>
    <w:p w14:paraId="3049E716" w14:textId="77777777" w:rsidR="00EB1844" w:rsidRDefault="00EB1844" w:rsidP="00EB1844">
      <w:pPr>
        <w:spacing w:before="0" w:after="160" w:line="259" w:lineRule="auto"/>
        <w:jc w:val="left"/>
        <w:rPr>
          <w:rFonts w:ascii="Calibri" w:eastAsia="Times New Roman" w:hAnsi="Calibri"/>
          <w:color w:val="000000"/>
          <w:lang w:eastAsia="es-MX"/>
        </w:rPr>
      </w:pPr>
      <w:r>
        <w:rPr>
          <w:rFonts w:ascii="Calibri" w:eastAsia="Times New Roman" w:hAnsi="Calibri"/>
          <w:color w:val="000000"/>
          <w:lang w:eastAsia="es-MX"/>
        </w:rPr>
        <w:br w:type="page"/>
      </w:r>
    </w:p>
    <w:p w14:paraId="1E330B84" w14:textId="14885748" w:rsidR="00EB1844" w:rsidRDefault="00EB1844" w:rsidP="00EB1844">
      <w:pPr>
        <w:pStyle w:val="Anexos"/>
        <w:rPr>
          <w:i w:val="0"/>
          <w:iCs/>
        </w:rPr>
      </w:pPr>
      <w:bookmarkStart w:id="145" w:name="_Toc45480710"/>
      <w:bookmarkStart w:id="146" w:name="_Toc54262978"/>
      <w:bookmarkStart w:id="147" w:name="_Toc55497590"/>
      <w:bookmarkStart w:id="148" w:name="_Toc55542101"/>
      <w:bookmarkStart w:id="149" w:name="_Toc56423511"/>
      <w:bookmarkStart w:id="150" w:name="_Toc56423722"/>
      <w:bookmarkStart w:id="151" w:name="_Toc56449873"/>
      <w:r w:rsidRPr="00E27412">
        <w:rPr>
          <w:i w:val="0"/>
          <w:iCs/>
        </w:rPr>
        <w:lastRenderedPageBreak/>
        <w:t xml:space="preserve">Anexo 8. Sinergias con políticas, programas o proyectos locales de </w:t>
      </w:r>
      <w:r w:rsidR="00DE0DC2">
        <w:rPr>
          <w:i w:val="0"/>
          <w:iCs/>
        </w:rPr>
        <w:t>F</w:t>
      </w:r>
      <w:r w:rsidR="00DE0DC2" w:rsidRPr="00E27412">
        <w:rPr>
          <w:i w:val="0"/>
          <w:iCs/>
        </w:rPr>
        <w:t xml:space="preserve">ondos </w:t>
      </w:r>
      <w:r w:rsidRPr="00E27412">
        <w:rPr>
          <w:i w:val="0"/>
          <w:iCs/>
        </w:rPr>
        <w:t xml:space="preserve">de otras </w:t>
      </w:r>
      <w:r w:rsidR="00DE0DC2">
        <w:rPr>
          <w:i w:val="0"/>
          <w:iCs/>
        </w:rPr>
        <w:t>A</w:t>
      </w:r>
      <w:r w:rsidR="00DE0DC2" w:rsidRPr="00E27412">
        <w:rPr>
          <w:i w:val="0"/>
          <w:iCs/>
        </w:rPr>
        <w:t xml:space="preserve">portaciones </w:t>
      </w:r>
      <w:r w:rsidR="00DE0DC2">
        <w:rPr>
          <w:i w:val="0"/>
          <w:iCs/>
        </w:rPr>
        <w:t>F</w:t>
      </w:r>
      <w:r w:rsidR="00DE0DC2" w:rsidRPr="00E27412">
        <w:rPr>
          <w:i w:val="0"/>
          <w:iCs/>
        </w:rPr>
        <w:t xml:space="preserve">ederales </w:t>
      </w:r>
      <w:r w:rsidRPr="00E27412">
        <w:rPr>
          <w:i w:val="0"/>
          <w:iCs/>
        </w:rPr>
        <w:t xml:space="preserve">aplicados en la </w:t>
      </w:r>
      <w:r w:rsidR="00DE0DC2" w:rsidRPr="00E27412">
        <w:rPr>
          <w:i w:val="0"/>
          <w:iCs/>
        </w:rPr>
        <w:t>Entidad Federativa</w:t>
      </w:r>
      <w:bookmarkEnd w:id="145"/>
      <w:bookmarkEnd w:id="146"/>
      <w:bookmarkEnd w:id="147"/>
      <w:bookmarkEnd w:id="148"/>
      <w:bookmarkEnd w:id="149"/>
      <w:bookmarkEnd w:id="150"/>
      <w:bookmarkEnd w:id="151"/>
    </w:p>
    <w:p w14:paraId="35A4C710" w14:textId="77777777" w:rsidR="002053DC" w:rsidRPr="00073E15" w:rsidRDefault="002053DC" w:rsidP="002053DC">
      <w:pPr>
        <w:spacing w:before="0"/>
        <w:contextualSpacing/>
        <w:rPr>
          <w:b/>
          <w:bCs/>
          <w:sz w:val="20"/>
          <w:szCs w:val="20"/>
        </w:rPr>
      </w:pPr>
      <w:r w:rsidRPr="00073E15">
        <w:rPr>
          <w:sz w:val="20"/>
          <w:szCs w:val="20"/>
        </w:rPr>
        <w:t xml:space="preserve">Nombre del Fondo: </w:t>
      </w:r>
      <w:r w:rsidRPr="00073E15">
        <w:rPr>
          <w:b/>
          <w:bCs/>
          <w:sz w:val="20"/>
          <w:szCs w:val="20"/>
        </w:rPr>
        <w:t>Fondo de Aportaciones para el Fortalecimiento de las Entidades Federativas (FAFEF)</w:t>
      </w:r>
    </w:p>
    <w:p w14:paraId="3C8F2CDB" w14:textId="77777777" w:rsidR="001330E4" w:rsidRPr="00073E15" w:rsidRDefault="001330E4" w:rsidP="001330E4">
      <w:pPr>
        <w:autoSpaceDE w:val="0"/>
        <w:autoSpaceDN w:val="0"/>
        <w:adjustRightInd w:val="0"/>
        <w:snapToGrid w:val="0"/>
        <w:spacing w:before="0" w:after="0"/>
        <w:rPr>
          <w:rFonts w:cs="Arial"/>
          <w:b/>
          <w:sz w:val="20"/>
          <w:szCs w:val="20"/>
        </w:rPr>
      </w:pPr>
      <w:r w:rsidRPr="00073E15">
        <w:rPr>
          <w:rFonts w:cs="Arial"/>
          <w:bCs/>
          <w:sz w:val="20"/>
          <w:szCs w:val="20"/>
        </w:rPr>
        <w:t xml:space="preserve">Modalidad: </w:t>
      </w:r>
      <w:r w:rsidRPr="00073E15">
        <w:rPr>
          <w:rFonts w:cs="Arial"/>
          <w:b/>
          <w:sz w:val="20"/>
          <w:szCs w:val="20"/>
        </w:rPr>
        <w:t>I-Gasto federalizado</w:t>
      </w:r>
    </w:p>
    <w:p w14:paraId="0D75748D" w14:textId="64841BA9" w:rsidR="002053DC" w:rsidRPr="00073E15" w:rsidRDefault="002053DC" w:rsidP="002053DC">
      <w:pPr>
        <w:spacing w:before="0"/>
        <w:contextualSpacing/>
        <w:rPr>
          <w:sz w:val="20"/>
          <w:szCs w:val="20"/>
        </w:rPr>
      </w:pPr>
      <w:r w:rsidRPr="00073E15">
        <w:rPr>
          <w:sz w:val="20"/>
          <w:szCs w:val="20"/>
        </w:rPr>
        <w:t xml:space="preserve">Clave(s) presupuestaria(s): </w:t>
      </w:r>
      <w:r w:rsidRPr="00073E15">
        <w:rPr>
          <w:b/>
          <w:bCs/>
          <w:sz w:val="20"/>
          <w:szCs w:val="20"/>
        </w:rPr>
        <w:t>I012</w:t>
      </w:r>
    </w:p>
    <w:p w14:paraId="6E05007D" w14:textId="77777777" w:rsidR="002053DC" w:rsidRPr="00073E15" w:rsidRDefault="002053DC" w:rsidP="002053DC">
      <w:pPr>
        <w:spacing w:before="0"/>
        <w:contextualSpacing/>
        <w:rPr>
          <w:sz w:val="20"/>
          <w:szCs w:val="20"/>
        </w:rPr>
      </w:pPr>
      <w:r w:rsidRPr="00073E15">
        <w:rPr>
          <w:sz w:val="20"/>
          <w:szCs w:val="20"/>
        </w:rPr>
        <w:t xml:space="preserve">Entidad Federativa: </w:t>
      </w:r>
      <w:r w:rsidRPr="00073E15">
        <w:rPr>
          <w:b/>
          <w:bCs/>
          <w:sz w:val="20"/>
          <w:szCs w:val="20"/>
        </w:rPr>
        <w:t>Hidalgo</w:t>
      </w:r>
    </w:p>
    <w:p w14:paraId="50F0AF40" w14:textId="328CB3FC" w:rsidR="002053DC" w:rsidRPr="00073E15" w:rsidRDefault="002053DC" w:rsidP="002053DC">
      <w:pPr>
        <w:spacing w:before="0"/>
        <w:contextualSpacing/>
        <w:rPr>
          <w:sz w:val="20"/>
          <w:szCs w:val="20"/>
        </w:rPr>
      </w:pPr>
      <w:r w:rsidRPr="00073E15">
        <w:rPr>
          <w:sz w:val="20"/>
          <w:szCs w:val="20"/>
        </w:rPr>
        <w:t xml:space="preserve">Dependencia Coordinadora: </w:t>
      </w:r>
      <w:r w:rsidRPr="00073E15">
        <w:rPr>
          <w:b/>
          <w:bCs/>
          <w:sz w:val="20"/>
          <w:szCs w:val="20"/>
        </w:rPr>
        <w:t>Dirección General de Programación y Presupuesto “A”</w:t>
      </w:r>
      <w:r w:rsidR="00173554" w:rsidRPr="00073E15">
        <w:rPr>
          <w:b/>
          <w:bCs/>
          <w:sz w:val="20"/>
          <w:szCs w:val="20"/>
        </w:rPr>
        <w:t xml:space="preserve"> </w:t>
      </w:r>
      <w:r w:rsidR="00173554" w:rsidRPr="00073E15">
        <w:rPr>
          <w:rFonts w:cs="Arial"/>
          <w:b/>
          <w:bCs/>
          <w:sz w:val="20"/>
          <w:szCs w:val="20"/>
        </w:rPr>
        <w:t>(DGPyP “A”)</w:t>
      </w:r>
    </w:p>
    <w:p w14:paraId="3C7FFD32" w14:textId="242B647F" w:rsidR="002053DC" w:rsidRPr="00073E15" w:rsidRDefault="002053DC" w:rsidP="002053DC">
      <w:pPr>
        <w:spacing w:before="0"/>
        <w:contextualSpacing/>
        <w:rPr>
          <w:sz w:val="20"/>
          <w:szCs w:val="20"/>
        </w:rPr>
      </w:pPr>
      <w:r w:rsidRPr="00073E15">
        <w:rPr>
          <w:sz w:val="20"/>
          <w:szCs w:val="20"/>
        </w:rPr>
        <w:t xml:space="preserve">Unidad(es) Responsable(s) o Ejecutora(s): </w:t>
      </w:r>
      <w:r w:rsidRPr="00073E15">
        <w:rPr>
          <w:b/>
          <w:bCs/>
          <w:sz w:val="20"/>
          <w:szCs w:val="20"/>
        </w:rPr>
        <w:t>Secretaría de Finanzas Públicas de Hidalgo</w:t>
      </w:r>
    </w:p>
    <w:p w14:paraId="152143EE" w14:textId="77777777" w:rsidR="002053DC" w:rsidRPr="00073E15" w:rsidRDefault="002053DC" w:rsidP="002053DC">
      <w:pPr>
        <w:spacing w:before="0"/>
        <w:contextualSpacing/>
        <w:rPr>
          <w:b/>
          <w:bCs/>
          <w:sz w:val="20"/>
          <w:szCs w:val="20"/>
        </w:rPr>
      </w:pPr>
      <w:r w:rsidRPr="00073E15">
        <w:rPr>
          <w:sz w:val="20"/>
          <w:szCs w:val="20"/>
        </w:rPr>
        <w:t xml:space="preserve">Tipo de Evaluación: </w:t>
      </w:r>
      <w:r w:rsidRPr="00073E15">
        <w:rPr>
          <w:b/>
          <w:bCs/>
          <w:sz w:val="20"/>
          <w:szCs w:val="20"/>
        </w:rPr>
        <w:t xml:space="preserve">Estratégica </w:t>
      </w:r>
    </w:p>
    <w:p w14:paraId="4D89237F" w14:textId="1E4A2E05" w:rsidR="002053DC" w:rsidRDefault="002053DC" w:rsidP="006B1420">
      <w:pPr>
        <w:spacing w:before="0" w:after="240"/>
        <w:rPr>
          <w:b/>
          <w:bCs/>
          <w:sz w:val="20"/>
          <w:szCs w:val="20"/>
        </w:rPr>
      </w:pPr>
      <w:r w:rsidRPr="00073E15">
        <w:rPr>
          <w:sz w:val="20"/>
          <w:szCs w:val="20"/>
        </w:rPr>
        <w:t xml:space="preserve">Año de Evaluación: </w:t>
      </w:r>
      <w:r w:rsidRPr="00073E15">
        <w:rPr>
          <w:b/>
          <w:bCs/>
          <w:sz w:val="20"/>
          <w:szCs w:val="20"/>
        </w:rPr>
        <w:t>2018</w:t>
      </w:r>
    </w:p>
    <w:tbl>
      <w:tblPr>
        <w:tblW w:w="4980" w:type="pct"/>
        <w:tblInd w:w="-5" w:type="dxa"/>
        <w:tblCellMar>
          <w:left w:w="70" w:type="dxa"/>
          <w:right w:w="70" w:type="dxa"/>
        </w:tblCellMar>
        <w:tblLook w:val="04A0" w:firstRow="1" w:lastRow="0" w:firstColumn="1" w:lastColumn="0" w:noHBand="0" w:noVBand="1"/>
      </w:tblPr>
      <w:tblGrid>
        <w:gridCol w:w="4820"/>
        <w:gridCol w:w="8688"/>
      </w:tblGrid>
      <w:tr w:rsidR="002613FB" w:rsidRPr="005E1463" w14:paraId="3BE84C97" w14:textId="77777777" w:rsidTr="005E1463">
        <w:trPr>
          <w:trHeight w:val="172"/>
        </w:trPr>
        <w:tc>
          <w:tcPr>
            <w:tcW w:w="1784" w:type="pct"/>
            <w:tcBorders>
              <w:top w:val="single" w:sz="4" w:space="0" w:color="auto"/>
              <w:left w:val="single" w:sz="4" w:space="0" w:color="auto"/>
              <w:bottom w:val="single" w:sz="4" w:space="0" w:color="auto"/>
              <w:right w:val="single" w:sz="4" w:space="0" w:color="auto"/>
            </w:tcBorders>
            <w:shd w:val="clear" w:color="000000" w:fill="9CC2E5"/>
            <w:vAlign w:val="center"/>
            <w:hideMark/>
          </w:tcPr>
          <w:p w14:paraId="23607DCE" w14:textId="77777777" w:rsidR="002613FB" w:rsidRPr="00CD7AFF" w:rsidRDefault="002613FB" w:rsidP="00E67E43">
            <w:pPr>
              <w:spacing w:before="0" w:after="0"/>
              <w:rPr>
                <w:rFonts w:eastAsia="Times New Roman" w:cstheme="minorHAnsi"/>
                <w:b/>
                <w:bCs/>
                <w:color w:val="000000"/>
                <w:sz w:val="20"/>
                <w:szCs w:val="20"/>
                <w:lang w:eastAsia="es-MX"/>
              </w:rPr>
            </w:pPr>
            <w:r w:rsidRPr="00CD7AFF">
              <w:rPr>
                <w:rFonts w:eastAsia="Times New Roman" w:cstheme="minorHAnsi"/>
                <w:b/>
                <w:bCs/>
                <w:color w:val="000000"/>
                <w:sz w:val="20"/>
                <w:szCs w:val="20"/>
                <w:lang w:eastAsia="es-MX"/>
              </w:rPr>
              <w:t>Nombre de las políticas, programas o proyectos locales</w:t>
            </w:r>
          </w:p>
        </w:tc>
        <w:tc>
          <w:tcPr>
            <w:tcW w:w="3216" w:type="pct"/>
            <w:tcBorders>
              <w:top w:val="single" w:sz="4" w:space="0" w:color="auto"/>
              <w:left w:val="nil"/>
              <w:bottom w:val="single" w:sz="4" w:space="0" w:color="auto"/>
              <w:right w:val="single" w:sz="4" w:space="0" w:color="auto"/>
            </w:tcBorders>
            <w:shd w:val="clear" w:color="auto" w:fill="auto"/>
            <w:vAlign w:val="center"/>
            <w:hideMark/>
          </w:tcPr>
          <w:p w14:paraId="47C717C9" w14:textId="3ED47FC5" w:rsidR="002613FB" w:rsidRPr="00CD7AFF" w:rsidRDefault="002613FB" w:rsidP="00E67E43">
            <w:pPr>
              <w:spacing w:before="0" w:after="0"/>
              <w:rPr>
                <w:rFonts w:eastAsia="Times New Roman" w:cstheme="minorHAnsi"/>
                <w:color w:val="000000"/>
                <w:sz w:val="20"/>
                <w:szCs w:val="20"/>
                <w:lang w:eastAsia="es-MX"/>
              </w:rPr>
            </w:pPr>
            <w:r w:rsidRPr="00CD7AFF">
              <w:rPr>
                <w:rFonts w:cstheme="minorHAnsi"/>
                <w:color w:val="000000"/>
                <w:sz w:val="20"/>
                <w:szCs w:val="20"/>
              </w:rPr>
              <w:t>Deuda</w:t>
            </w:r>
          </w:p>
        </w:tc>
      </w:tr>
      <w:tr w:rsidR="002613FB" w:rsidRPr="005E1463" w14:paraId="31A45B3B" w14:textId="77777777" w:rsidTr="005E1463">
        <w:trPr>
          <w:trHeight w:val="243"/>
        </w:trPr>
        <w:tc>
          <w:tcPr>
            <w:tcW w:w="1784" w:type="pct"/>
            <w:tcBorders>
              <w:top w:val="nil"/>
              <w:left w:val="single" w:sz="4" w:space="0" w:color="auto"/>
              <w:bottom w:val="single" w:sz="4" w:space="0" w:color="auto"/>
              <w:right w:val="single" w:sz="4" w:space="0" w:color="auto"/>
            </w:tcBorders>
            <w:shd w:val="clear" w:color="000000" w:fill="9CC2E5"/>
            <w:vAlign w:val="center"/>
            <w:hideMark/>
          </w:tcPr>
          <w:p w14:paraId="59CF1D23" w14:textId="77777777" w:rsidR="002613FB" w:rsidRPr="00CD7AFF" w:rsidRDefault="002613FB" w:rsidP="00E67E43">
            <w:pPr>
              <w:spacing w:before="0" w:after="0"/>
              <w:rPr>
                <w:rFonts w:eastAsia="Times New Roman" w:cstheme="minorHAnsi"/>
                <w:b/>
                <w:bCs/>
                <w:color w:val="000000"/>
                <w:sz w:val="20"/>
                <w:szCs w:val="20"/>
                <w:lang w:eastAsia="es-MX"/>
              </w:rPr>
            </w:pPr>
            <w:r w:rsidRPr="00CD7AFF">
              <w:rPr>
                <w:rFonts w:eastAsia="Times New Roman" w:cstheme="minorHAnsi"/>
                <w:b/>
                <w:bCs/>
                <w:color w:val="000000"/>
                <w:sz w:val="20"/>
                <w:szCs w:val="20"/>
                <w:lang w:eastAsia="es-MX"/>
              </w:rPr>
              <w:t xml:space="preserve">Modalidad y Clave </w:t>
            </w:r>
          </w:p>
        </w:tc>
        <w:tc>
          <w:tcPr>
            <w:tcW w:w="3216" w:type="pct"/>
            <w:tcBorders>
              <w:top w:val="nil"/>
              <w:left w:val="nil"/>
              <w:bottom w:val="single" w:sz="4" w:space="0" w:color="auto"/>
              <w:right w:val="single" w:sz="4" w:space="0" w:color="auto"/>
            </w:tcBorders>
            <w:shd w:val="clear" w:color="auto" w:fill="auto"/>
            <w:vAlign w:val="center"/>
            <w:hideMark/>
          </w:tcPr>
          <w:p w14:paraId="799DB136" w14:textId="79C8CBE2" w:rsidR="002613FB" w:rsidRPr="00CD7AFF" w:rsidRDefault="002613FB" w:rsidP="00E67E43">
            <w:pPr>
              <w:spacing w:before="0" w:after="0"/>
              <w:rPr>
                <w:rFonts w:eastAsia="Times New Roman" w:cstheme="minorHAnsi"/>
                <w:color w:val="000000"/>
                <w:sz w:val="20"/>
                <w:szCs w:val="20"/>
                <w:lang w:eastAsia="es-MX"/>
              </w:rPr>
            </w:pPr>
            <w:r w:rsidRPr="00CD7AFF">
              <w:rPr>
                <w:rFonts w:eastAsia="Times New Roman" w:cstheme="minorHAnsi"/>
                <w:color w:val="000000"/>
                <w:sz w:val="20"/>
                <w:szCs w:val="20"/>
                <w:lang w:eastAsia="es-MX"/>
              </w:rPr>
              <w:t>D02</w:t>
            </w:r>
          </w:p>
        </w:tc>
      </w:tr>
      <w:tr w:rsidR="002613FB" w:rsidRPr="005E1463" w14:paraId="765B93A3" w14:textId="77777777" w:rsidTr="005E1463">
        <w:trPr>
          <w:trHeight w:val="243"/>
        </w:trPr>
        <w:tc>
          <w:tcPr>
            <w:tcW w:w="1784" w:type="pct"/>
            <w:tcBorders>
              <w:top w:val="nil"/>
              <w:left w:val="single" w:sz="4" w:space="0" w:color="auto"/>
              <w:bottom w:val="single" w:sz="4" w:space="0" w:color="auto"/>
              <w:right w:val="single" w:sz="4" w:space="0" w:color="auto"/>
            </w:tcBorders>
            <w:shd w:val="clear" w:color="000000" w:fill="9CC2E5"/>
            <w:vAlign w:val="center"/>
            <w:hideMark/>
          </w:tcPr>
          <w:p w14:paraId="094CAE98" w14:textId="77777777" w:rsidR="002613FB" w:rsidRPr="00CD7AFF" w:rsidRDefault="002613FB" w:rsidP="00E67E43">
            <w:pPr>
              <w:spacing w:before="0" w:after="0"/>
              <w:rPr>
                <w:rFonts w:eastAsia="Times New Roman" w:cstheme="minorHAnsi"/>
                <w:b/>
                <w:bCs/>
                <w:color w:val="000000"/>
                <w:sz w:val="20"/>
                <w:szCs w:val="20"/>
                <w:lang w:eastAsia="es-MX"/>
              </w:rPr>
            </w:pPr>
            <w:r w:rsidRPr="00CD7AFF">
              <w:rPr>
                <w:rFonts w:eastAsia="Times New Roman" w:cstheme="minorHAnsi"/>
                <w:b/>
                <w:bCs/>
                <w:color w:val="000000"/>
                <w:sz w:val="20"/>
                <w:szCs w:val="20"/>
                <w:lang w:eastAsia="es-MX"/>
              </w:rPr>
              <w:t xml:space="preserve">Ramo </w:t>
            </w:r>
          </w:p>
        </w:tc>
        <w:tc>
          <w:tcPr>
            <w:tcW w:w="3216" w:type="pct"/>
            <w:tcBorders>
              <w:top w:val="nil"/>
              <w:left w:val="nil"/>
              <w:bottom w:val="single" w:sz="4" w:space="0" w:color="auto"/>
              <w:right w:val="single" w:sz="4" w:space="0" w:color="auto"/>
            </w:tcBorders>
            <w:shd w:val="clear" w:color="auto" w:fill="auto"/>
            <w:vAlign w:val="center"/>
            <w:hideMark/>
          </w:tcPr>
          <w:p w14:paraId="5DD2AD9F" w14:textId="6D614BF2" w:rsidR="002613FB" w:rsidRPr="00CD7AFF" w:rsidRDefault="00BF470D" w:rsidP="00E67E43">
            <w:pPr>
              <w:spacing w:before="0" w:after="0"/>
              <w:rPr>
                <w:rFonts w:eastAsia="Times New Roman" w:cstheme="minorHAnsi"/>
                <w:color w:val="000000"/>
                <w:sz w:val="20"/>
                <w:szCs w:val="20"/>
                <w:lang w:eastAsia="es-MX"/>
              </w:rPr>
            </w:pPr>
            <w:r w:rsidRPr="00CD7AFF">
              <w:rPr>
                <w:rFonts w:eastAsia="Times New Roman" w:cstheme="minorHAnsi"/>
                <w:color w:val="000000"/>
                <w:sz w:val="20"/>
                <w:szCs w:val="20"/>
                <w:lang w:eastAsia="es-MX"/>
              </w:rPr>
              <w:t>31-Deuda pública</w:t>
            </w:r>
            <w:r w:rsidR="002613FB" w:rsidRPr="00CD7AFF">
              <w:rPr>
                <w:rFonts w:eastAsia="Times New Roman" w:cstheme="minorHAnsi"/>
                <w:color w:val="000000"/>
                <w:sz w:val="20"/>
                <w:szCs w:val="20"/>
                <w:lang w:eastAsia="es-MX"/>
              </w:rPr>
              <w:t xml:space="preserve"> </w:t>
            </w:r>
          </w:p>
        </w:tc>
      </w:tr>
      <w:tr w:rsidR="002613FB" w:rsidRPr="005E1463" w14:paraId="0DEBAFE5" w14:textId="77777777" w:rsidTr="005E1463">
        <w:trPr>
          <w:trHeight w:val="48"/>
        </w:trPr>
        <w:tc>
          <w:tcPr>
            <w:tcW w:w="1784" w:type="pct"/>
            <w:tcBorders>
              <w:top w:val="nil"/>
              <w:left w:val="single" w:sz="4" w:space="0" w:color="auto"/>
              <w:bottom w:val="single" w:sz="4" w:space="0" w:color="auto"/>
              <w:right w:val="single" w:sz="4" w:space="0" w:color="auto"/>
            </w:tcBorders>
            <w:shd w:val="clear" w:color="000000" w:fill="9CC2E5"/>
            <w:vAlign w:val="center"/>
            <w:hideMark/>
          </w:tcPr>
          <w:p w14:paraId="323BBD1E" w14:textId="77777777" w:rsidR="002613FB" w:rsidRPr="00CD7AFF" w:rsidRDefault="002613FB" w:rsidP="00E67E43">
            <w:pPr>
              <w:spacing w:before="0" w:after="0"/>
              <w:rPr>
                <w:rFonts w:eastAsia="Times New Roman" w:cstheme="minorHAnsi"/>
                <w:b/>
                <w:bCs/>
                <w:color w:val="000000"/>
                <w:sz w:val="20"/>
                <w:szCs w:val="20"/>
                <w:lang w:eastAsia="es-MX"/>
              </w:rPr>
            </w:pPr>
            <w:r w:rsidRPr="00CD7AFF">
              <w:rPr>
                <w:rFonts w:eastAsia="Times New Roman" w:cstheme="minorHAnsi"/>
                <w:b/>
                <w:bCs/>
                <w:color w:val="000000"/>
                <w:sz w:val="20"/>
                <w:szCs w:val="20"/>
                <w:lang w:eastAsia="es-MX"/>
              </w:rPr>
              <w:t xml:space="preserve">Propósito </w:t>
            </w:r>
          </w:p>
        </w:tc>
        <w:tc>
          <w:tcPr>
            <w:tcW w:w="3216" w:type="pct"/>
            <w:tcBorders>
              <w:top w:val="nil"/>
              <w:left w:val="nil"/>
              <w:bottom w:val="single" w:sz="4" w:space="0" w:color="auto"/>
              <w:right w:val="single" w:sz="4" w:space="0" w:color="auto"/>
            </w:tcBorders>
            <w:shd w:val="clear" w:color="auto" w:fill="auto"/>
            <w:vAlign w:val="center"/>
          </w:tcPr>
          <w:p w14:paraId="38D2E6C4" w14:textId="7829C5E4" w:rsidR="002613FB" w:rsidRPr="00CD7AFF" w:rsidRDefault="002613FB" w:rsidP="002613FB">
            <w:pPr>
              <w:spacing w:before="0" w:after="0"/>
              <w:rPr>
                <w:rFonts w:eastAsia="Times New Roman" w:cstheme="minorHAnsi"/>
                <w:color w:val="000000"/>
                <w:sz w:val="20"/>
                <w:szCs w:val="20"/>
                <w:lang w:eastAsia="es-MX"/>
              </w:rPr>
            </w:pPr>
            <w:r w:rsidRPr="00CD7AFF">
              <w:rPr>
                <w:rFonts w:eastAsia="Times New Roman" w:cstheme="minorHAnsi"/>
                <w:color w:val="000000"/>
                <w:sz w:val="20"/>
                <w:szCs w:val="20"/>
                <w:lang w:eastAsia="es-MX"/>
              </w:rPr>
              <w:t xml:space="preserve">El Estado de Hidalgo cuenta con una calidad crediticia favorable. </w:t>
            </w:r>
          </w:p>
        </w:tc>
      </w:tr>
      <w:tr w:rsidR="002613FB" w:rsidRPr="005E1463" w14:paraId="663CE828" w14:textId="77777777" w:rsidTr="005E1463">
        <w:trPr>
          <w:trHeight w:val="243"/>
        </w:trPr>
        <w:tc>
          <w:tcPr>
            <w:tcW w:w="1784" w:type="pct"/>
            <w:tcBorders>
              <w:top w:val="nil"/>
              <w:left w:val="single" w:sz="4" w:space="0" w:color="auto"/>
              <w:bottom w:val="single" w:sz="4" w:space="0" w:color="auto"/>
              <w:right w:val="single" w:sz="4" w:space="0" w:color="auto"/>
            </w:tcBorders>
            <w:shd w:val="clear" w:color="000000" w:fill="9CC2E5"/>
            <w:vAlign w:val="center"/>
            <w:hideMark/>
          </w:tcPr>
          <w:p w14:paraId="25C78AA2" w14:textId="77777777" w:rsidR="002613FB" w:rsidRPr="00CD7AFF" w:rsidRDefault="002613FB" w:rsidP="00E67E43">
            <w:pPr>
              <w:spacing w:before="0" w:after="0"/>
              <w:rPr>
                <w:rFonts w:eastAsia="Times New Roman" w:cstheme="minorHAnsi"/>
                <w:b/>
                <w:bCs/>
                <w:color w:val="000000"/>
                <w:sz w:val="20"/>
                <w:szCs w:val="20"/>
                <w:lang w:eastAsia="es-MX"/>
              </w:rPr>
            </w:pPr>
            <w:r w:rsidRPr="00CD7AFF">
              <w:rPr>
                <w:rFonts w:eastAsia="Times New Roman" w:cstheme="minorHAnsi"/>
                <w:b/>
                <w:bCs/>
                <w:color w:val="000000"/>
                <w:sz w:val="20"/>
                <w:szCs w:val="20"/>
                <w:lang w:eastAsia="es-MX"/>
              </w:rPr>
              <w:t xml:space="preserve">Población o área de enfoque objetivo </w:t>
            </w:r>
          </w:p>
        </w:tc>
        <w:tc>
          <w:tcPr>
            <w:tcW w:w="3216" w:type="pct"/>
            <w:tcBorders>
              <w:top w:val="nil"/>
              <w:left w:val="nil"/>
              <w:bottom w:val="single" w:sz="4" w:space="0" w:color="auto"/>
              <w:right w:val="single" w:sz="4" w:space="0" w:color="auto"/>
            </w:tcBorders>
            <w:shd w:val="clear" w:color="auto" w:fill="auto"/>
            <w:vAlign w:val="center"/>
            <w:hideMark/>
          </w:tcPr>
          <w:p w14:paraId="731E234B" w14:textId="7E55186B" w:rsidR="002613FB" w:rsidRPr="00CD7AFF" w:rsidRDefault="002613FB" w:rsidP="00E67E43">
            <w:pPr>
              <w:spacing w:before="0" w:after="0"/>
              <w:rPr>
                <w:rFonts w:eastAsia="Times New Roman" w:cstheme="minorHAnsi"/>
                <w:color w:val="000000"/>
                <w:sz w:val="20"/>
                <w:szCs w:val="20"/>
                <w:lang w:eastAsia="es-MX"/>
              </w:rPr>
            </w:pPr>
            <w:r w:rsidRPr="00CD7AFF">
              <w:rPr>
                <w:rFonts w:eastAsia="Times New Roman" w:cstheme="minorHAnsi"/>
                <w:color w:val="000000"/>
                <w:sz w:val="20"/>
                <w:szCs w:val="20"/>
                <w:lang w:eastAsia="es-MX"/>
              </w:rPr>
              <w:t xml:space="preserve">Población total de la </w:t>
            </w:r>
            <w:r w:rsidR="007E4A81" w:rsidRPr="00CD7AFF">
              <w:rPr>
                <w:rFonts w:eastAsia="Times New Roman" w:cstheme="minorHAnsi"/>
                <w:color w:val="000000"/>
                <w:sz w:val="20"/>
                <w:szCs w:val="20"/>
                <w:lang w:eastAsia="es-MX"/>
              </w:rPr>
              <w:t>e</w:t>
            </w:r>
            <w:r w:rsidRPr="00CD7AFF">
              <w:rPr>
                <w:rFonts w:eastAsia="Times New Roman" w:cstheme="minorHAnsi"/>
                <w:color w:val="000000"/>
                <w:sz w:val="20"/>
                <w:szCs w:val="20"/>
                <w:lang w:eastAsia="es-MX"/>
              </w:rPr>
              <w:t>ntidad</w:t>
            </w:r>
            <w:r w:rsidR="007E4A81" w:rsidRPr="00CD7AFF">
              <w:rPr>
                <w:rFonts w:eastAsia="Times New Roman" w:cstheme="minorHAnsi"/>
                <w:color w:val="000000"/>
                <w:sz w:val="20"/>
                <w:szCs w:val="20"/>
                <w:lang w:eastAsia="es-MX"/>
              </w:rPr>
              <w:t xml:space="preserve"> federativa</w:t>
            </w:r>
          </w:p>
        </w:tc>
      </w:tr>
      <w:tr w:rsidR="002613FB" w:rsidRPr="005E1463" w14:paraId="2483E27C" w14:textId="77777777" w:rsidTr="005E1463">
        <w:trPr>
          <w:trHeight w:val="48"/>
        </w:trPr>
        <w:tc>
          <w:tcPr>
            <w:tcW w:w="1784" w:type="pct"/>
            <w:tcBorders>
              <w:top w:val="nil"/>
              <w:left w:val="single" w:sz="4" w:space="0" w:color="auto"/>
              <w:bottom w:val="single" w:sz="4" w:space="0" w:color="auto"/>
              <w:right w:val="single" w:sz="4" w:space="0" w:color="auto"/>
            </w:tcBorders>
            <w:shd w:val="clear" w:color="000000" w:fill="9CC2E5"/>
            <w:vAlign w:val="center"/>
            <w:hideMark/>
          </w:tcPr>
          <w:p w14:paraId="49A346BC" w14:textId="77777777" w:rsidR="002613FB" w:rsidRPr="00CD7AFF" w:rsidRDefault="002613FB" w:rsidP="00E67E43">
            <w:pPr>
              <w:spacing w:before="0" w:after="0"/>
              <w:rPr>
                <w:rFonts w:eastAsia="Times New Roman" w:cstheme="minorHAnsi"/>
                <w:b/>
                <w:bCs/>
                <w:color w:val="000000"/>
                <w:sz w:val="20"/>
                <w:szCs w:val="20"/>
                <w:lang w:eastAsia="es-MX"/>
              </w:rPr>
            </w:pPr>
            <w:r w:rsidRPr="00CD7AFF">
              <w:rPr>
                <w:rFonts w:eastAsia="Times New Roman" w:cstheme="minorHAnsi"/>
                <w:b/>
                <w:bCs/>
                <w:color w:val="000000"/>
                <w:sz w:val="20"/>
                <w:szCs w:val="20"/>
                <w:lang w:eastAsia="es-MX"/>
              </w:rPr>
              <w:t xml:space="preserve">Tipos de Componentes que entrega a sus destinatarios </w:t>
            </w:r>
          </w:p>
        </w:tc>
        <w:tc>
          <w:tcPr>
            <w:tcW w:w="3216" w:type="pct"/>
            <w:tcBorders>
              <w:top w:val="nil"/>
              <w:left w:val="nil"/>
              <w:bottom w:val="single" w:sz="4" w:space="0" w:color="auto"/>
              <w:right w:val="single" w:sz="4" w:space="0" w:color="auto"/>
            </w:tcBorders>
            <w:shd w:val="clear" w:color="auto" w:fill="auto"/>
            <w:vAlign w:val="center"/>
            <w:hideMark/>
          </w:tcPr>
          <w:p w14:paraId="17DD6BF9" w14:textId="5DFD950E" w:rsidR="002613FB" w:rsidRPr="00CD7AFF" w:rsidRDefault="002613FB" w:rsidP="00E67E43">
            <w:pPr>
              <w:spacing w:before="0" w:after="0"/>
              <w:rPr>
                <w:rFonts w:eastAsia="Times New Roman" w:cstheme="minorHAnsi"/>
                <w:color w:val="000000"/>
                <w:sz w:val="20"/>
                <w:szCs w:val="20"/>
                <w:lang w:eastAsia="es-MX"/>
              </w:rPr>
            </w:pPr>
            <w:r w:rsidRPr="00CD7AFF">
              <w:rPr>
                <w:rFonts w:eastAsia="Times New Roman" w:cstheme="minorHAnsi"/>
                <w:color w:val="000000"/>
                <w:sz w:val="20"/>
                <w:szCs w:val="20"/>
                <w:lang w:eastAsia="es-MX"/>
              </w:rPr>
              <w:t>Solvencia de la deuda pública</w:t>
            </w:r>
            <w:r w:rsidR="00771353">
              <w:rPr>
                <w:rFonts w:eastAsia="Times New Roman" w:cstheme="minorHAnsi"/>
                <w:color w:val="000000"/>
                <w:sz w:val="20"/>
                <w:szCs w:val="20"/>
                <w:lang w:eastAsia="es-MX"/>
              </w:rPr>
              <w:t xml:space="preserve">  </w:t>
            </w:r>
          </w:p>
        </w:tc>
      </w:tr>
      <w:tr w:rsidR="002613FB" w:rsidRPr="005E1463" w14:paraId="413E8120" w14:textId="77777777" w:rsidTr="005E1463">
        <w:trPr>
          <w:trHeight w:val="243"/>
        </w:trPr>
        <w:tc>
          <w:tcPr>
            <w:tcW w:w="1784" w:type="pct"/>
            <w:tcBorders>
              <w:top w:val="nil"/>
              <w:left w:val="single" w:sz="4" w:space="0" w:color="auto"/>
              <w:bottom w:val="single" w:sz="4" w:space="0" w:color="auto"/>
              <w:right w:val="single" w:sz="4" w:space="0" w:color="auto"/>
            </w:tcBorders>
            <w:shd w:val="clear" w:color="000000" w:fill="9CC2E5"/>
            <w:vAlign w:val="center"/>
            <w:hideMark/>
          </w:tcPr>
          <w:p w14:paraId="72947D45" w14:textId="77777777" w:rsidR="002613FB" w:rsidRPr="00CD7AFF" w:rsidRDefault="002613FB" w:rsidP="00E67E43">
            <w:pPr>
              <w:spacing w:before="0" w:after="0"/>
              <w:rPr>
                <w:rFonts w:eastAsia="Times New Roman" w:cstheme="minorHAnsi"/>
                <w:b/>
                <w:bCs/>
                <w:color w:val="000000"/>
                <w:sz w:val="20"/>
                <w:szCs w:val="20"/>
                <w:lang w:eastAsia="es-MX"/>
              </w:rPr>
            </w:pPr>
            <w:r w:rsidRPr="00CD7AFF">
              <w:rPr>
                <w:rFonts w:eastAsia="Times New Roman" w:cstheme="minorHAnsi"/>
                <w:b/>
                <w:bCs/>
                <w:color w:val="000000"/>
                <w:sz w:val="20"/>
                <w:szCs w:val="20"/>
                <w:lang w:eastAsia="es-MX"/>
              </w:rPr>
              <w:t xml:space="preserve">Cobertura Geográfica </w:t>
            </w:r>
          </w:p>
        </w:tc>
        <w:tc>
          <w:tcPr>
            <w:tcW w:w="3216" w:type="pct"/>
            <w:tcBorders>
              <w:top w:val="nil"/>
              <w:left w:val="nil"/>
              <w:bottom w:val="single" w:sz="4" w:space="0" w:color="auto"/>
              <w:right w:val="single" w:sz="4" w:space="0" w:color="auto"/>
            </w:tcBorders>
            <w:shd w:val="clear" w:color="auto" w:fill="auto"/>
            <w:vAlign w:val="center"/>
            <w:hideMark/>
          </w:tcPr>
          <w:p w14:paraId="4596B22F" w14:textId="77777777" w:rsidR="002613FB" w:rsidRPr="00CD7AFF" w:rsidRDefault="002613FB" w:rsidP="00E67E43">
            <w:pPr>
              <w:spacing w:before="0" w:after="0"/>
              <w:rPr>
                <w:rFonts w:eastAsia="Times New Roman" w:cstheme="minorHAnsi"/>
                <w:color w:val="000000"/>
                <w:sz w:val="20"/>
                <w:szCs w:val="20"/>
                <w:lang w:eastAsia="es-MX"/>
              </w:rPr>
            </w:pPr>
            <w:r w:rsidRPr="00CD7AFF">
              <w:rPr>
                <w:rFonts w:eastAsia="Times New Roman" w:cstheme="minorHAnsi"/>
                <w:color w:val="000000"/>
                <w:sz w:val="20"/>
                <w:szCs w:val="20"/>
                <w:lang w:eastAsia="es-MX"/>
              </w:rPr>
              <w:t>Estatal</w:t>
            </w:r>
          </w:p>
        </w:tc>
      </w:tr>
      <w:tr w:rsidR="002613FB" w:rsidRPr="005E1463" w14:paraId="601130DC" w14:textId="77777777" w:rsidTr="005E1463">
        <w:trPr>
          <w:trHeight w:val="243"/>
        </w:trPr>
        <w:tc>
          <w:tcPr>
            <w:tcW w:w="1784" w:type="pct"/>
            <w:tcBorders>
              <w:top w:val="nil"/>
              <w:left w:val="single" w:sz="4" w:space="0" w:color="auto"/>
              <w:bottom w:val="single" w:sz="4" w:space="0" w:color="auto"/>
              <w:right w:val="single" w:sz="4" w:space="0" w:color="auto"/>
            </w:tcBorders>
            <w:shd w:val="clear" w:color="000000" w:fill="9CC2E5"/>
            <w:vAlign w:val="center"/>
            <w:hideMark/>
          </w:tcPr>
          <w:p w14:paraId="15EC907A" w14:textId="77777777" w:rsidR="002613FB" w:rsidRPr="00CD7AFF" w:rsidRDefault="002613FB" w:rsidP="00E67E43">
            <w:pPr>
              <w:spacing w:before="0" w:after="0"/>
              <w:rPr>
                <w:rFonts w:eastAsia="Times New Roman" w:cstheme="minorHAnsi"/>
                <w:b/>
                <w:bCs/>
                <w:color w:val="000000"/>
                <w:sz w:val="20"/>
                <w:szCs w:val="20"/>
                <w:lang w:eastAsia="es-MX"/>
              </w:rPr>
            </w:pPr>
            <w:r w:rsidRPr="00CD7AFF">
              <w:rPr>
                <w:rFonts w:eastAsia="Times New Roman" w:cstheme="minorHAnsi"/>
                <w:b/>
                <w:bCs/>
                <w:color w:val="000000"/>
                <w:sz w:val="20"/>
                <w:szCs w:val="20"/>
                <w:lang w:eastAsia="es-MX"/>
              </w:rPr>
              <w:t xml:space="preserve">Fuentes de Información </w:t>
            </w:r>
          </w:p>
        </w:tc>
        <w:tc>
          <w:tcPr>
            <w:tcW w:w="3216" w:type="pct"/>
            <w:tcBorders>
              <w:top w:val="nil"/>
              <w:left w:val="nil"/>
              <w:bottom w:val="single" w:sz="4" w:space="0" w:color="auto"/>
              <w:right w:val="single" w:sz="4" w:space="0" w:color="auto"/>
            </w:tcBorders>
            <w:shd w:val="clear" w:color="auto" w:fill="auto"/>
            <w:vAlign w:val="center"/>
            <w:hideMark/>
          </w:tcPr>
          <w:p w14:paraId="2F6F68B8" w14:textId="77777777" w:rsidR="002613FB" w:rsidRPr="00CD7AFF" w:rsidRDefault="002613FB" w:rsidP="00E67E43">
            <w:pPr>
              <w:spacing w:before="0" w:after="0"/>
              <w:rPr>
                <w:rFonts w:eastAsia="Times New Roman" w:cstheme="minorHAnsi"/>
                <w:color w:val="000000"/>
                <w:sz w:val="20"/>
                <w:szCs w:val="20"/>
                <w:lang w:eastAsia="es-MX"/>
              </w:rPr>
            </w:pPr>
            <w:r w:rsidRPr="00CD7AFF">
              <w:rPr>
                <w:rFonts w:eastAsia="Times New Roman" w:cstheme="minorHAnsi"/>
                <w:color w:val="000000"/>
                <w:sz w:val="20"/>
                <w:szCs w:val="20"/>
                <w:lang w:eastAsia="es-MX"/>
              </w:rPr>
              <w:t>MIR de los Pp de la estructura programática estatal</w:t>
            </w:r>
          </w:p>
        </w:tc>
      </w:tr>
      <w:tr w:rsidR="002613FB" w:rsidRPr="005E1463" w14:paraId="1FB500AE" w14:textId="77777777" w:rsidTr="005E1463">
        <w:trPr>
          <w:trHeight w:val="243"/>
        </w:trPr>
        <w:tc>
          <w:tcPr>
            <w:tcW w:w="1784" w:type="pct"/>
            <w:tcBorders>
              <w:top w:val="nil"/>
              <w:left w:val="single" w:sz="4" w:space="0" w:color="auto"/>
              <w:bottom w:val="single" w:sz="4" w:space="0" w:color="auto"/>
              <w:right w:val="single" w:sz="4" w:space="0" w:color="auto"/>
            </w:tcBorders>
            <w:shd w:val="clear" w:color="000000" w:fill="9CC2E5"/>
            <w:vAlign w:val="center"/>
            <w:hideMark/>
          </w:tcPr>
          <w:p w14:paraId="0E8C55D8" w14:textId="77777777" w:rsidR="002613FB" w:rsidRPr="00CD7AFF" w:rsidRDefault="002613FB" w:rsidP="00E67E43">
            <w:pPr>
              <w:spacing w:before="0" w:after="0"/>
              <w:rPr>
                <w:rFonts w:eastAsia="Times New Roman" w:cstheme="minorHAnsi"/>
                <w:b/>
                <w:bCs/>
                <w:color w:val="000000"/>
                <w:sz w:val="20"/>
                <w:szCs w:val="20"/>
                <w:lang w:eastAsia="es-MX"/>
              </w:rPr>
            </w:pPr>
            <w:r w:rsidRPr="00CD7AFF">
              <w:rPr>
                <w:rFonts w:eastAsia="Times New Roman" w:cstheme="minorHAnsi"/>
                <w:b/>
                <w:bCs/>
                <w:color w:val="000000"/>
                <w:sz w:val="20"/>
                <w:szCs w:val="20"/>
                <w:lang w:eastAsia="es-MX"/>
              </w:rPr>
              <w:t xml:space="preserve">¿Es coincidente? </w:t>
            </w:r>
          </w:p>
        </w:tc>
        <w:tc>
          <w:tcPr>
            <w:tcW w:w="3216" w:type="pct"/>
            <w:tcBorders>
              <w:top w:val="nil"/>
              <w:left w:val="nil"/>
              <w:bottom w:val="single" w:sz="4" w:space="0" w:color="auto"/>
              <w:right w:val="single" w:sz="4" w:space="0" w:color="auto"/>
            </w:tcBorders>
            <w:shd w:val="clear" w:color="auto" w:fill="auto"/>
            <w:vAlign w:val="center"/>
            <w:hideMark/>
          </w:tcPr>
          <w:p w14:paraId="38C604DA" w14:textId="77777777" w:rsidR="002613FB" w:rsidRPr="00CD7AFF" w:rsidRDefault="002613FB" w:rsidP="00E67E43">
            <w:pPr>
              <w:spacing w:before="0" w:after="0"/>
              <w:rPr>
                <w:rFonts w:eastAsia="Times New Roman" w:cstheme="minorHAnsi"/>
                <w:color w:val="000000"/>
                <w:sz w:val="20"/>
                <w:szCs w:val="20"/>
                <w:lang w:eastAsia="es-MX"/>
              </w:rPr>
            </w:pPr>
            <w:r w:rsidRPr="00CD7AFF">
              <w:rPr>
                <w:rFonts w:eastAsia="Times New Roman" w:cstheme="minorHAnsi"/>
                <w:color w:val="000000"/>
                <w:sz w:val="20"/>
                <w:szCs w:val="20"/>
                <w:lang w:eastAsia="es-MX"/>
              </w:rPr>
              <w:t>No</w:t>
            </w:r>
          </w:p>
        </w:tc>
      </w:tr>
      <w:tr w:rsidR="002613FB" w:rsidRPr="005E1463" w14:paraId="56181588" w14:textId="77777777" w:rsidTr="005E1463">
        <w:trPr>
          <w:trHeight w:val="243"/>
        </w:trPr>
        <w:tc>
          <w:tcPr>
            <w:tcW w:w="1784" w:type="pct"/>
            <w:tcBorders>
              <w:top w:val="nil"/>
              <w:left w:val="single" w:sz="4" w:space="0" w:color="auto"/>
              <w:bottom w:val="single" w:sz="4" w:space="0" w:color="auto"/>
              <w:right w:val="single" w:sz="4" w:space="0" w:color="auto"/>
            </w:tcBorders>
            <w:shd w:val="clear" w:color="000000" w:fill="9CC2E5"/>
            <w:vAlign w:val="center"/>
            <w:hideMark/>
          </w:tcPr>
          <w:p w14:paraId="7DE7D2BF" w14:textId="77777777" w:rsidR="002613FB" w:rsidRPr="00CD7AFF" w:rsidRDefault="002613FB" w:rsidP="00E67E43">
            <w:pPr>
              <w:spacing w:before="0" w:after="0"/>
              <w:rPr>
                <w:rFonts w:eastAsia="Times New Roman" w:cstheme="minorHAnsi"/>
                <w:b/>
                <w:bCs/>
                <w:color w:val="000000"/>
                <w:sz w:val="20"/>
                <w:szCs w:val="20"/>
                <w:lang w:eastAsia="es-MX"/>
              </w:rPr>
            </w:pPr>
            <w:r w:rsidRPr="00CD7AFF">
              <w:rPr>
                <w:rFonts w:eastAsia="Times New Roman" w:cstheme="minorHAnsi"/>
                <w:b/>
                <w:bCs/>
                <w:color w:val="000000"/>
                <w:sz w:val="20"/>
                <w:szCs w:val="20"/>
                <w:lang w:eastAsia="es-MX"/>
              </w:rPr>
              <w:t xml:space="preserve">¿Se complementa? </w:t>
            </w:r>
          </w:p>
        </w:tc>
        <w:tc>
          <w:tcPr>
            <w:tcW w:w="3216" w:type="pct"/>
            <w:tcBorders>
              <w:top w:val="nil"/>
              <w:left w:val="nil"/>
              <w:bottom w:val="single" w:sz="4" w:space="0" w:color="auto"/>
              <w:right w:val="single" w:sz="4" w:space="0" w:color="auto"/>
            </w:tcBorders>
            <w:shd w:val="clear" w:color="auto" w:fill="auto"/>
            <w:vAlign w:val="center"/>
            <w:hideMark/>
          </w:tcPr>
          <w:p w14:paraId="418CEACA" w14:textId="5552BC8F" w:rsidR="002613FB" w:rsidRPr="00CD7AFF" w:rsidRDefault="002613FB" w:rsidP="00E67E43">
            <w:pPr>
              <w:spacing w:before="0" w:after="0"/>
              <w:rPr>
                <w:rFonts w:eastAsia="Times New Roman" w:cstheme="minorHAnsi"/>
                <w:color w:val="000000"/>
                <w:sz w:val="20"/>
                <w:szCs w:val="20"/>
                <w:lang w:eastAsia="es-MX"/>
              </w:rPr>
            </w:pPr>
            <w:r w:rsidRPr="00CD7AFF">
              <w:rPr>
                <w:rFonts w:eastAsia="Times New Roman" w:cstheme="minorHAnsi"/>
                <w:color w:val="000000"/>
                <w:sz w:val="20"/>
                <w:szCs w:val="20"/>
                <w:lang w:eastAsia="es-MX"/>
              </w:rPr>
              <w:t>Sí</w:t>
            </w:r>
          </w:p>
        </w:tc>
      </w:tr>
      <w:tr w:rsidR="002613FB" w:rsidRPr="005E1463" w14:paraId="6A148A28" w14:textId="77777777" w:rsidTr="005E1463">
        <w:trPr>
          <w:trHeight w:val="48"/>
        </w:trPr>
        <w:tc>
          <w:tcPr>
            <w:tcW w:w="1784" w:type="pct"/>
            <w:tcBorders>
              <w:top w:val="nil"/>
              <w:left w:val="single" w:sz="4" w:space="0" w:color="auto"/>
              <w:bottom w:val="single" w:sz="4" w:space="0" w:color="auto"/>
              <w:right w:val="single" w:sz="4" w:space="0" w:color="auto"/>
            </w:tcBorders>
            <w:shd w:val="clear" w:color="000000" w:fill="9CC2E5"/>
            <w:vAlign w:val="center"/>
            <w:hideMark/>
          </w:tcPr>
          <w:p w14:paraId="74FEED8D" w14:textId="77777777" w:rsidR="002613FB" w:rsidRPr="00CD7AFF" w:rsidRDefault="002613FB" w:rsidP="00E67E43">
            <w:pPr>
              <w:spacing w:before="0" w:after="0"/>
              <w:rPr>
                <w:rFonts w:eastAsia="Times New Roman" w:cstheme="minorHAnsi"/>
                <w:b/>
                <w:bCs/>
                <w:color w:val="000000"/>
                <w:sz w:val="20"/>
                <w:szCs w:val="20"/>
                <w:lang w:eastAsia="es-MX"/>
              </w:rPr>
            </w:pPr>
            <w:r w:rsidRPr="00CD7AFF">
              <w:rPr>
                <w:rFonts w:eastAsia="Times New Roman" w:cstheme="minorHAnsi"/>
                <w:b/>
                <w:bCs/>
                <w:color w:val="000000"/>
                <w:sz w:val="20"/>
                <w:szCs w:val="20"/>
                <w:lang w:eastAsia="es-MX"/>
              </w:rPr>
              <w:t>Argumentación</w:t>
            </w:r>
          </w:p>
        </w:tc>
        <w:tc>
          <w:tcPr>
            <w:tcW w:w="3216" w:type="pct"/>
            <w:tcBorders>
              <w:top w:val="nil"/>
              <w:left w:val="nil"/>
              <w:bottom w:val="single" w:sz="4" w:space="0" w:color="auto"/>
              <w:right w:val="single" w:sz="4" w:space="0" w:color="auto"/>
            </w:tcBorders>
            <w:shd w:val="clear" w:color="auto" w:fill="auto"/>
            <w:vAlign w:val="center"/>
            <w:hideMark/>
          </w:tcPr>
          <w:p w14:paraId="72EC30AE" w14:textId="7BE19183" w:rsidR="002613FB" w:rsidRPr="00CD7AFF" w:rsidRDefault="002613FB" w:rsidP="00E67E43">
            <w:pPr>
              <w:spacing w:before="0" w:after="0"/>
              <w:rPr>
                <w:rFonts w:eastAsia="Times New Roman" w:cstheme="minorHAnsi"/>
                <w:color w:val="000000"/>
                <w:sz w:val="20"/>
                <w:szCs w:val="20"/>
                <w:lang w:eastAsia="es-MX"/>
              </w:rPr>
            </w:pPr>
            <w:r w:rsidRPr="00CD7AFF">
              <w:rPr>
                <w:rFonts w:eastAsia="Times New Roman" w:cstheme="minorHAnsi"/>
                <w:color w:val="000000"/>
                <w:sz w:val="20"/>
                <w:szCs w:val="20"/>
                <w:lang w:eastAsia="es-MX"/>
              </w:rPr>
              <w:t>Según el Informe analítico de la deuda pública y otros pasivos, del 01 de enero al 31 de diciembre de 2018, el FAFEF contribuyó con el 34.7 % del monto total pagado en amortizaciones, intereses y comisiones de la deuda pública estatal en ese periodo.</w:t>
            </w:r>
          </w:p>
        </w:tc>
      </w:tr>
      <w:tr w:rsidR="002613FB" w:rsidRPr="005E1463" w14:paraId="4EB738CF" w14:textId="77777777" w:rsidTr="005E1463">
        <w:trPr>
          <w:trHeight w:val="243"/>
        </w:trPr>
        <w:tc>
          <w:tcPr>
            <w:tcW w:w="1784" w:type="pct"/>
            <w:tcBorders>
              <w:top w:val="nil"/>
              <w:left w:val="single" w:sz="4" w:space="0" w:color="auto"/>
              <w:bottom w:val="single" w:sz="4" w:space="0" w:color="auto"/>
              <w:right w:val="single" w:sz="4" w:space="0" w:color="auto"/>
            </w:tcBorders>
            <w:shd w:val="clear" w:color="000000" w:fill="9CC2E5"/>
            <w:vAlign w:val="center"/>
            <w:hideMark/>
          </w:tcPr>
          <w:p w14:paraId="3104FF9E" w14:textId="77777777" w:rsidR="002613FB" w:rsidRPr="00CD7AFF" w:rsidRDefault="002613FB" w:rsidP="00E67E43">
            <w:pPr>
              <w:spacing w:before="0" w:after="0"/>
              <w:rPr>
                <w:rFonts w:eastAsia="Times New Roman" w:cstheme="minorHAnsi"/>
                <w:b/>
                <w:bCs/>
                <w:color w:val="000000"/>
                <w:sz w:val="20"/>
                <w:szCs w:val="20"/>
                <w:lang w:eastAsia="es-MX"/>
              </w:rPr>
            </w:pPr>
            <w:r w:rsidRPr="00CD7AFF">
              <w:rPr>
                <w:rFonts w:eastAsia="Times New Roman" w:cstheme="minorHAnsi"/>
                <w:b/>
                <w:bCs/>
                <w:color w:val="000000"/>
                <w:sz w:val="20"/>
                <w:szCs w:val="20"/>
                <w:lang w:eastAsia="es-MX"/>
              </w:rPr>
              <w:t>Recomendación</w:t>
            </w:r>
          </w:p>
        </w:tc>
        <w:tc>
          <w:tcPr>
            <w:tcW w:w="3216" w:type="pct"/>
            <w:tcBorders>
              <w:top w:val="nil"/>
              <w:left w:val="nil"/>
              <w:bottom w:val="single" w:sz="4" w:space="0" w:color="auto"/>
              <w:right w:val="single" w:sz="4" w:space="0" w:color="auto"/>
            </w:tcBorders>
            <w:shd w:val="clear" w:color="auto" w:fill="auto"/>
            <w:vAlign w:val="center"/>
            <w:hideMark/>
          </w:tcPr>
          <w:p w14:paraId="27CF1722" w14:textId="77777777" w:rsidR="002613FB" w:rsidRPr="00CD7AFF" w:rsidRDefault="002613FB" w:rsidP="00E67E43">
            <w:pPr>
              <w:spacing w:before="0" w:after="0"/>
              <w:rPr>
                <w:rFonts w:eastAsia="Times New Roman" w:cstheme="minorHAnsi"/>
                <w:color w:val="000000"/>
                <w:sz w:val="20"/>
                <w:szCs w:val="20"/>
                <w:lang w:eastAsia="es-MX"/>
              </w:rPr>
            </w:pPr>
            <w:r w:rsidRPr="00CD7AFF">
              <w:rPr>
                <w:rFonts w:eastAsia="Times New Roman" w:cstheme="minorHAnsi"/>
                <w:color w:val="000000"/>
                <w:sz w:val="20"/>
                <w:szCs w:val="20"/>
                <w:lang w:eastAsia="es-MX"/>
              </w:rPr>
              <w:t>Sin recomendación</w:t>
            </w:r>
          </w:p>
        </w:tc>
      </w:tr>
    </w:tbl>
    <w:p w14:paraId="50ECE1EB" w14:textId="77777777" w:rsidR="002613FB" w:rsidRPr="005E1463" w:rsidRDefault="002613FB" w:rsidP="005E1463">
      <w:pPr>
        <w:rPr>
          <w:iCs/>
          <w:sz w:val="2"/>
          <w:szCs w:val="2"/>
        </w:rPr>
      </w:pPr>
    </w:p>
    <w:tbl>
      <w:tblPr>
        <w:tblW w:w="498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20"/>
        <w:gridCol w:w="8688"/>
      </w:tblGrid>
      <w:tr w:rsidR="00EB1844" w:rsidRPr="00D71ED3" w14:paraId="4DFEDAAD" w14:textId="77777777" w:rsidTr="005E1463">
        <w:trPr>
          <w:trHeight w:val="70"/>
        </w:trPr>
        <w:tc>
          <w:tcPr>
            <w:tcW w:w="1784" w:type="pct"/>
            <w:shd w:val="clear" w:color="000000" w:fill="9CC2E5"/>
            <w:vAlign w:val="center"/>
            <w:hideMark/>
          </w:tcPr>
          <w:p w14:paraId="6AB3C60A" w14:textId="77777777" w:rsidR="00EB1844" w:rsidRPr="00D71ED3" w:rsidRDefault="00EB1844" w:rsidP="00927B4B">
            <w:pPr>
              <w:spacing w:before="0" w:after="0"/>
              <w:rPr>
                <w:rFonts w:eastAsia="Times New Roman" w:cstheme="minorHAnsi"/>
                <w:b/>
                <w:bCs/>
                <w:color w:val="000000"/>
                <w:sz w:val="20"/>
                <w:szCs w:val="20"/>
                <w:lang w:eastAsia="es-MX"/>
              </w:rPr>
            </w:pPr>
            <w:bookmarkStart w:id="152" w:name="_Toc45480711"/>
            <w:r w:rsidRPr="00D71ED3">
              <w:rPr>
                <w:rFonts w:eastAsia="Times New Roman" w:cstheme="minorHAnsi"/>
                <w:b/>
                <w:bCs/>
                <w:color w:val="000000"/>
                <w:sz w:val="20"/>
                <w:szCs w:val="20"/>
                <w:lang w:eastAsia="es-MX"/>
              </w:rPr>
              <w:t>Nombre de las políticas, programas o proyectos locales</w:t>
            </w:r>
          </w:p>
        </w:tc>
        <w:tc>
          <w:tcPr>
            <w:tcW w:w="3216" w:type="pct"/>
            <w:shd w:val="clear" w:color="auto" w:fill="auto"/>
            <w:vAlign w:val="center"/>
            <w:hideMark/>
          </w:tcPr>
          <w:p w14:paraId="0DC15C4E" w14:textId="302D7A06" w:rsidR="00EB1844" w:rsidRPr="00D71ED3" w:rsidRDefault="00BA1EFB" w:rsidP="00927B4B">
            <w:pPr>
              <w:spacing w:before="0" w:after="0"/>
              <w:rPr>
                <w:rFonts w:eastAsia="Times New Roman" w:cstheme="minorHAnsi"/>
                <w:color w:val="000000"/>
                <w:sz w:val="20"/>
                <w:szCs w:val="20"/>
                <w:lang w:eastAsia="es-MX"/>
              </w:rPr>
            </w:pPr>
            <w:r w:rsidRPr="00BA1EFB">
              <w:rPr>
                <w:rFonts w:eastAsia="Times New Roman" w:cs="Arial"/>
                <w:color w:val="000000"/>
                <w:sz w:val="20"/>
                <w:szCs w:val="20"/>
                <w:lang w:eastAsia="es-MX"/>
              </w:rPr>
              <w:t>Gobernabilidad y Gobernanza</w:t>
            </w:r>
          </w:p>
        </w:tc>
      </w:tr>
      <w:tr w:rsidR="00EB1844" w:rsidRPr="00D71ED3" w14:paraId="552B3810" w14:textId="77777777" w:rsidTr="005E1463">
        <w:trPr>
          <w:trHeight w:val="243"/>
        </w:trPr>
        <w:tc>
          <w:tcPr>
            <w:tcW w:w="1784" w:type="pct"/>
            <w:shd w:val="clear" w:color="000000" w:fill="9CC2E5"/>
            <w:vAlign w:val="center"/>
            <w:hideMark/>
          </w:tcPr>
          <w:p w14:paraId="4517FD7B" w14:textId="77777777" w:rsidR="00EB1844" w:rsidRPr="00D71ED3" w:rsidRDefault="00EB1844" w:rsidP="00927B4B">
            <w:pPr>
              <w:spacing w:before="0" w:after="0"/>
              <w:rPr>
                <w:rFonts w:eastAsia="Times New Roman" w:cstheme="minorHAnsi"/>
                <w:b/>
                <w:bCs/>
                <w:color w:val="000000"/>
                <w:sz w:val="20"/>
                <w:szCs w:val="20"/>
                <w:lang w:eastAsia="es-MX"/>
              </w:rPr>
            </w:pPr>
            <w:r w:rsidRPr="00D71ED3">
              <w:rPr>
                <w:rFonts w:eastAsia="Times New Roman" w:cstheme="minorHAnsi"/>
                <w:b/>
                <w:bCs/>
                <w:color w:val="000000"/>
                <w:sz w:val="20"/>
                <w:szCs w:val="20"/>
                <w:lang w:eastAsia="es-MX"/>
              </w:rPr>
              <w:t xml:space="preserve">Modalidad y Clave </w:t>
            </w:r>
          </w:p>
        </w:tc>
        <w:tc>
          <w:tcPr>
            <w:tcW w:w="3216" w:type="pct"/>
            <w:shd w:val="clear" w:color="auto" w:fill="auto"/>
            <w:vAlign w:val="center"/>
            <w:hideMark/>
          </w:tcPr>
          <w:p w14:paraId="44644155" w14:textId="63CF3875" w:rsidR="00EB1844" w:rsidRPr="00D71ED3" w:rsidRDefault="00F02419" w:rsidP="00927B4B">
            <w:pPr>
              <w:spacing w:before="0" w:after="0"/>
              <w:rPr>
                <w:rFonts w:eastAsia="Times New Roman" w:cstheme="minorHAnsi"/>
                <w:color w:val="000000"/>
                <w:sz w:val="20"/>
                <w:szCs w:val="20"/>
                <w:lang w:eastAsia="es-MX"/>
              </w:rPr>
            </w:pPr>
            <w:r>
              <w:rPr>
                <w:rFonts w:eastAsia="Times New Roman" w:cstheme="minorHAnsi"/>
                <w:color w:val="000000"/>
                <w:sz w:val="20"/>
                <w:szCs w:val="20"/>
                <w:lang w:eastAsia="es-MX"/>
              </w:rPr>
              <w:t>R</w:t>
            </w:r>
            <w:r w:rsidR="00EB1844" w:rsidRPr="00D71ED3">
              <w:rPr>
                <w:rFonts w:eastAsia="Times New Roman" w:cstheme="minorHAnsi"/>
                <w:color w:val="000000"/>
                <w:sz w:val="20"/>
                <w:szCs w:val="20"/>
                <w:lang w:eastAsia="es-MX"/>
              </w:rPr>
              <w:t>0</w:t>
            </w:r>
            <w:r>
              <w:rPr>
                <w:rFonts w:eastAsia="Times New Roman" w:cstheme="minorHAnsi"/>
                <w:color w:val="000000"/>
                <w:sz w:val="20"/>
                <w:szCs w:val="20"/>
                <w:lang w:eastAsia="es-MX"/>
              </w:rPr>
              <w:t>1</w:t>
            </w:r>
          </w:p>
        </w:tc>
      </w:tr>
      <w:tr w:rsidR="00EB1844" w:rsidRPr="00D71ED3" w14:paraId="405F2A08" w14:textId="77777777" w:rsidTr="005E1463">
        <w:trPr>
          <w:trHeight w:val="70"/>
        </w:trPr>
        <w:tc>
          <w:tcPr>
            <w:tcW w:w="1784" w:type="pct"/>
            <w:shd w:val="clear" w:color="000000" w:fill="9CC2E5"/>
            <w:vAlign w:val="center"/>
            <w:hideMark/>
          </w:tcPr>
          <w:p w14:paraId="7612A403" w14:textId="77777777" w:rsidR="00EB1844" w:rsidRPr="00D71ED3" w:rsidRDefault="00EB1844" w:rsidP="00927B4B">
            <w:pPr>
              <w:spacing w:before="0" w:after="0"/>
              <w:rPr>
                <w:rFonts w:eastAsia="Times New Roman" w:cstheme="minorHAnsi"/>
                <w:b/>
                <w:bCs/>
                <w:color w:val="000000"/>
                <w:sz w:val="20"/>
                <w:szCs w:val="20"/>
                <w:lang w:eastAsia="es-MX"/>
              </w:rPr>
            </w:pPr>
            <w:r w:rsidRPr="00D71ED3">
              <w:rPr>
                <w:rFonts w:eastAsia="Times New Roman" w:cstheme="minorHAnsi"/>
                <w:b/>
                <w:bCs/>
                <w:color w:val="000000"/>
                <w:sz w:val="20"/>
                <w:szCs w:val="20"/>
                <w:lang w:eastAsia="es-MX"/>
              </w:rPr>
              <w:t xml:space="preserve">Ramo </w:t>
            </w:r>
          </w:p>
        </w:tc>
        <w:tc>
          <w:tcPr>
            <w:tcW w:w="3216" w:type="pct"/>
            <w:shd w:val="clear" w:color="auto" w:fill="auto"/>
            <w:vAlign w:val="center"/>
            <w:hideMark/>
          </w:tcPr>
          <w:p w14:paraId="442AFE00" w14:textId="1FB5BC4B" w:rsidR="00EB1844" w:rsidRPr="00D71ED3" w:rsidRDefault="00F02419" w:rsidP="00927B4B">
            <w:pPr>
              <w:spacing w:before="0" w:after="0"/>
              <w:rPr>
                <w:rFonts w:eastAsia="Times New Roman" w:cstheme="minorHAnsi"/>
                <w:color w:val="000000"/>
                <w:sz w:val="20"/>
                <w:szCs w:val="20"/>
                <w:lang w:eastAsia="es-MX"/>
              </w:rPr>
            </w:pPr>
            <w:r>
              <w:rPr>
                <w:rFonts w:eastAsia="Times New Roman" w:cstheme="minorHAnsi"/>
                <w:color w:val="000000"/>
                <w:sz w:val="20"/>
                <w:szCs w:val="20"/>
                <w:lang w:eastAsia="es-MX"/>
              </w:rPr>
              <w:t>08</w:t>
            </w:r>
            <w:r w:rsidR="002613FB">
              <w:rPr>
                <w:rFonts w:eastAsia="Times New Roman" w:cstheme="minorHAnsi"/>
                <w:color w:val="000000"/>
                <w:sz w:val="20"/>
                <w:szCs w:val="20"/>
                <w:lang w:eastAsia="es-MX"/>
              </w:rPr>
              <w:t>-G</w:t>
            </w:r>
            <w:r>
              <w:rPr>
                <w:rFonts w:eastAsia="Times New Roman" w:cstheme="minorHAnsi"/>
                <w:color w:val="000000"/>
                <w:sz w:val="20"/>
                <w:szCs w:val="20"/>
                <w:lang w:eastAsia="es-MX"/>
              </w:rPr>
              <w:t>obierno</w:t>
            </w:r>
          </w:p>
        </w:tc>
      </w:tr>
      <w:tr w:rsidR="00EB1844" w:rsidRPr="00D71ED3" w14:paraId="7BA86E5F" w14:textId="77777777" w:rsidTr="005E1463">
        <w:trPr>
          <w:trHeight w:val="48"/>
        </w:trPr>
        <w:tc>
          <w:tcPr>
            <w:tcW w:w="1784" w:type="pct"/>
            <w:shd w:val="clear" w:color="000000" w:fill="9CC2E5"/>
            <w:vAlign w:val="center"/>
            <w:hideMark/>
          </w:tcPr>
          <w:p w14:paraId="1DDC3B31" w14:textId="77777777" w:rsidR="00EB1844" w:rsidRPr="00D71ED3" w:rsidRDefault="00EB1844" w:rsidP="00927B4B">
            <w:pPr>
              <w:spacing w:before="0" w:after="0"/>
              <w:rPr>
                <w:rFonts w:eastAsia="Times New Roman" w:cstheme="minorHAnsi"/>
                <w:b/>
                <w:bCs/>
                <w:color w:val="000000"/>
                <w:sz w:val="20"/>
                <w:szCs w:val="20"/>
                <w:lang w:eastAsia="es-MX"/>
              </w:rPr>
            </w:pPr>
            <w:r w:rsidRPr="00D71ED3">
              <w:rPr>
                <w:rFonts w:eastAsia="Times New Roman" w:cstheme="minorHAnsi"/>
                <w:b/>
                <w:bCs/>
                <w:color w:val="000000"/>
                <w:sz w:val="20"/>
                <w:szCs w:val="20"/>
                <w:lang w:eastAsia="es-MX"/>
              </w:rPr>
              <w:t xml:space="preserve">Propósito </w:t>
            </w:r>
          </w:p>
        </w:tc>
        <w:tc>
          <w:tcPr>
            <w:tcW w:w="3216" w:type="pct"/>
            <w:shd w:val="clear" w:color="auto" w:fill="auto"/>
            <w:vAlign w:val="center"/>
          </w:tcPr>
          <w:p w14:paraId="24D788D1" w14:textId="21E2DCB7" w:rsidR="00EB1844" w:rsidRPr="00D71ED3" w:rsidRDefault="00F02419" w:rsidP="00927B4B">
            <w:pPr>
              <w:spacing w:before="0" w:after="0"/>
              <w:rPr>
                <w:rFonts w:eastAsia="Times New Roman" w:cstheme="minorHAnsi"/>
                <w:color w:val="000000"/>
                <w:sz w:val="20"/>
                <w:szCs w:val="20"/>
                <w:lang w:eastAsia="es-MX"/>
              </w:rPr>
            </w:pPr>
            <w:r>
              <w:rPr>
                <w:rFonts w:eastAsia="Times New Roman" w:cstheme="minorHAnsi"/>
                <w:color w:val="000000"/>
                <w:sz w:val="20"/>
                <w:szCs w:val="20"/>
                <w:lang w:eastAsia="es-MX"/>
              </w:rPr>
              <w:t xml:space="preserve">La población del Estado de Hidalgo recibe solución a sus conflictos y peticiones en el ámbito político y social. </w:t>
            </w:r>
          </w:p>
        </w:tc>
      </w:tr>
      <w:tr w:rsidR="00EB1844" w:rsidRPr="00D71ED3" w14:paraId="00B7C91F" w14:textId="77777777" w:rsidTr="005E1463">
        <w:trPr>
          <w:trHeight w:val="243"/>
        </w:trPr>
        <w:tc>
          <w:tcPr>
            <w:tcW w:w="1784" w:type="pct"/>
            <w:shd w:val="clear" w:color="000000" w:fill="9CC2E5"/>
            <w:vAlign w:val="center"/>
            <w:hideMark/>
          </w:tcPr>
          <w:p w14:paraId="079F386A" w14:textId="77777777" w:rsidR="00EB1844" w:rsidRPr="00D71ED3" w:rsidRDefault="00EB1844" w:rsidP="00927B4B">
            <w:pPr>
              <w:spacing w:before="0" w:after="0"/>
              <w:rPr>
                <w:rFonts w:eastAsia="Times New Roman" w:cstheme="minorHAnsi"/>
                <w:b/>
                <w:bCs/>
                <w:color w:val="000000"/>
                <w:sz w:val="20"/>
                <w:szCs w:val="20"/>
                <w:lang w:eastAsia="es-MX"/>
              </w:rPr>
            </w:pPr>
            <w:r w:rsidRPr="00D71ED3">
              <w:rPr>
                <w:rFonts w:eastAsia="Times New Roman" w:cstheme="minorHAnsi"/>
                <w:b/>
                <w:bCs/>
                <w:color w:val="000000"/>
                <w:sz w:val="20"/>
                <w:szCs w:val="20"/>
                <w:lang w:eastAsia="es-MX"/>
              </w:rPr>
              <w:t xml:space="preserve">Población o área de enfoque objetivo </w:t>
            </w:r>
          </w:p>
        </w:tc>
        <w:tc>
          <w:tcPr>
            <w:tcW w:w="3216" w:type="pct"/>
            <w:shd w:val="clear" w:color="auto" w:fill="auto"/>
            <w:vAlign w:val="center"/>
            <w:hideMark/>
          </w:tcPr>
          <w:p w14:paraId="0243DE67" w14:textId="173A2D61" w:rsidR="00EB1844" w:rsidRPr="00D71ED3" w:rsidRDefault="00F02419" w:rsidP="00927B4B">
            <w:pPr>
              <w:spacing w:before="0" w:after="0"/>
              <w:rPr>
                <w:rFonts w:eastAsia="Times New Roman" w:cstheme="minorHAnsi"/>
                <w:color w:val="000000"/>
                <w:sz w:val="20"/>
                <w:szCs w:val="20"/>
                <w:lang w:eastAsia="es-MX"/>
              </w:rPr>
            </w:pPr>
            <w:r>
              <w:rPr>
                <w:rFonts w:eastAsia="Times New Roman" w:cstheme="minorHAnsi"/>
                <w:color w:val="000000"/>
                <w:sz w:val="20"/>
                <w:szCs w:val="20"/>
                <w:lang w:eastAsia="es-MX"/>
              </w:rPr>
              <w:t xml:space="preserve">Población total de la </w:t>
            </w:r>
            <w:r w:rsidR="007E4A81">
              <w:rPr>
                <w:rFonts w:eastAsia="Times New Roman" w:cstheme="minorHAnsi"/>
                <w:color w:val="000000"/>
                <w:sz w:val="20"/>
                <w:szCs w:val="20"/>
                <w:lang w:eastAsia="es-MX"/>
              </w:rPr>
              <w:t>e</w:t>
            </w:r>
            <w:r>
              <w:rPr>
                <w:rFonts w:eastAsia="Times New Roman" w:cstheme="minorHAnsi"/>
                <w:color w:val="000000"/>
                <w:sz w:val="20"/>
                <w:szCs w:val="20"/>
                <w:lang w:eastAsia="es-MX"/>
              </w:rPr>
              <w:t>ntidad</w:t>
            </w:r>
            <w:r w:rsidR="007E4A81">
              <w:rPr>
                <w:rFonts w:eastAsia="Times New Roman" w:cstheme="minorHAnsi"/>
                <w:color w:val="000000"/>
                <w:sz w:val="20"/>
                <w:szCs w:val="20"/>
                <w:lang w:eastAsia="es-MX"/>
              </w:rPr>
              <w:t xml:space="preserve"> federativa</w:t>
            </w:r>
          </w:p>
        </w:tc>
      </w:tr>
      <w:tr w:rsidR="00EB1844" w:rsidRPr="00D71ED3" w14:paraId="4CCD3F78" w14:textId="77777777" w:rsidTr="005E1463">
        <w:trPr>
          <w:trHeight w:val="48"/>
        </w:trPr>
        <w:tc>
          <w:tcPr>
            <w:tcW w:w="1784" w:type="pct"/>
            <w:shd w:val="clear" w:color="000000" w:fill="9CC2E5"/>
            <w:vAlign w:val="center"/>
            <w:hideMark/>
          </w:tcPr>
          <w:p w14:paraId="25AB6A7B" w14:textId="77777777" w:rsidR="00EB1844" w:rsidRPr="00D71ED3" w:rsidRDefault="00EB1844" w:rsidP="00927B4B">
            <w:pPr>
              <w:spacing w:before="0" w:after="0"/>
              <w:rPr>
                <w:rFonts w:eastAsia="Times New Roman" w:cstheme="minorHAnsi"/>
                <w:b/>
                <w:bCs/>
                <w:color w:val="000000"/>
                <w:sz w:val="20"/>
                <w:szCs w:val="20"/>
                <w:lang w:eastAsia="es-MX"/>
              </w:rPr>
            </w:pPr>
            <w:r w:rsidRPr="00D71ED3">
              <w:rPr>
                <w:rFonts w:eastAsia="Times New Roman" w:cstheme="minorHAnsi"/>
                <w:b/>
                <w:bCs/>
                <w:color w:val="000000"/>
                <w:sz w:val="20"/>
                <w:szCs w:val="20"/>
                <w:lang w:eastAsia="es-MX"/>
              </w:rPr>
              <w:t xml:space="preserve">Tipos de Componentes que entrega a sus destinatarios </w:t>
            </w:r>
          </w:p>
        </w:tc>
        <w:tc>
          <w:tcPr>
            <w:tcW w:w="3216" w:type="pct"/>
            <w:shd w:val="clear" w:color="auto" w:fill="auto"/>
            <w:vAlign w:val="center"/>
            <w:hideMark/>
          </w:tcPr>
          <w:p w14:paraId="3C20AE58" w14:textId="28330749" w:rsidR="00EB1844" w:rsidRPr="00D71ED3" w:rsidRDefault="00F02419" w:rsidP="00927B4B">
            <w:pPr>
              <w:spacing w:before="0" w:after="0"/>
              <w:rPr>
                <w:rFonts w:eastAsia="Times New Roman" w:cstheme="minorHAnsi"/>
                <w:color w:val="000000"/>
                <w:sz w:val="20"/>
                <w:szCs w:val="20"/>
                <w:lang w:eastAsia="es-MX"/>
              </w:rPr>
            </w:pPr>
            <w:r>
              <w:rPr>
                <w:rFonts w:eastAsia="Times New Roman" w:cstheme="minorHAnsi"/>
                <w:color w:val="000000"/>
                <w:sz w:val="20"/>
                <w:szCs w:val="20"/>
                <w:lang w:eastAsia="es-MX"/>
              </w:rPr>
              <w:t xml:space="preserve">Solución de conflictos </w:t>
            </w:r>
            <w:r w:rsidR="002613FB">
              <w:rPr>
                <w:rFonts w:eastAsia="Times New Roman" w:cstheme="minorHAnsi"/>
                <w:color w:val="000000"/>
                <w:sz w:val="20"/>
                <w:szCs w:val="20"/>
                <w:lang w:eastAsia="es-MX"/>
              </w:rPr>
              <w:t>sociales, agrarios</w:t>
            </w:r>
            <w:r>
              <w:rPr>
                <w:rFonts w:eastAsia="Times New Roman" w:cstheme="minorHAnsi"/>
                <w:color w:val="000000"/>
                <w:sz w:val="20"/>
                <w:szCs w:val="20"/>
                <w:lang w:eastAsia="es-MX"/>
              </w:rPr>
              <w:t xml:space="preserve"> y socio-políticos, </w:t>
            </w:r>
            <w:r w:rsidR="002613FB">
              <w:rPr>
                <w:rFonts w:eastAsia="Times New Roman" w:cstheme="minorHAnsi"/>
                <w:color w:val="000000"/>
                <w:sz w:val="20"/>
                <w:szCs w:val="20"/>
                <w:lang w:eastAsia="es-MX"/>
              </w:rPr>
              <w:t xml:space="preserve">capacitación y asesoría en materia político social, </w:t>
            </w:r>
          </w:p>
        </w:tc>
      </w:tr>
      <w:tr w:rsidR="00EB1844" w:rsidRPr="00D71ED3" w14:paraId="63F1FEC0" w14:textId="77777777" w:rsidTr="005E1463">
        <w:trPr>
          <w:trHeight w:val="243"/>
        </w:trPr>
        <w:tc>
          <w:tcPr>
            <w:tcW w:w="1784" w:type="pct"/>
            <w:shd w:val="clear" w:color="000000" w:fill="9CC2E5"/>
            <w:vAlign w:val="center"/>
            <w:hideMark/>
          </w:tcPr>
          <w:p w14:paraId="7908CA7D" w14:textId="77777777" w:rsidR="00EB1844" w:rsidRPr="00D71ED3" w:rsidRDefault="00EB1844" w:rsidP="00927B4B">
            <w:pPr>
              <w:spacing w:before="0" w:after="0"/>
              <w:rPr>
                <w:rFonts w:eastAsia="Times New Roman" w:cstheme="minorHAnsi"/>
                <w:b/>
                <w:bCs/>
                <w:color w:val="000000"/>
                <w:sz w:val="20"/>
                <w:szCs w:val="20"/>
                <w:lang w:eastAsia="es-MX"/>
              </w:rPr>
            </w:pPr>
            <w:r w:rsidRPr="00D71ED3">
              <w:rPr>
                <w:rFonts w:eastAsia="Times New Roman" w:cstheme="minorHAnsi"/>
                <w:b/>
                <w:bCs/>
                <w:color w:val="000000"/>
                <w:sz w:val="20"/>
                <w:szCs w:val="20"/>
                <w:lang w:eastAsia="es-MX"/>
              </w:rPr>
              <w:t xml:space="preserve">Cobertura Geográfica </w:t>
            </w:r>
          </w:p>
        </w:tc>
        <w:tc>
          <w:tcPr>
            <w:tcW w:w="3216" w:type="pct"/>
            <w:shd w:val="clear" w:color="auto" w:fill="auto"/>
            <w:vAlign w:val="center"/>
            <w:hideMark/>
          </w:tcPr>
          <w:p w14:paraId="614D0CD4" w14:textId="48AB3B49" w:rsidR="00EB1844" w:rsidRPr="00D71ED3" w:rsidRDefault="00F02419" w:rsidP="00927B4B">
            <w:pPr>
              <w:spacing w:before="0" w:after="0"/>
              <w:rPr>
                <w:rFonts w:eastAsia="Times New Roman" w:cstheme="minorHAnsi"/>
                <w:color w:val="000000"/>
                <w:sz w:val="20"/>
                <w:szCs w:val="20"/>
                <w:lang w:eastAsia="es-MX"/>
              </w:rPr>
            </w:pPr>
            <w:r>
              <w:rPr>
                <w:rFonts w:eastAsia="Times New Roman" w:cstheme="minorHAnsi"/>
                <w:color w:val="000000"/>
                <w:sz w:val="20"/>
                <w:szCs w:val="20"/>
                <w:lang w:eastAsia="es-MX"/>
              </w:rPr>
              <w:t>Estatal</w:t>
            </w:r>
          </w:p>
        </w:tc>
      </w:tr>
      <w:tr w:rsidR="00EB1844" w:rsidRPr="00D71ED3" w14:paraId="07E3846D" w14:textId="77777777" w:rsidTr="005E1463">
        <w:trPr>
          <w:trHeight w:val="243"/>
        </w:trPr>
        <w:tc>
          <w:tcPr>
            <w:tcW w:w="1784" w:type="pct"/>
            <w:shd w:val="clear" w:color="000000" w:fill="9CC2E5"/>
            <w:vAlign w:val="center"/>
            <w:hideMark/>
          </w:tcPr>
          <w:p w14:paraId="55C6EE81" w14:textId="77777777" w:rsidR="00EB1844" w:rsidRPr="00D71ED3" w:rsidRDefault="00EB1844" w:rsidP="00927B4B">
            <w:pPr>
              <w:spacing w:before="0" w:after="0"/>
              <w:rPr>
                <w:rFonts w:eastAsia="Times New Roman" w:cstheme="minorHAnsi"/>
                <w:b/>
                <w:bCs/>
                <w:color w:val="000000"/>
                <w:sz w:val="20"/>
                <w:szCs w:val="20"/>
                <w:lang w:eastAsia="es-MX"/>
              </w:rPr>
            </w:pPr>
            <w:r w:rsidRPr="00D71ED3">
              <w:rPr>
                <w:rFonts w:eastAsia="Times New Roman" w:cstheme="minorHAnsi"/>
                <w:b/>
                <w:bCs/>
                <w:color w:val="000000"/>
                <w:sz w:val="20"/>
                <w:szCs w:val="20"/>
                <w:lang w:eastAsia="es-MX"/>
              </w:rPr>
              <w:t xml:space="preserve">Fuentes de Información </w:t>
            </w:r>
          </w:p>
        </w:tc>
        <w:tc>
          <w:tcPr>
            <w:tcW w:w="3216" w:type="pct"/>
            <w:shd w:val="clear" w:color="auto" w:fill="auto"/>
            <w:vAlign w:val="center"/>
            <w:hideMark/>
          </w:tcPr>
          <w:p w14:paraId="4BB8B423" w14:textId="6C0E2919" w:rsidR="00EB1844" w:rsidRPr="00D71ED3" w:rsidRDefault="00F02419" w:rsidP="00927B4B">
            <w:pPr>
              <w:spacing w:before="0" w:after="0"/>
              <w:rPr>
                <w:rFonts w:eastAsia="Times New Roman" w:cstheme="minorHAnsi"/>
                <w:color w:val="000000"/>
                <w:sz w:val="20"/>
                <w:szCs w:val="20"/>
                <w:lang w:eastAsia="es-MX"/>
              </w:rPr>
            </w:pPr>
            <w:r>
              <w:rPr>
                <w:rFonts w:eastAsia="Times New Roman" w:cstheme="minorHAnsi"/>
                <w:color w:val="000000"/>
                <w:sz w:val="20"/>
                <w:szCs w:val="20"/>
                <w:lang w:eastAsia="es-MX"/>
              </w:rPr>
              <w:t>MIR de los Pp de la estructura programática estatal</w:t>
            </w:r>
          </w:p>
        </w:tc>
      </w:tr>
      <w:tr w:rsidR="00EB1844" w:rsidRPr="00D71ED3" w14:paraId="62447FAA" w14:textId="77777777" w:rsidTr="005E1463">
        <w:trPr>
          <w:trHeight w:val="243"/>
        </w:trPr>
        <w:tc>
          <w:tcPr>
            <w:tcW w:w="1784" w:type="pct"/>
            <w:shd w:val="clear" w:color="000000" w:fill="9CC2E5"/>
            <w:vAlign w:val="center"/>
            <w:hideMark/>
          </w:tcPr>
          <w:p w14:paraId="3E5BF7AE" w14:textId="77777777" w:rsidR="00EB1844" w:rsidRPr="00D71ED3" w:rsidRDefault="00EB1844" w:rsidP="00927B4B">
            <w:pPr>
              <w:spacing w:before="0" w:after="0"/>
              <w:rPr>
                <w:rFonts w:eastAsia="Times New Roman" w:cstheme="minorHAnsi"/>
                <w:b/>
                <w:bCs/>
                <w:color w:val="000000"/>
                <w:sz w:val="20"/>
                <w:szCs w:val="20"/>
                <w:lang w:eastAsia="es-MX"/>
              </w:rPr>
            </w:pPr>
            <w:r w:rsidRPr="00D71ED3">
              <w:rPr>
                <w:rFonts w:eastAsia="Times New Roman" w:cstheme="minorHAnsi"/>
                <w:b/>
                <w:bCs/>
                <w:color w:val="000000"/>
                <w:sz w:val="20"/>
                <w:szCs w:val="20"/>
                <w:lang w:eastAsia="es-MX"/>
              </w:rPr>
              <w:t xml:space="preserve">¿Es coincidente? </w:t>
            </w:r>
          </w:p>
        </w:tc>
        <w:tc>
          <w:tcPr>
            <w:tcW w:w="3216" w:type="pct"/>
            <w:shd w:val="clear" w:color="auto" w:fill="auto"/>
            <w:vAlign w:val="center"/>
            <w:hideMark/>
          </w:tcPr>
          <w:p w14:paraId="69399CE2" w14:textId="77777777" w:rsidR="00EB1844" w:rsidRPr="00D71ED3" w:rsidRDefault="00EB1844" w:rsidP="00927B4B">
            <w:pPr>
              <w:spacing w:before="0" w:after="0"/>
              <w:rPr>
                <w:rFonts w:eastAsia="Times New Roman" w:cstheme="minorHAnsi"/>
                <w:color w:val="000000"/>
                <w:sz w:val="20"/>
                <w:szCs w:val="20"/>
                <w:lang w:eastAsia="es-MX"/>
              </w:rPr>
            </w:pPr>
            <w:r w:rsidRPr="00333C14">
              <w:rPr>
                <w:rFonts w:eastAsia="Times New Roman" w:cstheme="minorHAnsi"/>
                <w:color w:val="000000"/>
                <w:sz w:val="20"/>
                <w:szCs w:val="20"/>
                <w:lang w:eastAsia="es-MX"/>
              </w:rPr>
              <w:t>No</w:t>
            </w:r>
          </w:p>
        </w:tc>
      </w:tr>
      <w:tr w:rsidR="00EB1844" w:rsidRPr="00D71ED3" w14:paraId="1F866268" w14:textId="77777777" w:rsidTr="005E1463">
        <w:trPr>
          <w:trHeight w:val="243"/>
        </w:trPr>
        <w:tc>
          <w:tcPr>
            <w:tcW w:w="1784" w:type="pct"/>
            <w:shd w:val="clear" w:color="000000" w:fill="9CC2E5"/>
            <w:vAlign w:val="center"/>
            <w:hideMark/>
          </w:tcPr>
          <w:p w14:paraId="78E2765E" w14:textId="77777777" w:rsidR="00EB1844" w:rsidRPr="00D71ED3" w:rsidRDefault="00EB1844" w:rsidP="00927B4B">
            <w:pPr>
              <w:spacing w:before="0" w:after="0"/>
              <w:rPr>
                <w:rFonts w:eastAsia="Times New Roman" w:cstheme="minorHAnsi"/>
                <w:b/>
                <w:bCs/>
                <w:color w:val="000000"/>
                <w:sz w:val="20"/>
                <w:szCs w:val="20"/>
                <w:lang w:eastAsia="es-MX"/>
              </w:rPr>
            </w:pPr>
            <w:r w:rsidRPr="00D71ED3">
              <w:rPr>
                <w:rFonts w:eastAsia="Times New Roman" w:cstheme="minorHAnsi"/>
                <w:b/>
                <w:bCs/>
                <w:color w:val="000000"/>
                <w:sz w:val="20"/>
                <w:szCs w:val="20"/>
                <w:lang w:eastAsia="es-MX"/>
              </w:rPr>
              <w:t xml:space="preserve">¿Se complementa? </w:t>
            </w:r>
          </w:p>
        </w:tc>
        <w:tc>
          <w:tcPr>
            <w:tcW w:w="3216" w:type="pct"/>
            <w:shd w:val="clear" w:color="auto" w:fill="auto"/>
            <w:vAlign w:val="center"/>
            <w:hideMark/>
          </w:tcPr>
          <w:p w14:paraId="22E3FDA5" w14:textId="764B8C28" w:rsidR="00EB1844" w:rsidRPr="00D71ED3" w:rsidRDefault="002613FB" w:rsidP="00927B4B">
            <w:pPr>
              <w:spacing w:before="0" w:after="0"/>
              <w:rPr>
                <w:rFonts w:eastAsia="Times New Roman" w:cstheme="minorHAnsi"/>
                <w:color w:val="000000"/>
                <w:sz w:val="20"/>
                <w:szCs w:val="20"/>
                <w:lang w:eastAsia="es-MX"/>
              </w:rPr>
            </w:pPr>
            <w:r>
              <w:rPr>
                <w:rFonts w:eastAsia="Times New Roman" w:cstheme="minorHAnsi"/>
                <w:color w:val="000000"/>
                <w:sz w:val="20"/>
                <w:szCs w:val="20"/>
                <w:lang w:eastAsia="es-MX"/>
              </w:rPr>
              <w:t>Sí</w:t>
            </w:r>
          </w:p>
        </w:tc>
      </w:tr>
      <w:tr w:rsidR="00EB1844" w:rsidRPr="00D71ED3" w14:paraId="3533A422" w14:textId="77777777" w:rsidTr="005E1463">
        <w:trPr>
          <w:trHeight w:val="48"/>
        </w:trPr>
        <w:tc>
          <w:tcPr>
            <w:tcW w:w="1784" w:type="pct"/>
            <w:shd w:val="clear" w:color="000000" w:fill="9CC2E5"/>
            <w:vAlign w:val="center"/>
            <w:hideMark/>
          </w:tcPr>
          <w:p w14:paraId="017A03DB" w14:textId="77777777" w:rsidR="00EB1844" w:rsidRPr="00D71ED3" w:rsidRDefault="00EB1844" w:rsidP="00927B4B">
            <w:pPr>
              <w:spacing w:before="0" w:after="0"/>
              <w:rPr>
                <w:rFonts w:eastAsia="Times New Roman" w:cstheme="minorHAnsi"/>
                <w:b/>
                <w:bCs/>
                <w:color w:val="000000"/>
                <w:sz w:val="20"/>
                <w:szCs w:val="20"/>
                <w:lang w:eastAsia="es-MX"/>
              </w:rPr>
            </w:pPr>
            <w:r w:rsidRPr="00D71ED3">
              <w:rPr>
                <w:rFonts w:eastAsia="Times New Roman" w:cstheme="minorHAnsi"/>
                <w:b/>
                <w:bCs/>
                <w:color w:val="000000"/>
                <w:sz w:val="20"/>
                <w:szCs w:val="20"/>
                <w:lang w:eastAsia="es-MX"/>
              </w:rPr>
              <w:lastRenderedPageBreak/>
              <w:t>Argumentación</w:t>
            </w:r>
          </w:p>
        </w:tc>
        <w:tc>
          <w:tcPr>
            <w:tcW w:w="3216" w:type="pct"/>
            <w:shd w:val="clear" w:color="auto" w:fill="auto"/>
            <w:vAlign w:val="center"/>
            <w:hideMark/>
          </w:tcPr>
          <w:p w14:paraId="40F29464" w14:textId="338BCBEA" w:rsidR="00EB1844" w:rsidRPr="00D71ED3" w:rsidRDefault="00EB1844" w:rsidP="00927B4B">
            <w:pPr>
              <w:spacing w:before="0" w:after="0"/>
              <w:rPr>
                <w:rFonts w:eastAsia="Times New Roman" w:cstheme="minorHAnsi"/>
                <w:color w:val="000000"/>
                <w:sz w:val="20"/>
                <w:szCs w:val="20"/>
                <w:lang w:eastAsia="es-MX"/>
              </w:rPr>
            </w:pPr>
            <w:r w:rsidRPr="00D71ED3">
              <w:rPr>
                <w:rFonts w:eastAsia="Times New Roman" w:cstheme="minorHAnsi"/>
                <w:color w:val="000000"/>
                <w:sz w:val="20"/>
                <w:szCs w:val="20"/>
                <w:lang w:eastAsia="es-MX"/>
              </w:rPr>
              <w:t xml:space="preserve">Los recursos de este Fondo pueden orientarse </w:t>
            </w:r>
            <w:r w:rsidR="002613FB">
              <w:rPr>
                <w:rFonts w:eastAsia="Times New Roman" w:cstheme="minorHAnsi"/>
                <w:color w:val="000000"/>
                <w:sz w:val="20"/>
                <w:szCs w:val="20"/>
                <w:lang w:eastAsia="es-MX"/>
              </w:rPr>
              <w:t>a la m</w:t>
            </w:r>
            <w:r w:rsidR="002613FB" w:rsidRPr="005B5497">
              <w:rPr>
                <w:rFonts w:cstheme="minorHAnsi"/>
                <w:color w:val="000000" w:themeColor="text1"/>
                <w:sz w:val="20"/>
                <w:szCs w:val="20"/>
              </w:rPr>
              <w:t>oderniza</w:t>
            </w:r>
            <w:r w:rsidR="002613FB">
              <w:rPr>
                <w:rFonts w:cstheme="minorHAnsi"/>
                <w:color w:val="000000" w:themeColor="text1"/>
                <w:sz w:val="20"/>
                <w:szCs w:val="20"/>
              </w:rPr>
              <w:t>ción</w:t>
            </w:r>
            <w:r w:rsidR="002613FB" w:rsidRPr="005B5497">
              <w:rPr>
                <w:rFonts w:cstheme="minorHAnsi"/>
                <w:color w:val="000000" w:themeColor="text1"/>
                <w:sz w:val="20"/>
                <w:szCs w:val="20"/>
              </w:rPr>
              <w:t xml:space="preserve"> mediante la sistematización, equipamiento y gestión del acervo documental en los distritos judiciales participantes, modernizar, actualizar y sistematizar el catastro estatal y los catastros municipales</w:t>
            </w:r>
            <w:r w:rsidR="002613FB">
              <w:rPr>
                <w:rFonts w:cstheme="minorHAnsi"/>
                <w:color w:val="000000" w:themeColor="text1"/>
                <w:sz w:val="20"/>
                <w:szCs w:val="20"/>
              </w:rPr>
              <w:t>.</w:t>
            </w:r>
          </w:p>
        </w:tc>
      </w:tr>
      <w:tr w:rsidR="00EB1844" w:rsidRPr="00D71ED3" w14:paraId="64CCCAAD" w14:textId="77777777" w:rsidTr="005E1463">
        <w:trPr>
          <w:trHeight w:val="243"/>
        </w:trPr>
        <w:tc>
          <w:tcPr>
            <w:tcW w:w="1784" w:type="pct"/>
            <w:shd w:val="clear" w:color="000000" w:fill="9CC2E5"/>
            <w:vAlign w:val="center"/>
            <w:hideMark/>
          </w:tcPr>
          <w:p w14:paraId="192C8F8F" w14:textId="77777777" w:rsidR="00EB1844" w:rsidRPr="00D71ED3" w:rsidRDefault="00EB1844" w:rsidP="00927B4B">
            <w:pPr>
              <w:spacing w:before="0" w:after="0"/>
              <w:rPr>
                <w:rFonts w:eastAsia="Times New Roman" w:cstheme="minorHAnsi"/>
                <w:b/>
                <w:bCs/>
                <w:color w:val="000000"/>
                <w:sz w:val="20"/>
                <w:szCs w:val="20"/>
                <w:lang w:eastAsia="es-MX"/>
              </w:rPr>
            </w:pPr>
            <w:r w:rsidRPr="00D71ED3">
              <w:rPr>
                <w:rFonts w:eastAsia="Times New Roman" w:cstheme="minorHAnsi"/>
                <w:b/>
                <w:bCs/>
                <w:color w:val="000000"/>
                <w:sz w:val="20"/>
                <w:szCs w:val="20"/>
                <w:lang w:eastAsia="es-MX"/>
              </w:rPr>
              <w:t>Recomendación</w:t>
            </w:r>
          </w:p>
        </w:tc>
        <w:tc>
          <w:tcPr>
            <w:tcW w:w="3216" w:type="pct"/>
            <w:shd w:val="clear" w:color="auto" w:fill="auto"/>
            <w:vAlign w:val="center"/>
            <w:hideMark/>
          </w:tcPr>
          <w:p w14:paraId="5D8C274E" w14:textId="77777777" w:rsidR="00EB1844" w:rsidRPr="00D71ED3" w:rsidRDefault="00EB1844" w:rsidP="00927B4B">
            <w:pPr>
              <w:spacing w:before="0" w:after="0"/>
              <w:rPr>
                <w:rFonts w:eastAsia="Times New Roman" w:cstheme="minorHAnsi"/>
                <w:color w:val="000000"/>
                <w:sz w:val="20"/>
                <w:szCs w:val="20"/>
                <w:lang w:eastAsia="es-MX"/>
              </w:rPr>
            </w:pPr>
            <w:r w:rsidRPr="00333C14">
              <w:rPr>
                <w:rFonts w:eastAsia="Times New Roman" w:cstheme="minorHAnsi"/>
                <w:color w:val="000000"/>
                <w:sz w:val="20"/>
                <w:szCs w:val="20"/>
                <w:lang w:eastAsia="es-MX"/>
              </w:rPr>
              <w:t>Sin recomendación</w:t>
            </w:r>
          </w:p>
        </w:tc>
      </w:tr>
    </w:tbl>
    <w:p w14:paraId="1F884BE8" w14:textId="1A2C093A" w:rsidR="00EB1844" w:rsidRPr="005E1463" w:rsidRDefault="00EB1844" w:rsidP="00EB1844">
      <w:pPr>
        <w:rPr>
          <w:sz w:val="2"/>
          <w:szCs w:val="2"/>
        </w:rPr>
      </w:pPr>
    </w:p>
    <w:tbl>
      <w:tblPr>
        <w:tblW w:w="4980" w:type="pct"/>
        <w:tblInd w:w="-5" w:type="dxa"/>
        <w:tblCellMar>
          <w:left w:w="70" w:type="dxa"/>
          <w:right w:w="70" w:type="dxa"/>
        </w:tblCellMar>
        <w:tblLook w:val="04A0" w:firstRow="1" w:lastRow="0" w:firstColumn="1" w:lastColumn="0" w:noHBand="0" w:noVBand="1"/>
      </w:tblPr>
      <w:tblGrid>
        <w:gridCol w:w="4820"/>
        <w:gridCol w:w="8688"/>
      </w:tblGrid>
      <w:tr w:rsidR="00BA1EFB" w:rsidRPr="005E1463" w14:paraId="50ACB4A8" w14:textId="77777777" w:rsidTr="005E1463">
        <w:trPr>
          <w:trHeight w:val="70"/>
        </w:trPr>
        <w:tc>
          <w:tcPr>
            <w:tcW w:w="1784" w:type="pct"/>
            <w:tcBorders>
              <w:top w:val="single" w:sz="4" w:space="0" w:color="auto"/>
              <w:left w:val="single" w:sz="4" w:space="0" w:color="auto"/>
              <w:bottom w:val="single" w:sz="4" w:space="0" w:color="auto"/>
              <w:right w:val="single" w:sz="4" w:space="0" w:color="auto"/>
            </w:tcBorders>
            <w:shd w:val="clear" w:color="000000" w:fill="9CC2E5"/>
            <w:vAlign w:val="center"/>
            <w:hideMark/>
          </w:tcPr>
          <w:p w14:paraId="74DF51AD" w14:textId="77777777" w:rsidR="00BA1EFB" w:rsidRPr="00CD7AFF" w:rsidRDefault="00BA1EFB" w:rsidP="00E67E43">
            <w:pPr>
              <w:spacing w:before="0" w:after="0"/>
              <w:rPr>
                <w:rFonts w:eastAsia="Times New Roman" w:cstheme="minorHAnsi"/>
                <w:b/>
                <w:bCs/>
                <w:color w:val="000000"/>
                <w:sz w:val="20"/>
                <w:szCs w:val="20"/>
                <w:lang w:eastAsia="es-MX"/>
              </w:rPr>
            </w:pPr>
            <w:r w:rsidRPr="00CD7AFF">
              <w:rPr>
                <w:rFonts w:eastAsia="Times New Roman" w:cstheme="minorHAnsi"/>
                <w:b/>
                <w:bCs/>
                <w:color w:val="000000"/>
                <w:sz w:val="20"/>
                <w:szCs w:val="20"/>
                <w:lang w:eastAsia="es-MX"/>
              </w:rPr>
              <w:t>Nombre de las políticas, programas o proyectos locales</w:t>
            </w:r>
          </w:p>
        </w:tc>
        <w:tc>
          <w:tcPr>
            <w:tcW w:w="3216" w:type="pct"/>
            <w:tcBorders>
              <w:top w:val="single" w:sz="4" w:space="0" w:color="auto"/>
              <w:left w:val="nil"/>
              <w:bottom w:val="single" w:sz="4" w:space="0" w:color="auto"/>
              <w:right w:val="single" w:sz="4" w:space="0" w:color="auto"/>
            </w:tcBorders>
            <w:shd w:val="clear" w:color="auto" w:fill="auto"/>
            <w:vAlign w:val="center"/>
            <w:hideMark/>
          </w:tcPr>
          <w:p w14:paraId="364D5B1A" w14:textId="2ECEAB4E" w:rsidR="00BA1EFB" w:rsidRPr="00CD7AFF" w:rsidRDefault="00BA1EFB" w:rsidP="00E67E43">
            <w:pPr>
              <w:spacing w:before="0" w:after="0"/>
              <w:rPr>
                <w:rFonts w:eastAsia="Times New Roman" w:cstheme="minorHAnsi"/>
                <w:color w:val="000000"/>
                <w:sz w:val="20"/>
                <w:szCs w:val="20"/>
                <w:lang w:eastAsia="es-MX"/>
              </w:rPr>
            </w:pPr>
            <w:r w:rsidRPr="00CD7AFF">
              <w:rPr>
                <w:rFonts w:eastAsia="Times New Roman" w:cs="Arial"/>
                <w:color w:val="000000"/>
                <w:sz w:val="20"/>
                <w:szCs w:val="20"/>
                <w:lang w:eastAsia="es-MX"/>
              </w:rPr>
              <w:t>Infraestructura de Comunicaciones</w:t>
            </w:r>
          </w:p>
        </w:tc>
      </w:tr>
      <w:tr w:rsidR="00BA1EFB" w:rsidRPr="005E1463" w14:paraId="74EE25AD" w14:textId="77777777" w:rsidTr="005E1463">
        <w:trPr>
          <w:trHeight w:val="243"/>
        </w:trPr>
        <w:tc>
          <w:tcPr>
            <w:tcW w:w="1784" w:type="pct"/>
            <w:tcBorders>
              <w:top w:val="nil"/>
              <w:left w:val="single" w:sz="4" w:space="0" w:color="auto"/>
              <w:bottom w:val="single" w:sz="4" w:space="0" w:color="auto"/>
              <w:right w:val="single" w:sz="4" w:space="0" w:color="auto"/>
            </w:tcBorders>
            <w:shd w:val="clear" w:color="000000" w:fill="9CC2E5"/>
            <w:vAlign w:val="center"/>
            <w:hideMark/>
          </w:tcPr>
          <w:p w14:paraId="0C9B846D" w14:textId="77777777" w:rsidR="00BA1EFB" w:rsidRPr="00CD7AFF" w:rsidRDefault="00BA1EFB" w:rsidP="00E67E43">
            <w:pPr>
              <w:spacing w:before="0" w:after="0"/>
              <w:rPr>
                <w:rFonts w:eastAsia="Times New Roman" w:cstheme="minorHAnsi"/>
                <w:b/>
                <w:bCs/>
                <w:color w:val="000000"/>
                <w:sz w:val="20"/>
                <w:szCs w:val="20"/>
                <w:lang w:eastAsia="es-MX"/>
              </w:rPr>
            </w:pPr>
            <w:r w:rsidRPr="00CD7AFF">
              <w:rPr>
                <w:rFonts w:eastAsia="Times New Roman" w:cstheme="minorHAnsi"/>
                <w:b/>
                <w:bCs/>
                <w:color w:val="000000"/>
                <w:sz w:val="20"/>
                <w:szCs w:val="20"/>
                <w:lang w:eastAsia="es-MX"/>
              </w:rPr>
              <w:t xml:space="preserve">Modalidad y Clave </w:t>
            </w:r>
          </w:p>
        </w:tc>
        <w:tc>
          <w:tcPr>
            <w:tcW w:w="3216" w:type="pct"/>
            <w:tcBorders>
              <w:top w:val="nil"/>
              <w:left w:val="nil"/>
              <w:bottom w:val="single" w:sz="4" w:space="0" w:color="auto"/>
              <w:right w:val="single" w:sz="4" w:space="0" w:color="auto"/>
            </w:tcBorders>
            <w:shd w:val="clear" w:color="auto" w:fill="auto"/>
            <w:vAlign w:val="center"/>
            <w:hideMark/>
          </w:tcPr>
          <w:p w14:paraId="4533F295" w14:textId="6228686F" w:rsidR="00BA1EFB" w:rsidRPr="00CD7AFF" w:rsidRDefault="00BA1EFB" w:rsidP="00E67E43">
            <w:pPr>
              <w:spacing w:before="0" w:after="0"/>
              <w:rPr>
                <w:rFonts w:eastAsia="Times New Roman" w:cstheme="minorHAnsi"/>
                <w:color w:val="000000"/>
                <w:sz w:val="20"/>
                <w:szCs w:val="20"/>
                <w:lang w:eastAsia="es-MX"/>
              </w:rPr>
            </w:pPr>
            <w:r w:rsidRPr="00CD7AFF">
              <w:rPr>
                <w:rFonts w:eastAsia="Times New Roman" w:cstheme="minorHAnsi"/>
                <w:color w:val="000000"/>
                <w:sz w:val="20"/>
                <w:szCs w:val="20"/>
                <w:lang w:eastAsia="es-MX"/>
              </w:rPr>
              <w:t>E01</w:t>
            </w:r>
          </w:p>
        </w:tc>
      </w:tr>
      <w:tr w:rsidR="00BA1EFB" w:rsidRPr="005E1463" w14:paraId="5E85A87F" w14:textId="77777777" w:rsidTr="005E1463">
        <w:trPr>
          <w:trHeight w:val="243"/>
        </w:trPr>
        <w:tc>
          <w:tcPr>
            <w:tcW w:w="1784" w:type="pct"/>
            <w:tcBorders>
              <w:top w:val="nil"/>
              <w:left w:val="single" w:sz="4" w:space="0" w:color="auto"/>
              <w:bottom w:val="single" w:sz="4" w:space="0" w:color="auto"/>
              <w:right w:val="single" w:sz="4" w:space="0" w:color="auto"/>
            </w:tcBorders>
            <w:shd w:val="clear" w:color="000000" w:fill="9CC2E5"/>
            <w:vAlign w:val="center"/>
            <w:hideMark/>
          </w:tcPr>
          <w:p w14:paraId="6F285F19" w14:textId="77777777" w:rsidR="00BA1EFB" w:rsidRPr="00CD7AFF" w:rsidRDefault="00BA1EFB" w:rsidP="00E67E43">
            <w:pPr>
              <w:spacing w:before="0" w:after="0"/>
              <w:rPr>
                <w:rFonts w:eastAsia="Times New Roman" w:cstheme="minorHAnsi"/>
                <w:b/>
                <w:bCs/>
                <w:color w:val="000000"/>
                <w:sz w:val="20"/>
                <w:szCs w:val="20"/>
                <w:lang w:eastAsia="es-MX"/>
              </w:rPr>
            </w:pPr>
            <w:r w:rsidRPr="00CD7AFF">
              <w:rPr>
                <w:rFonts w:eastAsia="Times New Roman" w:cstheme="minorHAnsi"/>
                <w:b/>
                <w:bCs/>
                <w:color w:val="000000"/>
                <w:sz w:val="20"/>
                <w:szCs w:val="20"/>
                <w:lang w:eastAsia="es-MX"/>
              </w:rPr>
              <w:t xml:space="preserve">Ramo </w:t>
            </w:r>
          </w:p>
        </w:tc>
        <w:tc>
          <w:tcPr>
            <w:tcW w:w="3216" w:type="pct"/>
            <w:tcBorders>
              <w:top w:val="nil"/>
              <w:left w:val="nil"/>
              <w:bottom w:val="single" w:sz="4" w:space="0" w:color="auto"/>
              <w:right w:val="single" w:sz="4" w:space="0" w:color="auto"/>
            </w:tcBorders>
            <w:shd w:val="clear" w:color="auto" w:fill="auto"/>
            <w:vAlign w:val="center"/>
            <w:hideMark/>
          </w:tcPr>
          <w:p w14:paraId="7AD528A8" w14:textId="71D367AF" w:rsidR="00BA1EFB" w:rsidRPr="00CD7AFF" w:rsidRDefault="00BA1EFB" w:rsidP="00E67E43">
            <w:pPr>
              <w:spacing w:before="0" w:after="0"/>
              <w:rPr>
                <w:rFonts w:eastAsia="Times New Roman" w:cstheme="minorHAnsi"/>
                <w:color w:val="000000"/>
                <w:sz w:val="20"/>
                <w:szCs w:val="20"/>
                <w:lang w:eastAsia="es-MX"/>
              </w:rPr>
            </w:pPr>
            <w:r w:rsidRPr="00CD7AFF">
              <w:rPr>
                <w:rFonts w:eastAsia="Times New Roman" w:cstheme="minorHAnsi"/>
                <w:color w:val="000000"/>
                <w:sz w:val="20"/>
                <w:szCs w:val="20"/>
                <w:lang w:eastAsia="es-MX"/>
              </w:rPr>
              <w:t>11-Obras públicas y ordenamiento territorial</w:t>
            </w:r>
          </w:p>
        </w:tc>
      </w:tr>
      <w:tr w:rsidR="00BA1EFB" w:rsidRPr="005E1463" w14:paraId="126DCD32" w14:textId="77777777" w:rsidTr="005E1463">
        <w:trPr>
          <w:trHeight w:val="48"/>
        </w:trPr>
        <w:tc>
          <w:tcPr>
            <w:tcW w:w="1784" w:type="pct"/>
            <w:tcBorders>
              <w:top w:val="nil"/>
              <w:left w:val="single" w:sz="4" w:space="0" w:color="auto"/>
              <w:bottom w:val="single" w:sz="4" w:space="0" w:color="auto"/>
              <w:right w:val="single" w:sz="4" w:space="0" w:color="auto"/>
            </w:tcBorders>
            <w:shd w:val="clear" w:color="000000" w:fill="9CC2E5"/>
            <w:vAlign w:val="center"/>
            <w:hideMark/>
          </w:tcPr>
          <w:p w14:paraId="489DE687" w14:textId="77777777" w:rsidR="00BA1EFB" w:rsidRPr="00CD7AFF" w:rsidRDefault="00BA1EFB" w:rsidP="00E67E43">
            <w:pPr>
              <w:spacing w:before="0" w:after="0"/>
              <w:rPr>
                <w:rFonts w:eastAsia="Times New Roman" w:cstheme="minorHAnsi"/>
                <w:b/>
                <w:bCs/>
                <w:color w:val="000000"/>
                <w:sz w:val="20"/>
                <w:szCs w:val="20"/>
                <w:lang w:eastAsia="es-MX"/>
              </w:rPr>
            </w:pPr>
            <w:r w:rsidRPr="00CD7AFF">
              <w:rPr>
                <w:rFonts w:eastAsia="Times New Roman" w:cstheme="minorHAnsi"/>
                <w:b/>
                <w:bCs/>
                <w:color w:val="000000"/>
                <w:sz w:val="20"/>
                <w:szCs w:val="20"/>
                <w:lang w:eastAsia="es-MX"/>
              </w:rPr>
              <w:t xml:space="preserve">Propósito </w:t>
            </w:r>
          </w:p>
        </w:tc>
        <w:tc>
          <w:tcPr>
            <w:tcW w:w="3216" w:type="pct"/>
            <w:tcBorders>
              <w:top w:val="nil"/>
              <w:left w:val="nil"/>
              <w:bottom w:val="single" w:sz="4" w:space="0" w:color="auto"/>
              <w:right w:val="single" w:sz="4" w:space="0" w:color="auto"/>
            </w:tcBorders>
            <w:shd w:val="clear" w:color="auto" w:fill="auto"/>
            <w:vAlign w:val="center"/>
          </w:tcPr>
          <w:p w14:paraId="6CA1B370" w14:textId="69EDB48B" w:rsidR="00BA1EFB" w:rsidRPr="00CD7AFF" w:rsidRDefault="00BA1EFB" w:rsidP="00E67E43">
            <w:pPr>
              <w:spacing w:before="0" w:after="0"/>
              <w:rPr>
                <w:rFonts w:eastAsia="Times New Roman" w:cstheme="minorHAnsi"/>
                <w:color w:val="000000"/>
                <w:sz w:val="20"/>
                <w:szCs w:val="20"/>
                <w:lang w:eastAsia="es-MX"/>
              </w:rPr>
            </w:pPr>
            <w:r w:rsidRPr="005E1463">
              <w:rPr>
                <w:sz w:val="20"/>
                <w:szCs w:val="20"/>
              </w:rPr>
              <w:t>Las 17 regiones del estado mejoran sus vías de comunicación.</w:t>
            </w:r>
          </w:p>
        </w:tc>
      </w:tr>
      <w:tr w:rsidR="00BA1EFB" w:rsidRPr="005E1463" w14:paraId="7D338DA4" w14:textId="77777777" w:rsidTr="005E1463">
        <w:trPr>
          <w:trHeight w:val="243"/>
        </w:trPr>
        <w:tc>
          <w:tcPr>
            <w:tcW w:w="1784" w:type="pct"/>
            <w:tcBorders>
              <w:top w:val="nil"/>
              <w:left w:val="single" w:sz="4" w:space="0" w:color="auto"/>
              <w:bottom w:val="single" w:sz="4" w:space="0" w:color="auto"/>
              <w:right w:val="single" w:sz="4" w:space="0" w:color="auto"/>
            </w:tcBorders>
            <w:shd w:val="clear" w:color="000000" w:fill="9CC2E5"/>
            <w:vAlign w:val="center"/>
            <w:hideMark/>
          </w:tcPr>
          <w:p w14:paraId="1965B43C" w14:textId="77777777" w:rsidR="00BA1EFB" w:rsidRPr="00CD7AFF" w:rsidRDefault="00BA1EFB" w:rsidP="00E67E43">
            <w:pPr>
              <w:spacing w:before="0" w:after="0"/>
              <w:rPr>
                <w:rFonts w:eastAsia="Times New Roman" w:cstheme="minorHAnsi"/>
                <w:b/>
                <w:bCs/>
                <w:color w:val="000000"/>
                <w:sz w:val="20"/>
                <w:szCs w:val="20"/>
                <w:lang w:eastAsia="es-MX"/>
              </w:rPr>
            </w:pPr>
            <w:r w:rsidRPr="00CD7AFF">
              <w:rPr>
                <w:rFonts w:eastAsia="Times New Roman" w:cstheme="minorHAnsi"/>
                <w:b/>
                <w:bCs/>
                <w:color w:val="000000"/>
                <w:sz w:val="20"/>
                <w:szCs w:val="20"/>
                <w:lang w:eastAsia="es-MX"/>
              </w:rPr>
              <w:t xml:space="preserve">Población o área de enfoque objetivo </w:t>
            </w:r>
          </w:p>
        </w:tc>
        <w:tc>
          <w:tcPr>
            <w:tcW w:w="3216" w:type="pct"/>
            <w:tcBorders>
              <w:top w:val="nil"/>
              <w:left w:val="nil"/>
              <w:bottom w:val="single" w:sz="4" w:space="0" w:color="auto"/>
              <w:right w:val="single" w:sz="4" w:space="0" w:color="auto"/>
            </w:tcBorders>
            <w:shd w:val="clear" w:color="auto" w:fill="auto"/>
            <w:vAlign w:val="center"/>
            <w:hideMark/>
          </w:tcPr>
          <w:p w14:paraId="6DC016B2" w14:textId="7CDA4B66" w:rsidR="00BA1EFB" w:rsidRPr="00CD7AFF" w:rsidRDefault="00BA1EFB" w:rsidP="00E67E43">
            <w:pPr>
              <w:spacing w:before="0" w:after="0"/>
              <w:rPr>
                <w:rFonts w:eastAsia="Times New Roman" w:cstheme="minorHAnsi"/>
                <w:color w:val="000000"/>
                <w:sz w:val="20"/>
                <w:szCs w:val="20"/>
                <w:lang w:eastAsia="es-MX"/>
              </w:rPr>
            </w:pPr>
            <w:r w:rsidRPr="00CD7AFF">
              <w:rPr>
                <w:rFonts w:eastAsia="Times New Roman" w:cstheme="minorHAnsi"/>
                <w:color w:val="000000"/>
                <w:sz w:val="20"/>
                <w:szCs w:val="20"/>
                <w:lang w:eastAsia="es-MX"/>
              </w:rPr>
              <w:t xml:space="preserve">Población total de la </w:t>
            </w:r>
            <w:r w:rsidR="007E4A81" w:rsidRPr="00CD7AFF">
              <w:rPr>
                <w:rFonts w:eastAsia="Times New Roman" w:cstheme="minorHAnsi"/>
                <w:color w:val="000000"/>
                <w:sz w:val="20"/>
                <w:szCs w:val="20"/>
                <w:lang w:eastAsia="es-MX"/>
              </w:rPr>
              <w:t>e</w:t>
            </w:r>
            <w:r w:rsidRPr="00CD7AFF">
              <w:rPr>
                <w:rFonts w:eastAsia="Times New Roman" w:cstheme="minorHAnsi"/>
                <w:color w:val="000000"/>
                <w:sz w:val="20"/>
                <w:szCs w:val="20"/>
                <w:lang w:eastAsia="es-MX"/>
              </w:rPr>
              <w:t>ntidad</w:t>
            </w:r>
            <w:r w:rsidR="007E4A81" w:rsidRPr="00CD7AFF">
              <w:rPr>
                <w:rFonts w:eastAsia="Times New Roman" w:cstheme="minorHAnsi"/>
                <w:color w:val="000000"/>
                <w:sz w:val="20"/>
                <w:szCs w:val="20"/>
                <w:lang w:eastAsia="es-MX"/>
              </w:rPr>
              <w:t xml:space="preserve"> federativa</w:t>
            </w:r>
          </w:p>
        </w:tc>
      </w:tr>
      <w:tr w:rsidR="00BA1EFB" w:rsidRPr="005E1463" w14:paraId="4AAE1C9E" w14:textId="77777777" w:rsidTr="005E1463">
        <w:trPr>
          <w:trHeight w:val="48"/>
        </w:trPr>
        <w:tc>
          <w:tcPr>
            <w:tcW w:w="1784" w:type="pct"/>
            <w:tcBorders>
              <w:top w:val="nil"/>
              <w:left w:val="single" w:sz="4" w:space="0" w:color="auto"/>
              <w:bottom w:val="single" w:sz="4" w:space="0" w:color="auto"/>
              <w:right w:val="single" w:sz="4" w:space="0" w:color="auto"/>
            </w:tcBorders>
            <w:shd w:val="clear" w:color="000000" w:fill="9CC2E5"/>
            <w:vAlign w:val="center"/>
            <w:hideMark/>
          </w:tcPr>
          <w:p w14:paraId="3DCDCAD5" w14:textId="77777777" w:rsidR="00BA1EFB" w:rsidRPr="00CD7AFF" w:rsidRDefault="00BA1EFB" w:rsidP="00E67E43">
            <w:pPr>
              <w:spacing w:before="0" w:after="0"/>
              <w:rPr>
                <w:rFonts w:eastAsia="Times New Roman" w:cstheme="minorHAnsi"/>
                <w:b/>
                <w:bCs/>
                <w:color w:val="000000"/>
                <w:sz w:val="20"/>
                <w:szCs w:val="20"/>
                <w:lang w:eastAsia="es-MX"/>
              </w:rPr>
            </w:pPr>
            <w:r w:rsidRPr="00CD7AFF">
              <w:rPr>
                <w:rFonts w:eastAsia="Times New Roman" w:cstheme="minorHAnsi"/>
                <w:b/>
                <w:bCs/>
                <w:color w:val="000000"/>
                <w:sz w:val="20"/>
                <w:szCs w:val="20"/>
                <w:lang w:eastAsia="es-MX"/>
              </w:rPr>
              <w:t xml:space="preserve">Tipos de Componentes que entrega a sus destinatarios </w:t>
            </w:r>
          </w:p>
        </w:tc>
        <w:tc>
          <w:tcPr>
            <w:tcW w:w="3216" w:type="pct"/>
            <w:tcBorders>
              <w:top w:val="nil"/>
              <w:left w:val="nil"/>
              <w:bottom w:val="single" w:sz="4" w:space="0" w:color="auto"/>
              <w:right w:val="single" w:sz="4" w:space="0" w:color="auto"/>
            </w:tcBorders>
            <w:shd w:val="clear" w:color="auto" w:fill="auto"/>
            <w:vAlign w:val="center"/>
            <w:hideMark/>
          </w:tcPr>
          <w:p w14:paraId="1AEB29C5" w14:textId="1F952F1A" w:rsidR="00BA1EFB" w:rsidRPr="00CD7AFF" w:rsidRDefault="00BA1EFB" w:rsidP="00E67E43">
            <w:pPr>
              <w:spacing w:before="0" w:after="0"/>
              <w:rPr>
                <w:rFonts w:eastAsia="Times New Roman" w:cstheme="minorHAnsi"/>
                <w:color w:val="000000"/>
                <w:sz w:val="20"/>
                <w:szCs w:val="20"/>
                <w:lang w:eastAsia="es-MX"/>
              </w:rPr>
            </w:pPr>
            <w:r w:rsidRPr="00CD7AFF">
              <w:rPr>
                <w:rFonts w:eastAsia="Times New Roman" w:cstheme="minorHAnsi"/>
                <w:color w:val="000000"/>
                <w:sz w:val="20"/>
                <w:szCs w:val="20"/>
                <w:lang w:eastAsia="es-MX"/>
              </w:rPr>
              <w:t>Construcción, ampliación, modernización y mantenimiento de infraestructura de comunicaciones y transportes, tales como carreteras, vialidades urbanas, caminos rurales y cosecheros, así como apoyos para preparación de terrenos a campesinos del Estado.</w:t>
            </w:r>
          </w:p>
        </w:tc>
      </w:tr>
      <w:tr w:rsidR="00BA1EFB" w:rsidRPr="005E1463" w14:paraId="5B7375F6" w14:textId="77777777" w:rsidTr="005E1463">
        <w:trPr>
          <w:trHeight w:val="243"/>
        </w:trPr>
        <w:tc>
          <w:tcPr>
            <w:tcW w:w="1784" w:type="pct"/>
            <w:tcBorders>
              <w:top w:val="nil"/>
              <w:left w:val="single" w:sz="4" w:space="0" w:color="auto"/>
              <w:bottom w:val="single" w:sz="4" w:space="0" w:color="auto"/>
              <w:right w:val="single" w:sz="4" w:space="0" w:color="auto"/>
            </w:tcBorders>
            <w:shd w:val="clear" w:color="000000" w:fill="9CC2E5"/>
            <w:vAlign w:val="center"/>
            <w:hideMark/>
          </w:tcPr>
          <w:p w14:paraId="148CC021" w14:textId="77777777" w:rsidR="00BA1EFB" w:rsidRPr="00CD7AFF" w:rsidRDefault="00BA1EFB" w:rsidP="00E67E43">
            <w:pPr>
              <w:spacing w:before="0" w:after="0"/>
              <w:rPr>
                <w:rFonts w:eastAsia="Times New Roman" w:cstheme="minorHAnsi"/>
                <w:b/>
                <w:bCs/>
                <w:color w:val="000000"/>
                <w:sz w:val="20"/>
                <w:szCs w:val="20"/>
                <w:lang w:eastAsia="es-MX"/>
              </w:rPr>
            </w:pPr>
            <w:r w:rsidRPr="00CD7AFF">
              <w:rPr>
                <w:rFonts w:eastAsia="Times New Roman" w:cstheme="minorHAnsi"/>
                <w:b/>
                <w:bCs/>
                <w:color w:val="000000"/>
                <w:sz w:val="20"/>
                <w:szCs w:val="20"/>
                <w:lang w:eastAsia="es-MX"/>
              </w:rPr>
              <w:t xml:space="preserve">Cobertura Geográfica </w:t>
            </w:r>
          </w:p>
        </w:tc>
        <w:tc>
          <w:tcPr>
            <w:tcW w:w="3216" w:type="pct"/>
            <w:tcBorders>
              <w:top w:val="nil"/>
              <w:left w:val="nil"/>
              <w:bottom w:val="single" w:sz="4" w:space="0" w:color="auto"/>
              <w:right w:val="single" w:sz="4" w:space="0" w:color="auto"/>
            </w:tcBorders>
            <w:shd w:val="clear" w:color="auto" w:fill="auto"/>
            <w:vAlign w:val="center"/>
            <w:hideMark/>
          </w:tcPr>
          <w:p w14:paraId="76B36696" w14:textId="77777777" w:rsidR="00BA1EFB" w:rsidRPr="00CD7AFF" w:rsidRDefault="00BA1EFB" w:rsidP="00E67E43">
            <w:pPr>
              <w:spacing w:before="0" w:after="0"/>
              <w:rPr>
                <w:rFonts w:eastAsia="Times New Roman" w:cstheme="minorHAnsi"/>
                <w:color w:val="000000"/>
                <w:sz w:val="20"/>
                <w:szCs w:val="20"/>
                <w:lang w:eastAsia="es-MX"/>
              </w:rPr>
            </w:pPr>
            <w:r w:rsidRPr="00CD7AFF">
              <w:rPr>
                <w:rFonts w:eastAsia="Times New Roman" w:cstheme="minorHAnsi"/>
                <w:color w:val="000000"/>
                <w:sz w:val="20"/>
                <w:szCs w:val="20"/>
                <w:lang w:eastAsia="es-MX"/>
              </w:rPr>
              <w:t>Estatal</w:t>
            </w:r>
          </w:p>
        </w:tc>
      </w:tr>
      <w:tr w:rsidR="00BA1EFB" w:rsidRPr="005E1463" w14:paraId="1AB00E47" w14:textId="77777777" w:rsidTr="005E1463">
        <w:trPr>
          <w:trHeight w:val="243"/>
        </w:trPr>
        <w:tc>
          <w:tcPr>
            <w:tcW w:w="1784" w:type="pct"/>
            <w:tcBorders>
              <w:top w:val="nil"/>
              <w:left w:val="single" w:sz="4" w:space="0" w:color="auto"/>
              <w:bottom w:val="single" w:sz="4" w:space="0" w:color="auto"/>
              <w:right w:val="single" w:sz="4" w:space="0" w:color="auto"/>
            </w:tcBorders>
            <w:shd w:val="clear" w:color="000000" w:fill="9CC2E5"/>
            <w:vAlign w:val="center"/>
            <w:hideMark/>
          </w:tcPr>
          <w:p w14:paraId="778146BD" w14:textId="77777777" w:rsidR="00BA1EFB" w:rsidRPr="00CD7AFF" w:rsidRDefault="00BA1EFB" w:rsidP="00E67E43">
            <w:pPr>
              <w:spacing w:before="0" w:after="0"/>
              <w:rPr>
                <w:rFonts w:eastAsia="Times New Roman" w:cstheme="minorHAnsi"/>
                <w:b/>
                <w:bCs/>
                <w:color w:val="000000"/>
                <w:sz w:val="20"/>
                <w:szCs w:val="20"/>
                <w:lang w:eastAsia="es-MX"/>
              </w:rPr>
            </w:pPr>
            <w:r w:rsidRPr="00CD7AFF">
              <w:rPr>
                <w:rFonts w:eastAsia="Times New Roman" w:cstheme="minorHAnsi"/>
                <w:b/>
                <w:bCs/>
                <w:color w:val="000000"/>
                <w:sz w:val="20"/>
                <w:szCs w:val="20"/>
                <w:lang w:eastAsia="es-MX"/>
              </w:rPr>
              <w:t xml:space="preserve">Fuentes de Información </w:t>
            </w:r>
          </w:p>
        </w:tc>
        <w:tc>
          <w:tcPr>
            <w:tcW w:w="3216" w:type="pct"/>
            <w:tcBorders>
              <w:top w:val="nil"/>
              <w:left w:val="nil"/>
              <w:bottom w:val="single" w:sz="4" w:space="0" w:color="auto"/>
              <w:right w:val="single" w:sz="4" w:space="0" w:color="auto"/>
            </w:tcBorders>
            <w:shd w:val="clear" w:color="auto" w:fill="auto"/>
            <w:vAlign w:val="center"/>
            <w:hideMark/>
          </w:tcPr>
          <w:p w14:paraId="3583C1D6" w14:textId="77777777" w:rsidR="00BA1EFB" w:rsidRPr="00CD7AFF" w:rsidRDefault="00BA1EFB" w:rsidP="00E67E43">
            <w:pPr>
              <w:spacing w:before="0" w:after="0"/>
              <w:rPr>
                <w:rFonts w:eastAsia="Times New Roman" w:cstheme="minorHAnsi"/>
                <w:color w:val="000000"/>
                <w:sz w:val="20"/>
                <w:szCs w:val="20"/>
                <w:lang w:eastAsia="es-MX"/>
              </w:rPr>
            </w:pPr>
            <w:r w:rsidRPr="00CD7AFF">
              <w:rPr>
                <w:rFonts w:eastAsia="Times New Roman" w:cstheme="minorHAnsi"/>
                <w:color w:val="000000"/>
                <w:sz w:val="20"/>
                <w:szCs w:val="20"/>
                <w:lang w:eastAsia="es-MX"/>
              </w:rPr>
              <w:t>MIR de los Pp de la estructura programática estatal</w:t>
            </w:r>
          </w:p>
        </w:tc>
      </w:tr>
      <w:tr w:rsidR="00BA1EFB" w:rsidRPr="005E1463" w14:paraId="6BC89DFE" w14:textId="77777777" w:rsidTr="005E1463">
        <w:trPr>
          <w:trHeight w:val="243"/>
        </w:trPr>
        <w:tc>
          <w:tcPr>
            <w:tcW w:w="1784" w:type="pct"/>
            <w:tcBorders>
              <w:top w:val="nil"/>
              <w:left w:val="single" w:sz="4" w:space="0" w:color="auto"/>
              <w:bottom w:val="single" w:sz="4" w:space="0" w:color="auto"/>
              <w:right w:val="single" w:sz="4" w:space="0" w:color="auto"/>
            </w:tcBorders>
            <w:shd w:val="clear" w:color="000000" w:fill="9CC2E5"/>
            <w:vAlign w:val="center"/>
            <w:hideMark/>
          </w:tcPr>
          <w:p w14:paraId="6F2083F8" w14:textId="77777777" w:rsidR="00BA1EFB" w:rsidRPr="00CD7AFF" w:rsidRDefault="00BA1EFB" w:rsidP="00E67E43">
            <w:pPr>
              <w:spacing w:before="0" w:after="0"/>
              <w:rPr>
                <w:rFonts w:eastAsia="Times New Roman" w:cstheme="minorHAnsi"/>
                <w:b/>
                <w:bCs/>
                <w:color w:val="000000"/>
                <w:sz w:val="20"/>
                <w:szCs w:val="20"/>
                <w:lang w:eastAsia="es-MX"/>
              </w:rPr>
            </w:pPr>
            <w:r w:rsidRPr="00CD7AFF">
              <w:rPr>
                <w:rFonts w:eastAsia="Times New Roman" w:cstheme="minorHAnsi"/>
                <w:b/>
                <w:bCs/>
                <w:color w:val="000000"/>
                <w:sz w:val="20"/>
                <w:szCs w:val="20"/>
                <w:lang w:eastAsia="es-MX"/>
              </w:rPr>
              <w:t xml:space="preserve">¿Es coincidente? </w:t>
            </w:r>
          </w:p>
        </w:tc>
        <w:tc>
          <w:tcPr>
            <w:tcW w:w="3216" w:type="pct"/>
            <w:tcBorders>
              <w:top w:val="nil"/>
              <w:left w:val="nil"/>
              <w:bottom w:val="single" w:sz="4" w:space="0" w:color="auto"/>
              <w:right w:val="single" w:sz="4" w:space="0" w:color="auto"/>
            </w:tcBorders>
            <w:shd w:val="clear" w:color="auto" w:fill="auto"/>
            <w:vAlign w:val="center"/>
            <w:hideMark/>
          </w:tcPr>
          <w:p w14:paraId="4D73BA8D" w14:textId="77777777" w:rsidR="00BA1EFB" w:rsidRPr="00CD7AFF" w:rsidRDefault="00BA1EFB" w:rsidP="00E67E43">
            <w:pPr>
              <w:spacing w:before="0" w:after="0"/>
              <w:rPr>
                <w:rFonts w:eastAsia="Times New Roman" w:cstheme="minorHAnsi"/>
                <w:color w:val="000000"/>
                <w:sz w:val="20"/>
                <w:szCs w:val="20"/>
                <w:lang w:eastAsia="es-MX"/>
              </w:rPr>
            </w:pPr>
            <w:r w:rsidRPr="00CD7AFF">
              <w:rPr>
                <w:rFonts w:eastAsia="Times New Roman" w:cstheme="minorHAnsi"/>
                <w:color w:val="000000"/>
                <w:sz w:val="20"/>
                <w:szCs w:val="20"/>
                <w:lang w:eastAsia="es-MX"/>
              </w:rPr>
              <w:t>No</w:t>
            </w:r>
          </w:p>
        </w:tc>
      </w:tr>
      <w:tr w:rsidR="00BA1EFB" w:rsidRPr="005E1463" w14:paraId="0CDB4ABE" w14:textId="77777777" w:rsidTr="005E1463">
        <w:trPr>
          <w:trHeight w:val="243"/>
        </w:trPr>
        <w:tc>
          <w:tcPr>
            <w:tcW w:w="1784" w:type="pct"/>
            <w:tcBorders>
              <w:top w:val="nil"/>
              <w:left w:val="single" w:sz="4" w:space="0" w:color="auto"/>
              <w:bottom w:val="single" w:sz="4" w:space="0" w:color="auto"/>
              <w:right w:val="single" w:sz="4" w:space="0" w:color="auto"/>
            </w:tcBorders>
            <w:shd w:val="clear" w:color="000000" w:fill="9CC2E5"/>
            <w:vAlign w:val="center"/>
            <w:hideMark/>
          </w:tcPr>
          <w:p w14:paraId="0A621343" w14:textId="77777777" w:rsidR="00BA1EFB" w:rsidRPr="00CD7AFF" w:rsidRDefault="00BA1EFB" w:rsidP="00E67E43">
            <w:pPr>
              <w:spacing w:before="0" w:after="0"/>
              <w:rPr>
                <w:rFonts w:eastAsia="Times New Roman" w:cstheme="minorHAnsi"/>
                <w:b/>
                <w:bCs/>
                <w:color w:val="000000"/>
                <w:sz w:val="20"/>
                <w:szCs w:val="20"/>
                <w:lang w:eastAsia="es-MX"/>
              </w:rPr>
            </w:pPr>
            <w:r w:rsidRPr="00CD7AFF">
              <w:rPr>
                <w:rFonts w:eastAsia="Times New Roman" w:cstheme="minorHAnsi"/>
                <w:b/>
                <w:bCs/>
                <w:color w:val="000000"/>
                <w:sz w:val="20"/>
                <w:szCs w:val="20"/>
                <w:lang w:eastAsia="es-MX"/>
              </w:rPr>
              <w:t xml:space="preserve">¿Se complementa? </w:t>
            </w:r>
          </w:p>
        </w:tc>
        <w:tc>
          <w:tcPr>
            <w:tcW w:w="3216" w:type="pct"/>
            <w:tcBorders>
              <w:top w:val="nil"/>
              <w:left w:val="nil"/>
              <w:bottom w:val="single" w:sz="4" w:space="0" w:color="auto"/>
              <w:right w:val="single" w:sz="4" w:space="0" w:color="auto"/>
            </w:tcBorders>
            <w:shd w:val="clear" w:color="auto" w:fill="auto"/>
            <w:vAlign w:val="center"/>
            <w:hideMark/>
          </w:tcPr>
          <w:p w14:paraId="6F8999B9" w14:textId="77777777" w:rsidR="00BA1EFB" w:rsidRPr="00CD7AFF" w:rsidRDefault="00BA1EFB" w:rsidP="00E67E43">
            <w:pPr>
              <w:spacing w:before="0" w:after="0"/>
              <w:rPr>
                <w:rFonts w:eastAsia="Times New Roman" w:cstheme="minorHAnsi"/>
                <w:color w:val="000000"/>
                <w:sz w:val="20"/>
                <w:szCs w:val="20"/>
                <w:lang w:eastAsia="es-MX"/>
              </w:rPr>
            </w:pPr>
            <w:r w:rsidRPr="00CD7AFF">
              <w:rPr>
                <w:rFonts w:eastAsia="Times New Roman" w:cstheme="minorHAnsi"/>
                <w:color w:val="000000"/>
                <w:sz w:val="20"/>
                <w:szCs w:val="20"/>
                <w:lang w:eastAsia="es-MX"/>
              </w:rPr>
              <w:t>Sí</w:t>
            </w:r>
          </w:p>
        </w:tc>
      </w:tr>
      <w:tr w:rsidR="00BA1EFB" w:rsidRPr="005E1463" w14:paraId="3334457F" w14:textId="77777777" w:rsidTr="005E1463">
        <w:trPr>
          <w:trHeight w:val="48"/>
        </w:trPr>
        <w:tc>
          <w:tcPr>
            <w:tcW w:w="1784" w:type="pct"/>
            <w:tcBorders>
              <w:top w:val="nil"/>
              <w:left w:val="single" w:sz="4" w:space="0" w:color="auto"/>
              <w:bottom w:val="single" w:sz="4" w:space="0" w:color="auto"/>
              <w:right w:val="single" w:sz="4" w:space="0" w:color="auto"/>
            </w:tcBorders>
            <w:shd w:val="clear" w:color="000000" w:fill="9CC2E5"/>
            <w:vAlign w:val="center"/>
            <w:hideMark/>
          </w:tcPr>
          <w:p w14:paraId="53CF0A4D" w14:textId="77777777" w:rsidR="00BA1EFB" w:rsidRPr="00CD7AFF" w:rsidRDefault="00BA1EFB" w:rsidP="00E67E43">
            <w:pPr>
              <w:spacing w:before="0" w:after="0"/>
              <w:rPr>
                <w:rFonts w:eastAsia="Times New Roman" w:cstheme="minorHAnsi"/>
                <w:b/>
                <w:bCs/>
                <w:color w:val="000000"/>
                <w:sz w:val="20"/>
                <w:szCs w:val="20"/>
                <w:lang w:eastAsia="es-MX"/>
              </w:rPr>
            </w:pPr>
            <w:r w:rsidRPr="00CD7AFF">
              <w:rPr>
                <w:rFonts w:eastAsia="Times New Roman" w:cstheme="minorHAnsi"/>
                <w:b/>
                <w:bCs/>
                <w:color w:val="000000"/>
                <w:sz w:val="20"/>
                <w:szCs w:val="20"/>
                <w:lang w:eastAsia="es-MX"/>
              </w:rPr>
              <w:t>Argumentación</w:t>
            </w:r>
          </w:p>
        </w:tc>
        <w:tc>
          <w:tcPr>
            <w:tcW w:w="3216" w:type="pct"/>
            <w:tcBorders>
              <w:top w:val="nil"/>
              <w:left w:val="nil"/>
              <w:bottom w:val="single" w:sz="4" w:space="0" w:color="auto"/>
              <w:right w:val="single" w:sz="4" w:space="0" w:color="auto"/>
            </w:tcBorders>
            <w:shd w:val="clear" w:color="auto" w:fill="auto"/>
            <w:vAlign w:val="center"/>
          </w:tcPr>
          <w:p w14:paraId="48CB1D6A" w14:textId="003953DB" w:rsidR="00BA1EFB" w:rsidRPr="00CD7AFF" w:rsidRDefault="00BA1EFB" w:rsidP="00E67E43">
            <w:pPr>
              <w:spacing w:before="0" w:after="0"/>
              <w:rPr>
                <w:rFonts w:eastAsia="Times New Roman" w:cstheme="minorHAnsi"/>
                <w:color w:val="000000"/>
                <w:sz w:val="20"/>
                <w:szCs w:val="20"/>
                <w:lang w:eastAsia="es-MX"/>
              </w:rPr>
            </w:pPr>
            <w:r w:rsidRPr="00CD7AFF">
              <w:rPr>
                <w:rFonts w:eastAsia="Times New Roman" w:cs="Arial"/>
                <w:color w:val="000000"/>
                <w:sz w:val="20"/>
                <w:szCs w:val="20"/>
                <w:lang w:eastAsia="es-MX"/>
              </w:rPr>
              <w:t>Los recursos del Fondo contribuyen con la construcción y mantenimiento de vías de comunicación transitables dentro de localidades, municipios y regiones del Estado de Hidalgo, para la movilidad segura de personas, bienes y mercancías.</w:t>
            </w:r>
          </w:p>
        </w:tc>
      </w:tr>
      <w:tr w:rsidR="00BA1EFB" w:rsidRPr="005E1463" w14:paraId="0753BED3" w14:textId="77777777" w:rsidTr="005E1463">
        <w:trPr>
          <w:trHeight w:val="243"/>
        </w:trPr>
        <w:tc>
          <w:tcPr>
            <w:tcW w:w="1784" w:type="pct"/>
            <w:tcBorders>
              <w:top w:val="nil"/>
              <w:left w:val="single" w:sz="4" w:space="0" w:color="auto"/>
              <w:bottom w:val="single" w:sz="4" w:space="0" w:color="auto"/>
              <w:right w:val="single" w:sz="4" w:space="0" w:color="auto"/>
            </w:tcBorders>
            <w:shd w:val="clear" w:color="000000" w:fill="9CC2E5"/>
            <w:vAlign w:val="center"/>
            <w:hideMark/>
          </w:tcPr>
          <w:p w14:paraId="775AF8BE" w14:textId="77777777" w:rsidR="00BA1EFB" w:rsidRPr="00CD7AFF" w:rsidRDefault="00BA1EFB" w:rsidP="00E67E43">
            <w:pPr>
              <w:spacing w:before="0" w:after="0"/>
              <w:rPr>
                <w:rFonts w:eastAsia="Times New Roman" w:cstheme="minorHAnsi"/>
                <w:b/>
                <w:bCs/>
                <w:color w:val="000000"/>
                <w:sz w:val="20"/>
                <w:szCs w:val="20"/>
                <w:lang w:eastAsia="es-MX"/>
              </w:rPr>
            </w:pPr>
            <w:r w:rsidRPr="00CD7AFF">
              <w:rPr>
                <w:rFonts w:eastAsia="Times New Roman" w:cstheme="minorHAnsi"/>
                <w:b/>
                <w:bCs/>
                <w:color w:val="000000"/>
                <w:sz w:val="20"/>
                <w:szCs w:val="20"/>
                <w:lang w:eastAsia="es-MX"/>
              </w:rPr>
              <w:t>Recomendación</w:t>
            </w:r>
          </w:p>
        </w:tc>
        <w:tc>
          <w:tcPr>
            <w:tcW w:w="3216" w:type="pct"/>
            <w:tcBorders>
              <w:top w:val="nil"/>
              <w:left w:val="nil"/>
              <w:bottom w:val="single" w:sz="4" w:space="0" w:color="auto"/>
              <w:right w:val="single" w:sz="4" w:space="0" w:color="auto"/>
            </w:tcBorders>
            <w:shd w:val="clear" w:color="auto" w:fill="auto"/>
            <w:vAlign w:val="center"/>
            <w:hideMark/>
          </w:tcPr>
          <w:p w14:paraId="78058888" w14:textId="77777777" w:rsidR="00BA1EFB" w:rsidRPr="00CD7AFF" w:rsidRDefault="00BA1EFB" w:rsidP="00E67E43">
            <w:pPr>
              <w:spacing w:before="0" w:after="0"/>
              <w:rPr>
                <w:rFonts w:eastAsia="Times New Roman" w:cstheme="minorHAnsi"/>
                <w:color w:val="000000"/>
                <w:sz w:val="20"/>
                <w:szCs w:val="20"/>
                <w:lang w:eastAsia="es-MX"/>
              </w:rPr>
            </w:pPr>
            <w:r w:rsidRPr="00CD7AFF">
              <w:rPr>
                <w:rFonts w:eastAsia="Times New Roman" w:cstheme="minorHAnsi"/>
                <w:color w:val="000000"/>
                <w:sz w:val="20"/>
                <w:szCs w:val="20"/>
                <w:lang w:eastAsia="es-MX"/>
              </w:rPr>
              <w:t>Sin recomendación</w:t>
            </w:r>
          </w:p>
        </w:tc>
      </w:tr>
    </w:tbl>
    <w:p w14:paraId="255D4688" w14:textId="23BA6D26" w:rsidR="00EB1844" w:rsidRDefault="00EB1844" w:rsidP="00EB1844">
      <w:pPr>
        <w:rPr>
          <w:sz w:val="8"/>
          <w:szCs w:val="8"/>
        </w:rPr>
      </w:pPr>
    </w:p>
    <w:tbl>
      <w:tblPr>
        <w:tblW w:w="4980" w:type="pct"/>
        <w:tblInd w:w="-5" w:type="dxa"/>
        <w:tblCellMar>
          <w:left w:w="70" w:type="dxa"/>
          <w:right w:w="70" w:type="dxa"/>
        </w:tblCellMar>
        <w:tblLook w:val="04A0" w:firstRow="1" w:lastRow="0" w:firstColumn="1" w:lastColumn="0" w:noHBand="0" w:noVBand="1"/>
      </w:tblPr>
      <w:tblGrid>
        <w:gridCol w:w="4820"/>
        <w:gridCol w:w="8688"/>
      </w:tblGrid>
      <w:tr w:rsidR="00BA1EFB" w:rsidRPr="005E1463" w14:paraId="7BB0EC0B" w14:textId="77777777" w:rsidTr="005E1463">
        <w:trPr>
          <w:trHeight w:val="198"/>
        </w:trPr>
        <w:tc>
          <w:tcPr>
            <w:tcW w:w="1784" w:type="pct"/>
            <w:tcBorders>
              <w:top w:val="single" w:sz="4" w:space="0" w:color="auto"/>
              <w:left w:val="single" w:sz="4" w:space="0" w:color="auto"/>
              <w:bottom w:val="single" w:sz="4" w:space="0" w:color="auto"/>
              <w:right w:val="single" w:sz="4" w:space="0" w:color="auto"/>
            </w:tcBorders>
            <w:shd w:val="clear" w:color="000000" w:fill="9CC2E5"/>
            <w:vAlign w:val="center"/>
            <w:hideMark/>
          </w:tcPr>
          <w:p w14:paraId="016CA37A" w14:textId="77777777" w:rsidR="00BA1EFB" w:rsidRPr="00CD7AFF" w:rsidRDefault="00BA1EFB" w:rsidP="00E67E43">
            <w:pPr>
              <w:spacing w:before="0" w:after="0"/>
              <w:rPr>
                <w:rFonts w:eastAsia="Times New Roman" w:cstheme="minorHAnsi"/>
                <w:b/>
                <w:bCs/>
                <w:color w:val="000000"/>
                <w:sz w:val="20"/>
                <w:szCs w:val="20"/>
                <w:lang w:eastAsia="es-MX"/>
              </w:rPr>
            </w:pPr>
            <w:r w:rsidRPr="00CD7AFF">
              <w:rPr>
                <w:rFonts w:eastAsia="Times New Roman" w:cstheme="minorHAnsi"/>
                <w:b/>
                <w:bCs/>
                <w:color w:val="000000"/>
                <w:sz w:val="20"/>
                <w:szCs w:val="20"/>
                <w:lang w:eastAsia="es-MX"/>
              </w:rPr>
              <w:t>Nombre de las políticas, programas o proyectos locales</w:t>
            </w:r>
          </w:p>
        </w:tc>
        <w:tc>
          <w:tcPr>
            <w:tcW w:w="3216" w:type="pct"/>
            <w:tcBorders>
              <w:top w:val="single" w:sz="4" w:space="0" w:color="auto"/>
              <w:left w:val="nil"/>
              <w:bottom w:val="single" w:sz="4" w:space="0" w:color="auto"/>
              <w:right w:val="single" w:sz="4" w:space="0" w:color="auto"/>
            </w:tcBorders>
            <w:shd w:val="clear" w:color="auto" w:fill="auto"/>
            <w:vAlign w:val="center"/>
            <w:hideMark/>
          </w:tcPr>
          <w:p w14:paraId="3FC82143" w14:textId="2CE7E622" w:rsidR="00BA1EFB" w:rsidRPr="00CD7AFF" w:rsidRDefault="00BF470D" w:rsidP="00E67E43">
            <w:pPr>
              <w:spacing w:before="0" w:after="0"/>
              <w:rPr>
                <w:rFonts w:eastAsia="Times New Roman" w:cstheme="minorHAnsi"/>
                <w:color w:val="000000"/>
                <w:sz w:val="20"/>
                <w:szCs w:val="20"/>
                <w:lang w:eastAsia="es-MX"/>
              </w:rPr>
            </w:pPr>
            <w:r w:rsidRPr="005E1463">
              <w:rPr>
                <w:sz w:val="20"/>
                <w:szCs w:val="20"/>
              </w:rPr>
              <w:t>Atención a Adultos Mayores</w:t>
            </w:r>
          </w:p>
        </w:tc>
      </w:tr>
      <w:tr w:rsidR="00BA1EFB" w:rsidRPr="005E1463" w14:paraId="77C6482B" w14:textId="77777777" w:rsidTr="005E1463">
        <w:trPr>
          <w:trHeight w:val="243"/>
        </w:trPr>
        <w:tc>
          <w:tcPr>
            <w:tcW w:w="1784" w:type="pct"/>
            <w:tcBorders>
              <w:top w:val="nil"/>
              <w:left w:val="single" w:sz="4" w:space="0" w:color="auto"/>
              <w:bottom w:val="single" w:sz="4" w:space="0" w:color="auto"/>
              <w:right w:val="single" w:sz="4" w:space="0" w:color="auto"/>
            </w:tcBorders>
            <w:shd w:val="clear" w:color="000000" w:fill="9CC2E5"/>
            <w:vAlign w:val="center"/>
            <w:hideMark/>
          </w:tcPr>
          <w:p w14:paraId="4D5C4C18" w14:textId="77777777" w:rsidR="00BA1EFB" w:rsidRPr="00CD7AFF" w:rsidRDefault="00BA1EFB" w:rsidP="00E67E43">
            <w:pPr>
              <w:spacing w:before="0" w:after="0"/>
              <w:rPr>
                <w:rFonts w:eastAsia="Times New Roman" w:cstheme="minorHAnsi"/>
                <w:b/>
                <w:bCs/>
                <w:color w:val="000000"/>
                <w:sz w:val="20"/>
                <w:szCs w:val="20"/>
                <w:lang w:eastAsia="es-MX"/>
              </w:rPr>
            </w:pPr>
            <w:r w:rsidRPr="00CD7AFF">
              <w:rPr>
                <w:rFonts w:eastAsia="Times New Roman" w:cstheme="minorHAnsi"/>
                <w:b/>
                <w:bCs/>
                <w:color w:val="000000"/>
                <w:sz w:val="20"/>
                <w:szCs w:val="20"/>
                <w:lang w:eastAsia="es-MX"/>
              </w:rPr>
              <w:t xml:space="preserve">Modalidad y Clave </w:t>
            </w:r>
          </w:p>
        </w:tc>
        <w:tc>
          <w:tcPr>
            <w:tcW w:w="3216" w:type="pct"/>
            <w:tcBorders>
              <w:top w:val="nil"/>
              <w:left w:val="nil"/>
              <w:bottom w:val="single" w:sz="4" w:space="0" w:color="auto"/>
              <w:right w:val="single" w:sz="4" w:space="0" w:color="auto"/>
            </w:tcBorders>
            <w:shd w:val="clear" w:color="auto" w:fill="auto"/>
            <w:vAlign w:val="center"/>
            <w:hideMark/>
          </w:tcPr>
          <w:p w14:paraId="68E01659" w14:textId="37E0BB95" w:rsidR="00BA1EFB" w:rsidRPr="00CD7AFF" w:rsidRDefault="00BF470D" w:rsidP="00E67E43">
            <w:pPr>
              <w:spacing w:before="0" w:after="0"/>
              <w:rPr>
                <w:rFonts w:eastAsia="Times New Roman" w:cstheme="minorHAnsi"/>
                <w:color w:val="000000"/>
                <w:sz w:val="20"/>
                <w:szCs w:val="20"/>
                <w:lang w:eastAsia="es-MX"/>
              </w:rPr>
            </w:pPr>
            <w:r w:rsidRPr="00CD7AFF">
              <w:rPr>
                <w:rFonts w:eastAsia="Times New Roman" w:cstheme="minorHAnsi"/>
                <w:color w:val="000000"/>
                <w:sz w:val="20"/>
                <w:szCs w:val="20"/>
                <w:lang w:eastAsia="es-MX"/>
              </w:rPr>
              <w:t>P08</w:t>
            </w:r>
          </w:p>
        </w:tc>
      </w:tr>
      <w:tr w:rsidR="00BA1EFB" w:rsidRPr="005E1463" w14:paraId="17D618B1" w14:textId="77777777" w:rsidTr="005E1463">
        <w:trPr>
          <w:trHeight w:val="243"/>
        </w:trPr>
        <w:tc>
          <w:tcPr>
            <w:tcW w:w="1784" w:type="pct"/>
            <w:tcBorders>
              <w:top w:val="nil"/>
              <w:left w:val="single" w:sz="4" w:space="0" w:color="auto"/>
              <w:bottom w:val="single" w:sz="4" w:space="0" w:color="auto"/>
              <w:right w:val="single" w:sz="4" w:space="0" w:color="auto"/>
            </w:tcBorders>
            <w:shd w:val="clear" w:color="000000" w:fill="9CC2E5"/>
            <w:vAlign w:val="center"/>
            <w:hideMark/>
          </w:tcPr>
          <w:p w14:paraId="0CCB92C9" w14:textId="77777777" w:rsidR="00BA1EFB" w:rsidRPr="00CD7AFF" w:rsidRDefault="00BA1EFB" w:rsidP="00E67E43">
            <w:pPr>
              <w:spacing w:before="0" w:after="0"/>
              <w:rPr>
                <w:rFonts w:eastAsia="Times New Roman" w:cstheme="minorHAnsi"/>
                <w:b/>
                <w:bCs/>
                <w:color w:val="000000"/>
                <w:sz w:val="20"/>
                <w:szCs w:val="20"/>
                <w:lang w:eastAsia="es-MX"/>
              </w:rPr>
            </w:pPr>
            <w:r w:rsidRPr="00CD7AFF">
              <w:rPr>
                <w:rFonts w:eastAsia="Times New Roman" w:cstheme="minorHAnsi"/>
                <w:b/>
                <w:bCs/>
                <w:color w:val="000000"/>
                <w:sz w:val="20"/>
                <w:szCs w:val="20"/>
                <w:lang w:eastAsia="es-MX"/>
              </w:rPr>
              <w:t xml:space="preserve">Ramo </w:t>
            </w:r>
          </w:p>
        </w:tc>
        <w:tc>
          <w:tcPr>
            <w:tcW w:w="3216" w:type="pct"/>
            <w:tcBorders>
              <w:top w:val="nil"/>
              <w:left w:val="nil"/>
              <w:bottom w:val="single" w:sz="4" w:space="0" w:color="auto"/>
              <w:right w:val="single" w:sz="4" w:space="0" w:color="auto"/>
            </w:tcBorders>
            <w:shd w:val="clear" w:color="auto" w:fill="auto"/>
            <w:vAlign w:val="center"/>
            <w:hideMark/>
          </w:tcPr>
          <w:p w14:paraId="78CAD18D" w14:textId="73F26C6E" w:rsidR="00BA1EFB" w:rsidRPr="00CD7AFF" w:rsidRDefault="00601296" w:rsidP="00E67E43">
            <w:pPr>
              <w:spacing w:before="0" w:after="0"/>
              <w:rPr>
                <w:rFonts w:eastAsia="Times New Roman" w:cstheme="minorHAnsi"/>
                <w:color w:val="000000"/>
                <w:sz w:val="20"/>
                <w:szCs w:val="20"/>
                <w:lang w:eastAsia="es-MX"/>
              </w:rPr>
            </w:pPr>
            <w:r w:rsidRPr="00CD7AFF">
              <w:rPr>
                <w:rFonts w:eastAsia="Times New Roman" w:cstheme="minorHAnsi"/>
                <w:color w:val="000000"/>
                <w:sz w:val="20"/>
                <w:szCs w:val="20"/>
                <w:lang w:eastAsia="es-MX"/>
              </w:rPr>
              <w:t>21-Política púbica</w:t>
            </w:r>
          </w:p>
        </w:tc>
      </w:tr>
      <w:tr w:rsidR="00BA1EFB" w:rsidRPr="005E1463" w14:paraId="4C4E9782" w14:textId="77777777" w:rsidTr="005E1463">
        <w:trPr>
          <w:trHeight w:val="48"/>
        </w:trPr>
        <w:tc>
          <w:tcPr>
            <w:tcW w:w="1784" w:type="pct"/>
            <w:tcBorders>
              <w:top w:val="nil"/>
              <w:left w:val="single" w:sz="4" w:space="0" w:color="auto"/>
              <w:bottom w:val="single" w:sz="4" w:space="0" w:color="auto"/>
              <w:right w:val="single" w:sz="4" w:space="0" w:color="auto"/>
            </w:tcBorders>
            <w:shd w:val="clear" w:color="000000" w:fill="9CC2E5"/>
            <w:vAlign w:val="center"/>
            <w:hideMark/>
          </w:tcPr>
          <w:p w14:paraId="0B7E0B8E" w14:textId="77777777" w:rsidR="00BA1EFB" w:rsidRPr="00CD7AFF" w:rsidRDefault="00BA1EFB" w:rsidP="00E67E43">
            <w:pPr>
              <w:spacing w:before="0" w:after="0"/>
              <w:rPr>
                <w:rFonts w:eastAsia="Times New Roman" w:cstheme="minorHAnsi"/>
                <w:b/>
                <w:bCs/>
                <w:color w:val="000000"/>
                <w:sz w:val="20"/>
                <w:szCs w:val="20"/>
                <w:lang w:eastAsia="es-MX"/>
              </w:rPr>
            </w:pPr>
            <w:r w:rsidRPr="00CD7AFF">
              <w:rPr>
                <w:rFonts w:eastAsia="Times New Roman" w:cstheme="minorHAnsi"/>
                <w:b/>
                <w:bCs/>
                <w:color w:val="000000"/>
                <w:sz w:val="20"/>
                <w:szCs w:val="20"/>
                <w:lang w:eastAsia="es-MX"/>
              </w:rPr>
              <w:t xml:space="preserve">Propósito </w:t>
            </w:r>
          </w:p>
        </w:tc>
        <w:tc>
          <w:tcPr>
            <w:tcW w:w="3216" w:type="pct"/>
            <w:tcBorders>
              <w:top w:val="nil"/>
              <w:left w:val="nil"/>
              <w:bottom w:val="single" w:sz="4" w:space="0" w:color="auto"/>
              <w:right w:val="single" w:sz="4" w:space="0" w:color="auto"/>
            </w:tcBorders>
            <w:shd w:val="clear" w:color="auto" w:fill="auto"/>
            <w:vAlign w:val="center"/>
          </w:tcPr>
          <w:p w14:paraId="7D8E0479" w14:textId="07B2F2C7" w:rsidR="00BA1EFB" w:rsidRPr="00CD7AFF" w:rsidRDefault="00601296" w:rsidP="00601296">
            <w:pPr>
              <w:spacing w:before="0" w:after="0"/>
              <w:rPr>
                <w:rFonts w:eastAsia="Times New Roman" w:cstheme="minorHAnsi"/>
                <w:color w:val="000000"/>
                <w:sz w:val="20"/>
                <w:szCs w:val="20"/>
                <w:lang w:eastAsia="es-MX"/>
              </w:rPr>
            </w:pPr>
            <w:r w:rsidRPr="00CD7AFF">
              <w:rPr>
                <w:rFonts w:eastAsia="Times New Roman" w:cstheme="minorHAnsi"/>
                <w:color w:val="000000"/>
                <w:sz w:val="20"/>
                <w:szCs w:val="20"/>
                <w:lang w:eastAsia="es-MX"/>
              </w:rPr>
              <w:t>Personas adultas mayores reciben acciones de atención gerontológica que mejora su calidad de vida</w:t>
            </w:r>
          </w:p>
        </w:tc>
      </w:tr>
      <w:tr w:rsidR="00BA1EFB" w:rsidRPr="005E1463" w14:paraId="12753FF2" w14:textId="77777777" w:rsidTr="005E1463">
        <w:trPr>
          <w:trHeight w:val="243"/>
        </w:trPr>
        <w:tc>
          <w:tcPr>
            <w:tcW w:w="1784" w:type="pct"/>
            <w:tcBorders>
              <w:top w:val="nil"/>
              <w:left w:val="single" w:sz="4" w:space="0" w:color="auto"/>
              <w:bottom w:val="single" w:sz="4" w:space="0" w:color="auto"/>
              <w:right w:val="single" w:sz="4" w:space="0" w:color="auto"/>
            </w:tcBorders>
            <w:shd w:val="clear" w:color="000000" w:fill="9CC2E5"/>
            <w:vAlign w:val="center"/>
            <w:hideMark/>
          </w:tcPr>
          <w:p w14:paraId="7E17324F" w14:textId="77777777" w:rsidR="00BA1EFB" w:rsidRPr="00CD7AFF" w:rsidRDefault="00BA1EFB" w:rsidP="00E67E43">
            <w:pPr>
              <w:spacing w:before="0" w:after="0"/>
              <w:rPr>
                <w:rFonts w:eastAsia="Times New Roman" w:cstheme="minorHAnsi"/>
                <w:b/>
                <w:bCs/>
                <w:color w:val="000000"/>
                <w:sz w:val="20"/>
                <w:szCs w:val="20"/>
                <w:lang w:eastAsia="es-MX"/>
              </w:rPr>
            </w:pPr>
            <w:r w:rsidRPr="00CD7AFF">
              <w:rPr>
                <w:rFonts w:eastAsia="Times New Roman" w:cstheme="minorHAnsi"/>
                <w:b/>
                <w:bCs/>
                <w:color w:val="000000"/>
                <w:sz w:val="20"/>
                <w:szCs w:val="20"/>
                <w:lang w:eastAsia="es-MX"/>
              </w:rPr>
              <w:t xml:space="preserve">Población o área de enfoque objetivo </w:t>
            </w:r>
          </w:p>
        </w:tc>
        <w:tc>
          <w:tcPr>
            <w:tcW w:w="3216" w:type="pct"/>
            <w:tcBorders>
              <w:top w:val="nil"/>
              <w:left w:val="nil"/>
              <w:bottom w:val="single" w:sz="4" w:space="0" w:color="auto"/>
              <w:right w:val="single" w:sz="4" w:space="0" w:color="auto"/>
            </w:tcBorders>
            <w:shd w:val="clear" w:color="auto" w:fill="auto"/>
            <w:vAlign w:val="center"/>
            <w:hideMark/>
          </w:tcPr>
          <w:p w14:paraId="5AF209F7" w14:textId="3880DFA1" w:rsidR="00BA1EFB" w:rsidRPr="00CD7AFF" w:rsidRDefault="00BA1EFB" w:rsidP="00E67E43">
            <w:pPr>
              <w:spacing w:before="0" w:after="0"/>
              <w:rPr>
                <w:rFonts w:eastAsia="Times New Roman" w:cstheme="minorHAnsi"/>
                <w:color w:val="000000"/>
                <w:sz w:val="20"/>
                <w:szCs w:val="20"/>
                <w:lang w:eastAsia="es-MX"/>
              </w:rPr>
            </w:pPr>
            <w:r w:rsidRPr="00CD7AFF">
              <w:rPr>
                <w:rFonts w:eastAsia="Times New Roman" w:cstheme="minorHAnsi"/>
                <w:color w:val="000000"/>
                <w:sz w:val="20"/>
                <w:szCs w:val="20"/>
                <w:lang w:eastAsia="es-MX"/>
              </w:rPr>
              <w:t xml:space="preserve">Población </w:t>
            </w:r>
            <w:r w:rsidR="00601296" w:rsidRPr="00CD7AFF">
              <w:rPr>
                <w:rFonts w:eastAsia="Times New Roman" w:cstheme="minorHAnsi"/>
                <w:color w:val="000000"/>
                <w:sz w:val="20"/>
                <w:szCs w:val="20"/>
                <w:lang w:eastAsia="es-MX"/>
              </w:rPr>
              <w:t>adulta mayor de la entidad federativa</w:t>
            </w:r>
          </w:p>
        </w:tc>
      </w:tr>
      <w:tr w:rsidR="00BA1EFB" w:rsidRPr="005E1463" w14:paraId="18A9C7F0" w14:textId="77777777" w:rsidTr="005E1463">
        <w:trPr>
          <w:trHeight w:val="48"/>
        </w:trPr>
        <w:tc>
          <w:tcPr>
            <w:tcW w:w="1784" w:type="pct"/>
            <w:tcBorders>
              <w:top w:val="nil"/>
              <w:left w:val="single" w:sz="4" w:space="0" w:color="auto"/>
              <w:bottom w:val="single" w:sz="4" w:space="0" w:color="auto"/>
              <w:right w:val="single" w:sz="4" w:space="0" w:color="auto"/>
            </w:tcBorders>
            <w:shd w:val="clear" w:color="000000" w:fill="9CC2E5"/>
            <w:vAlign w:val="center"/>
            <w:hideMark/>
          </w:tcPr>
          <w:p w14:paraId="3722DA04" w14:textId="77777777" w:rsidR="00BA1EFB" w:rsidRPr="00CD7AFF" w:rsidRDefault="00BA1EFB" w:rsidP="00E67E43">
            <w:pPr>
              <w:spacing w:before="0" w:after="0"/>
              <w:rPr>
                <w:rFonts w:eastAsia="Times New Roman" w:cstheme="minorHAnsi"/>
                <w:b/>
                <w:bCs/>
                <w:color w:val="000000"/>
                <w:sz w:val="20"/>
                <w:szCs w:val="20"/>
                <w:lang w:eastAsia="es-MX"/>
              </w:rPr>
            </w:pPr>
            <w:r w:rsidRPr="00CD7AFF">
              <w:rPr>
                <w:rFonts w:eastAsia="Times New Roman" w:cstheme="minorHAnsi"/>
                <w:b/>
                <w:bCs/>
                <w:color w:val="000000"/>
                <w:sz w:val="20"/>
                <w:szCs w:val="20"/>
                <w:lang w:eastAsia="es-MX"/>
              </w:rPr>
              <w:t xml:space="preserve">Tipos de Componentes que entrega a sus destinatarios </w:t>
            </w:r>
          </w:p>
        </w:tc>
        <w:tc>
          <w:tcPr>
            <w:tcW w:w="3216" w:type="pct"/>
            <w:tcBorders>
              <w:top w:val="nil"/>
              <w:left w:val="nil"/>
              <w:bottom w:val="single" w:sz="4" w:space="0" w:color="auto"/>
              <w:right w:val="single" w:sz="4" w:space="0" w:color="auto"/>
            </w:tcBorders>
            <w:shd w:val="clear" w:color="auto" w:fill="auto"/>
            <w:vAlign w:val="center"/>
            <w:hideMark/>
          </w:tcPr>
          <w:p w14:paraId="4F12A0A5" w14:textId="04D70F0F" w:rsidR="00BA1EFB" w:rsidRPr="00CD7AFF" w:rsidRDefault="00601296" w:rsidP="00E67E43">
            <w:pPr>
              <w:spacing w:before="0" w:after="0"/>
              <w:rPr>
                <w:rFonts w:eastAsia="Times New Roman" w:cstheme="minorHAnsi"/>
                <w:color w:val="000000"/>
                <w:sz w:val="20"/>
                <w:szCs w:val="20"/>
                <w:lang w:eastAsia="es-MX"/>
              </w:rPr>
            </w:pPr>
            <w:r w:rsidRPr="00CD7AFF">
              <w:rPr>
                <w:rFonts w:eastAsia="Times New Roman" w:cstheme="minorHAnsi"/>
                <w:color w:val="000000"/>
                <w:sz w:val="20"/>
                <w:szCs w:val="20"/>
                <w:lang w:eastAsia="es-MX"/>
              </w:rPr>
              <w:t>Acciones de atención gerontológica</w:t>
            </w:r>
          </w:p>
        </w:tc>
      </w:tr>
      <w:tr w:rsidR="00BA1EFB" w:rsidRPr="005E1463" w14:paraId="6AFA450C" w14:textId="77777777" w:rsidTr="005E1463">
        <w:trPr>
          <w:trHeight w:val="243"/>
        </w:trPr>
        <w:tc>
          <w:tcPr>
            <w:tcW w:w="1784" w:type="pct"/>
            <w:tcBorders>
              <w:top w:val="nil"/>
              <w:left w:val="single" w:sz="4" w:space="0" w:color="auto"/>
              <w:bottom w:val="single" w:sz="4" w:space="0" w:color="auto"/>
              <w:right w:val="single" w:sz="4" w:space="0" w:color="auto"/>
            </w:tcBorders>
            <w:shd w:val="clear" w:color="000000" w:fill="9CC2E5"/>
            <w:vAlign w:val="center"/>
            <w:hideMark/>
          </w:tcPr>
          <w:p w14:paraId="44680E8A" w14:textId="77777777" w:rsidR="00BA1EFB" w:rsidRPr="00CD7AFF" w:rsidRDefault="00BA1EFB" w:rsidP="00E67E43">
            <w:pPr>
              <w:spacing w:before="0" w:after="0"/>
              <w:rPr>
                <w:rFonts w:eastAsia="Times New Roman" w:cstheme="minorHAnsi"/>
                <w:b/>
                <w:bCs/>
                <w:color w:val="000000"/>
                <w:sz w:val="20"/>
                <w:szCs w:val="20"/>
                <w:lang w:eastAsia="es-MX"/>
              </w:rPr>
            </w:pPr>
            <w:r w:rsidRPr="00CD7AFF">
              <w:rPr>
                <w:rFonts w:eastAsia="Times New Roman" w:cstheme="minorHAnsi"/>
                <w:b/>
                <w:bCs/>
                <w:color w:val="000000"/>
                <w:sz w:val="20"/>
                <w:szCs w:val="20"/>
                <w:lang w:eastAsia="es-MX"/>
              </w:rPr>
              <w:t xml:space="preserve">Cobertura Geográfica </w:t>
            </w:r>
          </w:p>
        </w:tc>
        <w:tc>
          <w:tcPr>
            <w:tcW w:w="3216" w:type="pct"/>
            <w:tcBorders>
              <w:top w:val="nil"/>
              <w:left w:val="nil"/>
              <w:bottom w:val="single" w:sz="4" w:space="0" w:color="auto"/>
              <w:right w:val="single" w:sz="4" w:space="0" w:color="auto"/>
            </w:tcBorders>
            <w:shd w:val="clear" w:color="auto" w:fill="auto"/>
            <w:vAlign w:val="center"/>
            <w:hideMark/>
          </w:tcPr>
          <w:p w14:paraId="6702A17E" w14:textId="77777777" w:rsidR="00BA1EFB" w:rsidRPr="00CD7AFF" w:rsidRDefault="00BA1EFB" w:rsidP="00E67E43">
            <w:pPr>
              <w:spacing w:before="0" w:after="0"/>
              <w:rPr>
                <w:rFonts w:eastAsia="Times New Roman" w:cstheme="minorHAnsi"/>
                <w:color w:val="000000"/>
                <w:sz w:val="20"/>
                <w:szCs w:val="20"/>
                <w:lang w:eastAsia="es-MX"/>
              </w:rPr>
            </w:pPr>
            <w:r w:rsidRPr="00CD7AFF">
              <w:rPr>
                <w:rFonts w:eastAsia="Times New Roman" w:cstheme="minorHAnsi"/>
                <w:color w:val="000000"/>
                <w:sz w:val="20"/>
                <w:szCs w:val="20"/>
                <w:lang w:eastAsia="es-MX"/>
              </w:rPr>
              <w:t>Estatal</w:t>
            </w:r>
          </w:p>
        </w:tc>
      </w:tr>
      <w:tr w:rsidR="00BA1EFB" w:rsidRPr="005E1463" w14:paraId="122E0054" w14:textId="77777777" w:rsidTr="005E1463">
        <w:trPr>
          <w:trHeight w:val="243"/>
        </w:trPr>
        <w:tc>
          <w:tcPr>
            <w:tcW w:w="1784" w:type="pct"/>
            <w:tcBorders>
              <w:top w:val="nil"/>
              <w:left w:val="single" w:sz="4" w:space="0" w:color="auto"/>
              <w:bottom w:val="single" w:sz="4" w:space="0" w:color="auto"/>
              <w:right w:val="single" w:sz="4" w:space="0" w:color="auto"/>
            </w:tcBorders>
            <w:shd w:val="clear" w:color="000000" w:fill="9CC2E5"/>
            <w:vAlign w:val="center"/>
            <w:hideMark/>
          </w:tcPr>
          <w:p w14:paraId="1E37DB3E" w14:textId="77777777" w:rsidR="00BA1EFB" w:rsidRPr="00CD7AFF" w:rsidRDefault="00BA1EFB" w:rsidP="00E67E43">
            <w:pPr>
              <w:spacing w:before="0" w:after="0"/>
              <w:rPr>
                <w:rFonts w:eastAsia="Times New Roman" w:cstheme="minorHAnsi"/>
                <w:b/>
                <w:bCs/>
                <w:color w:val="000000"/>
                <w:sz w:val="20"/>
                <w:szCs w:val="20"/>
                <w:lang w:eastAsia="es-MX"/>
              </w:rPr>
            </w:pPr>
            <w:r w:rsidRPr="00CD7AFF">
              <w:rPr>
                <w:rFonts w:eastAsia="Times New Roman" w:cstheme="minorHAnsi"/>
                <w:b/>
                <w:bCs/>
                <w:color w:val="000000"/>
                <w:sz w:val="20"/>
                <w:szCs w:val="20"/>
                <w:lang w:eastAsia="es-MX"/>
              </w:rPr>
              <w:t xml:space="preserve">Fuentes de Información </w:t>
            </w:r>
          </w:p>
        </w:tc>
        <w:tc>
          <w:tcPr>
            <w:tcW w:w="3216" w:type="pct"/>
            <w:tcBorders>
              <w:top w:val="nil"/>
              <w:left w:val="nil"/>
              <w:bottom w:val="single" w:sz="4" w:space="0" w:color="auto"/>
              <w:right w:val="single" w:sz="4" w:space="0" w:color="auto"/>
            </w:tcBorders>
            <w:shd w:val="clear" w:color="auto" w:fill="auto"/>
            <w:vAlign w:val="center"/>
            <w:hideMark/>
          </w:tcPr>
          <w:p w14:paraId="5FE292FE" w14:textId="77777777" w:rsidR="00BA1EFB" w:rsidRPr="00CD7AFF" w:rsidRDefault="00BA1EFB" w:rsidP="00E67E43">
            <w:pPr>
              <w:spacing w:before="0" w:after="0"/>
              <w:rPr>
                <w:rFonts w:eastAsia="Times New Roman" w:cstheme="minorHAnsi"/>
                <w:color w:val="000000"/>
                <w:sz w:val="20"/>
                <w:szCs w:val="20"/>
                <w:lang w:eastAsia="es-MX"/>
              </w:rPr>
            </w:pPr>
            <w:r w:rsidRPr="00CD7AFF">
              <w:rPr>
                <w:rFonts w:eastAsia="Times New Roman" w:cstheme="minorHAnsi"/>
                <w:color w:val="000000"/>
                <w:sz w:val="20"/>
                <w:szCs w:val="20"/>
                <w:lang w:eastAsia="es-MX"/>
              </w:rPr>
              <w:t>MIR de los Pp de la estructura programática estatal</w:t>
            </w:r>
          </w:p>
        </w:tc>
      </w:tr>
      <w:tr w:rsidR="00BA1EFB" w:rsidRPr="005E1463" w14:paraId="4147B938" w14:textId="77777777" w:rsidTr="005E1463">
        <w:trPr>
          <w:trHeight w:val="243"/>
        </w:trPr>
        <w:tc>
          <w:tcPr>
            <w:tcW w:w="1784" w:type="pct"/>
            <w:tcBorders>
              <w:top w:val="nil"/>
              <w:left w:val="single" w:sz="4" w:space="0" w:color="auto"/>
              <w:bottom w:val="single" w:sz="4" w:space="0" w:color="auto"/>
              <w:right w:val="single" w:sz="4" w:space="0" w:color="auto"/>
            </w:tcBorders>
            <w:shd w:val="clear" w:color="000000" w:fill="9CC2E5"/>
            <w:vAlign w:val="center"/>
            <w:hideMark/>
          </w:tcPr>
          <w:p w14:paraId="09CF5921" w14:textId="77777777" w:rsidR="00BA1EFB" w:rsidRPr="00CD7AFF" w:rsidRDefault="00BA1EFB" w:rsidP="00E67E43">
            <w:pPr>
              <w:spacing w:before="0" w:after="0"/>
              <w:rPr>
                <w:rFonts w:eastAsia="Times New Roman" w:cstheme="minorHAnsi"/>
                <w:b/>
                <w:bCs/>
                <w:color w:val="000000"/>
                <w:sz w:val="20"/>
                <w:szCs w:val="20"/>
                <w:lang w:eastAsia="es-MX"/>
              </w:rPr>
            </w:pPr>
            <w:r w:rsidRPr="00CD7AFF">
              <w:rPr>
                <w:rFonts w:eastAsia="Times New Roman" w:cstheme="minorHAnsi"/>
                <w:b/>
                <w:bCs/>
                <w:color w:val="000000"/>
                <w:sz w:val="20"/>
                <w:szCs w:val="20"/>
                <w:lang w:eastAsia="es-MX"/>
              </w:rPr>
              <w:t xml:space="preserve">¿Es coincidente? </w:t>
            </w:r>
          </w:p>
        </w:tc>
        <w:tc>
          <w:tcPr>
            <w:tcW w:w="3216" w:type="pct"/>
            <w:tcBorders>
              <w:top w:val="nil"/>
              <w:left w:val="nil"/>
              <w:bottom w:val="single" w:sz="4" w:space="0" w:color="auto"/>
              <w:right w:val="single" w:sz="4" w:space="0" w:color="auto"/>
            </w:tcBorders>
            <w:shd w:val="clear" w:color="auto" w:fill="auto"/>
            <w:vAlign w:val="center"/>
            <w:hideMark/>
          </w:tcPr>
          <w:p w14:paraId="729B0CD2" w14:textId="77777777" w:rsidR="00BA1EFB" w:rsidRPr="00CD7AFF" w:rsidRDefault="00BA1EFB" w:rsidP="00E67E43">
            <w:pPr>
              <w:spacing w:before="0" w:after="0"/>
              <w:rPr>
                <w:rFonts w:eastAsia="Times New Roman" w:cstheme="minorHAnsi"/>
                <w:color w:val="000000"/>
                <w:sz w:val="20"/>
                <w:szCs w:val="20"/>
                <w:lang w:eastAsia="es-MX"/>
              </w:rPr>
            </w:pPr>
            <w:r w:rsidRPr="00CD7AFF">
              <w:rPr>
                <w:rFonts w:eastAsia="Times New Roman" w:cstheme="minorHAnsi"/>
                <w:color w:val="000000"/>
                <w:sz w:val="20"/>
                <w:szCs w:val="20"/>
                <w:lang w:eastAsia="es-MX"/>
              </w:rPr>
              <w:t>No</w:t>
            </w:r>
          </w:p>
        </w:tc>
      </w:tr>
      <w:tr w:rsidR="00BA1EFB" w:rsidRPr="005E1463" w14:paraId="0435324C" w14:textId="77777777" w:rsidTr="005E1463">
        <w:trPr>
          <w:trHeight w:val="243"/>
        </w:trPr>
        <w:tc>
          <w:tcPr>
            <w:tcW w:w="1784" w:type="pct"/>
            <w:tcBorders>
              <w:top w:val="nil"/>
              <w:left w:val="single" w:sz="4" w:space="0" w:color="auto"/>
              <w:bottom w:val="single" w:sz="4" w:space="0" w:color="auto"/>
              <w:right w:val="single" w:sz="4" w:space="0" w:color="auto"/>
            </w:tcBorders>
            <w:shd w:val="clear" w:color="000000" w:fill="9CC2E5"/>
            <w:vAlign w:val="center"/>
            <w:hideMark/>
          </w:tcPr>
          <w:p w14:paraId="77996697" w14:textId="77777777" w:rsidR="00BA1EFB" w:rsidRPr="00CD7AFF" w:rsidRDefault="00BA1EFB" w:rsidP="00E67E43">
            <w:pPr>
              <w:spacing w:before="0" w:after="0"/>
              <w:rPr>
                <w:rFonts w:eastAsia="Times New Roman" w:cstheme="minorHAnsi"/>
                <w:b/>
                <w:bCs/>
                <w:color w:val="000000"/>
                <w:sz w:val="20"/>
                <w:szCs w:val="20"/>
                <w:lang w:eastAsia="es-MX"/>
              </w:rPr>
            </w:pPr>
            <w:r w:rsidRPr="00CD7AFF">
              <w:rPr>
                <w:rFonts w:eastAsia="Times New Roman" w:cstheme="minorHAnsi"/>
                <w:b/>
                <w:bCs/>
                <w:color w:val="000000"/>
                <w:sz w:val="20"/>
                <w:szCs w:val="20"/>
                <w:lang w:eastAsia="es-MX"/>
              </w:rPr>
              <w:t xml:space="preserve">¿Se complementa? </w:t>
            </w:r>
          </w:p>
        </w:tc>
        <w:tc>
          <w:tcPr>
            <w:tcW w:w="3216" w:type="pct"/>
            <w:tcBorders>
              <w:top w:val="nil"/>
              <w:left w:val="nil"/>
              <w:bottom w:val="single" w:sz="4" w:space="0" w:color="auto"/>
              <w:right w:val="single" w:sz="4" w:space="0" w:color="auto"/>
            </w:tcBorders>
            <w:shd w:val="clear" w:color="auto" w:fill="auto"/>
            <w:vAlign w:val="center"/>
            <w:hideMark/>
          </w:tcPr>
          <w:p w14:paraId="5301B979" w14:textId="77777777" w:rsidR="00BA1EFB" w:rsidRPr="00CD7AFF" w:rsidRDefault="00BA1EFB" w:rsidP="00E67E43">
            <w:pPr>
              <w:spacing w:before="0" w:after="0"/>
              <w:rPr>
                <w:rFonts w:eastAsia="Times New Roman" w:cstheme="minorHAnsi"/>
                <w:color w:val="000000"/>
                <w:sz w:val="20"/>
                <w:szCs w:val="20"/>
                <w:lang w:eastAsia="es-MX"/>
              </w:rPr>
            </w:pPr>
            <w:r w:rsidRPr="00CD7AFF">
              <w:rPr>
                <w:rFonts w:eastAsia="Times New Roman" w:cstheme="minorHAnsi"/>
                <w:color w:val="000000"/>
                <w:sz w:val="20"/>
                <w:szCs w:val="20"/>
                <w:lang w:eastAsia="es-MX"/>
              </w:rPr>
              <w:t>Sí</w:t>
            </w:r>
          </w:p>
        </w:tc>
      </w:tr>
      <w:tr w:rsidR="00BA1EFB" w:rsidRPr="005E1463" w14:paraId="0370D3A5" w14:textId="77777777" w:rsidTr="005E1463">
        <w:trPr>
          <w:trHeight w:val="48"/>
        </w:trPr>
        <w:tc>
          <w:tcPr>
            <w:tcW w:w="1784" w:type="pct"/>
            <w:tcBorders>
              <w:top w:val="nil"/>
              <w:left w:val="single" w:sz="4" w:space="0" w:color="auto"/>
              <w:bottom w:val="single" w:sz="4" w:space="0" w:color="auto"/>
              <w:right w:val="single" w:sz="4" w:space="0" w:color="auto"/>
            </w:tcBorders>
            <w:shd w:val="clear" w:color="000000" w:fill="9CC2E5"/>
            <w:vAlign w:val="center"/>
            <w:hideMark/>
          </w:tcPr>
          <w:p w14:paraId="07D75133" w14:textId="77777777" w:rsidR="00BA1EFB" w:rsidRPr="00CD7AFF" w:rsidRDefault="00BA1EFB" w:rsidP="00E67E43">
            <w:pPr>
              <w:spacing w:before="0" w:after="0"/>
              <w:rPr>
                <w:rFonts w:eastAsia="Times New Roman" w:cstheme="minorHAnsi"/>
                <w:b/>
                <w:bCs/>
                <w:color w:val="000000"/>
                <w:sz w:val="20"/>
                <w:szCs w:val="20"/>
                <w:lang w:eastAsia="es-MX"/>
              </w:rPr>
            </w:pPr>
            <w:r w:rsidRPr="00CD7AFF">
              <w:rPr>
                <w:rFonts w:eastAsia="Times New Roman" w:cstheme="minorHAnsi"/>
                <w:b/>
                <w:bCs/>
                <w:color w:val="000000"/>
                <w:sz w:val="20"/>
                <w:szCs w:val="20"/>
                <w:lang w:eastAsia="es-MX"/>
              </w:rPr>
              <w:t>Argumentación</w:t>
            </w:r>
          </w:p>
        </w:tc>
        <w:tc>
          <w:tcPr>
            <w:tcW w:w="3216" w:type="pct"/>
            <w:tcBorders>
              <w:top w:val="nil"/>
              <w:left w:val="nil"/>
              <w:bottom w:val="single" w:sz="4" w:space="0" w:color="auto"/>
              <w:right w:val="single" w:sz="4" w:space="0" w:color="auto"/>
            </w:tcBorders>
            <w:shd w:val="clear" w:color="auto" w:fill="auto"/>
            <w:vAlign w:val="center"/>
          </w:tcPr>
          <w:p w14:paraId="6A52BEDB" w14:textId="6F393FB0" w:rsidR="00BA1EFB" w:rsidRPr="00CD7AFF" w:rsidRDefault="0018710B" w:rsidP="00E67E43">
            <w:pPr>
              <w:spacing w:before="0" w:after="0"/>
              <w:rPr>
                <w:rFonts w:eastAsia="Times New Roman" w:cstheme="minorHAnsi"/>
                <w:color w:val="000000"/>
                <w:sz w:val="20"/>
                <w:szCs w:val="20"/>
                <w:lang w:eastAsia="es-MX"/>
              </w:rPr>
            </w:pPr>
            <w:r w:rsidRPr="00CD7AFF">
              <w:rPr>
                <w:rFonts w:eastAsia="Times New Roman" w:cs="Arial"/>
                <w:color w:val="000000"/>
                <w:sz w:val="20"/>
                <w:szCs w:val="20"/>
                <w:lang w:eastAsia="es-MX"/>
              </w:rPr>
              <w:t>El FAFEF c</w:t>
            </w:r>
            <w:r w:rsidR="00601296" w:rsidRPr="00CD7AFF">
              <w:rPr>
                <w:rFonts w:eastAsia="Times New Roman" w:cs="Arial"/>
                <w:color w:val="000000"/>
                <w:sz w:val="20"/>
                <w:szCs w:val="20"/>
                <w:lang w:eastAsia="es-MX"/>
              </w:rPr>
              <w:t>ontribuye al desarrollo integral de las personas adultas mayores mediante al desarrollo de infraestructura de atención gerontológica.</w:t>
            </w:r>
          </w:p>
        </w:tc>
      </w:tr>
      <w:tr w:rsidR="00BA1EFB" w:rsidRPr="005E1463" w14:paraId="54458F41" w14:textId="77777777" w:rsidTr="005E1463">
        <w:trPr>
          <w:trHeight w:val="243"/>
        </w:trPr>
        <w:tc>
          <w:tcPr>
            <w:tcW w:w="1784" w:type="pct"/>
            <w:tcBorders>
              <w:top w:val="nil"/>
              <w:left w:val="single" w:sz="4" w:space="0" w:color="auto"/>
              <w:bottom w:val="single" w:sz="4" w:space="0" w:color="auto"/>
              <w:right w:val="single" w:sz="4" w:space="0" w:color="auto"/>
            </w:tcBorders>
            <w:shd w:val="clear" w:color="000000" w:fill="9CC2E5"/>
            <w:vAlign w:val="center"/>
            <w:hideMark/>
          </w:tcPr>
          <w:p w14:paraId="1A740CA1" w14:textId="77777777" w:rsidR="00BA1EFB" w:rsidRPr="00CD7AFF" w:rsidRDefault="00BA1EFB" w:rsidP="00E67E43">
            <w:pPr>
              <w:spacing w:before="0" w:after="0"/>
              <w:rPr>
                <w:rFonts w:eastAsia="Times New Roman" w:cstheme="minorHAnsi"/>
                <w:b/>
                <w:bCs/>
                <w:color w:val="000000"/>
                <w:sz w:val="20"/>
                <w:szCs w:val="20"/>
                <w:lang w:eastAsia="es-MX"/>
              </w:rPr>
            </w:pPr>
            <w:r w:rsidRPr="00CD7AFF">
              <w:rPr>
                <w:rFonts w:eastAsia="Times New Roman" w:cstheme="minorHAnsi"/>
                <w:b/>
                <w:bCs/>
                <w:color w:val="000000"/>
                <w:sz w:val="20"/>
                <w:szCs w:val="20"/>
                <w:lang w:eastAsia="es-MX"/>
              </w:rPr>
              <w:t>Recomendación</w:t>
            </w:r>
          </w:p>
        </w:tc>
        <w:tc>
          <w:tcPr>
            <w:tcW w:w="3216" w:type="pct"/>
            <w:tcBorders>
              <w:top w:val="nil"/>
              <w:left w:val="nil"/>
              <w:bottom w:val="single" w:sz="4" w:space="0" w:color="auto"/>
              <w:right w:val="single" w:sz="4" w:space="0" w:color="auto"/>
            </w:tcBorders>
            <w:shd w:val="clear" w:color="auto" w:fill="auto"/>
            <w:vAlign w:val="center"/>
            <w:hideMark/>
          </w:tcPr>
          <w:p w14:paraId="71152BFD" w14:textId="77777777" w:rsidR="00BA1EFB" w:rsidRPr="00CD7AFF" w:rsidRDefault="00BA1EFB" w:rsidP="00E67E43">
            <w:pPr>
              <w:spacing w:before="0" w:after="0"/>
              <w:rPr>
                <w:rFonts w:eastAsia="Times New Roman" w:cstheme="minorHAnsi"/>
                <w:color w:val="000000"/>
                <w:sz w:val="20"/>
                <w:szCs w:val="20"/>
                <w:lang w:eastAsia="es-MX"/>
              </w:rPr>
            </w:pPr>
            <w:r w:rsidRPr="00CD7AFF">
              <w:rPr>
                <w:rFonts w:eastAsia="Times New Roman" w:cstheme="minorHAnsi"/>
                <w:color w:val="000000"/>
                <w:sz w:val="20"/>
                <w:szCs w:val="20"/>
                <w:lang w:eastAsia="es-MX"/>
              </w:rPr>
              <w:t>Sin recomendación</w:t>
            </w:r>
          </w:p>
        </w:tc>
      </w:tr>
    </w:tbl>
    <w:p w14:paraId="4A760FA4" w14:textId="17B3597E" w:rsidR="00CD7AFF" w:rsidRDefault="00CD7AFF" w:rsidP="00EB1844">
      <w:pPr>
        <w:rPr>
          <w:sz w:val="8"/>
          <w:szCs w:val="8"/>
        </w:rPr>
      </w:pPr>
    </w:p>
    <w:p w14:paraId="567CE574" w14:textId="6F3E2B4E" w:rsidR="00CD7AFF" w:rsidRDefault="00CD7AFF" w:rsidP="00EB1844">
      <w:pPr>
        <w:rPr>
          <w:sz w:val="8"/>
          <w:szCs w:val="8"/>
        </w:rPr>
      </w:pPr>
    </w:p>
    <w:p w14:paraId="3F10407A" w14:textId="77777777" w:rsidR="00CD7AFF" w:rsidRPr="005E1463" w:rsidRDefault="00CD7AFF" w:rsidP="00EB1844">
      <w:pPr>
        <w:rPr>
          <w:sz w:val="8"/>
          <w:szCs w:val="8"/>
        </w:rPr>
      </w:pPr>
    </w:p>
    <w:tbl>
      <w:tblPr>
        <w:tblW w:w="4980" w:type="pct"/>
        <w:tblInd w:w="-5" w:type="dxa"/>
        <w:tblCellMar>
          <w:left w:w="70" w:type="dxa"/>
          <w:right w:w="70" w:type="dxa"/>
        </w:tblCellMar>
        <w:tblLook w:val="04A0" w:firstRow="1" w:lastRow="0" w:firstColumn="1" w:lastColumn="0" w:noHBand="0" w:noVBand="1"/>
      </w:tblPr>
      <w:tblGrid>
        <w:gridCol w:w="4820"/>
        <w:gridCol w:w="8688"/>
      </w:tblGrid>
      <w:tr w:rsidR="00601296" w:rsidRPr="005E1463" w14:paraId="23A8C6A6" w14:textId="77777777" w:rsidTr="005E1463">
        <w:trPr>
          <w:trHeight w:val="161"/>
        </w:trPr>
        <w:tc>
          <w:tcPr>
            <w:tcW w:w="1784" w:type="pct"/>
            <w:tcBorders>
              <w:top w:val="single" w:sz="4" w:space="0" w:color="auto"/>
              <w:left w:val="single" w:sz="4" w:space="0" w:color="auto"/>
              <w:bottom w:val="single" w:sz="4" w:space="0" w:color="auto"/>
              <w:right w:val="single" w:sz="4" w:space="0" w:color="auto"/>
            </w:tcBorders>
            <w:shd w:val="clear" w:color="000000" w:fill="9CC2E5"/>
            <w:vAlign w:val="center"/>
            <w:hideMark/>
          </w:tcPr>
          <w:p w14:paraId="1158CA40" w14:textId="77777777" w:rsidR="00601296" w:rsidRPr="00A57D33" w:rsidRDefault="00601296" w:rsidP="00E67E43">
            <w:pPr>
              <w:spacing w:before="0" w:after="0"/>
              <w:rPr>
                <w:rFonts w:eastAsia="Times New Roman" w:cstheme="minorHAnsi"/>
                <w:b/>
                <w:bCs/>
                <w:color w:val="000000"/>
                <w:sz w:val="20"/>
                <w:szCs w:val="20"/>
                <w:lang w:eastAsia="es-MX"/>
              </w:rPr>
            </w:pPr>
            <w:r w:rsidRPr="00A57D33">
              <w:rPr>
                <w:rFonts w:eastAsia="Times New Roman" w:cstheme="minorHAnsi"/>
                <w:b/>
                <w:bCs/>
                <w:color w:val="000000"/>
                <w:sz w:val="20"/>
                <w:szCs w:val="20"/>
                <w:lang w:eastAsia="es-MX"/>
              </w:rPr>
              <w:lastRenderedPageBreak/>
              <w:t>Nombre de las políticas, programas o proyectos locales</w:t>
            </w:r>
          </w:p>
        </w:tc>
        <w:tc>
          <w:tcPr>
            <w:tcW w:w="3216" w:type="pct"/>
            <w:tcBorders>
              <w:top w:val="single" w:sz="4" w:space="0" w:color="auto"/>
              <w:left w:val="nil"/>
              <w:bottom w:val="single" w:sz="4" w:space="0" w:color="auto"/>
              <w:right w:val="single" w:sz="4" w:space="0" w:color="auto"/>
            </w:tcBorders>
            <w:shd w:val="clear" w:color="auto" w:fill="auto"/>
            <w:vAlign w:val="center"/>
            <w:hideMark/>
          </w:tcPr>
          <w:p w14:paraId="1653B08D" w14:textId="4FCA4240" w:rsidR="00601296" w:rsidRPr="00A57D33" w:rsidRDefault="00601296" w:rsidP="00E67E43">
            <w:pPr>
              <w:spacing w:before="0" w:after="0"/>
              <w:rPr>
                <w:rFonts w:eastAsia="Times New Roman" w:cstheme="minorHAnsi"/>
                <w:color w:val="000000"/>
                <w:sz w:val="20"/>
                <w:szCs w:val="20"/>
                <w:lang w:eastAsia="es-MX"/>
              </w:rPr>
            </w:pPr>
            <w:r w:rsidRPr="00A57D33">
              <w:rPr>
                <w:rFonts w:eastAsia="Times New Roman" w:cs="Arial"/>
                <w:color w:val="000000"/>
                <w:sz w:val="20"/>
                <w:szCs w:val="20"/>
                <w:lang w:eastAsia="es-MX"/>
              </w:rPr>
              <w:t>Ordenamiento Territorial y Equipamiento</w:t>
            </w:r>
          </w:p>
        </w:tc>
      </w:tr>
      <w:tr w:rsidR="00601296" w:rsidRPr="005E1463" w14:paraId="3B6E105E" w14:textId="77777777" w:rsidTr="005E1463">
        <w:trPr>
          <w:trHeight w:val="243"/>
        </w:trPr>
        <w:tc>
          <w:tcPr>
            <w:tcW w:w="1784" w:type="pct"/>
            <w:tcBorders>
              <w:top w:val="nil"/>
              <w:left w:val="single" w:sz="4" w:space="0" w:color="auto"/>
              <w:bottom w:val="single" w:sz="4" w:space="0" w:color="auto"/>
              <w:right w:val="single" w:sz="4" w:space="0" w:color="auto"/>
            </w:tcBorders>
            <w:shd w:val="clear" w:color="000000" w:fill="9CC2E5"/>
            <w:vAlign w:val="center"/>
            <w:hideMark/>
          </w:tcPr>
          <w:p w14:paraId="1CD99557" w14:textId="77777777" w:rsidR="00601296" w:rsidRPr="00A57D33" w:rsidRDefault="00601296" w:rsidP="00E67E43">
            <w:pPr>
              <w:spacing w:before="0" w:after="0"/>
              <w:rPr>
                <w:rFonts w:eastAsia="Times New Roman" w:cstheme="minorHAnsi"/>
                <w:b/>
                <w:bCs/>
                <w:color w:val="000000"/>
                <w:sz w:val="20"/>
                <w:szCs w:val="20"/>
                <w:lang w:eastAsia="es-MX"/>
              </w:rPr>
            </w:pPr>
            <w:r w:rsidRPr="00A57D33">
              <w:rPr>
                <w:rFonts w:eastAsia="Times New Roman" w:cstheme="minorHAnsi"/>
                <w:b/>
                <w:bCs/>
                <w:color w:val="000000"/>
                <w:sz w:val="20"/>
                <w:szCs w:val="20"/>
                <w:lang w:eastAsia="es-MX"/>
              </w:rPr>
              <w:t xml:space="preserve">Modalidad y Clave </w:t>
            </w:r>
          </w:p>
        </w:tc>
        <w:tc>
          <w:tcPr>
            <w:tcW w:w="3216" w:type="pct"/>
            <w:tcBorders>
              <w:top w:val="nil"/>
              <w:left w:val="nil"/>
              <w:bottom w:val="single" w:sz="4" w:space="0" w:color="auto"/>
              <w:right w:val="single" w:sz="4" w:space="0" w:color="auto"/>
            </w:tcBorders>
            <w:shd w:val="clear" w:color="auto" w:fill="auto"/>
            <w:vAlign w:val="center"/>
            <w:hideMark/>
          </w:tcPr>
          <w:p w14:paraId="6242E593" w14:textId="5AA55218" w:rsidR="00601296" w:rsidRPr="00A57D33" w:rsidRDefault="00601296" w:rsidP="00E67E43">
            <w:pPr>
              <w:spacing w:before="0" w:after="0"/>
              <w:rPr>
                <w:rFonts w:eastAsia="Times New Roman" w:cstheme="minorHAnsi"/>
                <w:color w:val="000000"/>
                <w:sz w:val="20"/>
                <w:szCs w:val="20"/>
                <w:lang w:eastAsia="es-MX"/>
              </w:rPr>
            </w:pPr>
            <w:r w:rsidRPr="00A57D33">
              <w:rPr>
                <w:rFonts w:eastAsia="Times New Roman" w:cstheme="minorHAnsi"/>
                <w:color w:val="000000"/>
                <w:sz w:val="20"/>
                <w:szCs w:val="20"/>
                <w:lang w:eastAsia="es-MX"/>
              </w:rPr>
              <w:t>P02</w:t>
            </w:r>
          </w:p>
        </w:tc>
      </w:tr>
      <w:tr w:rsidR="00601296" w:rsidRPr="005E1463" w14:paraId="1C3A31BF" w14:textId="77777777" w:rsidTr="005E1463">
        <w:trPr>
          <w:trHeight w:val="243"/>
        </w:trPr>
        <w:tc>
          <w:tcPr>
            <w:tcW w:w="1784" w:type="pct"/>
            <w:tcBorders>
              <w:top w:val="nil"/>
              <w:left w:val="single" w:sz="4" w:space="0" w:color="auto"/>
              <w:bottom w:val="single" w:sz="4" w:space="0" w:color="auto"/>
              <w:right w:val="single" w:sz="4" w:space="0" w:color="auto"/>
            </w:tcBorders>
            <w:shd w:val="clear" w:color="000000" w:fill="9CC2E5"/>
            <w:vAlign w:val="center"/>
            <w:hideMark/>
          </w:tcPr>
          <w:p w14:paraId="0876C96F" w14:textId="77777777" w:rsidR="00601296" w:rsidRPr="00A57D33" w:rsidRDefault="00601296" w:rsidP="00E67E43">
            <w:pPr>
              <w:spacing w:before="0" w:after="0"/>
              <w:rPr>
                <w:rFonts w:eastAsia="Times New Roman" w:cstheme="minorHAnsi"/>
                <w:b/>
                <w:bCs/>
                <w:color w:val="000000"/>
                <w:sz w:val="20"/>
                <w:szCs w:val="20"/>
                <w:lang w:eastAsia="es-MX"/>
              </w:rPr>
            </w:pPr>
            <w:r w:rsidRPr="00A57D33">
              <w:rPr>
                <w:rFonts w:eastAsia="Times New Roman" w:cstheme="minorHAnsi"/>
                <w:b/>
                <w:bCs/>
                <w:color w:val="000000"/>
                <w:sz w:val="20"/>
                <w:szCs w:val="20"/>
                <w:lang w:eastAsia="es-MX"/>
              </w:rPr>
              <w:t xml:space="preserve">Ramo </w:t>
            </w:r>
          </w:p>
        </w:tc>
        <w:tc>
          <w:tcPr>
            <w:tcW w:w="3216" w:type="pct"/>
            <w:tcBorders>
              <w:top w:val="nil"/>
              <w:left w:val="nil"/>
              <w:bottom w:val="single" w:sz="4" w:space="0" w:color="auto"/>
              <w:right w:val="single" w:sz="4" w:space="0" w:color="auto"/>
            </w:tcBorders>
            <w:shd w:val="clear" w:color="auto" w:fill="auto"/>
            <w:vAlign w:val="center"/>
            <w:hideMark/>
          </w:tcPr>
          <w:p w14:paraId="501A4E49" w14:textId="58D2CF95" w:rsidR="00601296" w:rsidRPr="00A57D33" w:rsidRDefault="00601296" w:rsidP="00E67E43">
            <w:pPr>
              <w:spacing w:before="0" w:after="0"/>
              <w:rPr>
                <w:rFonts w:eastAsia="Times New Roman" w:cstheme="minorHAnsi"/>
                <w:color w:val="000000"/>
                <w:sz w:val="20"/>
                <w:szCs w:val="20"/>
                <w:lang w:eastAsia="es-MX"/>
              </w:rPr>
            </w:pPr>
            <w:r w:rsidRPr="00A57D33">
              <w:rPr>
                <w:rFonts w:eastAsia="Times New Roman" w:cstheme="minorHAnsi"/>
                <w:color w:val="000000"/>
                <w:sz w:val="20"/>
                <w:szCs w:val="20"/>
                <w:lang w:eastAsia="es-MX"/>
              </w:rPr>
              <w:t>11- Obras públicas y ordenamiento territorial</w:t>
            </w:r>
          </w:p>
        </w:tc>
      </w:tr>
      <w:tr w:rsidR="00601296" w:rsidRPr="005E1463" w14:paraId="45946C84" w14:textId="77777777" w:rsidTr="005E1463">
        <w:trPr>
          <w:trHeight w:val="48"/>
        </w:trPr>
        <w:tc>
          <w:tcPr>
            <w:tcW w:w="1784" w:type="pct"/>
            <w:tcBorders>
              <w:top w:val="nil"/>
              <w:left w:val="single" w:sz="4" w:space="0" w:color="auto"/>
              <w:bottom w:val="single" w:sz="4" w:space="0" w:color="auto"/>
              <w:right w:val="single" w:sz="4" w:space="0" w:color="auto"/>
            </w:tcBorders>
            <w:shd w:val="clear" w:color="000000" w:fill="9CC2E5"/>
            <w:vAlign w:val="center"/>
            <w:hideMark/>
          </w:tcPr>
          <w:p w14:paraId="7F931D16" w14:textId="77777777" w:rsidR="00601296" w:rsidRPr="00A57D33" w:rsidRDefault="00601296" w:rsidP="00E67E43">
            <w:pPr>
              <w:spacing w:before="0" w:after="0"/>
              <w:rPr>
                <w:rFonts w:eastAsia="Times New Roman" w:cstheme="minorHAnsi"/>
                <w:b/>
                <w:bCs/>
                <w:color w:val="000000"/>
                <w:sz w:val="20"/>
                <w:szCs w:val="20"/>
                <w:lang w:eastAsia="es-MX"/>
              </w:rPr>
            </w:pPr>
            <w:r w:rsidRPr="00A57D33">
              <w:rPr>
                <w:rFonts w:eastAsia="Times New Roman" w:cstheme="minorHAnsi"/>
                <w:b/>
                <w:bCs/>
                <w:color w:val="000000"/>
                <w:sz w:val="20"/>
                <w:szCs w:val="20"/>
                <w:lang w:eastAsia="es-MX"/>
              </w:rPr>
              <w:t xml:space="preserve">Propósito </w:t>
            </w:r>
          </w:p>
        </w:tc>
        <w:tc>
          <w:tcPr>
            <w:tcW w:w="3216" w:type="pct"/>
            <w:tcBorders>
              <w:top w:val="nil"/>
              <w:left w:val="nil"/>
              <w:bottom w:val="single" w:sz="4" w:space="0" w:color="auto"/>
              <w:right w:val="single" w:sz="4" w:space="0" w:color="auto"/>
            </w:tcBorders>
            <w:shd w:val="clear" w:color="auto" w:fill="auto"/>
            <w:vAlign w:val="center"/>
          </w:tcPr>
          <w:p w14:paraId="49CFD7BE" w14:textId="2F2C29E0" w:rsidR="00601296" w:rsidRPr="00A57D33" w:rsidRDefault="00601296" w:rsidP="00601296">
            <w:pPr>
              <w:spacing w:before="0" w:after="0"/>
              <w:rPr>
                <w:rFonts w:eastAsia="Times New Roman" w:cstheme="minorHAnsi"/>
                <w:color w:val="000000"/>
                <w:sz w:val="20"/>
                <w:szCs w:val="20"/>
                <w:lang w:eastAsia="es-MX"/>
              </w:rPr>
            </w:pPr>
            <w:r w:rsidRPr="00A57D33">
              <w:rPr>
                <w:rFonts w:eastAsia="Times New Roman" w:cstheme="minorHAnsi"/>
                <w:color w:val="000000"/>
                <w:sz w:val="20"/>
                <w:szCs w:val="20"/>
                <w:lang w:eastAsia="es-MX"/>
              </w:rPr>
              <w:t>Las zonas urbanas del estado de hidalgo implementan un programa de desarrollo urbano y territorial equilibrado.</w:t>
            </w:r>
          </w:p>
        </w:tc>
      </w:tr>
      <w:tr w:rsidR="00601296" w:rsidRPr="005E1463" w14:paraId="55B16544" w14:textId="77777777" w:rsidTr="005E1463">
        <w:trPr>
          <w:trHeight w:val="243"/>
        </w:trPr>
        <w:tc>
          <w:tcPr>
            <w:tcW w:w="1784" w:type="pct"/>
            <w:tcBorders>
              <w:top w:val="nil"/>
              <w:left w:val="single" w:sz="4" w:space="0" w:color="auto"/>
              <w:bottom w:val="single" w:sz="4" w:space="0" w:color="auto"/>
              <w:right w:val="single" w:sz="4" w:space="0" w:color="auto"/>
            </w:tcBorders>
            <w:shd w:val="clear" w:color="000000" w:fill="9CC2E5"/>
            <w:vAlign w:val="center"/>
            <w:hideMark/>
          </w:tcPr>
          <w:p w14:paraId="6A13CB48" w14:textId="77777777" w:rsidR="00601296" w:rsidRPr="00A57D33" w:rsidRDefault="00601296" w:rsidP="00601296">
            <w:pPr>
              <w:spacing w:before="0" w:after="0"/>
              <w:rPr>
                <w:rFonts w:eastAsia="Times New Roman" w:cstheme="minorHAnsi"/>
                <w:b/>
                <w:bCs/>
                <w:color w:val="000000"/>
                <w:sz w:val="20"/>
                <w:szCs w:val="20"/>
                <w:lang w:eastAsia="es-MX"/>
              </w:rPr>
            </w:pPr>
            <w:r w:rsidRPr="00A57D33">
              <w:rPr>
                <w:rFonts w:eastAsia="Times New Roman" w:cstheme="minorHAnsi"/>
                <w:b/>
                <w:bCs/>
                <w:color w:val="000000"/>
                <w:sz w:val="20"/>
                <w:szCs w:val="20"/>
                <w:lang w:eastAsia="es-MX"/>
              </w:rPr>
              <w:t xml:space="preserve">Población o área de enfoque objetivo </w:t>
            </w:r>
          </w:p>
        </w:tc>
        <w:tc>
          <w:tcPr>
            <w:tcW w:w="3216" w:type="pct"/>
            <w:tcBorders>
              <w:top w:val="nil"/>
              <w:left w:val="nil"/>
              <w:bottom w:val="single" w:sz="4" w:space="0" w:color="auto"/>
              <w:right w:val="single" w:sz="4" w:space="0" w:color="auto"/>
            </w:tcBorders>
            <w:shd w:val="clear" w:color="auto" w:fill="auto"/>
          </w:tcPr>
          <w:p w14:paraId="146A865D" w14:textId="63200D73" w:rsidR="00601296" w:rsidRPr="00A57D33" w:rsidRDefault="00601296" w:rsidP="00601296">
            <w:pPr>
              <w:spacing w:before="0" w:after="0"/>
              <w:rPr>
                <w:rFonts w:eastAsia="Times New Roman" w:cstheme="minorHAnsi"/>
                <w:color w:val="000000"/>
                <w:sz w:val="20"/>
                <w:szCs w:val="20"/>
                <w:lang w:eastAsia="es-MX"/>
              </w:rPr>
            </w:pPr>
            <w:r w:rsidRPr="005E1463">
              <w:rPr>
                <w:sz w:val="20"/>
                <w:szCs w:val="20"/>
              </w:rPr>
              <w:t xml:space="preserve">Población total de la </w:t>
            </w:r>
            <w:r w:rsidR="007E4A81">
              <w:rPr>
                <w:sz w:val="20"/>
                <w:szCs w:val="20"/>
              </w:rPr>
              <w:t>e</w:t>
            </w:r>
            <w:r w:rsidRPr="005E1463">
              <w:rPr>
                <w:sz w:val="20"/>
                <w:szCs w:val="20"/>
              </w:rPr>
              <w:t>ntidad</w:t>
            </w:r>
            <w:r w:rsidR="007E4A81">
              <w:rPr>
                <w:sz w:val="20"/>
                <w:szCs w:val="20"/>
              </w:rPr>
              <w:t xml:space="preserve"> federativa</w:t>
            </w:r>
          </w:p>
        </w:tc>
      </w:tr>
      <w:tr w:rsidR="00601296" w:rsidRPr="005E1463" w14:paraId="18F0D00D" w14:textId="77777777" w:rsidTr="005E1463">
        <w:trPr>
          <w:trHeight w:val="48"/>
        </w:trPr>
        <w:tc>
          <w:tcPr>
            <w:tcW w:w="1784" w:type="pct"/>
            <w:tcBorders>
              <w:top w:val="nil"/>
              <w:left w:val="single" w:sz="4" w:space="0" w:color="auto"/>
              <w:bottom w:val="single" w:sz="4" w:space="0" w:color="auto"/>
              <w:right w:val="single" w:sz="4" w:space="0" w:color="auto"/>
            </w:tcBorders>
            <w:shd w:val="clear" w:color="000000" w:fill="9CC2E5"/>
            <w:vAlign w:val="center"/>
            <w:hideMark/>
          </w:tcPr>
          <w:p w14:paraId="1186C67C" w14:textId="77777777" w:rsidR="00601296" w:rsidRPr="00A57D33" w:rsidRDefault="00601296" w:rsidP="00601296">
            <w:pPr>
              <w:spacing w:before="0" w:after="0"/>
              <w:rPr>
                <w:rFonts w:eastAsia="Times New Roman" w:cstheme="minorHAnsi"/>
                <w:b/>
                <w:bCs/>
                <w:color w:val="000000"/>
                <w:sz w:val="20"/>
                <w:szCs w:val="20"/>
                <w:lang w:eastAsia="es-MX"/>
              </w:rPr>
            </w:pPr>
            <w:r w:rsidRPr="00A57D33">
              <w:rPr>
                <w:rFonts w:eastAsia="Times New Roman" w:cstheme="minorHAnsi"/>
                <w:b/>
                <w:bCs/>
                <w:color w:val="000000"/>
                <w:sz w:val="20"/>
                <w:szCs w:val="20"/>
                <w:lang w:eastAsia="es-MX"/>
              </w:rPr>
              <w:t xml:space="preserve">Tipos de Componentes que entrega a sus destinatarios </w:t>
            </w:r>
          </w:p>
        </w:tc>
        <w:tc>
          <w:tcPr>
            <w:tcW w:w="3216" w:type="pct"/>
            <w:tcBorders>
              <w:top w:val="nil"/>
              <w:left w:val="nil"/>
              <w:bottom w:val="single" w:sz="4" w:space="0" w:color="auto"/>
              <w:right w:val="single" w:sz="4" w:space="0" w:color="auto"/>
            </w:tcBorders>
            <w:shd w:val="clear" w:color="auto" w:fill="auto"/>
          </w:tcPr>
          <w:p w14:paraId="7A794248" w14:textId="4884A482" w:rsidR="00601296" w:rsidRPr="00A57D33" w:rsidRDefault="00601296" w:rsidP="00601296">
            <w:pPr>
              <w:spacing w:before="0" w:after="0"/>
              <w:rPr>
                <w:rFonts w:eastAsia="Times New Roman" w:cstheme="minorHAnsi"/>
                <w:color w:val="000000"/>
                <w:sz w:val="20"/>
                <w:szCs w:val="20"/>
                <w:lang w:eastAsia="es-MX"/>
              </w:rPr>
            </w:pPr>
            <w:r w:rsidRPr="00A57D33">
              <w:rPr>
                <w:rFonts w:eastAsia="Times New Roman" w:cstheme="minorHAnsi"/>
                <w:color w:val="000000"/>
                <w:sz w:val="20"/>
                <w:szCs w:val="20"/>
                <w:lang w:eastAsia="es-MX"/>
              </w:rPr>
              <w:t xml:space="preserve">Obra pública en equipamiento urbano, </w:t>
            </w:r>
            <w:r w:rsidRPr="005E1463">
              <w:rPr>
                <w:sz w:val="20"/>
                <w:szCs w:val="20"/>
              </w:rPr>
              <w:t xml:space="preserve">obra pública en infraestructura básica para la atención a los pueblos indígenas, programas de desarrollo urbano y </w:t>
            </w:r>
            <w:r w:rsidR="007C6C5E" w:rsidRPr="005E1463">
              <w:rPr>
                <w:sz w:val="20"/>
                <w:szCs w:val="20"/>
              </w:rPr>
              <w:t>ordenamiento territorial municipal, regional y estatal</w:t>
            </w:r>
            <w:r w:rsidRPr="005E1463">
              <w:rPr>
                <w:sz w:val="20"/>
                <w:szCs w:val="20"/>
              </w:rPr>
              <w:t xml:space="preserve">. </w:t>
            </w:r>
          </w:p>
        </w:tc>
      </w:tr>
      <w:tr w:rsidR="00601296" w:rsidRPr="005E1463" w14:paraId="04E43AEC" w14:textId="77777777" w:rsidTr="005E1463">
        <w:trPr>
          <w:trHeight w:val="243"/>
        </w:trPr>
        <w:tc>
          <w:tcPr>
            <w:tcW w:w="1784" w:type="pct"/>
            <w:tcBorders>
              <w:top w:val="nil"/>
              <w:left w:val="single" w:sz="4" w:space="0" w:color="auto"/>
              <w:bottom w:val="single" w:sz="4" w:space="0" w:color="auto"/>
              <w:right w:val="single" w:sz="4" w:space="0" w:color="auto"/>
            </w:tcBorders>
            <w:shd w:val="clear" w:color="000000" w:fill="9CC2E5"/>
            <w:vAlign w:val="center"/>
            <w:hideMark/>
          </w:tcPr>
          <w:p w14:paraId="696A3AFE" w14:textId="77777777" w:rsidR="00601296" w:rsidRPr="00A57D33" w:rsidRDefault="00601296" w:rsidP="00601296">
            <w:pPr>
              <w:spacing w:before="0" w:after="0"/>
              <w:rPr>
                <w:rFonts w:eastAsia="Times New Roman" w:cstheme="minorHAnsi"/>
                <w:b/>
                <w:bCs/>
                <w:color w:val="000000"/>
                <w:sz w:val="20"/>
                <w:szCs w:val="20"/>
                <w:lang w:eastAsia="es-MX"/>
              </w:rPr>
            </w:pPr>
            <w:r w:rsidRPr="00A57D33">
              <w:rPr>
                <w:rFonts w:eastAsia="Times New Roman" w:cstheme="minorHAnsi"/>
                <w:b/>
                <w:bCs/>
                <w:color w:val="000000"/>
                <w:sz w:val="20"/>
                <w:szCs w:val="20"/>
                <w:lang w:eastAsia="es-MX"/>
              </w:rPr>
              <w:t xml:space="preserve">Cobertura Geográfica </w:t>
            </w:r>
          </w:p>
        </w:tc>
        <w:tc>
          <w:tcPr>
            <w:tcW w:w="3216" w:type="pct"/>
            <w:tcBorders>
              <w:top w:val="nil"/>
              <w:left w:val="nil"/>
              <w:bottom w:val="single" w:sz="4" w:space="0" w:color="auto"/>
              <w:right w:val="single" w:sz="4" w:space="0" w:color="auto"/>
            </w:tcBorders>
            <w:shd w:val="clear" w:color="auto" w:fill="auto"/>
            <w:hideMark/>
          </w:tcPr>
          <w:p w14:paraId="2B660BED" w14:textId="1AC6E330" w:rsidR="00601296" w:rsidRPr="00A57D33" w:rsidRDefault="00601296" w:rsidP="00601296">
            <w:pPr>
              <w:spacing w:before="0" w:after="0"/>
              <w:rPr>
                <w:rFonts w:eastAsia="Times New Roman" w:cstheme="minorHAnsi"/>
                <w:color w:val="000000"/>
                <w:sz w:val="20"/>
                <w:szCs w:val="20"/>
                <w:lang w:eastAsia="es-MX"/>
              </w:rPr>
            </w:pPr>
            <w:r w:rsidRPr="005E1463">
              <w:rPr>
                <w:sz w:val="20"/>
                <w:szCs w:val="20"/>
              </w:rPr>
              <w:t>Estatal</w:t>
            </w:r>
          </w:p>
        </w:tc>
      </w:tr>
      <w:tr w:rsidR="00601296" w:rsidRPr="005E1463" w14:paraId="57B8503B" w14:textId="77777777" w:rsidTr="005E1463">
        <w:trPr>
          <w:trHeight w:val="243"/>
        </w:trPr>
        <w:tc>
          <w:tcPr>
            <w:tcW w:w="1784" w:type="pct"/>
            <w:tcBorders>
              <w:top w:val="nil"/>
              <w:left w:val="single" w:sz="4" w:space="0" w:color="auto"/>
              <w:bottom w:val="single" w:sz="4" w:space="0" w:color="auto"/>
              <w:right w:val="single" w:sz="4" w:space="0" w:color="auto"/>
            </w:tcBorders>
            <w:shd w:val="clear" w:color="000000" w:fill="9CC2E5"/>
            <w:vAlign w:val="center"/>
            <w:hideMark/>
          </w:tcPr>
          <w:p w14:paraId="42B52F93" w14:textId="77777777" w:rsidR="00601296" w:rsidRPr="00A57D33" w:rsidRDefault="00601296" w:rsidP="00601296">
            <w:pPr>
              <w:spacing w:before="0" w:after="0"/>
              <w:rPr>
                <w:rFonts w:eastAsia="Times New Roman" w:cstheme="minorHAnsi"/>
                <w:b/>
                <w:bCs/>
                <w:color w:val="000000"/>
                <w:sz w:val="20"/>
                <w:szCs w:val="20"/>
                <w:lang w:eastAsia="es-MX"/>
              </w:rPr>
            </w:pPr>
            <w:r w:rsidRPr="00A57D33">
              <w:rPr>
                <w:rFonts w:eastAsia="Times New Roman" w:cstheme="minorHAnsi"/>
                <w:b/>
                <w:bCs/>
                <w:color w:val="000000"/>
                <w:sz w:val="20"/>
                <w:szCs w:val="20"/>
                <w:lang w:eastAsia="es-MX"/>
              </w:rPr>
              <w:t xml:space="preserve">Fuentes de Información </w:t>
            </w:r>
          </w:p>
        </w:tc>
        <w:tc>
          <w:tcPr>
            <w:tcW w:w="3216" w:type="pct"/>
            <w:tcBorders>
              <w:top w:val="nil"/>
              <w:left w:val="nil"/>
              <w:bottom w:val="single" w:sz="4" w:space="0" w:color="auto"/>
              <w:right w:val="single" w:sz="4" w:space="0" w:color="auto"/>
            </w:tcBorders>
            <w:shd w:val="clear" w:color="auto" w:fill="auto"/>
            <w:hideMark/>
          </w:tcPr>
          <w:p w14:paraId="3BEEEAF3" w14:textId="314A972B" w:rsidR="00601296" w:rsidRPr="00A57D33" w:rsidRDefault="00601296" w:rsidP="00601296">
            <w:pPr>
              <w:spacing w:before="0" w:after="0"/>
              <w:rPr>
                <w:rFonts w:eastAsia="Times New Roman" w:cstheme="minorHAnsi"/>
                <w:color w:val="000000"/>
                <w:sz w:val="20"/>
                <w:szCs w:val="20"/>
                <w:lang w:eastAsia="es-MX"/>
              </w:rPr>
            </w:pPr>
            <w:r w:rsidRPr="005E1463">
              <w:rPr>
                <w:sz w:val="20"/>
                <w:szCs w:val="20"/>
              </w:rPr>
              <w:t>MIR de los Pp de la estructura programática estatal</w:t>
            </w:r>
          </w:p>
        </w:tc>
      </w:tr>
      <w:tr w:rsidR="00601296" w:rsidRPr="005E1463" w14:paraId="7386558F" w14:textId="77777777" w:rsidTr="005E1463">
        <w:trPr>
          <w:trHeight w:val="243"/>
        </w:trPr>
        <w:tc>
          <w:tcPr>
            <w:tcW w:w="1784" w:type="pct"/>
            <w:tcBorders>
              <w:top w:val="nil"/>
              <w:left w:val="single" w:sz="4" w:space="0" w:color="auto"/>
              <w:bottom w:val="single" w:sz="4" w:space="0" w:color="auto"/>
              <w:right w:val="single" w:sz="4" w:space="0" w:color="auto"/>
            </w:tcBorders>
            <w:shd w:val="clear" w:color="000000" w:fill="9CC2E5"/>
            <w:vAlign w:val="center"/>
            <w:hideMark/>
          </w:tcPr>
          <w:p w14:paraId="54EACD1C" w14:textId="77777777" w:rsidR="00601296" w:rsidRPr="00A57D33" w:rsidRDefault="00601296" w:rsidP="00601296">
            <w:pPr>
              <w:spacing w:before="0" w:after="0"/>
              <w:rPr>
                <w:rFonts w:eastAsia="Times New Roman" w:cstheme="minorHAnsi"/>
                <w:b/>
                <w:bCs/>
                <w:color w:val="000000"/>
                <w:sz w:val="20"/>
                <w:szCs w:val="20"/>
                <w:lang w:eastAsia="es-MX"/>
              </w:rPr>
            </w:pPr>
            <w:r w:rsidRPr="00A57D33">
              <w:rPr>
                <w:rFonts w:eastAsia="Times New Roman" w:cstheme="minorHAnsi"/>
                <w:b/>
                <w:bCs/>
                <w:color w:val="000000"/>
                <w:sz w:val="20"/>
                <w:szCs w:val="20"/>
                <w:lang w:eastAsia="es-MX"/>
              </w:rPr>
              <w:t xml:space="preserve">¿Es coincidente? </w:t>
            </w:r>
          </w:p>
        </w:tc>
        <w:tc>
          <w:tcPr>
            <w:tcW w:w="3216" w:type="pct"/>
            <w:tcBorders>
              <w:top w:val="nil"/>
              <w:left w:val="nil"/>
              <w:bottom w:val="single" w:sz="4" w:space="0" w:color="auto"/>
              <w:right w:val="single" w:sz="4" w:space="0" w:color="auto"/>
            </w:tcBorders>
            <w:shd w:val="clear" w:color="auto" w:fill="auto"/>
            <w:hideMark/>
          </w:tcPr>
          <w:p w14:paraId="4ECB97AB" w14:textId="37AE03D2" w:rsidR="00601296" w:rsidRPr="00A57D33" w:rsidRDefault="00601296" w:rsidP="00601296">
            <w:pPr>
              <w:spacing w:before="0" w:after="0"/>
              <w:rPr>
                <w:rFonts w:eastAsia="Times New Roman" w:cstheme="minorHAnsi"/>
                <w:color w:val="000000"/>
                <w:sz w:val="20"/>
                <w:szCs w:val="20"/>
                <w:lang w:eastAsia="es-MX"/>
              </w:rPr>
            </w:pPr>
            <w:r w:rsidRPr="005E1463">
              <w:rPr>
                <w:sz w:val="20"/>
                <w:szCs w:val="20"/>
              </w:rPr>
              <w:t>No</w:t>
            </w:r>
          </w:p>
        </w:tc>
      </w:tr>
      <w:tr w:rsidR="00601296" w:rsidRPr="005E1463" w14:paraId="335755C5" w14:textId="77777777" w:rsidTr="005E1463">
        <w:trPr>
          <w:trHeight w:val="243"/>
        </w:trPr>
        <w:tc>
          <w:tcPr>
            <w:tcW w:w="1784" w:type="pct"/>
            <w:tcBorders>
              <w:top w:val="nil"/>
              <w:left w:val="single" w:sz="4" w:space="0" w:color="auto"/>
              <w:bottom w:val="single" w:sz="4" w:space="0" w:color="auto"/>
              <w:right w:val="single" w:sz="4" w:space="0" w:color="auto"/>
            </w:tcBorders>
            <w:shd w:val="clear" w:color="000000" w:fill="9CC2E5"/>
            <w:vAlign w:val="center"/>
            <w:hideMark/>
          </w:tcPr>
          <w:p w14:paraId="038D3202" w14:textId="77777777" w:rsidR="00601296" w:rsidRPr="00A57D33" w:rsidRDefault="00601296" w:rsidP="00601296">
            <w:pPr>
              <w:spacing w:before="0" w:after="0"/>
              <w:rPr>
                <w:rFonts w:eastAsia="Times New Roman" w:cstheme="minorHAnsi"/>
                <w:b/>
                <w:bCs/>
                <w:color w:val="000000"/>
                <w:sz w:val="20"/>
                <w:szCs w:val="20"/>
                <w:lang w:eastAsia="es-MX"/>
              </w:rPr>
            </w:pPr>
            <w:r w:rsidRPr="00A57D33">
              <w:rPr>
                <w:rFonts w:eastAsia="Times New Roman" w:cstheme="minorHAnsi"/>
                <w:b/>
                <w:bCs/>
                <w:color w:val="000000"/>
                <w:sz w:val="20"/>
                <w:szCs w:val="20"/>
                <w:lang w:eastAsia="es-MX"/>
              </w:rPr>
              <w:t xml:space="preserve">¿Se complementa? </w:t>
            </w:r>
          </w:p>
        </w:tc>
        <w:tc>
          <w:tcPr>
            <w:tcW w:w="3216" w:type="pct"/>
            <w:tcBorders>
              <w:top w:val="nil"/>
              <w:left w:val="nil"/>
              <w:bottom w:val="single" w:sz="4" w:space="0" w:color="auto"/>
              <w:right w:val="single" w:sz="4" w:space="0" w:color="auto"/>
            </w:tcBorders>
            <w:shd w:val="clear" w:color="auto" w:fill="auto"/>
            <w:hideMark/>
          </w:tcPr>
          <w:p w14:paraId="5AC42F4C" w14:textId="7C99185D" w:rsidR="00601296" w:rsidRPr="00A57D33" w:rsidRDefault="00601296" w:rsidP="00601296">
            <w:pPr>
              <w:spacing w:before="0" w:after="0"/>
              <w:rPr>
                <w:rFonts w:eastAsia="Times New Roman" w:cstheme="minorHAnsi"/>
                <w:color w:val="000000"/>
                <w:sz w:val="20"/>
                <w:szCs w:val="20"/>
                <w:lang w:eastAsia="es-MX"/>
              </w:rPr>
            </w:pPr>
            <w:r w:rsidRPr="005E1463">
              <w:rPr>
                <w:sz w:val="20"/>
                <w:szCs w:val="20"/>
              </w:rPr>
              <w:t>Sí</w:t>
            </w:r>
          </w:p>
        </w:tc>
      </w:tr>
      <w:tr w:rsidR="00601296" w:rsidRPr="005E1463" w14:paraId="2AAEE43F" w14:textId="77777777" w:rsidTr="005E1463">
        <w:trPr>
          <w:trHeight w:val="48"/>
        </w:trPr>
        <w:tc>
          <w:tcPr>
            <w:tcW w:w="1784" w:type="pct"/>
            <w:tcBorders>
              <w:top w:val="nil"/>
              <w:left w:val="single" w:sz="4" w:space="0" w:color="auto"/>
              <w:bottom w:val="single" w:sz="4" w:space="0" w:color="auto"/>
              <w:right w:val="single" w:sz="4" w:space="0" w:color="auto"/>
            </w:tcBorders>
            <w:shd w:val="clear" w:color="000000" w:fill="9CC2E5"/>
            <w:vAlign w:val="center"/>
            <w:hideMark/>
          </w:tcPr>
          <w:p w14:paraId="38823445" w14:textId="77777777" w:rsidR="00601296" w:rsidRPr="00A57D33" w:rsidRDefault="00601296" w:rsidP="00E67E43">
            <w:pPr>
              <w:spacing w:before="0" w:after="0"/>
              <w:rPr>
                <w:rFonts w:eastAsia="Times New Roman" w:cstheme="minorHAnsi"/>
                <w:b/>
                <w:bCs/>
                <w:color w:val="000000"/>
                <w:sz w:val="20"/>
                <w:szCs w:val="20"/>
                <w:lang w:eastAsia="es-MX"/>
              </w:rPr>
            </w:pPr>
            <w:r w:rsidRPr="00A57D33">
              <w:rPr>
                <w:rFonts w:eastAsia="Times New Roman" w:cstheme="minorHAnsi"/>
                <w:b/>
                <w:bCs/>
                <w:color w:val="000000"/>
                <w:sz w:val="20"/>
                <w:szCs w:val="20"/>
                <w:lang w:eastAsia="es-MX"/>
              </w:rPr>
              <w:t>Argumentación</w:t>
            </w:r>
          </w:p>
        </w:tc>
        <w:tc>
          <w:tcPr>
            <w:tcW w:w="3216" w:type="pct"/>
            <w:tcBorders>
              <w:top w:val="nil"/>
              <w:left w:val="nil"/>
              <w:bottom w:val="single" w:sz="4" w:space="0" w:color="auto"/>
              <w:right w:val="single" w:sz="4" w:space="0" w:color="auto"/>
            </w:tcBorders>
            <w:shd w:val="clear" w:color="auto" w:fill="auto"/>
            <w:vAlign w:val="center"/>
          </w:tcPr>
          <w:p w14:paraId="761BFC67" w14:textId="5679F333" w:rsidR="00601296" w:rsidRPr="00A57D33" w:rsidRDefault="0018710B" w:rsidP="00E67E43">
            <w:pPr>
              <w:spacing w:before="0" w:after="0"/>
              <w:rPr>
                <w:rFonts w:eastAsia="Times New Roman" w:cstheme="minorHAnsi"/>
                <w:color w:val="000000"/>
                <w:sz w:val="20"/>
                <w:szCs w:val="20"/>
                <w:lang w:eastAsia="es-MX"/>
              </w:rPr>
            </w:pPr>
            <w:r>
              <w:rPr>
                <w:rFonts w:eastAsia="Times New Roman" w:cstheme="minorHAnsi"/>
                <w:color w:val="000000"/>
                <w:sz w:val="20"/>
                <w:szCs w:val="20"/>
                <w:lang w:eastAsia="es-MX"/>
              </w:rPr>
              <w:t>Los recursos del Fondo c</w:t>
            </w:r>
            <w:r w:rsidR="00601296" w:rsidRPr="00A57D33">
              <w:rPr>
                <w:rFonts w:eastAsia="Times New Roman" w:cstheme="minorHAnsi"/>
                <w:color w:val="000000"/>
                <w:sz w:val="20"/>
                <w:szCs w:val="20"/>
                <w:lang w:eastAsia="es-MX"/>
              </w:rPr>
              <w:t>ontribuye</w:t>
            </w:r>
            <w:r>
              <w:rPr>
                <w:rFonts w:eastAsia="Times New Roman" w:cstheme="minorHAnsi"/>
                <w:color w:val="000000"/>
                <w:sz w:val="20"/>
                <w:szCs w:val="20"/>
                <w:lang w:eastAsia="es-MX"/>
              </w:rPr>
              <w:t>n</w:t>
            </w:r>
            <w:r w:rsidR="00601296" w:rsidRPr="00A57D33">
              <w:rPr>
                <w:rFonts w:eastAsia="Times New Roman" w:cstheme="minorHAnsi"/>
                <w:color w:val="000000"/>
                <w:sz w:val="20"/>
                <w:szCs w:val="20"/>
                <w:lang w:eastAsia="es-MX"/>
              </w:rPr>
              <w:t xml:space="preserve"> al desarrollo de las regiones del Estado de Hidalgo, mediante el aumento de acciones en materia de obra pública y el aumento de acciones en materia de agua, drenaje y saneamiento.</w:t>
            </w:r>
            <w:r w:rsidR="00771353">
              <w:rPr>
                <w:rFonts w:eastAsia="Times New Roman" w:cstheme="minorHAnsi"/>
                <w:color w:val="000000"/>
                <w:sz w:val="20"/>
                <w:szCs w:val="20"/>
                <w:lang w:eastAsia="es-MX"/>
              </w:rPr>
              <w:t xml:space="preserve">  </w:t>
            </w:r>
          </w:p>
        </w:tc>
      </w:tr>
      <w:tr w:rsidR="00601296" w:rsidRPr="005E1463" w14:paraId="217E0856" w14:textId="77777777" w:rsidTr="005E1463">
        <w:trPr>
          <w:trHeight w:val="243"/>
        </w:trPr>
        <w:tc>
          <w:tcPr>
            <w:tcW w:w="1784" w:type="pct"/>
            <w:tcBorders>
              <w:top w:val="nil"/>
              <w:left w:val="single" w:sz="4" w:space="0" w:color="auto"/>
              <w:bottom w:val="single" w:sz="4" w:space="0" w:color="auto"/>
              <w:right w:val="single" w:sz="4" w:space="0" w:color="auto"/>
            </w:tcBorders>
            <w:shd w:val="clear" w:color="000000" w:fill="9CC2E5"/>
            <w:vAlign w:val="center"/>
            <w:hideMark/>
          </w:tcPr>
          <w:p w14:paraId="1276FCDC" w14:textId="77777777" w:rsidR="00601296" w:rsidRPr="00A57D33" w:rsidRDefault="00601296" w:rsidP="00E67E43">
            <w:pPr>
              <w:spacing w:before="0" w:after="0"/>
              <w:rPr>
                <w:rFonts w:eastAsia="Times New Roman" w:cstheme="minorHAnsi"/>
                <w:b/>
                <w:bCs/>
                <w:color w:val="000000"/>
                <w:sz w:val="20"/>
                <w:szCs w:val="20"/>
                <w:lang w:eastAsia="es-MX"/>
              </w:rPr>
            </w:pPr>
            <w:r w:rsidRPr="00A57D33">
              <w:rPr>
                <w:rFonts w:eastAsia="Times New Roman" w:cstheme="minorHAnsi"/>
                <w:b/>
                <w:bCs/>
                <w:color w:val="000000"/>
                <w:sz w:val="20"/>
                <w:szCs w:val="20"/>
                <w:lang w:eastAsia="es-MX"/>
              </w:rPr>
              <w:t>Recomendación</w:t>
            </w:r>
          </w:p>
        </w:tc>
        <w:tc>
          <w:tcPr>
            <w:tcW w:w="3216" w:type="pct"/>
            <w:tcBorders>
              <w:top w:val="nil"/>
              <w:left w:val="nil"/>
              <w:bottom w:val="single" w:sz="4" w:space="0" w:color="auto"/>
              <w:right w:val="single" w:sz="4" w:space="0" w:color="auto"/>
            </w:tcBorders>
            <w:shd w:val="clear" w:color="auto" w:fill="auto"/>
            <w:vAlign w:val="center"/>
            <w:hideMark/>
          </w:tcPr>
          <w:p w14:paraId="79CF51B2" w14:textId="77777777" w:rsidR="00601296" w:rsidRPr="00A57D33" w:rsidRDefault="00601296" w:rsidP="00E67E43">
            <w:pPr>
              <w:spacing w:before="0" w:after="0"/>
              <w:rPr>
                <w:rFonts w:eastAsia="Times New Roman" w:cstheme="minorHAnsi"/>
                <w:color w:val="000000"/>
                <w:sz w:val="20"/>
                <w:szCs w:val="20"/>
                <w:lang w:eastAsia="es-MX"/>
              </w:rPr>
            </w:pPr>
            <w:r w:rsidRPr="00A57D33">
              <w:rPr>
                <w:rFonts w:eastAsia="Times New Roman" w:cstheme="minorHAnsi"/>
                <w:color w:val="000000"/>
                <w:sz w:val="20"/>
                <w:szCs w:val="20"/>
                <w:lang w:eastAsia="es-MX"/>
              </w:rPr>
              <w:t>Sin recomendación</w:t>
            </w:r>
          </w:p>
        </w:tc>
      </w:tr>
    </w:tbl>
    <w:p w14:paraId="2CE6B7DA" w14:textId="3EB788D1" w:rsidR="00601296" w:rsidRDefault="00601296" w:rsidP="00EB1844">
      <w:pPr>
        <w:rPr>
          <w:sz w:val="8"/>
          <w:szCs w:val="8"/>
        </w:rPr>
      </w:pPr>
    </w:p>
    <w:tbl>
      <w:tblPr>
        <w:tblW w:w="4980" w:type="pct"/>
        <w:tblInd w:w="-5" w:type="dxa"/>
        <w:tblCellMar>
          <w:left w:w="70" w:type="dxa"/>
          <w:right w:w="70" w:type="dxa"/>
        </w:tblCellMar>
        <w:tblLook w:val="04A0" w:firstRow="1" w:lastRow="0" w:firstColumn="1" w:lastColumn="0" w:noHBand="0" w:noVBand="1"/>
      </w:tblPr>
      <w:tblGrid>
        <w:gridCol w:w="4820"/>
        <w:gridCol w:w="8688"/>
      </w:tblGrid>
      <w:tr w:rsidR="00A57D33" w:rsidRPr="00CD7AFF" w14:paraId="30E46394" w14:textId="77777777" w:rsidTr="005E1463">
        <w:trPr>
          <w:trHeight w:val="226"/>
        </w:trPr>
        <w:tc>
          <w:tcPr>
            <w:tcW w:w="1784" w:type="pct"/>
            <w:tcBorders>
              <w:top w:val="single" w:sz="4" w:space="0" w:color="auto"/>
              <w:left w:val="single" w:sz="4" w:space="0" w:color="auto"/>
              <w:bottom w:val="single" w:sz="4" w:space="0" w:color="auto"/>
              <w:right w:val="single" w:sz="4" w:space="0" w:color="auto"/>
            </w:tcBorders>
            <w:shd w:val="clear" w:color="000000" w:fill="9CC2E5"/>
            <w:vAlign w:val="center"/>
            <w:hideMark/>
          </w:tcPr>
          <w:p w14:paraId="327A1C8E" w14:textId="77777777" w:rsidR="00A57D33" w:rsidRPr="00CD7AFF" w:rsidRDefault="00A57D33" w:rsidP="00E67E43">
            <w:pPr>
              <w:spacing w:before="0" w:after="0"/>
              <w:rPr>
                <w:rFonts w:eastAsia="Times New Roman" w:cstheme="minorHAnsi"/>
                <w:b/>
                <w:bCs/>
                <w:color w:val="000000"/>
                <w:sz w:val="20"/>
                <w:szCs w:val="20"/>
                <w:lang w:eastAsia="es-MX"/>
              </w:rPr>
            </w:pPr>
            <w:r w:rsidRPr="00CD7AFF">
              <w:rPr>
                <w:rFonts w:eastAsia="Times New Roman" w:cstheme="minorHAnsi"/>
                <w:b/>
                <w:bCs/>
                <w:color w:val="000000"/>
                <w:sz w:val="20"/>
                <w:szCs w:val="20"/>
                <w:lang w:eastAsia="es-MX"/>
              </w:rPr>
              <w:t>Nombre de las políticas, programas o proyectos locales</w:t>
            </w:r>
          </w:p>
        </w:tc>
        <w:tc>
          <w:tcPr>
            <w:tcW w:w="3216" w:type="pct"/>
            <w:tcBorders>
              <w:top w:val="single" w:sz="4" w:space="0" w:color="auto"/>
              <w:left w:val="nil"/>
              <w:bottom w:val="single" w:sz="4" w:space="0" w:color="auto"/>
              <w:right w:val="single" w:sz="4" w:space="0" w:color="auto"/>
            </w:tcBorders>
            <w:shd w:val="clear" w:color="auto" w:fill="auto"/>
            <w:vAlign w:val="center"/>
            <w:hideMark/>
          </w:tcPr>
          <w:p w14:paraId="11A638F9" w14:textId="25628B6D" w:rsidR="00A57D33" w:rsidRPr="00CD7AFF" w:rsidRDefault="00A57D33" w:rsidP="00E67E43">
            <w:pPr>
              <w:spacing w:before="0" w:after="0"/>
              <w:rPr>
                <w:rFonts w:eastAsia="Times New Roman" w:cstheme="minorHAnsi"/>
                <w:color w:val="000000"/>
                <w:sz w:val="20"/>
                <w:szCs w:val="20"/>
                <w:lang w:eastAsia="es-MX"/>
              </w:rPr>
            </w:pPr>
            <w:r w:rsidRPr="00CD7AFF">
              <w:rPr>
                <w:rFonts w:cs="Arial"/>
                <w:sz w:val="20"/>
                <w:szCs w:val="20"/>
              </w:rPr>
              <w:t>Infraestructura Agrícola</w:t>
            </w:r>
          </w:p>
        </w:tc>
      </w:tr>
      <w:tr w:rsidR="00A57D33" w:rsidRPr="00CD7AFF" w14:paraId="7CDAB3F2" w14:textId="77777777" w:rsidTr="005E1463">
        <w:trPr>
          <w:trHeight w:val="243"/>
        </w:trPr>
        <w:tc>
          <w:tcPr>
            <w:tcW w:w="1784" w:type="pct"/>
            <w:tcBorders>
              <w:top w:val="nil"/>
              <w:left w:val="single" w:sz="4" w:space="0" w:color="auto"/>
              <w:bottom w:val="single" w:sz="4" w:space="0" w:color="auto"/>
              <w:right w:val="single" w:sz="4" w:space="0" w:color="auto"/>
            </w:tcBorders>
            <w:shd w:val="clear" w:color="000000" w:fill="9CC2E5"/>
            <w:vAlign w:val="center"/>
            <w:hideMark/>
          </w:tcPr>
          <w:p w14:paraId="44CCE44E" w14:textId="77777777" w:rsidR="00A57D33" w:rsidRPr="00CD7AFF" w:rsidRDefault="00A57D33" w:rsidP="00E67E43">
            <w:pPr>
              <w:spacing w:before="0" w:after="0"/>
              <w:rPr>
                <w:rFonts w:eastAsia="Times New Roman" w:cstheme="minorHAnsi"/>
                <w:b/>
                <w:bCs/>
                <w:color w:val="000000"/>
                <w:sz w:val="20"/>
                <w:szCs w:val="20"/>
                <w:lang w:eastAsia="es-MX"/>
              </w:rPr>
            </w:pPr>
            <w:r w:rsidRPr="00CD7AFF">
              <w:rPr>
                <w:rFonts w:eastAsia="Times New Roman" w:cstheme="minorHAnsi"/>
                <w:b/>
                <w:bCs/>
                <w:color w:val="000000"/>
                <w:sz w:val="20"/>
                <w:szCs w:val="20"/>
                <w:lang w:eastAsia="es-MX"/>
              </w:rPr>
              <w:t xml:space="preserve">Modalidad y Clave </w:t>
            </w:r>
          </w:p>
        </w:tc>
        <w:tc>
          <w:tcPr>
            <w:tcW w:w="3216" w:type="pct"/>
            <w:tcBorders>
              <w:top w:val="nil"/>
              <w:left w:val="nil"/>
              <w:bottom w:val="single" w:sz="4" w:space="0" w:color="auto"/>
              <w:right w:val="single" w:sz="4" w:space="0" w:color="auto"/>
            </w:tcBorders>
            <w:shd w:val="clear" w:color="auto" w:fill="auto"/>
            <w:vAlign w:val="center"/>
            <w:hideMark/>
          </w:tcPr>
          <w:p w14:paraId="035F5F61" w14:textId="593395FB" w:rsidR="00A57D33" w:rsidRPr="00CD7AFF" w:rsidRDefault="00A57D33" w:rsidP="00E67E43">
            <w:pPr>
              <w:spacing w:before="0" w:after="0"/>
              <w:rPr>
                <w:rFonts w:eastAsia="Times New Roman" w:cstheme="minorHAnsi"/>
                <w:color w:val="000000"/>
                <w:sz w:val="20"/>
                <w:szCs w:val="20"/>
                <w:lang w:eastAsia="es-MX"/>
              </w:rPr>
            </w:pPr>
            <w:r w:rsidRPr="00CD7AFF">
              <w:rPr>
                <w:rFonts w:eastAsia="Times New Roman" w:cstheme="minorHAnsi"/>
                <w:color w:val="000000"/>
                <w:sz w:val="20"/>
                <w:szCs w:val="20"/>
                <w:lang w:eastAsia="es-MX"/>
              </w:rPr>
              <w:t>E01</w:t>
            </w:r>
          </w:p>
        </w:tc>
      </w:tr>
      <w:tr w:rsidR="00A57D33" w:rsidRPr="00CD7AFF" w14:paraId="3E44A249" w14:textId="77777777" w:rsidTr="005E1463">
        <w:trPr>
          <w:trHeight w:val="243"/>
        </w:trPr>
        <w:tc>
          <w:tcPr>
            <w:tcW w:w="1784" w:type="pct"/>
            <w:tcBorders>
              <w:top w:val="nil"/>
              <w:left w:val="single" w:sz="4" w:space="0" w:color="auto"/>
              <w:bottom w:val="single" w:sz="4" w:space="0" w:color="auto"/>
              <w:right w:val="single" w:sz="4" w:space="0" w:color="auto"/>
            </w:tcBorders>
            <w:shd w:val="clear" w:color="000000" w:fill="9CC2E5"/>
            <w:vAlign w:val="center"/>
            <w:hideMark/>
          </w:tcPr>
          <w:p w14:paraId="6D365574" w14:textId="77777777" w:rsidR="00A57D33" w:rsidRPr="00CD7AFF" w:rsidRDefault="00A57D33" w:rsidP="00E67E43">
            <w:pPr>
              <w:spacing w:before="0" w:after="0"/>
              <w:rPr>
                <w:rFonts w:eastAsia="Times New Roman" w:cstheme="minorHAnsi"/>
                <w:b/>
                <w:bCs/>
                <w:color w:val="000000"/>
                <w:sz w:val="20"/>
                <w:szCs w:val="20"/>
                <w:lang w:eastAsia="es-MX"/>
              </w:rPr>
            </w:pPr>
            <w:r w:rsidRPr="00CD7AFF">
              <w:rPr>
                <w:rFonts w:eastAsia="Times New Roman" w:cstheme="minorHAnsi"/>
                <w:b/>
                <w:bCs/>
                <w:color w:val="000000"/>
                <w:sz w:val="20"/>
                <w:szCs w:val="20"/>
                <w:lang w:eastAsia="es-MX"/>
              </w:rPr>
              <w:t xml:space="preserve">Ramo </w:t>
            </w:r>
          </w:p>
        </w:tc>
        <w:tc>
          <w:tcPr>
            <w:tcW w:w="3216" w:type="pct"/>
            <w:tcBorders>
              <w:top w:val="nil"/>
              <w:left w:val="nil"/>
              <w:bottom w:val="single" w:sz="4" w:space="0" w:color="auto"/>
              <w:right w:val="single" w:sz="4" w:space="0" w:color="auto"/>
            </w:tcBorders>
            <w:shd w:val="clear" w:color="auto" w:fill="auto"/>
            <w:vAlign w:val="center"/>
            <w:hideMark/>
          </w:tcPr>
          <w:p w14:paraId="58793DCC" w14:textId="5BDEFF6D" w:rsidR="00A57D33" w:rsidRPr="00CD7AFF" w:rsidRDefault="00A57D33" w:rsidP="00E67E43">
            <w:pPr>
              <w:spacing w:before="0" w:after="0"/>
              <w:rPr>
                <w:rFonts w:eastAsia="Times New Roman" w:cstheme="minorHAnsi"/>
                <w:color w:val="000000"/>
                <w:sz w:val="20"/>
                <w:szCs w:val="20"/>
                <w:lang w:eastAsia="es-MX"/>
              </w:rPr>
            </w:pPr>
            <w:r w:rsidRPr="00CD7AFF">
              <w:rPr>
                <w:rFonts w:eastAsia="Times New Roman" w:cstheme="minorHAnsi"/>
                <w:color w:val="000000"/>
                <w:sz w:val="20"/>
                <w:szCs w:val="20"/>
                <w:lang w:eastAsia="es-MX"/>
              </w:rPr>
              <w:t>14- Desarrollo Agropecuario</w:t>
            </w:r>
          </w:p>
        </w:tc>
      </w:tr>
      <w:tr w:rsidR="00A57D33" w:rsidRPr="00CD7AFF" w14:paraId="153AC071" w14:textId="77777777" w:rsidTr="005E1463">
        <w:trPr>
          <w:trHeight w:val="48"/>
        </w:trPr>
        <w:tc>
          <w:tcPr>
            <w:tcW w:w="1784" w:type="pct"/>
            <w:tcBorders>
              <w:top w:val="nil"/>
              <w:left w:val="single" w:sz="4" w:space="0" w:color="auto"/>
              <w:bottom w:val="single" w:sz="4" w:space="0" w:color="auto"/>
              <w:right w:val="single" w:sz="4" w:space="0" w:color="auto"/>
            </w:tcBorders>
            <w:shd w:val="clear" w:color="000000" w:fill="9CC2E5"/>
            <w:vAlign w:val="center"/>
            <w:hideMark/>
          </w:tcPr>
          <w:p w14:paraId="6A12A8ED" w14:textId="77777777" w:rsidR="00A57D33" w:rsidRPr="00CD7AFF" w:rsidRDefault="00A57D33" w:rsidP="00E67E43">
            <w:pPr>
              <w:spacing w:before="0" w:after="0"/>
              <w:rPr>
                <w:rFonts w:eastAsia="Times New Roman" w:cstheme="minorHAnsi"/>
                <w:b/>
                <w:bCs/>
                <w:color w:val="000000"/>
                <w:sz w:val="20"/>
                <w:szCs w:val="20"/>
                <w:lang w:eastAsia="es-MX"/>
              </w:rPr>
            </w:pPr>
            <w:r w:rsidRPr="00CD7AFF">
              <w:rPr>
                <w:rFonts w:eastAsia="Times New Roman" w:cstheme="minorHAnsi"/>
                <w:b/>
                <w:bCs/>
                <w:color w:val="000000"/>
                <w:sz w:val="20"/>
                <w:szCs w:val="20"/>
                <w:lang w:eastAsia="es-MX"/>
              </w:rPr>
              <w:t xml:space="preserve">Propósito </w:t>
            </w:r>
          </w:p>
        </w:tc>
        <w:tc>
          <w:tcPr>
            <w:tcW w:w="3216" w:type="pct"/>
            <w:tcBorders>
              <w:top w:val="nil"/>
              <w:left w:val="nil"/>
              <w:bottom w:val="single" w:sz="4" w:space="0" w:color="auto"/>
              <w:right w:val="single" w:sz="4" w:space="0" w:color="auto"/>
            </w:tcBorders>
            <w:shd w:val="clear" w:color="auto" w:fill="auto"/>
            <w:vAlign w:val="center"/>
          </w:tcPr>
          <w:p w14:paraId="68E78734" w14:textId="06066B5C" w:rsidR="00A57D33" w:rsidRPr="00CD7AFF" w:rsidRDefault="00A57D33" w:rsidP="00A57D33">
            <w:pPr>
              <w:spacing w:before="0" w:after="0"/>
              <w:rPr>
                <w:rFonts w:eastAsia="Times New Roman" w:cstheme="minorHAnsi"/>
                <w:color w:val="000000"/>
                <w:sz w:val="20"/>
                <w:szCs w:val="20"/>
                <w:lang w:eastAsia="es-MX"/>
              </w:rPr>
            </w:pPr>
            <w:r w:rsidRPr="00CD7AFF">
              <w:rPr>
                <w:rFonts w:eastAsia="Times New Roman" w:cstheme="minorHAnsi"/>
                <w:color w:val="000000"/>
                <w:sz w:val="20"/>
                <w:szCs w:val="20"/>
                <w:lang w:eastAsia="es-MX"/>
              </w:rPr>
              <w:t xml:space="preserve">Productores agrícolas cuentan con mejores capacidades de producción y uso eficiente del suelo y agua para la actividad primaria. </w:t>
            </w:r>
          </w:p>
        </w:tc>
      </w:tr>
      <w:tr w:rsidR="00A57D33" w:rsidRPr="00CD7AFF" w14:paraId="14379F79" w14:textId="77777777" w:rsidTr="005E1463">
        <w:trPr>
          <w:trHeight w:val="243"/>
        </w:trPr>
        <w:tc>
          <w:tcPr>
            <w:tcW w:w="1784" w:type="pct"/>
            <w:tcBorders>
              <w:top w:val="nil"/>
              <w:left w:val="single" w:sz="4" w:space="0" w:color="auto"/>
              <w:bottom w:val="single" w:sz="4" w:space="0" w:color="auto"/>
              <w:right w:val="single" w:sz="4" w:space="0" w:color="auto"/>
            </w:tcBorders>
            <w:shd w:val="clear" w:color="000000" w:fill="9CC2E5"/>
            <w:vAlign w:val="center"/>
            <w:hideMark/>
          </w:tcPr>
          <w:p w14:paraId="09F56DC5" w14:textId="77777777" w:rsidR="00A57D33" w:rsidRPr="00CD7AFF" w:rsidRDefault="00A57D33" w:rsidP="00E67E43">
            <w:pPr>
              <w:spacing w:before="0" w:after="0"/>
              <w:rPr>
                <w:rFonts w:eastAsia="Times New Roman" w:cstheme="minorHAnsi"/>
                <w:b/>
                <w:bCs/>
                <w:color w:val="000000"/>
                <w:sz w:val="20"/>
                <w:szCs w:val="20"/>
                <w:lang w:eastAsia="es-MX"/>
              </w:rPr>
            </w:pPr>
            <w:r w:rsidRPr="00CD7AFF">
              <w:rPr>
                <w:rFonts w:eastAsia="Times New Roman" w:cstheme="minorHAnsi"/>
                <w:b/>
                <w:bCs/>
                <w:color w:val="000000"/>
                <w:sz w:val="20"/>
                <w:szCs w:val="20"/>
                <w:lang w:eastAsia="es-MX"/>
              </w:rPr>
              <w:t xml:space="preserve">Población o área de enfoque objetivo </w:t>
            </w:r>
          </w:p>
        </w:tc>
        <w:tc>
          <w:tcPr>
            <w:tcW w:w="3216" w:type="pct"/>
            <w:tcBorders>
              <w:top w:val="nil"/>
              <w:left w:val="nil"/>
              <w:bottom w:val="single" w:sz="4" w:space="0" w:color="auto"/>
              <w:right w:val="single" w:sz="4" w:space="0" w:color="auto"/>
            </w:tcBorders>
            <w:shd w:val="clear" w:color="auto" w:fill="auto"/>
          </w:tcPr>
          <w:p w14:paraId="2780D351" w14:textId="7C167E98" w:rsidR="00A57D33" w:rsidRPr="00CD7AFF" w:rsidRDefault="00A57D33" w:rsidP="00E67E43">
            <w:pPr>
              <w:spacing w:before="0" w:after="0"/>
              <w:rPr>
                <w:rFonts w:eastAsia="Times New Roman" w:cstheme="minorHAnsi"/>
                <w:color w:val="000000"/>
                <w:sz w:val="20"/>
                <w:szCs w:val="20"/>
                <w:lang w:eastAsia="es-MX"/>
              </w:rPr>
            </w:pPr>
            <w:r w:rsidRPr="00CD7AFF">
              <w:rPr>
                <w:sz w:val="20"/>
                <w:szCs w:val="20"/>
              </w:rPr>
              <w:t xml:space="preserve">Población de la </w:t>
            </w:r>
            <w:r w:rsidR="007E4A81" w:rsidRPr="00CD7AFF">
              <w:rPr>
                <w:sz w:val="20"/>
                <w:szCs w:val="20"/>
              </w:rPr>
              <w:t>e</w:t>
            </w:r>
            <w:r w:rsidRPr="00CD7AFF">
              <w:rPr>
                <w:sz w:val="20"/>
                <w:szCs w:val="20"/>
              </w:rPr>
              <w:t xml:space="preserve">ntidad </w:t>
            </w:r>
            <w:r w:rsidR="007E4A81" w:rsidRPr="00CD7AFF">
              <w:rPr>
                <w:sz w:val="20"/>
                <w:szCs w:val="20"/>
              </w:rPr>
              <w:t xml:space="preserve">federativa </w:t>
            </w:r>
            <w:r w:rsidRPr="00CD7AFF">
              <w:rPr>
                <w:sz w:val="20"/>
                <w:szCs w:val="20"/>
              </w:rPr>
              <w:t>dedicada a actividades agropecuarias</w:t>
            </w:r>
          </w:p>
        </w:tc>
      </w:tr>
      <w:tr w:rsidR="00A57D33" w:rsidRPr="00CD7AFF" w14:paraId="749083F3" w14:textId="77777777" w:rsidTr="005E1463">
        <w:trPr>
          <w:trHeight w:val="48"/>
        </w:trPr>
        <w:tc>
          <w:tcPr>
            <w:tcW w:w="1784" w:type="pct"/>
            <w:tcBorders>
              <w:top w:val="nil"/>
              <w:left w:val="single" w:sz="4" w:space="0" w:color="auto"/>
              <w:bottom w:val="single" w:sz="4" w:space="0" w:color="auto"/>
              <w:right w:val="single" w:sz="4" w:space="0" w:color="auto"/>
            </w:tcBorders>
            <w:shd w:val="clear" w:color="000000" w:fill="9CC2E5"/>
            <w:vAlign w:val="center"/>
            <w:hideMark/>
          </w:tcPr>
          <w:p w14:paraId="34ED9EA7" w14:textId="77777777" w:rsidR="00A57D33" w:rsidRPr="00CD7AFF" w:rsidRDefault="00A57D33" w:rsidP="00E67E43">
            <w:pPr>
              <w:spacing w:before="0" w:after="0"/>
              <w:rPr>
                <w:rFonts w:eastAsia="Times New Roman" w:cstheme="minorHAnsi"/>
                <w:b/>
                <w:bCs/>
                <w:color w:val="000000"/>
                <w:sz w:val="20"/>
                <w:szCs w:val="20"/>
                <w:lang w:eastAsia="es-MX"/>
              </w:rPr>
            </w:pPr>
            <w:r w:rsidRPr="00CD7AFF">
              <w:rPr>
                <w:rFonts w:eastAsia="Times New Roman" w:cstheme="minorHAnsi"/>
                <w:b/>
                <w:bCs/>
                <w:color w:val="000000"/>
                <w:sz w:val="20"/>
                <w:szCs w:val="20"/>
                <w:lang w:eastAsia="es-MX"/>
              </w:rPr>
              <w:t xml:space="preserve">Tipos de Componentes que entrega a sus destinatarios </w:t>
            </w:r>
          </w:p>
        </w:tc>
        <w:tc>
          <w:tcPr>
            <w:tcW w:w="3216" w:type="pct"/>
            <w:tcBorders>
              <w:top w:val="nil"/>
              <w:left w:val="nil"/>
              <w:bottom w:val="single" w:sz="4" w:space="0" w:color="auto"/>
              <w:right w:val="single" w:sz="4" w:space="0" w:color="auto"/>
            </w:tcBorders>
            <w:shd w:val="clear" w:color="auto" w:fill="auto"/>
          </w:tcPr>
          <w:p w14:paraId="1AEC4144" w14:textId="2602C661" w:rsidR="00A57D33" w:rsidRPr="00CD7AFF" w:rsidRDefault="0018710B" w:rsidP="00E67E43">
            <w:pPr>
              <w:spacing w:before="0" w:after="0"/>
              <w:rPr>
                <w:rFonts w:eastAsia="Times New Roman" w:cstheme="minorHAnsi"/>
                <w:color w:val="000000"/>
                <w:sz w:val="20"/>
                <w:szCs w:val="20"/>
                <w:lang w:eastAsia="es-MX"/>
              </w:rPr>
            </w:pPr>
            <w:r w:rsidRPr="005E1463">
              <w:rPr>
                <w:sz w:val="20"/>
                <w:szCs w:val="20"/>
              </w:rPr>
              <w:t>Acciones para la conducción de la política agrícola y de infraestructura hidroagrícola</w:t>
            </w:r>
          </w:p>
        </w:tc>
      </w:tr>
      <w:tr w:rsidR="00A57D33" w:rsidRPr="00CD7AFF" w14:paraId="1CE028E0" w14:textId="77777777" w:rsidTr="005E1463">
        <w:trPr>
          <w:trHeight w:val="243"/>
        </w:trPr>
        <w:tc>
          <w:tcPr>
            <w:tcW w:w="1784" w:type="pct"/>
            <w:tcBorders>
              <w:top w:val="nil"/>
              <w:left w:val="single" w:sz="4" w:space="0" w:color="auto"/>
              <w:bottom w:val="single" w:sz="4" w:space="0" w:color="auto"/>
              <w:right w:val="single" w:sz="4" w:space="0" w:color="auto"/>
            </w:tcBorders>
            <w:shd w:val="clear" w:color="000000" w:fill="9CC2E5"/>
            <w:vAlign w:val="center"/>
            <w:hideMark/>
          </w:tcPr>
          <w:p w14:paraId="6722EE98" w14:textId="77777777" w:rsidR="00A57D33" w:rsidRPr="00CD7AFF" w:rsidRDefault="00A57D33" w:rsidP="00E67E43">
            <w:pPr>
              <w:spacing w:before="0" w:after="0"/>
              <w:rPr>
                <w:rFonts w:eastAsia="Times New Roman" w:cstheme="minorHAnsi"/>
                <w:b/>
                <w:bCs/>
                <w:color w:val="000000"/>
                <w:sz w:val="20"/>
                <w:szCs w:val="20"/>
                <w:lang w:eastAsia="es-MX"/>
              </w:rPr>
            </w:pPr>
            <w:r w:rsidRPr="00CD7AFF">
              <w:rPr>
                <w:rFonts w:eastAsia="Times New Roman" w:cstheme="minorHAnsi"/>
                <w:b/>
                <w:bCs/>
                <w:color w:val="000000"/>
                <w:sz w:val="20"/>
                <w:szCs w:val="20"/>
                <w:lang w:eastAsia="es-MX"/>
              </w:rPr>
              <w:t xml:space="preserve">Cobertura Geográfica </w:t>
            </w:r>
          </w:p>
        </w:tc>
        <w:tc>
          <w:tcPr>
            <w:tcW w:w="3216" w:type="pct"/>
            <w:tcBorders>
              <w:top w:val="nil"/>
              <w:left w:val="nil"/>
              <w:bottom w:val="single" w:sz="4" w:space="0" w:color="auto"/>
              <w:right w:val="single" w:sz="4" w:space="0" w:color="auto"/>
            </w:tcBorders>
            <w:shd w:val="clear" w:color="auto" w:fill="auto"/>
            <w:hideMark/>
          </w:tcPr>
          <w:p w14:paraId="42283E05" w14:textId="77777777" w:rsidR="00A57D33" w:rsidRPr="00CD7AFF" w:rsidRDefault="00A57D33" w:rsidP="00E67E43">
            <w:pPr>
              <w:spacing w:before="0" w:after="0"/>
              <w:rPr>
                <w:rFonts w:eastAsia="Times New Roman" w:cstheme="minorHAnsi"/>
                <w:color w:val="000000"/>
                <w:sz w:val="20"/>
                <w:szCs w:val="20"/>
                <w:lang w:eastAsia="es-MX"/>
              </w:rPr>
            </w:pPr>
            <w:r w:rsidRPr="00CD7AFF">
              <w:rPr>
                <w:sz w:val="20"/>
                <w:szCs w:val="20"/>
              </w:rPr>
              <w:t>Estatal</w:t>
            </w:r>
          </w:p>
        </w:tc>
      </w:tr>
      <w:tr w:rsidR="00A57D33" w:rsidRPr="00CD7AFF" w14:paraId="0C6BA2D3" w14:textId="77777777" w:rsidTr="005E1463">
        <w:trPr>
          <w:trHeight w:val="243"/>
        </w:trPr>
        <w:tc>
          <w:tcPr>
            <w:tcW w:w="1784" w:type="pct"/>
            <w:tcBorders>
              <w:top w:val="nil"/>
              <w:left w:val="single" w:sz="4" w:space="0" w:color="auto"/>
              <w:bottom w:val="single" w:sz="4" w:space="0" w:color="auto"/>
              <w:right w:val="single" w:sz="4" w:space="0" w:color="auto"/>
            </w:tcBorders>
            <w:shd w:val="clear" w:color="000000" w:fill="9CC2E5"/>
            <w:vAlign w:val="center"/>
            <w:hideMark/>
          </w:tcPr>
          <w:p w14:paraId="5E8CD1CB" w14:textId="77777777" w:rsidR="00A57D33" w:rsidRPr="00CD7AFF" w:rsidRDefault="00A57D33" w:rsidP="00E67E43">
            <w:pPr>
              <w:spacing w:before="0" w:after="0"/>
              <w:rPr>
                <w:rFonts w:eastAsia="Times New Roman" w:cstheme="minorHAnsi"/>
                <w:b/>
                <w:bCs/>
                <w:color w:val="000000"/>
                <w:sz w:val="20"/>
                <w:szCs w:val="20"/>
                <w:lang w:eastAsia="es-MX"/>
              </w:rPr>
            </w:pPr>
            <w:r w:rsidRPr="00CD7AFF">
              <w:rPr>
                <w:rFonts w:eastAsia="Times New Roman" w:cstheme="minorHAnsi"/>
                <w:b/>
                <w:bCs/>
                <w:color w:val="000000"/>
                <w:sz w:val="20"/>
                <w:szCs w:val="20"/>
                <w:lang w:eastAsia="es-MX"/>
              </w:rPr>
              <w:t xml:space="preserve">Fuentes de Información </w:t>
            </w:r>
          </w:p>
        </w:tc>
        <w:tc>
          <w:tcPr>
            <w:tcW w:w="3216" w:type="pct"/>
            <w:tcBorders>
              <w:top w:val="nil"/>
              <w:left w:val="nil"/>
              <w:bottom w:val="single" w:sz="4" w:space="0" w:color="auto"/>
              <w:right w:val="single" w:sz="4" w:space="0" w:color="auto"/>
            </w:tcBorders>
            <w:shd w:val="clear" w:color="auto" w:fill="auto"/>
            <w:hideMark/>
          </w:tcPr>
          <w:p w14:paraId="5B595055" w14:textId="77777777" w:rsidR="00A57D33" w:rsidRPr="00CD7AFF" w:rsidRDefault="00A57D33" w:rsidP="00E67E43">
            <w:pPr>
              <w:spacing w:before="0" w:after="0"/>
              <w:rPr>
                <w:rFonts w:eastAsia="Times New Roman" w:cstheme="minorHAnsi"/>
                <w:color w:val="000000"/>
                <w:sz w:val="20"/>
                <w:szCs w:val="20"/>
                <w:lang w:eastAsia="es-MX"/>
              </w:rPr>
            </w:pPr>
            <w:r w:rsidRPr="00CD7AFF">
              <w:rPr>
                <w:sz w:val="20"/>
                <w:szCs w:val="20"/>
              </w:rPr>
              <w:t>MIR de los Pp de la estructura programática estatal</w:t>
            </w:r>
          </w:p>
        </w:tc>
      </w:tr>
      <w:tr w:rsidR="00A57D33" w:rsidRPr="00CD7AFF" w14:paraId="0CAEF2A7" w14:textId="77777777" w:rsidTr="005E1463">
        <w:trPr>
          <w:trHeight w:val="243"/>
        </w:trPr>
        <w:tc>
          <w:tcPr>
            <w:tcW w:w="1784" w:type="pct"/>
            <w:tcBorders>
              <w:top w:val="nil"/>
              <w:left w:val="single" w:sz="4" w:space="0" w:color="auto"/>
              <w:bottom w:val="single" w:sz="4" w:space="0" w:color="auto"/>
              <w:right w:val="single" w:sz="4" w:space="0" w:color="auto"/>
            </w:tcBorders>
            <w:shd w:val="clear" w:color="000000" w:fill="9CC2E5"/>
            <w:vAlign w:val="center"/>
            <w:hideMark/>
          </w:tcPr>
          <w:p w14:paraId="1852393E" w14:textId="77777777" w:rsidR="00A57D33" w:rsidRPr="00CD7AFF" w:rsidRDefault="00A57D33" w:rsidP="00E67E43">
            <w:pPr>
              <w:spacing w:before="0" w:after="0"/>
              <w:rPr>
                <w:rFonts w:eastAsia="Times New Roman" w:cstheme="minorHAnsi"/>
                <w:b/>
                <w:bCs/>
                <w:color w:val="000000"/>
                <w:sz w:val="20"/>
                <w:szCs w:val="20"/>
                <w:lang w:eastAsia="es-MX"/>
              </w:rPr>
            </w:pPr>
            <w:r w:rsidRPr="00CD7AFF">
              <w:rPr>
                <w:rFonts w:eastAsia="Times New Roman" w:cstheme="minorHAnsi"/>
                <w:b/>
                <w:bCs/>
                <w:color w:val="000000"/>
                <w:sz w:val="20"/>
                <w:szCs w:val="20"/>
                <w:lang w:eastAsia="es-MX"/>
              </w:rPr>
              <w:t xml:space="preserve">¿Es coincidente? </w:t>
            </w:r>
          </w:p>
        </w:tc>
        <w:tc>
          <w:tcPr>
            <w:tcW w:w="3216" w:type="pct"/>
            <w:tcBorders>
              <w:top w:val="nil"/>
              <w:left w:val="nil"/>
              <w:bottom w:val="single" w:sz="4" w:space="0" w:color="auto"/>
              <w:right w:val="single" w:sz="4" w:space="0" w:color="auto"/>
            </w:tcBorders>
            <w:shd w:val="clear" w:color="auto" w:fill="auto"/>
            <w:hideMark/>
          </w:tcPr>
          <w:p w14:paraId="256AC908" w14:textId="77777777" w:rsidR="00A57D33" w:rsidRPr="00CD7AFF" w:rsidRDefault="00A57D33" w:rsidP="00E67E43">
            <w:pPr>
              <w:spacing w:before="0" w:after="0"/>
              <w:rPr>
                <w:rFonts w:eastAsia="Times New Roman" w:cstheme="minorHAnsi"/>
                <w:color w:val="000000"/>
                <w:sz w:val="20"/>
                <w:szCs w:val="20"/>
                <w:lang w:eastAsia="es-MX"/>
              </w:rPr>
            </w:pPr>
            <w:r w:rsidRPr="00CD7AFF">
              <w:rPr>
                <w:sz w:val="20"/>
                <w:szCs w:val="20"/>
              </w:rPr>
              <w:t>No</w:t>
            </w:r>
          </w:p>
        </w:tc>
      </w:tr>
      <w:tr w:rsidR="00A57D33" w:rsidRPr="00CD7AFF" w14:paraId="172CC82F" w14:textId="77777777" w:rsidTr="005E1463">
        <w:trPr>
          <w:trHeight w:val="243"/>
        </w:trPr>
        <w:tc>
          <w:tcPr>
            <w:tcW w:w="1784" w:type="pct"/>
            <w:tcBorders>
              <w:top w:val="nil"/>
              <w:left w:val="single" w:sz="4" w:space="0" w:color="auto"/>
              <w:bottom w:val="single" w:sz="4" w:space="0" w:color="auto"/>
              <w:right w:val="single" w:sz="4" w:space="0" w:color="auto"/>
            </w:tcBorders>
            <w:shd w:val="clear" w:color="000000" w:fill="9CC2E5"/>
            <w:vAlign w:val="center"/>
            <w:hideMark/>
          </w:tcPr>
          <w:p w14:paraId="2E9FB3BB" w14:textId="77777777" w:rsidR="00A57D33" w:rsidRPr="00CD7AFF" w:rsidRDefault="00A57D33" w:rsidP="00E67E43">
            <w:pPr>
              <w:spacing w:before="0" w:after="0"/>
              <w:rPr>
                <w:rFonts w:eastAsia="Times New Roman" w:cstheme="minorHAnsi"/>
                <w:b/>
                <w:bCs/>
                <w:color w:val="000000"/>
                <w:sz w:val="20"/>
                <w:szCs w:val="20"/>
                <w:lang w:eastAsia="es-MX"/>
              </w:rPr>
            </w:pPr>
            <w:r w:rsidRPr="00CD7AFF">
              <w:rPr>
                <w:rFonts w:eastAsia="Times New Roman" w:cstheme="minorHAnsi"/>
                <w:b/>
                <w:bCs/>
                <w:color w:val="000000"/>
                <w:sz w:val="20"/>
                <w:szCs w:val="20"/>
                <w:lang w:eastAsia="es-MX"/>
              </w:rPr>
              <w:t xml:space="preserve">¿Se complementa? </w:t>
            </w:r>
          </w:p>
        </w:tc>
        <w:tc>
          <w:tcPr>
            <w:tcW w:w="3216" w:type="pct"/>
            <w:tcBorders>
              <w:top w:val="nil"/>
              <w:left w:val="nil"/>
              <w:bottom w:val="single" w:sz="4" w:space="0" w:color="auto"/>
              <w:right w:val="single" w:sz="4" w:space="0" w:color="auto"/>
            </w:tcBorders>
            <w:shd w:val="clear" w:color="auto" w:fill="auto"/>
            <w:hideMark/>
          </w:tcPr>
          <w:p w14:paraId="3FBED637" w14:textId="77777777" w:rsidR="00A57D33" w:rsidRPr="00CD7AFF" w:rsidRDefault="00A57D33" w:rsidP="00E67E43">
            <w:pPr>
              <w:spacing w:before="0" w:after="0"/>
              <w:rPr>
                <w:rFonts w:eastAsia="Times New Roman" w:cstheme="minorHAnsi"/>
                <w:color w:val="000000"/>
                <w:sz w:val="20"/>
                <w:szCs w:val="20"/>
                <w:lang w:eastAsia="es-MX"/>
              </w:rPr>
            </w:pPr>
            <w:r w:rsidRPr="00CD7AFF">
              <w:rPr>
                <w:sz w:val="20"/>
                <w:szCs w:val="20"/>
              </w:rPr>
              <w:t>Sí</w:t>
            </w:r>
          </w:p>
        </w:tc>
      </w:tr>
      <w:tr w:rsidR="00A57D33" w:rsidRPr="00CD7AFF" w14:paraId="0CEE73CD" w14:textId="77777777" w:rsidTr="005E1463">
        <w:trPr>
          <w:trHeight w:val="48"/>
        </w:trPr>
        <w:tc>
          <w:tcPr>
            <w:tcW w:w="1784" w:type="pct"/>
            <w:tcBorders>
              <w:top w:val="nil"/>
              <w:left w:val="single" w:sz="4" w:space="0" w:color="auto"/>
              <w:bottom w:val="single" w:sz="4" w:space="0" w:color="auto"/>
              <w:right w:val="single" w:sz="4" w:space="0" w:color="auto"/>
            </w:tcBorders>
            <w:shd w:val="clear" w:color="000000" w:fill="9CC2E5"/>
            <w:vAlign w:val="center"/>
            <w:hideMark/>
          </w:tcPr>
          <w:p w14:paraId="2C088280" w14:textId="77777777" w:rsidR="00A57D33" w:rsidRPr="00CD7AFF" w:rsidRDefault="00A57D33" w:rsidP="00E67E43">
            <w:pPr>
              <w:spacing w:before="0" w:after="0"/>
              <w:rPr>
                <w:rFonts w:eastAsia="Times New Roman" w:cstheme="minorHAnsi"/>
                <w:b/>
                <w:bCs/>
                <w:color w:val="000000"/>
                <w:sz w:val="20"/>
                <w:szCs w:val="20"/>
                <w:lang w:eastAsia="es-MX"/>
              </w:rPr>
            </w:pPr>
            <w:r w:rsidRPr="00CD7AFF">
              <w:rPr>
                <w:rFonts w:eastAsia="Times New Roman" w:cstheme="minorHAnsi"/>
                <w:b/>
                <w:bCs/>
                <w:color w:val="000000"/>
                <w:sz w:val="20"/>
                <w:szCs w:val="20"/>
                <w:lang w:eastAsia="es-MX"/>
              </w:rPr>
              <w:t>Argumentación</w:t>
            </w:r>
          </w:p>
        </w:tc>
        <w:tc>
          <w:tcPr>
            <w:tcW w:w="3216" w:type="pct"/>
            <w:tcBorders>
              <w:top w:val="nil"/>
              <w:left w:val="nil"/>
              <w:bottom w:val="single" w:sz="4" w:space="0" w:color="auto"/>
              <w:right w:val="single" w:sz="4" w:space="0" w:color="auto"/>
            </w:tcBorders>
            <w:shd w:val="clear" w:color="auto" w:fill="auto"/>
            <w:vAlign w:val="center"/>
          </w:tcPr>
          <w:p w14:paraId="5D8330A8" w14:textId="6F59BEDF" w:rsidR="00A57D33" w:rsidRPr="00CD7AFF" w:rsidRDefault="0018710B" w:rsidP="00E67E43">
            <w:pPr>
              <w:spacing w:before="0" w:after="0"/>
              <w:rPr>
                <w:rFonts w:eastAsia="Times New Roman" w:cstheme="minorHAnsi"/>
                <w:color w:val="000000"/>
                <w:sz w:val="20"/>
                <w:szCs w:val="20"/>
                <w:lang w:eastAsia="es-MX"/>
              </w:rPr>
            </w:pPr>
            <w:r w:rsidRPr="00CD7AFF">
              <w:rPr>
                <w:rFonts w:cs="Arial"/>
                <w:sz w:val="20"/>
                <w:szCs w:val="20"/>
              </w:rPr>
              <w:t>El FAFEF contribuye a incrementar la competitividad de las y los productores agrícolas y al manejo sostenible de recursos empleados en la producción del sector; mediante la construcción de mejor infraestructura y un mayor volumen de productos agrícolas</w:t>
            </w:r>
          </w:p>
        </w:tc>
      </w:tr>
      <w:tr w:rsidR="00A57D33" w:rsidRPr="00CD7AFF" w14:paraId="4A47EDA4" w14:textId="77777777" w:rsidTr="005E1463">
        <w:trPr>
          <w:trHeight w:val="243"/>
        </w:trPr>
        <w:tc>
          <w:tcPr>
            <w:tcW w:w="1784" w:type="pct"/>
            <w:tcBorders>
              <w:top w:val="nil"/>
              <w:left w:val="single" w:sz="4" w:space="0" w:color="auto"/>
              <w:bottom w:val="single" w:sz="4" w:space="0" w:color="auto"/>
              <w:right w:val="single" w:sz="4" w:space="0" w:color="auto"/>
            </w:tcBorders>
            <w:shd w:val="clear" w:color="000000" w:fill="9CC2E5"/>
            <w:vAlign w:val="center"/>
            <w:hideMark/>
          </w:tcPr>
          <w:p w14:paraId="32DD3FFD" w14:textId="77777777" w:rsidR="00A57D33" w:rsidRPr="00CD7AFF" w:rsidRDefault="00A57D33" w:rsidP="00E67E43">
            <w:pPr>
              <w:spacing w:before="0" w:after="0"/>
              <w:rPr>
                <w:rFonts w:eastAsia="Times New Roman" w:cstheme="minorHAnsi"/>
                <w:b/>
                <w:bCs/>
                <w:color w:val="000000"/>
                <w:sz w:val="20"/>
                <w:szCs w:val="20"/>
                <w:lang w:eastAsia="es-MX"/>
              </w:rPr>
            </w:pPr>
            <w:r w:rsidRPr="00CD7AFF">
              <w:rPr>
                <w:rFonts w:eastAsia="Times New Roman" w:cstheme="minorHAnsi"/>
                <w:b/>
                <w:bCs/>
                <w:color w:val="000000"/>
                <w:sz w:val="20"/>
                <w:szCs w:val="20"/>
                <w:lang w:eastAsia="es-MX"/>
              </w:rPr>
              <w:t>Recomendación</w:t>
            </w:r>
          </w:p>
        </w:tc>
        <w:tc>
          <w:tcPr>
            <w:tcW w:w="3216" w:type="pct"/>
            <w:tcBorders>
              <w:top w:val="nil"/>
              <w:left w:val="nil"/>
              <w:bottom w:val="single" w:sz="4" w:space="0" w:color="auto"/>
              <w:right w:val="single" w:sz="4" w:space="0" w:color="auto"/>
            </w:tcBorders>
            <w:shd w:val="clear" w:color="auto" w:fill="auto"/>
            <w:vAlign w:val="center"/>
            <w:hideMark/>
          </w:tcPr>
          <w:p w14:paraId="6CEC8F72" w14:textId="77777777" w:rsidR="00A57D33" w:rsidRPr="00CD7AFF" w:rsidRDefault="00A57D33" w:rsidP="00E67E43">
            <w:pPr>
              <w:spacing w:before="0" w:after="0"/>
              <w:rPr>
                <w:rFonts w:eastAsia="Times New Roman" w:cstheme="minorHAnsi"/>
                <w:color w:val="000000"/>
                <w:sz w:val="20"/>
                <w:szCs w:val="20"/>
                <w:lang w:eastAsia="es-MX"/>
              </w:rPr>
            </w:pPr>
            <w:r w:rsidRPr="00CD7AFF">
              <w:rPr>
                <w:rFonts w:eastAsia="Times New Roman" w:cstheme="minorHAnsi"/>
                <w:color w:val="000000"/>
                <w:sz w:val="20"/>
                <w:szCs w:val="20"/>
                <w:lang w:eastAsia="es-MX"/>
              </w:rPr>
              <w:t>Sin recomendación</w:t>
            </w:r>
          </w:p>
        </w:tc>
      </w:tr>
    </w:tbl>
    <w:p w14:paraId="22087FFC" w14:textId="0D6369D4" w:rsidR="00A57D33" w:rsidRDefault="00A57D33" w:rsidP="00EB1844">
      <w:pPr>
        <w:rPr>
          <w:sz w:val="8"/>
          <w:szCs w:val="8"/>
        </w:rPr>
      </w:pPr>
    </w:p>
    <w:p w14:paraId="39DF8FC8" w14:textId="1EF22381" w:rsidR="0018710B" w:rsidRDefault="0018710B" w:rsidP="00EB1844">
      <w:pPr>
        <w:rPr>
          <w:sz w:val="8"/>
          <w:szCs w:val="8"/>
        </w:rPr>
      </w:pPr>
    </w:p>
    <w:p w14:paraId="4A48BF90" w14:textId="59F7D301" w:rsidR="00CD7AFF" w:rsidRDefault="00CD7AFF" w:rsidP="00EB1844">
      <w:pPr>
        <w:rPr>
          <w:sz w:val="8"/>
          <w:szCs w:val="8"/>
        </w:rPr>
      </w:pPr>
    </w:p>
    <w:p w14:paraId="1366BCC9" w14:textId="17F844AC" w:rsidR="00CD7AFF" w:rsidRDefault="00CD7AFF" w:rsidP="00EB1844">
      <w:pPr>
        <w:rPr>
          <w:sz w:val="8"/>
          <w:szCs w:val="8"/>
        </w:rPr>
      </w:pPr>
    </w:p>
    <w:p w14:paraId="2A6F2FD6" w14:textId="77777777" w:rsidR="00CD7AFF" w:rsidRDefault="00CD7AFF" w:rsidP="00EB1844">
      <w:pPr>
        <w:rPr>
          <w:sz w:val="8"/>
          <w:szCs w:val="8"/>
        </w:rPr>
      </w:pPr>
    </w:p>
    <w:tbl>
      <w:tblPr>
        <w:tblW w:w="4980" w:type="pct"/>
        <w:tblInd w:w="-5" w:type="dxa"/>
        <w:tblCellMar>
          <w:left w:w="70" w:type="dxa"/>
          <w:right w:w="70" w:type="dxa"/>
        </w:tblCellMar>
        <w:tblLook w:val="04A0" w:firstRow="1" w:lastRow="0" w:firstColumn="1" w:lastColumn="0" w:noHBand="0" w:noVBand="1"/>
      </w:tblPr>
      <w:tblGrid>
        <w:gridCol w:w="4820"/>
        <w:gridCol w:w="8688"/>
      </w:tblGrid>
      <w:tr w:rsidR="00463100" w:rsidRPr="006E01F2" w14:paraId="508F30A7" w14:textId="77777777" w:rsidTr="005E1463">
        <w:trPr>
          <w:trHeight w:val="246"/>
        </w:trPr>
        <w:tc>
          <w:tcPr>
            <w:tcW w:w="1784" w:type="pct"/>
            <w:tcBorders>
              <w:top w:val="single" w:sz="4" w:space="0" w:color="auto"/>
              <w:left w:val="single" w:sz="4" w:space="0" w:color="auto"/>
              <w:bottom w:val="single" w:sz="4" w:space="0" w:color="auto"/>
              <w:right w:val="single" w:sz="4" w:space="0" w:color="auto"/>
            </w:tcBorders>
            <w:shd w:val="clear" w:color="000000" w:fill="9CC2E5"/>
            <w:vAlign w:val="center"/>
            <w:hideMark/>
          </w:tcPr>
          <w:p w14:paraId="5FAF75F5" w14:textId="77777777" w:rsidR="00463100" w:rsidRPr="00A57D33" w:rsidRDefault="00463100" w:rsidP="00E67E43">
            <w:pPr>
              <w:spacing w:before="0" w:after="0"/>
              <w:rPr>
                <w:rFonts w:eastAsia="Times New Roman" w:cstheme="minorHAnsi"/>
                <w:b/>
                <w:bCs/>
                <w:color w:val="000000"/>
                <w:sz w:val="20"/>
                <w:szCs w:val="20"/>
                <w:lang w:eastAsia="es-MX"/>
              </w:rPr>
            </w:pPr>
            <w:r w:rsidRPr="00A57D33">
              <w:rPr>
                <w:rFonts w:eastAsia="Times New Roman" w:cstheme="minorHAnsi"/>
                <w:b/>
                <w:bCs/>
                <w:color w:val="000000"/>
                <w:sz w:val="20"/>
                <w:szCs w:val="20"/>
                <w:lang w:eastAsia="es-MX"/>
              </w:rPr>
              <w:lastRenderedPageBreak/>
              <w:t>Nombre de las políticas, programas o proyectos locales</w:t>
            </w:r>
          </w:p>
        </w:tc>
        <w:tc>
          <w:tcPr>
            <w:tcW w:w="3216" w:type="pct"/>
            <w:tcBorders>
              <w:top w:val="single" w:sz="4" w:space="0" w:color="auto"/>
              <w:left w:val="nil"/>
              <w:bottom w:val="single" w:sz="4" w:space="0" w:color="auto"/>
              <w:right w:val="single" w:sz="4" w:space="0" w:color="auto"/>
            </w:tcBorders>
            <w:shd w:val="clear" w:color="auto" w:fill="auto"/>
            <w:vAlign w:val="center"/>
            <w:hideMark/>
          </w:tcPr>
          <w:p w14:paraId="694D2B9E" w14:textId="33F3EF13" w:rsidR="00463100" w:rsidRPr="00A57D33" w:rsidRDefault="00463100" w:rsidP="00E67E43">
            <w:pPr>
              <w:spacing w:before="0" w:after="0"/>
              <w:rPr>
                <w:rFonts w:eastAsia="Times New Roman" w:cstheme="minorHAnsi"/>
                <w:color w:val="000000"/>
                <w:sz w:val="20"/>
                <w:szCs w:val="20"/>
                <w:lang w:eastAsia="es-MX"/>
              </w:rPr>
            </w:pPr>
            <w:r w:rsidRPr="00BA1EFB">
              <w:rPr>
                <w:rFonts w:eastAsia="Times New Roman" w:cs="Arial"/>
                <w:color w:val="000000"/>
                <w:sz w:val="20"/>
                <w:szCs w:val="20"/>
                <w:lang w:eastAsia="es-MX"/>
              </w:rPr>
              <w:t>Desarrollo e Infraestructura turística</w:t>
            </w:r>
          </w:p>
        </w:tc>
      </w:tr>
      <w:tr w:rsidR="00463100" w:rsidRPr="006E01F2" w14:paraId="698F2EF9" w14:textId="77777777" w:rsidTr="005E1463">
        <w:trPr>
          <w:trHeight w:val="243"/>
        </w:trPr>
        <w:tc>
          <w:tcPr>
            <w:tcW w:w="1784" w:type="pct"/>
            <w:tcBorders>
              <w:top w:val="nil"/>
              <w:left w:val="single" w:sz="4" w:space="0" w:color="auto"/>
              <w:bottom w:val="single" w:sz="4" w:space="0" w:color="auto"/>
              <w:right w:val="single" w:sz="4" w:space="0" w:color="auto"/>
            </w:tcBorders>
            <w:shd w:val="clear" w:color="000000" w:fill="9CC2E5"/>
            <w:vAlign w:val="center"/>
            <w:hideMark/>
          </w:tcPr>
          <w:p w14:paraId="204A51DC" w14:textId="77777777" w:rsidR="00463100" w:rsidRPr="00A57D33" w:rsidRDefault="00463100" w:rsidP="00E67E43">
            <w:pPr>
              <w:spacing w:before="0" w:after="0"/>
              <w:rPr>
                <w:rFonts w:eastAsia="Times New Roman" w:cstheme="minorHAnsi"/>
                <w:b/>
                <w:bCs/>
                <w:color w:val="000000"/>
                <w:sz w:val="20"/>
                <w:szCs w:val="20"/>
                <w:lang w:eastAsia="es-MX"/>
              </w:rPr>
            </w:pPr>
            <w:r w:rsidRPr="00A57D33">
              <w:rPr>
                <w:rFonts w:eastAsia="Times New Roman" w:cstheme="minorHAnsi"/>
                <w:b/>
                <w:bCs/>
                <w:color w:val="000000"/>
                <w:sz w:val="20"/>
                <w:szCs w:val="20"/>
                <w:lang w:eastAsia="es-MX"/>
              </w:rPr>
              <w:t xml:space="preserve">Modalidad y Clave </w:t>
            </w:r>
          </w:p>
        </w:tc>
        <w:tc>
          <w:tcPr>
            <w:tcW w:w="3216" w:type="pct"/>
            <w:tcBorders>
              <w:top w:val="nil"/>
              <w:left w:val="nil"/>
              <w:bottom w:val="single" w:sz="4" w:space="0" w:color="auto"/>
              <w:right w:val="single" w:sz="4" w:space="0" w:color="auto"/>
            </w:tcBorders>
            <w:shd w:val="clear" w:color="auto" w:fill="auto"/>
            <w:vAlign w:val="center"/>
            <w:hideMark/>
          </w:tcPr>
          <w:p w14:paraId="5E331A92" w14:textId="149FA2AD" w:rsidR="00463100" w:rsidRPr="00A57D33" w:rsidRDefault="00463100" w:rsidP="00E67E43">
            <w:pPr>
              <w:spacing w:before="0" w:after="0"/>
              <w:rPr>
                <w:rFonts w:eastAsia="Times New Roman" w:cstheme="minorHAnsi"/>
                <w:color w:val="000000"/>
                <w:sz w:val="20"/>
                <w:szCs w:val="20"/>
                <w:lang w:eastAsia="es-MX"/>
              </w:rPr>
            </w:pPr>
            <w:r>
              <w:rPr>
                <w:rFonts w:eastAsia="Times New Roman" w:cstheme="minorHAnsi"/>
                <w:color w:val="000000"/>
                <w:sz w:val="20"/>
                <w:szCs w:val="20"/>
                <w:lang w:eastAsia="es-MX"/>
              </w:rPr>
              <w:t>E03</w:t>
            </w:r>
          </w:p>
        </w:tc>
      </w:tr>
      <w:tr w:rsidR="00463100" w:rsidRPr="006E01F2" w14:paraId="26D4A9AD" w14:textId="77777777" w:rsidTr="005E1463">
        <w:trPr>
          <w:trHeight w:val="243"/>
        </w:trPr>
        <w:tc>
          <w:tcPr>
            <w:tcW w:w="1784" w:type="pct"/>
            <w:tcBorders>
              <w:top w:val="nil"/>
              <w:left w:val="single" w:sz="4" w:space="0" w:color="auto"/>
              <w:bottom w:val="single" w:sz="4" w:space="0" w:color="auto"/>
              <w:right w:val="single" w:sz="4" w:space="0" w:color="auto"/>
            </w:tcBorders>
            <w:shd w:val="clear" w:color="000000" w:fill="9CC2E5"/>
            <w:vAlign w:val="center"/>
            <w:hideMark/>
          </w:tcPr>
          <w:p w14:paraId="350A01CA" w14:textId="77777777" w:rsidR="00463100" w:rsidRPr="00A57D33" w:rsidRDefault="00463100" w:rsidP="00E67E43">
            <w:pPr>
              <w:spacing w:before="0" w:after="0"/>
              <w:rPr>
                <w:rFonts w:eastAsia="Times New Roman" w:cstheme="minorHAnsi"/>
                <w:b/>
                <w:bCs/>
                <w:color w:val="000000"/>
                <w:sz w:val="20"/>
                <w:szCs w:val="20"/>
                <w:lang w:eastAsia="es-MX"/>
              </w:rPr>
            </w:pPr>
            <w:r w:rsidRPr="00A57D33">
              <w:rPr>
                <w:rFonts w:eastAsia="Times New Roman" w:cstheme="minorHAnsi"/>
                <w:b/>
                <w:bCs/>
                <w:color w:val="000000"/>
                <w:sz w:val="20"/>
                <w:szCs w:val="20"/>
                <w:lang w:eastAsia="es-MX"/>
              </w:rPr>
              <w:t xml:space="preserve">Ramo </w:t>
            </w:r>
          </w:p>
        </w:tc>
        <w:tc>
          <w:tcPr>
            <w:tcW w:w="3216" w:type="pct"/>
            <w:tcBorders>
              <w:top w:val="nil"/>
              <w:left w:val="nil"/>
              <w:bottom w:val="single" w:sz="4" w:space="0" w:color="auto"/>
              <w:right w:val="single" w:sz="4" w:space="0" w:color="auto"/>
            </w:tcBorders>
            <w:shd w:val="clear" w:color="auto" w:fill="auto"/>
            <w:vAlign w:val="center"/>
            <w:hideMark/>
          </w:tcPr>
          <w:p w14:paraId="5BF37B79" w14:textId="5F8C9E79" w:rsidR="00463100" w:rsidRPr="00A57D33" w:rsidRDefault="00463100" w:rsidP="00E67E43">
            <w:pPr>
              <w:spacing w:before="0" w:after="0"/>
              <w:rPr>
                <w:rFonts w:eastAsia="Times New Roman" w:cstheme="minorHAnsi"/>
                <w:color w:val="000000"/>
                <w:sz w:val="20"/>
                <w:szCs w:val="20"/>
                <w:lang w:eastAsia="es-MX"/>
              </w:rPr>
            </w:pPr>
            <w:r>
              <w:rPr>
                <w:rFonts w:eastAsia="Times New Roman" w:cstheme="minorHAnsi"/>
                <w:color w:val="000000"/>
                <w:sz w:val="20"/>
                <w:szCs w:val="20"/>
                <w:lang w:eastAsia="es-MX"/>
              </w:rPr>
              <w:t>15-Turismo</w:t>
            </w:r>
          </w:p>
        </w:tc>
      </w:tr>
      <w:tr w:rsidR="00463100" w:rsidRPr="006E01F2" w14:paraId="626F3E8B" w14:textId="77777777" w:rsidTr="005E1463">
        <w:trPr>
          <w:trHeight w:val="48"/>
        </w:trPr>
        <w:tc>
          <w:tcPr>
            <w:tcW w:w="1784" w:type="pct"/>
            <w:tcBorders>
              <w:top w:val="nil"/>
              <w:left w:val="single" w:sz="4" w:space="0" w:color="auto"/>
              <w:bottom w:val="single" w:sz="4" w:space="0" w:color="auto"/>
              <w:right w:val="single" w:sz="4" w:space="0" w:color="auto"/>
            </w:tcBorders>
            <w:shd w:val="clear" w:color="000000" w:fill="9CC2E5"/>
            <w:vAlign w:val="center"/>
            <w:hideMark/>
          </w:tcPr>
          <w:p w14:paraId="477E07B9" w14:textId="77777777" w:rsidR="00463100" w:rsidRPr="00A57D33" w:rsidRDefault="00463100" w:rsidP="00E67E43">
            <w:pPr>
              <w:spacing w:before="0" w:after="0"/>
              <w:rPr>
                <w:rFonts w:eastAsia="Times New Roman" w:cstheme="minorHAnsi"/>
                <w:b/>
                <w:bCs/>
                <w:color w:val="000000"/>
                <w:sz w:val="20"/>
                <w:szCs w:val="20"/>
                <w:lang w:eastAsia="es-MX"/>
              </w:rPr>
            </w:pPr>
            <w:r w:rsidRPr="00A57D33">
              <w:rPr>
                <w:rFonts w:eastAsia="Times New Roman" w:cstheme="minorHAnsi"/>
                <w:b/>
                <w:bCs/>
                <w:color w:val="000000"/>
                <w:sz w:val="20"/>
                <w:szCs w:val="20"/>
                <w:lang w:eastAsia="es-MX"/>
              </w:rPr>
              <w:t xml:space="preserve">Propósito </w:t>
            </w:r>
          </w:p>
        </w:tc>
        <w:tc>
          <w:tcPr>
            <w:tcW w:w="3216" w:type="pct"/>
            <w:tcBorders>
              <w:top w:val="nil"/>
              <w:left w:val="nil"/>
              <w:bottom w:val="single" w:sz="4" w:space="0" w:color="auto"/>
              <w:right w:val="single" w:sz="4" w:space="0" w:color="auto"/>
            </w:tcBorders>
            <w:shd w:val="clear" w:color="auto" w:fill="auto"/>
            <w:vAlign w:val="center"/>
          </w:tcPr>
          <w:p w14:paraId="48FB0EAF" w14:textId="70326CDA" w:rsidR="00463100" w:rsidRPr="00A57D33" w:rsidRDefault="00463100" w:rsidP="00463100">
            <w:pPr>
              <w:spacing w:before="0" w:after="0"/>
              <w:rPr>
                <w:rFonts w:eastAsia="Times New Roman" w:cstheme="minorHAnsi"/>
                <w:color w:val="000000"/>
                <w:sz w:val="20"/>
                <w:szCs w:val="20"/>
                <w:lang w:eastAsia="es-MX"/>
              </w:rPr>
            </w:pPr>
            <w:r w:rsidRPr="00463100">
              <w:rPr>
                <w:rFonts w:eastAsia="Times New Roman" w:cstheme="minorHAnsi"/>
                <w:color w:val="000000"/>
                <w:sz w:val="20"/>
                <w:szCs w:val="20"/>
                <w:lang w:eastAsia="es-MX"/>
              </w:rPr>
              <w:t xml:space="preserve">El </w:t>
            </w:r>
            <w:r>
              <w:rPr>
                <w:rFonts w:eastAsia="Times New Roman" w:cstheme="minorHAnsi"/>
                <w:color w:val="000000"/>
                <w:sz w:val="20"/>
                <w:szCs w:val="20"/>
                <w:lang w:eastAsia="es-MX"/>
              </w:rPr>
              <w:t>E</w:t>
            </w:r>
            <w:r w:rsidRPr="00463100">
              <w:rPr>
                <w:rFonts w:eastAsia="Times New Roman" w:cstheme="minorHAnsi"/>
                <w:color w:val="000000"/>
                <w:sz w:val="20"/>
                <w:szCs w:val="20"/>
                <w:lang w:eastAsia="es-MX"/>
              </w:rPr>
              <w:t xml:space="preserve">stado de </w:t>
            </w:r>
            <w:r>
              <w:rPr>
                <w:rFonts w:eastAsia="Times New Roman" w:cstheme="minorHAnsi"/>
                <w:color w:val="000000"/>
                <w:sz w:val="20"/>
                <w:szCs w:val="20"/>
                <w:lang w:eastAsia="es-MX"/>
              </w:rPr>
              <w:t>H</w:t>
            </w:r>
            <w:r w:rsidRPr="00463100">
              <w:rPr>
                <w:rFonts w:eastAsia="Times New Roman" w:cstheme="minorHAnsi"/>
                <w:color w:val="000000"/>
                <w:sz w:val="20"/>
                <w:szCs w:val="20"/>
                <w:lang w:eastAsia="es-MX"/>
              </w:rPr>
              <w:t>idalgo se beneficia</w:t>
            </w:r>
            <w:r>
              <w:rPr>
                <w:rFonts w:eastAsia="Times New Roman" w:cstheme="minorHAnsi"/>
                <w:color w:val="000000"/>
                <w:sz w:val="20"/>
                <w:szCs w:val="20"/>
                <w:lang w:eastAsia="es-MX"/>
              </w:rPr>
              <w:t xml:space="preserve"> </w:t>
            </w:r>
            <w:r w:rsidRPr="00463100">
              <w:rPr>
                <w:rFonts w:eastAsia="Times New Roman" w:cstheme="minorHAnsi"/>
                <w:color w:val="000000"/>
                <w:sz w:val="20"/>
                <w:szCs w:val="20"/>
                <w:lang w:eastAsia="es-MX"/>
              </w:rPr>
              <w:t>con un desarrollo ordenado y</w:t>
            </w:r>
            <w:r>
              <w:rPr>
                <w:rFonts w:eastAsia="Times New Roman" w:cstheme="minorHAnsi"/>
                <w:color w:val="000000"/>
                <w:sz w:val="20"/>
                <w:szCs w:val="20"/>
                <w:lang w:eastAsia="es-MX"/>
              </w:rPr>
              <w:t xml:space="preserve"> </w:t>
            </w:r>
            <w:r w:rsidRPr="00463100">
              <w:rPr>
                <w:rFonts w:eastAsia="Times New Roman" w:cstheme="minorHAnsi"/>
                <w:color w:val="000000"/>
                <w:sz w:val="20"/>
                <w:szCs w:val="20"/>
                <w:lang w:eastAsia="es-MX"/>
              </w:rPr>
              <w:t>sostenible de la actividad</w:t>
            </w:r>
            <w:r>
              <w:rPr>
                <w:rFonts w:eastAsia="Times New Roman" w:cstheme="minorHAnsi"/>
                <w:color w:val="000000"/>
                <w:sz w:val="20"/>
                <w:szCs w:val="20"/>
                <w:lang w:eastAsia="es-MX"/>
              </w:rPr>
              <w:t xml:space="preserve"> </w:t>
            </w:r>
            <w:r w:rsidRPr="00463100">
              <w:rPr>
                <w:rFonts w:eastAsia="Times New Roman" w:cstheme="minorHAnsi"/>
                <w:color w:val="000000"/>
                <w:sz w:val="20"/>
                <w:szCs w:val="20"/>
                <w:lang w:eastAsia="es-MX"/>
              </w:rPr>
              <w:t>turística</w:t>
            </w:r>
          </w:p>
        </w:tc>
      </w:tr>
      <w:tr w:rsidR="00463100" w:rsidRPr="006E01F2" w14:paraId="572233D9" w14:textId="77777777" w:rsidTr="005E1463">
        <w:trPr>
          <w:trHeight w:val="243"/>
        </w:trPr>
        <w:tc>
          <w:tcPr>
            <w:tcW w:w="1784" w:type="pct"/>
            <w:tcBorders>
              <w:top w:val="nil"/>
              <w:left w:val="single" w:sz="4" w:space="0" w:color="auto"/>
              <w:bottom w:val="single" w:sz="4" w:space="0" w:color="auto"/>
              <w:right w:val="single" w:sz="4" w:space="0" w:color="auto"/>
            </w:tcBorders>
            <w:shd w:val="clear" w:color="000000" w:fill="9CC2E5"/>
            <w:vAlign w:val="center"/>
            <w:hideMark/>
          </w:tcPr>
          <w:p w14:paraId="60BF34B5" w14:textId="77777777" w:rsidR="00463100" w:rsidRPr="00A57D33" w:rsidRDefault="00463100" w:rsidP="00E67E43">
            <w:pPr>
              <w:spacing w:before="0" w:after="0"/>
              <w:rPr>
                <w:rFonts w:eastAsia="Times New Roman" w:cstheme="minorHAnsi"/>
                <w:b/>
                <w:bCs/>
                <w:color w:val="000000"/>
                <w:sz w:val="20"/>
                <w:szCs w:val="20"/>
                <w:lang w:eastAsia="es-MX"/>
              </w:rPr>
            </w:pPr>
            <w:r w:rsidRPr="00A57D33">
              <w:rPr>
                <w:rFonts w:eastAsia="Times New Roman" w:cstheme="minorHAnsi"/>
                <w:b/>
                <w:bCs/>
                <w:color w:val="000000"/>
                <w:sz w:val="20"/>
                <w:szCs w:val="20"/>
                <w:lang w:eastAsia="es-MX"/>
              </w:rPr>
              <w:t xml:space="preserve">Población o área de enfoque objetivo </w:t>
            </w:r>
          </w:p>
        </w:tc>
        <w:tc>
          <w:tcPr>
            <w:tcW w:w="3216" w:type="pct"/>
            <w:tcBorders>
              <w:top w:val="nil"/>
              <w:left w:val="nil"/>
              <w:bottom w:val="single" w:sz="4" w:space="0" w:color="auto"/>
              <w:right w:val="single" w:sz="4" w:space="0" w:color="auto"/>
            </w:tcBorders>
            <w:shd w:val="clear" w:color="auto" w:fill="auto"/>
          </w:tcPr>
          <w:p w14:paraId="2255F845" w14:textId="296BCD9B" w:rsidR="00463100" w:rsidRPr="00A57D33" w:rsidRDefault="00463100" w:rsidP="00E67E43">
            <w:pPr>
              <w:spacing w:before="0" w:after="0"/>
              <w:rPr>
                <w:rFonts w:eastAsia="Times New Roman" w:cstheme="minorHAnsi"/>
                <w:color w:val="000000"/>
                <w:sz w:val="20"/>
                <w:szCs w:val="20"/>
                <w:lang w:eastAsia="es-MX"/>
              </w:rPr>
            </w:pPr>
            <w:r w:rsidRPr="006E01F2">
              <w:rPr>
                <w:sz w:val="20"/>
                <w:szCs w:val="20"/>
              </w:rPr>
              <w:t>Población</w:t>
            </w:r>
            <w:r>
              <w:rPr>
                <w:sz w:val="20"/>
                <w:szCs w:val="20"/>
              </w:rPr>
              <w:t xml:space="preserve"> total </w:t>
            </w:r>
            <w:r w:rsidRPr="006E01F2">
              <w:rPr>
                <w:sz w:val="20"/>
                <w:szCs w:val="20"/>
              </w:rPr>
              <w:t xml:space="preserve">de la </w:t>
            </w:r>
            <w:r w:rsidR="007E4A81">
              <w:rPr>
                <w:sz w:val="20"/>
                <w:szCs w:val="20"/>
              </w:rPr>
              <w:t>e</w:t>
            </w:r>
            <w:r w:rsidRPr="006E01F2">
              <w:rPr>
                <w:sz w:val="20"/>
                <w:szCs w:val="20"/>
              </w:rPr>
              <w:t>ntidad</w:t>
            </w:r>
            <w:r w:rsidR="007E4A81">
              <w:rPr>
                <w:sz w:val="20"/>
                <w:szCs w:val="20"/>
              </w:rPr>
              <w:t xml:space="preserve"> federativa</w:t>
            </w:r>
          </w:p>
        </w:tc>
      </w:tr>
      <w:tr w:rsidR="00463100" w:rsidRPr="006E01F2" w14:paraId="2B41DF28" w14:textId="77777777" w:rsidTr="005E1463">
        <w:trPr>
          <w:trHeight w:val="48"/>
        </w:trPr>
        <w:tc>
          <w:tcPr>
            <w:tcW w:w="1784" w:type="pct"/>
            <w:tcBorders>
              <w:top w:val="nil"/>
              <w:left w:val="single" w:sz="4" w:space="0" w:color="auto"/>
              <w:bottom w:val="single" w:sz="4" w:space="0" w:color="auto"/>
              <w:right w:val="single" w:sz="4" w:space="0" w:color="auto"/>
            </w:tcBorders>
            <w:shd w:val="clear" w:color="000000" w:fill="9CC2E5"/>
            <w:vAlign w:val="center"/>
            <w:hideMark/>
          </w:tcPr>
          <w:p w14:paraId="562C024B" w14:textId="77777777" w:rsidR="00463100" w:rsidRPr="00A57D33" w:rsidRDefault="00463100" w:rsidP="00E67E43">
            <w:pPr>
              <w:spacing w:before="0" w:after="0"/>
              <w:rPr>
                <w:rFonts w:eastAsia="Times New Roman" w:cstheme="minorHAnsi"/>
                <w:b/>
                <w:bCs/>
                <w:color w:val="000000"/>
                <w:sz w:val="20"/>
                <w:szCs w:val="20"/>
                <w:lang w:eastAsia="es-MX"/>
              </w:rPr>
            </w:pPr>
            <w:r w:rsidRPr="00A57D33">
              <w:rPr>
                <w:rFonts w:eastAsia="Times New Roman" w:cstheme="minorHAnsi"/>
                <w:b/>
                <w:bCs/>
                <w:color w:val="000000"/>
                <w:sz w:val="20"/>
                <w:szCs w:val="20"/>
                <w:lang w:eastAsia="es-MX"/>
              </w:rPr>
              <w:t xml:space="preserve">Tipos de Componentes que entrega a sus destinatarios </w:t>
            </w:r>
          </w:p>
        </w:tc>
        <w:tc>
          <w:tcPr>
            <w:tcW w:w="3216" w:type="pct"/>
            <w:tcBorders>
              <w:top w:val="nil"/>
              <w:left w:val="nil"/>
              <w:bottom w:val="single" w:sz="4" w:space="0" w:color="auto"/>
              <w:right w:val="single" w:sz="4" w:space="0" w:color="auto"/>
            </w:tcBorders>
            <w:shd w:val="clear" w:color="auto" w:fill="auto"/>
          </w:tcPr>
          <w:p w14:paraId="7160D7C0" w14:textId="35C3616C" w:rsidR="00463100" w:rsidRPr="00463100" w:rsidRDefault="00463100" w:rsidP="00E67E43">
            <w:pPr>
              <w:spacing w:before="0" w:after="0"/>
              <w:rPr>
                <w:rFonts w:eastAsia="Times New Roman" w:cstheme="minorHAnsi"/>
                <w:color w:val="000000"/>
                <w:sz w:val="20"/>
                <w:szCs w:val="20"/>
                <w:lang w:eastAsia="es-MX"/>
              </w:rPr>
            </w:pPr>
            <w:r w:rsidRPr="005E1463">
              <w:rPr>
                <w:sz w:val="20"/>
                <w:szCs w:val="20"/>
              </w:rPr>
              <w:t>Desarrollo de productos y servicios turísticos en municipios con vocación turística, pueblos mágicos, pueblos con sabor y turismo cultural creados</w:t>
            </w:r>
            <w:r w:rsidRPr="00463100">
              <w:rPr>
                <w:sz w:val="20"/>
                <w:szCs w:val="20"/>
              </w:rPr>
              <w:t xml:space="preserve">, </w:t>
            </w:r>
            <w:r w:rsidRPr="005E1463">
              <w:rPr>
                <w:sz w:val="20"/>
                <w:szCs w:val="20"/>
              </w:rPr>
              <w:t>proyectos de fortalecimiento a la infraestructura en centros históricos y turísticos</w:t>
            </w:r>
            <w:r>
              <w:rPr>
                <w:sz w:val="20"/>
                <w:szCs w:val="20"/>
              </w:rPr>
              <w:t>.</w:t>
            </w:r>
          </w:p>
        </w:tc>
      </w:tr>
      <w:tr w:rsidR="00463100" w:rsidRPr="006E01F2" w14:paraId="1E702564" w14:textId="77777777" w:rsidTr="005E1463">
        <w:trPr>
          <w:trHeight w:val="243"/>
        </w:trPr>
        <w:tc>
          <w:tcPr>
            <w:tcW w:w="1784" w:type="pct"/>
            <w:tcBorders>
              <w:top w:val="nil"/>
              <w:left w:val="single" w:sz="4" w:space="0" w:color="auto"/>
              <w:bottom w:val="single" w:sz="4" w:space="0" w:color="auto"/>
              <w:right w:val="single" w:sz="4" w:space="0" w:color="auto"/>
            </w:tcBorders>
            <w:shd w:val="clear" w:color="000000" w:fill="9CC2E5"/>
            <w:vAlign w:val="center"/>
            <w:hideMark/>
          </w:tcPr>
          <w:p w14:paraId="191AC57E" w14:textId="77777777" w:rsidR="00463100" w:rsidRPr="00A57D33" w:rsidRDefault="00463100" w:rsidP="00E67E43">
            <w:pPr>
              <w:spacing w:before="0" w:after="0"/>
              <w:rPr>
                <w:rFonts w:eastAsia="Times New Roman" w:cstheme="minorHAnsi"/>
                <w:b/>
                <w:bCs/>
                <w:color w:val="000000"/>
                <w:sz w:val="20"/>
                <w:szCs w:val="20"/>
                <w:lang w:eastAsia="es-MX"/>
              </w:rPr>
            </w:pPr>
            <w:r w:rsidRPr="00A57D33">
              <w:rPr>
                <w:rFonts w:eastAsia="Times New Roman" w:cstheme="minorHAnsi"/>
                <w:b/>
                <w:bCs/>
                <w:color w:val="000000"/>
                <w:sz w:val="20"/>
                <w:szCs w:val="20"/>
                <w:lang w:eastAsia="es-MX"/>
              </w:rPr>
              <w:t xml:space="preserve">Cobertura Geográfica </w:t>
            </w:r>
          </w:p>
        </w:tc>
        <w:tc>
          <w:tcPr>
            <w:tcW w:w="3216" w:type="pct"/>
            <w:tcBorders>
              <w:top w:val="nil"/>
              <w:left w:val="nil"/>
              <w:bottom w:val="single" w:sz="4" w:space="0" w:color="auto"/>
              <w:right w:val="single" w:sz="4" w:space="0" w:color="auto"/>
            </w:tcBorders>
            <w:shd w:val="clear" w:color="auto" w:fill="auto"/>
            <w:hideMark/>
          </w:tcPr>
          <w:p w14:paraId="331742F3" w14:textId="77777777" w:rsidR="00463100" w:rsidRPr="00A57D33" w:rsidRDefault="00463100" w:rsidP="00E67E43">
            <w:pPr>
              <w:spacing w:before="0" w:after="0"/>
              <w:rPr>
                <w:rFonts w:eastAsia="Times New Roman" w:cstheme="minorHAnsi"/>
                <w:color w:val="000000"/>
                <w:sz w:val="20"/>
                <w:szCs w:val="20"/>
                <w:lang w:eastAsia="es-MX"/>
              </w:rPr>
            </w:pPr>
            <w:r w:rsidRPr="006E01F2">
              <w:rPr>
                <w:sz w:val="20"/>
                <w:szCs w:val="20"/>
              </w:rPr>
              <w:t>Estatal</w:t>
            </w:r>
          </w:p>
        </w:tc>
      </w:tr>
      <w:tr w:rsidR="00463100" w:rsidRPr="006E01F2" w14:paraId="79407F45" w14:textId="77777777" w:rsidTr="005E1463">
        <w:trPr>
          <w:trHeight w:val="243"/>
        </w:trPr>
        <w:tc>
          <w:tcPr>
            <w:tcW w:w="1784" w:type="pct"/>
            <w:tcBorders>
              <w:top w:val="nil"/>
              <w:left w:val="single" w:sz="4" w:space="0" w:color="auto"/>
              <w:bottom w:val="single" w:sz="4" w:space="0" w:color="auto"/>
              <w:right w:val="single" w:sz="4" w:space="0" w:color="auto"/>
            </w:tcBorders>
            <w:shd w:val="clear" w:color="000000" w:fill="9CC2E5"/>
            <w:vAlign w:val="center"/>
            <w:hideMark/>
          </w:tcPr>
          <w:p w14:paraId="4F57413F" w14:textId="77777777" w:rsidR="00463100" w:rsidRPr="00A57D33" w:rsidRDefault="00463100" w:rsidP="00E67E43">
            <w:pPr>
              <w:spacing w:before="0" w:after="0"/>
              <w:rPr>
                <w:rFonts w:eastAsia="Times New Roman" w:cstheme="minorHAnsi"/>
                <w:b/>
                <w:bCs/>
                <w:color w:val="000000"/>
                <w:sz w:val="20"/>
                <w:szCs w:val="20"/>
                <w:lang w:eastAsia="es-MX"/>
              </w:rPr>
            </w:pPr>
            <w:r w:rsidRPr="00A57D33">
              <w:rPr>
                <w:rFonts w:eastAsia="Times New Roman" w:cstheme="minorHAnsi"/>
                <w:b/>
                <w:bCs/>
                <w:color w:val="000000"/>
                <w:sz w:val="20"/>
                <w:szCs w:val="20"/>
                <w:lang w:eastAsia="es-MX"/>
              </w:rPr>
              <w:t xml:space="preserve">Fuentes de Información </w:t>
            </w:r>
          </w:p>
        </w:tc>
        <w:tc>
          <w:tcPr>
            <w:tcW w:w="3216" w:type="pct"/>
            <w:tcBorders>
              <w:top w:val="nil"/>
              <w:left w:val="nil"/>
              <w:bottom w:val="single" w:sz="4" w:space="0" w:color="auto"/>
              <w:right w:val="single" w:sz="4" w:space="0" w:color="auto"/>
            </w:tcBorders>
            <w:shd w:val="clear" w:color="auto" w:fill="auto"/>
            <w:hideMark/>
          </w:tcPr>
          <w:p w14:paraId="616EF882" w14:textId="77777777" w:rsidR="00463100" w:rsidRPr="00A57D33" w:rsidRDefault="00463100" w:rsidP="00E67E43">
            <w:pPr>
              <w:spacing w:before="0" w:after="0"/>
              <w:rPr>
                <w:rFonts w:eastAsia="Times New Roman" w:cstheme="minorHAnsi"/>
                <w:color w:val="000000"/>
                <w:sz w:val="20"/>
                <w:szCs w:val="20"/>
                <w:lang w:eastAsia="es-MX"/>
              </w:rPr>
            </w:pPr>
            <w:r w:rsidRPr="006E01F2">
              <w:rPr>
                <w:sz w:val="20"/>
                <w:szCs w:val="20"/>
              </w:rPr>
              <w:t>MIR de los Pp de la estructura programática estatal</w:t>
            </w:r>
          </w:p>
        </w:tc>
      </w:tr>
      <w:tr w:rsidR="00463100" w:rsidRPr="006E01F2" w14:paraId="5C1AA613" w14:textId="77777777" w:rsidTr="005E1463">
        <w:trPr>
          <w:trHeight w:val="243"/>
        </w:trPr>
        <w:tc>
          <w:tcPr>
            <w:tcW w:w="1784" w:type="pct"/>
            <w:tcBorders>
              <w:top w:val="nil"/>
              <w:left w:val="single" w:sz="4" w:space="0" w:color="auto"/>
              <w:bottom w:val="single" w:sz="4" w:space="0" w:color="auto"/>
              <w:right w:val="single" w:sz="4" w:space="0" w:color="auto"/>
            </w:tcBorders>
            <w:shd w:val="clear" w:color="000000" w:fill="9CC2E5"/>
            <w:vAlign w:val="center"/>
            <w:hideMark/>
          </w:tcPr>
          <w:p w14:paraId="3A5F776C" w14:textId="77777777" w:rsidR="00463100" w:rsidRPr="00A57D33" w:rsidRDefault="00463100" w:rsidP="00E67E43">
            <w:pPr>
              <w:spacing w:before="0" w:after="0"/>
              <w:rPr>
                <w:rFonts w:eastAsia="Times New Roman" w:cstheme="minorHAnsi"/>
                <w:b/>
                <w:bCs/>
                <w:color w:val="000000"/>
                <w:sz w:val="20"/>
                <w:szCs w:val="20"/>
                <w:lang w:eastAsia="es-MX"/>
              </w:rPr>
            </w:pPr>
            <w:r w:rsidRPr="00A57D33">
              <w:rPr>
                <w:rFonts w:eastAsia="Times New Roman" w:cstheme="minorHAnsi"/>
                <w:b/>
                <w:bCs/>
                <w:color w:val="000000"/>
                <w:sz w:val="20"/>
                <w:szCs w:val="20"/>
                <w:lang w:eastAsia="es-MX"/>
              </w:rPr>
              <w:t xml:space="preserve">¿Es coincidente? </w:t>
            </w:r>
          </w:p>
        </w:tc>
        <w:tc>
          <w:tcPr>
            <w:tcW w:w="3216" w:type="pct"/>
            <w:tcBorders>
              <w:top w:val="nil"/>
              <w:left w:val="nil"/>
              <w:bottom w:val="single" w:sz="4" w:space="0" w:color="auto"/>
              <w:right w:val="single" w:sz="4" w:space="0" w:color="auto"/>
            </w:tcBorders>
            <w:shd w:val="clear" w:color="auto" w:fill="auto"/>
            <w:hideMark/>
          </w:tcPr>
          <w:p w14:paraId="7B753FB9" w14:textId="77777777" w:rsidR="00463100" w:rsidRPr="00A57D33" w:rsidRDefault="00463100" w:rsidP="00E67E43">
            <w:pPr>
              <w:spacing w:before="0" w:after="0"/>
              <w:rPr>
                <w:rFonts w:eastAsia="Times New Roman" w:cstheme="minorHAnsi"/>
                <w:color w:val="000000"/>
                <w:sz w:val="20"/>
                <w:szCs w:val="20"/>
                <w:lang w:eastAsia="es-MX"/>
              </w:rPr>
            </w:pPr>
            <w:r w:rsidRPr="006E01F2">
              <w:rPr>
                <w:sz w:val="20"/>
                <w:szCs w:val="20"/>
              </w:rPr>
              <w:t>No</w:t>
            </w:r>
          </w:p>
        </w:tc>
      </w:tr>
      <w:tr w:rsidR="00463100" w:rsidRPr="006E01F2" w14:paraId="6CE3BBCE" w14:textId="77777777" w:rsidTr="005E1463">
        <w:trPr>
          <w:trHeight w:val="243"/>
        </w:trPr>
        <w:tc>
          <w:tcPr>
            <w:tcW w:w="1784" w:type="pct"/>
            <w:tcBorders>
              <w:top w:val="nil"/>
              <w:left w:val="single" w:sz="4" w:space="0" w:color="auto"/>
              <w:bottom w:val="single" w:sz="4" w:space="0" w:color="auto"/>
              <w:right w:val="single" w:sz="4" w:space="0" w:color="auto"/>
            </w:tcBorders>
            <w:shd w:val="clear" w:color="000000" w:fill="9CC2E5"/>
            <w:vAlign w:val="center"/>
            <w:hideMark/>
          </w:tcPr>
          <w:p w14:paraId="05620923" w14:textId="77777777" w:rsidR="00463100" w:rsidRPr="00A57D33" w:rsidRDefault="00463100" w:rsidP="00E67E43">
            <w:pPr>
              <w:spacing w:before="0" w:after="0"/>
              <w:rPr>
                <w:rFonts w:eastAsia="Times New Roman" w:cstheme="minorHAnsi"/>
                <w:b/>
                <w:bCs/>
                <w:color w:val="000000"/>
                <w:sz w:val="20"/>
                <w:szCs w:val="20"/>
                <w:lang w:eastAsia="es-MX"/>
              </w:rPr>
            </w:pPr>
            <w:r w:rsidRPr="00A57D33">
              <w:rPr>
                <w:rFonts w:eastAsia="Times New Roman" w:cstheme="minorHAnsi"/>
                <w:b/>
                <w:bCs/>
                <w:color w:val="000000"/>
                <w:sz w:val="20"/>
                <w:szCs w:val="20"/>
                <w:lang w:eastAsia="es-MX"/>
              </w:rPr>
              <w:t xml:space="preserve">¿Se complementa? </w:t>
            </w:r>
          </w:p>
        </w:tc>
        <w:tc>
          <w:tcPr>
            <w:tcW w:w="3216" w:type="pct"/>
            <w:tcBorders>
              <w:top w:val="nil"/>
              <w:left w:val="nil"/>
              <w:bottom w:val="single" w:sz="4" w:space="0" w:color="auto"/>
              <w:right w:val="single" w:sz="4" w:space="0" w:color="auto"/>
            </w:tcBorders>
            <w:shd w:val="clear" w:color="auto" w:fill="auto"/>
            <w:hideMark/>
          </w:tcPr>
          <w:p w14:paraId="1D053C37" w14:textId="77777777" w:rsidR="00463100" w:rsidRPr="00A57D33" w:rsidRDefault="00463100" w:rsidP="00E67E43">
            <w:pPr>
              <w:spacing w:before="0" w:after="0"/>
              <w:rPr>
                <w:rFonts w:eastAsia="Times New Roman" w:cstheme="minorHAnsi"/>
                <w:color w:val="000000"/>
                <w:sz w:val="20"/>
                <w:szCs w:val="20"/>
                <w:lang w:eastAsia="es-MX"/>
              </w:rPr>
            </w:pPr>
            <w:r w:rsidRPr="006E01F2">
              <w:rPr>
                <w:sz w:val="20"/>
                <w:szCs w:val="20"/>
              </w:rPr>
              <w:t>Sí</w:t>
            </w:r>
          </w:p>
        </w:tc>
      </w:tr>
      <w:tr w:rsidR="00463100" w:rsidRPr="006E01F2" w14:paraId="3D837280" w14:textId="77777777" w:rsidTr="005E1463">
        <w:trPr>
          <w:trHeight w:val="48"/>
        </w:trPr>
        <w:tc>
          <w:tcPr>
            <w:tcW w:w="1784" w:type="pct"/>
            <w:tcBorders>
              <w:top w:val="nil"/>
              <w:left w:val="single" w:sz="4" w:space="0" w:color="auto"/>
              <w:bottom w:val="single" w:sz="4" w:space="0" w:color="auto"/>
              <w:right w:val="single" w:sz="4" w:space="0" w:color="auto"/>
            </w:tcBorders>
            <w:shd w:val="clear" w:color="000000" w:fill="9CC2E5"/>
            <w:vAlign w:val="center"/>
            <w:hideMark/>
          </w:tcPr>
          <w:p w14:paraId="77A8C605" w14:textId="77777777" w:rsidR="00463100" w:rsidRPr="00A57D33" w:rsidRDefault="00463100" w:rsidP="00E67E43">
            <w:pPr>
              <w:spacing w:before="0" w:after="0"/>
              <w:rPr>
                <w:rFonts w:eastAsia="Times New Roman" w:cstheme="minorHAnsi"/>
                <w:b/>
                <w:bCs/>
                <w:color w:val="000000"/>
                <w:sz w:val="20"/>
                <w:szCs w:val="20"/>
                <w:lang w:eastAsia="es-MX"/>
              </w:rPr>
            </w:pPr>
            <w:r w:rsidRPr="00A57D33">
              <w:rPr>
                <w:rFonts w:eastAsia="Times New Roman" w:cstheme="minorHAnsi"/>
                <w:b/>
                <w:bCs/>
                <w:color w:val="000000"/>
                <w:sz w:val="20"/>
                <w:szCs w:val="20"/>
                <w:lang w:eastAsia="es-MX"/>
              </w:rPr>
              <w:t>Argumentación</w:t>
            </w:r>
          </w:p>
        </w:tc>
        <w:tc>
          <w:tcPr>
            <w:tcW w:w="3216" w:type="pct"/>
            <w:tcBorders>
              <w:top w:val="nil"/>
              <w:left w:val="nil"/>
              <w:bottom w:val="single" w:sz="4" w:space="0" w:color="auto"/>
              <w:right w:val="single" w:sz="4" w:space="0" w:color="auto"/>
            </w:tcBorders>
            <w:shd w:val="clear" w:color="auto" w:fill="auto"/>
            <w:vAlign w:val="center"/>
          </w:tcPr>
          <w:p w14:paraId="20C19525" w14:textId="469E44E1" w:rsidR="00463100" w:rsidRPr="00A57D33" w:rsidRDefault="00463100" w:rsidP="00E67E43">
            <w:pPr>
              <w:spacing w:before="0" w:after="0"/>
              <w:rPr>
                <w:rFonts w:eastAsia="Times New Roman" w:cstheme="minorHAnsi"/>
                <w:color w:val="000000"/>
                <w:sz w:val="20"/>
                <w:szCs w:val="20"/>
                <w:lang w:eastAsia="es-MX"/>
              </w:rPr>
            </w:pPr>
            <w:r>
              <w:rPr>
                <w:rFonts w:eastAsia="Times New Roman" w:cstheme="minorHAnsi"/>
                <w:color w:val="000000"/>
                <w:sz w:val="20"/>
                <w:szCs w:val="20"/>
                <w:lang w:eastAsia="es-MX"/>
              </w:rPr>
              <w:t>El Fondo c</w:t>
            </w:r>
            <w:r w:rsidRPr="00BA1EFB">
              <w:rPr>
                <w:rFonts w:eastAsia="Times New Roman" w:cs="Arial"/>
                <w:color w:val="000000"/>
                <w:sz w:val="20"/>
                <w:szCs w:val="20"/>
                <w:lang w:eastAsia="es-MX"/>
              </w:rPr>
              <w:t>ontribuye a redimensionar el turismo como una actividad económica socialmente responsable, que favorezca la atracción de inversiones destinadas a la infraestructura y servicios de calidad, así como el desarrollo local y el mercado interno a través del emprendimiento de proyectos, programas, planes y acciones que propicien la inversión pública y privada dentro del sector </w:t>
            </w:r>
          </w:p>
        </w:tc>
      </w:tr>
      <w:tr w:rsidR="00463100" w:rsidRPr="006E01F2" w14:paraId="714C658C" w14:textId="77777777" w:rsidTr="005E1463">
        <w:trPr>
          <w:trHeight w:val="243"/>
        </w:trPr>
        <w:tc>
          <w:tcPr>
            <w:tcW w:w="1784" w:type="pct"/>
            <w:tcBorders>
              <w:top w:val="nil"/>
              <w:left w:val="single" w:sz="4" w:space="0" w:color="auto"/>
              <w:bottom w:val="single" w:sz="4" w:space="0" w:color="auto"/>
              <w:right w:val="single" w:sz="4" w:space="0" w:color="auto"/>
            </w:tcBorders>
            <w:shd w:val="clear" w:color="000000" w:fill="9CC2E5"/>
            <w:vAlign w:val="center"/>
            <w:hideMark/>
          </w:tcPr>
          <w:p w14:paraId="76CC6BF8" w14:textId="77777777" w:rsidR="00463100" w:rsidRPr="00A57D33" w:rsidRDefault="00463100" w:rsidP="00E67E43">
            <w:pPr>
              <w:spacing w:before="0" w:after="0"/>
              <w:rPr>
                <w:rFonts w:eastAsia="Times New Roman" w:cstheme="minorHAnsi"/>
                <w:b/>
                <w:bCs/>
                <w:color w:val="000000"/>
                <w:sz w:val="20"/>
                <w:szCs w:val="20"/>
                <w:lang w:eastAsia="es-MX"/>
              </w:rPr>
            </w:pPr>
            <w:r w:rsidRPr="00A57D33">
              <w:rPr>
                <w:rFonts w:eastAsia="Times New Roman" w:cstheme="minorHAnsi"/>
                <w:b/>
                <w:bCs/>
                <w:color w:val="000000"/>
                <w:sz w:val="20"/>
                <w:szCs w:val="20"/>
                <w:lang w:eastAsia="es-MX"/>
              </w:rPr>
              <w:t>Recomendación</w:t>
            </w:r>
          </w:p>
        </w:tc>
        <w:tc>
          <w:tcPr>
            <w:tcW w:w="3216" w:type="pct"/>
            <w:tcBorders>
              <w:top w:val="nil"/>
              <w:left w:val="nil"/>
              <w:bottom w:val="single" w:sz="4" w:space="0" w:color="auto"/>
              <w:right w:val="single" w:sz="4" w:space="0" w:color="auto"/>
            </w:tcBorders>
            <w:shd w:val="clear" w:color="auto" w:fill="auto"/>
            <w:vAlign w:val="center"/>
            <w:hideMark/>
          </w:tcPr>
          <w:p w14:paraId="1B56F046" w14:textId="77777777" w:rsidR="00463100" w:rsidRPr="00A57D33" w:rsidRDefault="00463100" w:rsidP="00E67E43">
            <w:pPr>
              <w:spacing w:before="0" w:after="0"/>
              <w:rPr>
                <w:rFonts w:eastAsia="Times New Roman" w:cstheme="minorHAnsi"/>
                <w:color w:val="000000"/>
                <w:sz w:val="20"/>
                <w:szCs w:val="20"/>
                <w:lang w:eastAsia="es-MX"/>
              </w:rPr>
            </w:pPr>
            <w:r w:rsidRPr="00A57D33">
              <w:rPr>
                <w:rFonts w:eastAsia="Times New Roman" w:cstheme="minorHAnsi"/>
                <w:color w:val="000000"/>
                <w:sz w:val="20"/>
                <w:szCs w:val="20"/>
                <w:lang w:eastAsia="es-MX"/>
              </w:rPr>
              <w:t>Sin recomendación</w:t>
            </w:r>
          </w:p>
        </w:tc>
      </w:tr>
    </w:tbl>
    <w:p w14:paraId="0EB8D403" w14:textId="16488E48" w:rsidR="00463100" w:rsidRDefault="00463100" w:rsidP="00EB1844">
      <w:pPr>
        <w:rPr>
          <w:sz w:val="8"/>
          <w:szCs w:val="8"/>
        </w:rPr>
      </w:pPr>
    </w:p>
    <w:tbl>
      <w:tblPr>
        <w:tblW w:w="4980" w:type="pct"/>
        <w:tblInd w:w="-5" w:type="dxa"/>
        <w:tblCellMar>
          <w:left w:w="70" w:type="dxa"/>
          <w:right w:w="70" w:type="dxa"/>
        </w:tblCellMar>
        <w:tblLook w:val="04A0" w:firstRow="1" w:lastRow="0" w:firstColumn="1" w:lastColumn="0" w:noHBand="0" w:noVBand="1"/>
      </w:tblPr>
      <w:tblGrid>
        <w:gridCol w:w="4820"/>
        <w:gridCol w:w="8688"/>
      </w:tblGrid>
      <w:tr w:rsidR="00E67E43" w:rsidRPr="00CD7AFF" w14:paraId="4A149270" w14:textId="77777777" w:rsidTr="005E1463">
        <w:trPr>
          <w:trHeight w:val="143"/>
        </w:trPr>
        <w:tc>
          <w:tcPr>
            <w:tcW w:w="1784" w:type="pct"/>
            <w:tcBorders>
              <w:top w:val="single" w:sz="4" w:space="0" w:color="auto"/>
              <w:left w:val="single" w:sz="4" w:space="0" w:color="auto"/>
              <w:bottom w:val="single" w:sz="4" w:space="0" w:color="auto"/>
              <w:right w:val="single" w:sz="4" w:space="0" w:color="auto"/>
            </w:tcBorders>
            <w:shd w:val="clear" w:color="000000" w:fill="9CC2E5"/>
            <w:vAlign w:val="center"/>
            <w:hideMark/>
          </w:tcPr>
          <w:p w14:paraId="5A669C67" w14:textId="77777777" w:rsidR="00E67E43" w:rsidRPr="00CD7AFF" w:rsidRDefault="00E67E43" w:rsidP="00E67E43">
            <w:pPr>
              <w:spacing w:before="0" w:after="0"/>
              <w:rPr>
                <w:rFonts w:eastAsia="Times New Roman" w:cstheme="minorHAnsi"/>
                <w:b/>
                <w:bCs/>
                <w:color w:val="000000"/>
                <w:sz w:val="20"/>
                <w:szCs w:val="20"/>
                <w:lang w:eastAsia="es-MX"/>
              </w:rPr>
            </w:pPr>
            <w:r w:rsidRPr="00CD7AFF">
              <w:rPr>
                <w:rFonts w:eastAsia="Times New Roman" w:cstheme="minorHAnsi"/>
                <w:b/>
                <w:bCs/>
                <w:color w:val="000000"/>
                <w:sz w:val="20"/>
                <w:szCs w:val="20"/>
                <w:lang w:eastAsia="es-MX"/>
              </w:rPr>
              <w:t>Nombre de las políticas, programas o proyectos locales</w:t>
            </w:r>
          </w:p>
        </w:tc>
        <w:tc>
          <w:tcPr>
            <w:tcW w:w="3216" w:type="pct"/>
            <w:tcBorders>
              <w:top w:val="single" w:sz="4" w:space="0" w:color="auto"/>
              <w:left w:val="nil"/>
              <w:bottom w:val="single" w:sz="4" w:space="0" w:color="auto"/>
              <w:right w:val="single" w:sz="4" w:space="0" w:color="auto"/>
            </w:tcBorders>
            <w:shd w:val="clear" w:color="auto" w:fill="auto"/>
            <w:vAlign w:val="center"/>
            <w:hideMark/>
          </w:tcPr>
          <w:p w14:paraId="2D8B0A3D" w14:textId="16DA66B8" w:rsidR="00E67E43" w:rsidRPr="00CD7AFF" w:rsidRDefault="00E67E43" w:rsidP="00E67E43">
            <w:pPr>
              <w:spacing w:before="0" w:after="0"/>
              <w:rPr>
                <w:rFonts w:eastAsia="Times New Roman" w:cstheme="minorHAnsi"/>
                <w:color w:val="000000"/>
                <w:sz w:val="20"/>
                <w:szCs w:val="20"/>
                <w:lang w:eastAsia="es-MX"/>
              </w:rPr>
            </w:pPr>
            <w:r w:rsidRPr="00CD7AFF">
              <w:rPr>
                <w:rFonts w:eastAsia="Times New Roman" w:cs="Arial"/>
                <w:color w:val="000000"/>
                <w:sz w:val="20"/>
                <w:szCs w:val="20"/>
                <w:lang w:eastAsia="es-MX"/>
              </w:rPr>
              <w:t>Infraestructura física educativa</w:t>
            </w:r>
          </w:p>
        </w:tc>
      </w:tr>
      <w:tr w:rsidR="00E67E43" w:rsidRPr="00CD7AFF" w14:paraId="709FA6E6" w14:textId="77777777" w:rsidTr="005E1463">
        <w:trPr>
          <w:trHeight w:val="243"/>
        </w:trPr>
        <w:tc>
          <w:tcPr>
            <w:tcW w:w="1784" w:type="pct"/>
            <w:tcBorders>
              <w:top w:val="nil"/>
              <w:left w:val="single" w:sz="4" w:space="0" w:color="auto"/>
              <w:bottom w:val="single" w:sz="4" w:space="0" w:color="auto"/>
              <w:right w:val="single" w:sz="4" w:space="0" w:color="auto"/>
            </w:tcBorders>
            <w:shd w:val="clear" w:color="000000" w:fill="9CC2E5"/>
            <w:vAlign w:val="center"/>
            <w:hideMark/>
          </w:tcPr>
          <w:p w14:paraId="1242A915" w14:textId="77777777" w:rsidR="00E67E43" w:rsidRPr="00CD7AFF" w:rsidRDefault="00E67E43" w:rsidP="00E67E43">
            <w:pPr>
              <w:spacing w:before="0" w:after="0"/>
              <w:rPr>
                <w:rFonts w:eastAsia="Times New Roman" w:cstheme="minorHAnsi"/>
                <w:b/>
                <w:bCs/>
                <w:color w:val="000000"/>
                <w:sz w:val="20"/>
                <w:szCs w:val="20"/>
                <w:lang w:eastAsia="es-MX"/>
              </w:rPr>
            </w:pPr>
            <w:r w:rsidRPr="00CD7AFF">
              <w:rPr>
                <w:rFonts w:eastAsia="Times New Roman" w:cstheme="minorHAnsi"/>
                <w:b/>
                <w:bCs/>
                <w:color w:val="000000"/>
                <w:sz w:val="20"/>
                <w:szCs w:val="20"/>
                <w:lang w:eastAsia="es-MX"/>
              </w:rPr>
              <w:t xml:space="preserve">Modalidad y Clave </w:t>
            </w:r>
          </w:p>
        </w:tc>
        <w:tc>
          <w:tcPr>
            <w:tcW w:w="3216" w:type="pct"/>
            <w:tcBorders>
              <w:top w:val="nil"/>
              <w:left w:val="nil"/>
              <w:bottom w:val="single" w:sz="4" w:space="0" w:color="auto"/>
              <w:right w:val="single" w:sz="4" w:space="0" w:color="auto"/>
            </w:tcBorders>
            <w:shd w:val="clear" w:color="auto" w:fill="auto"/>
            <w:vAlign w:val="center"/>
            <w:hideMark/>
          </w:tcPr>
          <w:p w14:paraId="225D4EAA" w14:textId="2FAC21AB" w:rsidR="00E67E43" w:rsidRPr="00CD7AFF" w:rsidRDefault="00E67E43" w:rsidP="00E67E43">
            <w:pPr>
              <w:spacing w:before="0" w:after="0"/>
              <w:rPr>
                <w:rFonts w:eastAsia="Times New Roman" w:cstheme="minorHAnsi"/>
                <w:color w:val="000000"/>
                <w:sz w:val="20"/>
                <w:szCs w:val="20"/>
                <w:lang w:eastAsia="es-MX"/>
              </w:rPr>
            </w:pPr>
            <w:r w:rsidRPr="00CD7AFF">
              <w:rPr>
                <w:rFonts w:eastAsia="Times New Roman" w:cstheme="minorHAnsi"/>
                <w:color w:val="000000"/>
                <w:sz w:val="20"/>
                <w:szCs w:val="20"/>
                <w:lang w:eastAsia="es-MX"/>
              </w:rPr>
              <w:t>E04</w:t>
            </w:r>
          </w:p>
        </w:tc>
      </w:tr>
      <w:tr w:rsidR="00E67E43" w:rsidRPr="00CD7AFF" w14:paraId="44308C08" w14:textId="77777777" w:rsidTr="005E1463">
        <w:trPr>
          <w:trHeight w:val="243"/>
        </w:trPr>
        <w:tc>
          <w:tcPr>
            <w:tcW w:w="1784" w:type="pct"/>
            <w:tcBorders>
              <w:top w:val="nil"/>
              <w:left w:val="single" w:sz="4" w:space="0" w:color="auto"/>
              <w:bottom w:val="single" w:sz="4" w:space="0" w:color="auto"/>
              <w:right w:val="single" w:sz="4" w:space="0" w:color="auto"/>
            </w:tcBorders>
            <w:shd w:val="clear" w:color="000000" w:fill="9CC2E5"/>
            <w:vAlign w:val="center"/>
            <w:hideMark/>
          </w:tcPr>
          <w:p w14:paraId="37D2A8E9" w14:textId="77777777" w:rsidR="00E67E43" w:rsidRPr="00CD7AFF" w:rsidRDefault="00E67E43" w:rsidP="00E67E43">
            <w:pPr>
              <w:spacing w:before="0" w:after="0"/>
              <w:rPr>
                <w:rFonts w:eastAsia="Times New Roman" w:cstheme="minorHAnsi"/>
                <w:b/>
                <w:bCs/>
                <w:color w:val="000000"/>
                <w:sz w:val="20"/>
                <w:szCs w:val="20"/>
                <w:lang w:eastAsia="es-MX"/>
              </w:rPr>
            </w:pPr>
            <w:r w:rsidRPr="00CD7AFF">
              <w:rPr>
                <w:rFonts w:eastAsia="Times New Roman" w:cstheme="minorHAnsi"/>
                <w:b/>
                <w:bCs/>
                <w:color w:val="000000"/>
                <w:sz w:val="20"/>
                <w:szCs w:val="20"/>
                <w:lang w:eastAsia="es-MX"/>
              </w:rPr>
              <w:t xml:space="preserve">Ramo </w:t>
            </w:r>
          </w:p>
        </w:tc>
        <w:tc>
          <w:tcPr>
            <w:tcW w:w="3216" w:type="pct"/>
            <w:tcBorders>
              <w:top w:val="nil"/>
              <w:left w:val="nil"/>
              <w:bottom w:val="single" w:sz="4" w:space="0" w:color="auto"/>
              <w:right w:val="single" w:sz="4" w:space="0" w:color="auto"/>
            </w:tcBorders>
            <w:shd w:val="clear" w:color="auto" w:fill="auto"/>
            <w:vAlign w:val="center"/>
            <w:hideMark/>
          </w:tcPr>
          <w:p w14:paraId="27A6C717" w14:textId="306D30A5" w:rsidR="00E67E43" w:rsidRPr="00CD7AFF" w:rsidRDefault="00E67E43" w:rsidP="00E67E43">
            <w:pPr>
              <w:spacing w:before="0" w:after="0"/>
              <w:rPr>
                <w:rFonts w:eastAsia="Times New Roman" w:cstheme="minorHAnsi"/>
                <w:color w:val="000000"/>
                <w:sz w:val="20"/>
                <w:szCs w:val="20"/>
                <w:lang w:eastAsia="es-MX"/>
              </w:rPr>
            </w:pPr>
            <w:r w:rsidRPr="00CD7AFF">
              <w:rPr>
                <w:rFonts w:eastAsia="Times New Roman" w:cstheme="minorHAnsi"/>
                <w:color w:val="000000"/>
                <w:sz w:val="20"/>
                <w:szCs w:val="20"/>
                <w:lang w:eastAsia="es-MX"/>
              </w:rPr>
              <w:t>11- Obras públicas y ordenamiento territorial</w:t>
            </w:r>
          </w:p>
        </w:tc>
      </w:tr>
      <w:tr w:rsidR="00E67E43" w:rsidRPr="00CD7AFF" w14:paraId="2C0A915E" w14:textId="77777777" w:rsidTr="005E1463">
        <w:trPr>
          <w:trHeight w:val="48"/>
        </w:trPr>
        <w:tc>
          <w:tcPr>
            <w:tcW w:w="1784" w:type="pct"/>
            <w:tcBorders>
              <w:top w:val="nil"/>
              <w:left w:val="single" w:sz="4" w:space="0" w:color="auto"/>
              <w:bottom w:val="single" w:sz="4" w:space="0" w:color="auto"/>
              <w:right w:val="single" w:sz="4" w:space="0" w:color="auto"/>
            </w:tcBorders>
            <w:shd w:val="clear" w:color="000000" w:fill="9CC2E5"/>
            <w:vAlign w:val="center"/>
            <w:hideMark/>
          </w:tcPr>
          <w:p w14:paraId="1578DE1C" w14:textId="77777777" w:rsidR="00E67E43" w:rsidRPr="00CD7AFF" w:rsidRDefault="00E67E43" w:rsidP="00E67E43">
            <w:pPr>
              <w:spacing w:before="0" w:after="0"/>
              <w:rPr>
                <w:rFonts w:eastAsia="Times New Roman" w:cstheme="minorHAnsi"/>
                <w:b/>
                <w:bCs/>
                <w:color w:val="000000"/>
                <w:sz w:val="20"/>
                <w:szCs w:val="20"/>
                <w:lang w:eastAsia="es-MX"/>
              </w:rPr>
            </w:pPr>
            <w:r w:rsidRPr="00CD7AFF">
              <w:rPr>
                <w:rFonts w:eastAsia="Times New Roman" w:cstheme="minorHAnsi"/>
                <w:b/>
                <w:bCs/>
                <w:color w:val="000000"/>
                <w:sz w:val="20"/>
                <w:szCs w:val="20"/>
                <w:lang w:eastAsia="es-MX"/>
              </w:rPr>
              <w:t xml:space="preserve">Propósito </w:t>
            </w:r>
          </w:p>
        </w:tc>
        <w:tc>
          <w:tcPr>
            <w:tcW w:w="3216" w:type="pct"/>
            <w:tcBorders>
              <w:top w:val="nil"/>
              <w:left w:val="nil"/>
              <w:bottom w:val="single" w:sz="4" w:space="0" w:color="auto"/>
              <w:right w:val="single" w:sz="4" w:space="0" w:color="auto"/>
            </w:tcBorders>
            <w:shd w:val="clear" w:color="auto" w:fill="auto"/>
            <w:vAlign w:val="center"/>
          </w:tcPr>
          <w:p w14:paraId="58ED8B6C" w14:textId="4579C759" w:rsidR="00E67E43" w:rsidRPr="00CD7AFF" w:rsidRDefault="00E67E43" w:rsidP="00E67E43">
            <w:pPr>
              <w:spacing w:before="0" w:after="0"/>
              <w:rPr>
                <w:rFonts w:eastAsia="Times New Roman" w:cstheme="minorHAnsi"/>
                <w:color w:val="000000"/>
                <w:sz w:val="20"/>
                <w:szCs w:val="20"/>
                <w:lang w:eastAsia="es-MX"/>
              </w:rPr>
            </w:pPr>
            <w:r w:rsidRPr="005E1463">
              <w:rPr>
                <w:sz w:val="20"/>
                <w:szCs w:val="20"/>
              </w:rPr>
              <w:t>Los alumnos de educación básica, media superior y superior cuentan con espacios equipados óptimos para el desarrollo de sus habilidades.</w:t>
            </w:r>
          </w:p>
        </w:tc>
      </w:tr>
      <w:tr w:rsidR="00E67E43" w:rsidRPr="00CD7AFF" w14:paraId="1150951E" w14:textId="77777777" w:rsidTr="005E1463">
        <w:trPr>
          <w:trHeight w:val="243"/>
        </w:trPr>
        <w:tc>
          <w:tcPr>
            <w:tcW w:w="1784" w:type="pct"/>
            <w:tcBorders>
              <w:top w:val="nil"/>
              <w:left w:val="single" w:sz="4" w:space="0" w:color="auto"/>
              <w:bottom w:val="single" w:sz="4" w:space="0" w:color="auto"/>
              <w:right w:val="single" w:sz="4" w:space="0" w:color="auto"/>
            </w:tcBorders>
            <w:shd w:val="clear" w:color="000000" w:fill="9CC2E5"/>
            <w:vAlign w:val="center"/>
            <w:hideMark/>
          </w:tcPr>
          <w:p w14:paraId="2C77828A" w14:textId="77777777" w:rsidR="00E67E43" w:rsidRPr="00CD7AFF" w:rsidRDefault="00E67E43" w:rsidP="00E67E43">
            <w:pPr>
              <w:spacing w:before="0" w:after="0"/>
              <w:rPr>
                <w:rFonts w:eastAsia="Times New Roman" w:cstheme="minorHAnsi"/>
                <w:b/>
                <w:bCs/>
                <w:color w:val="000000"/>
                <w:sz w:val="20"/>
                <w:szCs w:val="20"/>
                <w:lang w:eastAsia="es-MX"/>
              </w:rPr>
            </w:pPr>
            <w:r w:rsidRPr="00CD7AFF">
              <w:rPr>
                <w:rFonts w:eastAsia="Times New Roman" w:cstheme="minorHAnsi"/>
                <w:b/>
                <w:bCs/>
                <w:color w:val="000000"/>
                <w:sz w:val="20"/>
                <w:szCs w:val="20"/>
                <w:lang w:eastAsia="es-MX"/>
              </w:rPr>
              <w:t xml:space="preserve">Población o área de enfoque objetivo </w:t>
            </w:r>
          </w:p>
        </w:tc>
        <w:tc>
          <w:tcPr>
            <w:tcW w:w="3216" w:type="pct"/>
            <w:tcBorders>
              <w:top w:val="nil"/>
              <w:left w:val="nil"/>
              <w:bottom w:val="single" w:sz="4" w:space="0" w:color="auto"/>
              <w:right w:val="single" w:sz="4" w:space="0" w:color="auto"/>
            </w:tcBorders>
            <w:shd w:val="clear" w:color="auto" w:fill="auto"/>
          </w:tcPr>
          <w:p w14:paraId="7FD7B53B" w14:textId="493F924D" w:rsidR="00E67E43" w:rsidRPr="00CD7AFF" w:rsidRDefault="00E67E43" w:rsidP="00E67E43">
            <w:pPr>
              <w:spacing w:before="0" w:after="0"/>
              <w:rPr>
                <w:rFonts w:eastAsia="Times New Roman" w:cstheme="minorHAnsi"/>
                <w:color w:val="000000"/>
                <w:sz w:val="20"/>
                <w:szCs w:val="20"/>
                <w:lang w:eastAsia="es-MX"/>
              </w:rPr>
            </w:pPr>
            <w:r w:rsidRPr="00CD7AFF">
              <w:rPr>
                <w:sz w:val="20"/>
                <w:szCs w:val="20"/>
              </w:rPr>
              <w:t xml:space="preserve">Población </w:t>
            </w:r>
            <w:r w:rsidR="002E6F0A" w:rsidRPr="00CD7AFF">
              <w:rPr>
                <w:sz w:val="20"/>
                <w:szCs w:val="20"/>
              </w:rPr>
              <w:t xml:space="preserve">estudiantil </w:t>
            </w:r>
            <w:r w:rsidRPr="00CD7AFF">
              <w:rPr>
                <w:sz w:val="20"/>
                <w:szCs w:val="20"/>
              </w:rPr>
              <w:t xml:space="preserve">de la </w:t>
            </w:r>
            <w:r w:rsidR="007E4A81" w:rsidRPr="00CD7AFF">
              <w:rPr>
                <w:sz w:val="20"/>
                <w:szCs w:val="20"/>
              </w:rPr>
              <w:t>e</w:t>
            </w:r>
            <w:r w:rsidRPr="00CD7AFF">
              <w:rPr>
                <w:sz w:val="20"/>
                <w:szCs w:val="20"/>
              </w:rPr>
              <w:t>ntidad</w:t>
            </w:r>
            <w:r w:rsidR="007E4A81" w:rsidRPr="00CD7AFF">
              <w:rPr>
                <w:sz w:val="20"/>
                <w:szCs w:val="20"/>
              </w:rPr>
              <w:t xml:space="preserve"> federativa</w:t>
            </w:r>
          </w:p>
        </w:tc>
      </w:tr>
      <w:tr w:rsidR="00E67E43" w:rsidRPr="00CD7AFF" w14:paraId="7B55D540" w14:textId="77777777" w:rsidTr="005E1463">
        <w:trPr>
          <w:trHeight w:val="48"/>
        </w:trPr>
        <w:tc>
          <w:tcPr>
            <w:tcW w:w="1784" w:type="pct"/>
            <w:tcBorders>
              <w:top w:val="nil"/>
              <w:left w:val="single" w:sz="4" w:space="0" w:color="auto"/>
              <w:bottom w:val="single" w:sz="4" w:space="0" w:color="auto"/>
              <w:right w:val="single" w:sz="4" w:space="0" w:color="auto"/>
            </w:tcBorders>
            <w:shd w:val="clear" w:color="000000" w:fill="9CC2E5"/>
            <w:vAlign w:val="center"/>
            <w:hideMark/>
          </w:tcPr>
          <w:p w14:paraId="5B755CF7" w14:textId="77777777" w:rsidR="00E67E43" w:rsidRPr="00CD7AFF" w:rsidRDefault="00E67E43" w:rsidP="00E67E43">
            <w:pPr>
              <w:spacing w:before="0" w:after="0"/>
              <w:rPr>
                <w:rFonts w:eastAsia="Times New Roman" w:cstheme="minorHAnsi"/>
                <w:b/>
                <w:bCs/>
                <w:color w:val="000000"/>
                <w:sz w:val="20"/>
                <w:szCs w:val="20"/>
                <w:lang w:eastAsia="es-MX"/>
              </w:rPr>
            </w:pPr>
            <w:r w:rsidRPr="00CD7AFF">
              <w:rPr>
                <w:rFonts w:eastAsia="Times New Roman" w:cstheme="minorHAnsi"/>
                <w:b/>
                <w:bCs/>
                <w:color w:val="000000"/>
                <w:sz w:val="20"/>
                <w:szCs w:val="20"/>
                <w:lang w:eastAsia="es-MX"/>
              </w:rPr>
              <w:t xml:space="preserve">Tipos de Componentes que entrega a sus destinatarios </w:t>
            </w:r>
          </w:p>
        </w:tc>
        <w:tc>
          <w:tcPr>
            <w:tcW w:w="3216" w:type="pct"/>
            <w:tcBorders>
              <w:top w:val="nil"/>
              <w:left w:val="nil"/>
              <w:bottom w:val="single" w:sz="4" w:space="0" w:color="auto"/>
              <w:right w:val="single" w:sz="4" w:space="0" w:color="auto"/>
            </w:tcBorders>
            <w:shd w:val="clear" w:color="auto" w:fill="auto"/>
          </w:tcPr>
          <w:p w14:paraId="407C4AFE" w14:textId="1CAAC84F" w:rsidR="00E67E43" w:rsidRPr="00CD7AFF" w:rsidRDefault="002E6F0A" w:rsidP="00E67E43">
            <w:pPr>
              <w:spacing w:before="0" w:after="0"/>
              <w:rPr>
                <w:rFonts w:eastAsia="Times New Roman" w:cstheme="minorHAnsi"/>
                <w:color w:val="000000"/>
                <w:sz w:val="20"/>
                <w:szCs w:val="20"/>
                <w:lang w:eastAsia="es-MX"/>
              </w:rPr>
            </w:pPr>
            <w:r w:rsidRPr="005E1463">
              <w:rPr>
                <w:sz w:val="20"/>
                <w:szCs w:val="20"/>
              </w:rPr>
              <w:t xml:space="preserve">Acciones integrales para la construcción de infraestructura física educativa para el cumplimiento de la demanda de obra y equipamiento en los niveles educativos de educación básica, media superior y superior. </w:t>
            </w:r>
          </w:p>
        </w:tc>
      </w:tr>
      <w:tr w:rsidR="00E67E43" w:rsidRPr="00CD7AFF" w14:paraId="709618E7" w14:textId="77777777" w:rsidTr="005E1463">
        <w:trPr>
          <w:trHeight w:val="243"/>
        </w:trPr>
        <w:tc>
          <w:tcPr>
            <w:tcW w:w="1784" w:type="pct"/>
            <w:tcBorders>
              <w:top w:val="nil"/>
              <w:left w:val="single" w:sz="4" w:space="0" w:color="auto"/>
              <w:bottom w:val="single" w:sz="4" w:space="0" w:color="auto"/>
              <w:right w:val="single" w:sz="4" w:space="0" w:color="auto"/>
            </w:tcBorders>
            <w:shd w:val="clear" w:color="000000" w:fill="9CC2E5"/>
            <w:vAlign w:val="center"/>
            <w:hideMark/>
          </w:tcPr>
          <w:p w14:paraId="26E2F66E" w14:textId="77777777" w:rsidR="00E67E43" w:rsidRPr="00CD7AFF" w:rsidRDefault="00E67E43" w:rsidP="00E67E43">
            <w:pPr>
              <w:spacing w:before="0" w:after="0"/>
              <w:rPr>
                <w:rFonts w:eastAsia="Times New Roman" w:cstheme="minorHAnsi"/>
                <w:b/>
                <w:bCs/>
                <w:color w:val="000000"/>
                <w:sz w:val="20"/>
                <w:szCs w:val="20"/>
                <w:lang w:eastAsia="es-MX"/>
              </w:rPr>
            </w:pPr>
            <w:r w:rsidRPr="00CD7AFF">
              <w:rPr>
                <w:rFonts w:eastAsia="Times New Roman" w:cstheme="minorHAnsi"/>
                <w:b/>
                <w:bCs/>
                <w:color w:val="000000"/>
                <w:sz w:val="20"/>
                <w:szCs w:val="20"/>
                <w:lang w:eastAsia="es-MX"/>
              </w:rPr>
              <w:t xml:space="preserve">Cobertura Geográfica </w:t>
            </w:r>
          </w:p>
        </w:tc>
        <w:tc>
          <w:tcPr>
            <w:tcW w:w="3216" w:type="pct"/>
            <w:tcBorders>
              <w:top w:val="nil"/>
              <w:left w:val="nil"/>
              <w:bottom w:val="single" w:sz="4" w:space="0" w:color="auto"/>
              <w:right w:val="single" w:sz="4" w:space="0" w:color="auto"/>
            </w:tcBorders>
            <w:shd w:val="clear" w:color="auto" w:fill="auto"/>
            <w:hideMark/>
          </w:tcPr>
          <w:p w14:paraId="6C14AF4D" w14:textId="77777777" w:rsidR="00E67E43" w:rsidRPr="00CD7AFF" w:rsidRDefault="00E67E43" w:rsidP="00E67E43">
            <w:pPr>
              <w:spacing w:before="0" w:after="0"/>
              <w:rPr>
                <w:rFonts w:eastAsia="Times New Roman" w:cstheme="minorHAnsi"/>
                <w:color w:val="000000"/>
                <w:sz w:val="20"/>
                <w:szCs w:val="20"/>
                <w:lang w:eastAsia="es-MX"/>
              </w:rPr>
            </w:pPr>
            <w:r w:rsidRPr="00CD7AFF">
              <w:rPr>
                <w:sz w:val="20"/>
                <w:szCs w:val="20"/>
              </w:rPr>
              <w:t>Estatal</w:t>
            </w:r>
          </w:p>
        </w:tc>
      </w:tr>
      <w:tr w:rsidR="00E67E43" w:rsidRPr="00CD7AFF" w14:paraId="188FCD93" w14:textId="77777777" w:rsidTr="005E1463">
        <w:trPr>
          <w:trHeight w:val="243"/>
        </w:trPr>
        <w:tc>
          <w:tcPr>
            <w:tcW w:w="1784" w:type="pct"/>
            <w:tcBorders>
              <w:top w:val="nil"/>
              <w:left w:val="single" w:sz="4" w:space="0" w:color="auto"/>
              <w:bottom w:val="single" w:sz="4" w:space="0" w:color="auto"/>
              <w:right w:val="single" w:sz="4" w:space="0" w:color="auto"/>
            </w:tcBorders>
            <w:shd w:val="clear" w:color="000000" w:fill="9CC2E5"/>
            <w:vAlign w:val="center"/>
            <w:hideMark/>
          </w:tcPr>
          <w:p w14:paraId="4946408A" w14:textId="77777777" w:rsidR="00E67E43" w:rsidRPr="00CD7AFF" w:rsidRDefault="00E67E43" w:rsidP="00E67E43">
            <w:pPr>
              <w:spacing w:before="0" w:after="0"/>
              <w:rPr>
                <w:rFonts w:eastAsia="Times New Roman" w:cstheme="minorHAnsi"/>
                <w:b/>
                <w:bCs/>
                <w:color w:val="000000"/>
                <w:sz w:val="20"/>
                <w:szCs w:val="20"/>
                <w:lang w:eastAsia="es-MX"/>
              </w:rPr>
            </w:pPr>
            <w:r w:rsidRPr="00CD7AFF">
              <w:rPr>
                <w:rFonts w:eastAsia="Times New Roman" w:cstheme="minorHAnsi"/>
                <w:b/>
                <w:bCs/>
                <w:color w:val="000000"/>
                <w:sz w:val="20"/>
                <w:szCs w:val="20"/>
                <w:lang w:eastAsia="es-MX"/>
              </w:rPr>
              <w:t xml:space="preserve">Fuentes de Información </w:t>
            </w:r>
          </w:p>
        </w:tc>
        <w:tc>
          <w:tcPr>
            <w:tcW w:w="3216" w:type="pct"/>
            <w:tcBorders>
              <w:top w:val="nil"/>
              <w:left w:val="nil"/>
              <w:bottom w:val="single" w:sz="4" w:space="0" w:color="auto"/>
              <w:right w:val="single" w:sz="4" w:space="0" w:color="auto"/>
            </w:tcBorders>
            <w:shd w:val="clear" w:color="auto" w:fill="auto"/>
            <w:hideMark/>
          </w:tcPr>
          <w:p w14:paraId="2726DA42" w14:textId="77777777" w:rsidR="00E67E43" w:rsidRPr="00CD7AFF" w:rsidRDefault="00E67E43" w:rsidP="00E67E43">
            <w:pPr>
              <w:spacing w:before="0" w:after="0"/>
              <w:rPr>
                <w:rFonts w:eastAsia="Times New Roman" w:cstheme="minorHAnsi"/>
                <w:color w:val="000000"/>
                <w:sz w:val="20"/>
                <w:szCs w:val="20"/>
                <w:lang w:eastAsia="es-MX"/>
              </w:rPr>
            </w:pPr>
            <w:r w:rsidRPr="00CD7AFF">
              <w:rPr>
                <w:sz w:val="20"/>
                <w:szCs w:val="20"/>
              </w:rPr>
              <w:t>MIR de los Pp de la estructura programática estatal</w:t>
            </w:r>
          </w:p>
        </w:tc>
      </w:tr>
      <w:tr w:rsidR="00E67E43" w:rsidRPr="00CD7AFF" w14:paraId="56600604" w14:textId="77777777" w:rsidTr="005E1463">
        <w:trPr>
          <w:trHeight w:val="243"/>
        </w:trPr>
        <w:tc>
          <w:tcPr>
            <w:tcW w:w="1784" w:type="pct"/>
            <w:tcBorders>
              <w:top w:val="nil"/>
              <w:left w:val="single" w:sz="4" w:space="0" w:color="auto"/>
              <w:bottom w:val="single" w:sz="4" w:space="0" w:color="auto"/>
              <w:right w:val="single" w:sz="4" w:space="0" w:color="auto"/>
            </w:tcBorders>
            <w:shd w:val="clear" w:color="000000" w:fill="9CC2E5"/>
            <w:vAlign w:val="center"/>
            <w:hideMark/>
          </w:tcPr>
          <w:p w14:paraId="5FCE51B3" w14:textId="77777777" w:rsidR="00E67E43" w:rsidRPr="00CD7AFF" w:rsidRDefault="00E67E43" w:rsidP="00E67E43">
            <w:pPr>
              <w:spacing w:before="0" w:after="0"/>
              <w:rPr>
                <w:rFonts w:eastAsia="Times New Roman" w:cstheme="minorHAnsi"/>
                <w:b/>
                <w:bCs/>
                <w:color w:val="000000"/>
                <w:sz w:val="20"/>
                <w:szCs w:val="20"/>
                <w:lang w:eastAsia="es-MX"/>
              </w:rPr>
            </w:pPr>
            <w:r w:rsidRPr="00CD7AFF">
              <w:rPr>
                <w:rFonts w:eastAsia="Times New Roman" w:cstheme="minorHAnsi"/>
                <w:b/>
                <w:bCs/>
                <w:color w:val="000000"/>
                <w:sz w:val="20"/>
                <w:szCs w:val="20"/>
                <w:lang w:eastAsia="es-MX"/>
              </w:rPr>
              <w:t xml:space="preserve">¿Es coincidente? </w:t>
            </w:r>
          </w:p>
        </w:tc>
        <w:tc>
          <w:tcPr>
            <w:tcW w:w="3216" w:type="pct"/>
            <w:tcBorders>
              <w:top w:val="nil"/>
              <w:left w:val="nil"/>
              <w:bottom w:val="single" w:sz="4" w:space="0" w:color="auto"/>
              <w:right w:val="single" w:sz="4" w:space="0" w:color="auto"/>
            </w:tcBorders>
            <w:shd w:val="clear" w:color="auto" w:fill="auto"/>
            <w:hideMark/>
          </w:tcPr>
          <w:p w14:paraId="09211CF1" w14:textId="77777777" w:rsidR="00E67E43" w:rsidRPr="00CD7AFF" w:rsidRDefault="00E67E43" w:rsidP="00E67E43">
            <w:pPr>
              <w:spacing w:before="0" w:after="0"/>
              <w:rPr>
                <w:rFonts w:eastAsia="Times New Roman" w:cstheme="minorHAnsi"/>
                <w:color w:val="000000"/>
                <w:sz w:val="20"/>
                <w:szCs w:val="20"/>
                <w:lang w:eastAsia="es-MX"/>
              </w:rPr>
            </w:pPr>
            <w:r w:rsidRPr="00CD7AFF">
              <w:rPr>
                <w:sz w:val="20"/>
                <w:szCs w:val="20"/>
              </w:rPr>
              <w:t>No</w:t>
            </w:r>
          </w:p>
        </w:tc>
      </w:tr>
      <w:tr w:rsidR="00E67E43" w:rsidRPr="00CD7AFF" w14:paraId="70453D11" w14:textId="77777777" w:rsidTr="005E1463">
        <w:trPr>
          <w:trHeight w:val="243"/>
        </w:trPr>
        <w:tc>
          <w:tcPr>
            <w:tcW w:w="1784" w:type="pct"/>
            <w:tcBorders>
              <w:top w:val="nil"/>
              <w:left w:val="single" w:sz="4" w:space="0" w:color="auto"/>
              <w:bottom w:val="single" w:sz="4" w:space="0" w:color="auto"/>
              <w:right w:val="single" w:sz="4" w:space="0" w:color="auto"/>
            </w:tcBorders>
            <w:shd w:val="clear" w:color="000000" w:fill="9CC2E5"/>
            <w:vAlign w:val="center"/>
            <w:hideMark/>
          </w:tcPr>
          <w:p w14:paraId="3CD3B7B2" w14:textId="77777777" w:rsidR="00E67E43" w:rsidRPr="00CD7AFF" w:rsidRDefault="00E67E43" w:rsidP="00E67E43">
            <w:pPr>
              <w:spacing w:before="0" w:after="0"/>
              <w:rPr>
                <w:rFonts w:eastAsia="Times New Roman" w:cstheme="minorHAnsi"/>
                <w:b/>
                <w:bCs/>
                <w:color w:val="000000"/>
                <w:sz w:val="20"/>
                <w:szCs w:val="20"/>
                <w:lang w:eastAsia="es-MX"/>
              </w:rPr>
            </w:pPr>
            <w:r w:rsidRPr="00CD7AFF">
              <w:rPr>
                <w:rFonts w:eastAsia="Times New Roman" w:cstheme="minorHAnsi"/>
                <w:b/>
                <w:bCs/>
                <w:color w:val="000000"/>
                <w:sz w:val="20"/>
                <w:szCs w:val="20"/>
                <w:lang w:eastAsia="es-MX"/>
              </w:rPr>
              <w:t xml:space="preserve">¿Se complementa? </w:t>
            </w:r>
          </w:p>
        </w:tc>
        <w:tc>
          <w:tcPr>
            <w:tcW w:w="3216" w:type="pct"/>
            <w:tcBorders>
              <w:top w:val="nil"/>
              <w:left w:val="nil"/>
              <w:bottom w:val="single" w:sz="4" w:space="0" w:color="auto"/>
              <w:right w:val="single" w:sz="4" w:space="0" w:color="auto"/>
            </w:tcBorders>
            <w:shd w:val="clear" w:color="auto" w:fill="auto"/>
            <w:hideMark/>
          </w:tcPr>
          <w:p w14:paraId="213B0540" w14:textId="77777777" w:rsidR="00E67E43" w:rsidRPr="00CD7AFF" w:rsidRDefault="00E67E43" w:rsidP="00E67E43">
            <w:pPr>
              <w:spacing w:before="0" w:after="0"/>
              <w:rPr>
                <w:rFonts w:eastAsia="Times New Roman" w:cstheme="minorHAnsi"/>
                <w:color w:val="000000"/>
                <w:sz w:val="20"/>
                <w:szCs w:val="20"/>
                <w:lang w:eastAsia="es-MX"/>
              </w:rPr>
            </w:pPr>
            <w:r w:rsidRPr="00CD7AFF">
              <w:rPr>
                <w:sz w:val="20"/>
                <w:szCs w:val="20"/>
              </w:rPr>
              <w:t>Sí</w:t>
            </w:r>
          </w:p>
        </w:tc>
      </w:tr>
      <w:tr w:rsidR="00E67E43" w:rsidRPr="00CD7AFF" w14:paraId="53286055" w14:textId="77777777" w:rsidTr="005E1463">
        <w:trPr>
          <w:trHeight w:val="48"/>
        </w:trPr>
        <w:tc>
          <w:tcPr>
            <w:tcW w:w="1784" w:type="pct"/>
            <w:tcBorders>
              <w:top w:val="nil"/>
              <w:left w:val="single" w:sz="4" w:space="0" w:color="auto"/>
              <w:bottom w:val="single" w:sz="4" w:space="0" w:color="auto"/>
              <w:right w:val="single" w:sz="4" w:space="0" w:color="auto"/>
            </w:tcBorders>
            <w:shd w:val="clear" w:color="000000" w:fill="9CC2E5"/>
            <w:vAlign w:val="center"/>
            <w:hideMark/>
          </w:tcPr>
          <w:p w14:paraId="2B44A6B2" w14:textId="77777777" w:rsidR="00E67E43" w:rsidRPr="00CD7AFF" w:rsidRDefault="00E67E43" w:rsidP="00E67E43">
            <w:pPr>
              <w:spacing w:before="0" w:after="0"/>
              <w:rPr>
                <w:rFonts w:eastAsia="Times New Roman" w:cstheme="minorHAnsi"/>
                <w:b/>
                <w:bCs/>
                <w:color w:val="000000"/>
                <w:sz w:val="20"/>
                <w:szCs w:val="20"/>
                <w:lang w:eastAsia="es-MX"/>
              </w:rPr>
            </w:pPr>
            <w:r w:rsidRPr="00CD7AFF">
              <w:rPr>
                <w:rFonts w:eastAsia="Times New Roman" w:cstheme="minorHAnsi"/>
                <w:b/>
                <w:bCs/>
                <w:color w:val="000000"/>
                <w:sz w:val="20"/>
                <w:szCs w:val="20"/>
                <w:lang w:eastAsia="es-MX"/>
              </w:rPr>
              <w:t>Argumentación</w:t>
            </w:r>
          </w:p>
        </w:tc>
        <w:tc>
          <w:tcPr>
            <w:tcW w:w="3216" w:type="pct"/>
            <w:tcBorders>
              <w:top w:val="nil"/>
              <w:left w:val="nil"/>
              <w:bottom w:val="single" w:sz="4" w:space="0" w:color="auto"/>
              <w:right w:val="single" w:sz="4" w:space="0" w:color="auto"/>
            </w:tcBorders>
            <w:shd w:val="clear" w:color="auto" w:fill="auto"/>
            <w:vAlign w:val="center"/>
          </w:tcPr>
          <w:p w14:paraId="03BBB556" w14:textId="0BB1C252" w:rsidR="00E67E43" w:rsidRPr="00CD7AFF" w:rsidRDefault="002E6F0A" w:rsidP="00E67E43">
            <w:pPr>
              <w:spacing w:before="0" w:after="0"/>
              <w:rPr>
                <w:rFonts w:eastAsia="Times New Roman" w:cstheme="minorHAnsi"/>
                <w:color w:val="000000"/>
                <w:sz w:val="20"/>
                <w:szCs w:val="20"/>
                <w:lang w:eastAsia="es-MX"/>
              </w:rPr>
            </w:pPr>
            <w:r w:rsidRPr="00CD7AFF">
              <w:rPr>
                <w:rFonts w:eastAsia="Times New Roman" w:cs="Arial"/>
                <w:color w:val="000000"/>
                <w:sz w:val="20"/>
                <w:szCs w:val="20"/>
                <w:lang w:eastAsia="es-MX"/>
              </w:rPr>
              <w:t>Contribuye a la calidad y pertinencia de la educación básica, media superior y superior, mediante la infraestructura para la educación en el Estado de Hidalgo con una formación integral.</w:t>
            </w:r>
          </w:p>
        </w:tc>
      </w:tr>
      <w:tr w:rsidR="00E67E43" w:rsidRPr="00CD7AFF" w14:paraId="626EB983" w14:textId="77777777" w:rsidTr="005E1463">
        <w:trPr>
          <w:trHeight w:val="243"/>
        </w:trPr>
        <w:tc>
          <w:tcPr>
            <w:tcW w:w="1784" w:type="pct"/>
            <w:tcBorders>
              <w:top w:val="nil"/>
              <w:left w:val="single" w:sz="4" w:space="0" w:color="auto"/>
              <w:bottom w:val="single" w:sz="4" w:space="0" w:color="auto"/>
              <w:right w:val="single" w:sz="4" w:space="0" w:color="auto"/>
            </w:tcBorders>
            <w:shd w:val="clear" w:color="000000" w:fill="9CC2E5"/>
            <w:vAlign w:val="center"/>
            <w:hideMark/>
          </w:tcPr>
          <w:p w14:paraId="4F0490A4" w14:textId="77777777" w:rsidR="00E67E43" w:rsidRPr="00CD7AFF" w:rsidRDefault="00E67E43" w:rsidP="00E67E43">
            <w:pPr>
              <w:spacing w:before="0" w:after="0"/>
              <w:rPr>
                <w:rFonts w:eastAsia="Times New Roman" w:cstheme="minorHAnsi"/>
                <w:b/>
                <w:bCs/>
                <w:color w:val="000000"/>
                <w:sz w:val="20"/>
                <w:szCs w:val="20"/>
                <w:lang w:eastAsia="es-MX"/>
              </w:rPr>
            </w:pPr>
            <w:r w:rsidRPr="00CD7AFF">
              <w:rPr>
                <w:rFonts w:eastAsia="Times New Roman" w:cstheme="minorHAnsi"/>
                <w:b/>
                <w:bCs/>
                <w:color w:val="000000"/>
                <w:sz w:val="20"/>
                <w:szCs w:val="20"/>
                <w:lang w:eastAsia="es-MX"/>
              </w:rPr>
              <w:t>Recomendación</w:t>
            </w:r>
          </w:p>
        </w:tc>
        <w:tc>
          <w:tcPr>
            <w:tcW w:w="3216" w:type="pct"/>
            <w:tcBorders>
              <w:top w:val="nil"/>
              <w:left w:val="nil"/>
              <w:bottom w:val="single" w:sz="4" w:space="0" w:color="auto"/>
              <w:right w:val="single" w:sz="4" w:space="0" w:color="auto"/>
            </w:tcBorders>
            <w:shd w:val="clear" w:color="auto" w:fill="auto"/>
            <w:vAlign w:val="center"/>
            <w:hideMark/>
          </w:tcPr>
          <w:p w14:paraId="7D2DD5C4" w14:textId="77777777" w:rsidR="00E67E43" w:rsidRPr="00CD7AFF" w:rsidRDefault="00E67E43" w:rsidP="00E67E43">
            <w:pPr>
              <w:spacing w:before="0" w:after="0"/>
              <w:rPr>
                <w:rFonts w:eastAsia="Times New Roman" w:cstheme="minorHAnsi"/>
                <w:color w:val="000000"/>
                <w:sz w:val="20"/>
                <w:szCs w:val="20"/>
                <w:lang w:eastAsia="es-MX"/>
              </w:rPr>
            </w:pPr>
            <w:r w:rsidRPr="00CD7AFF">
              <w:rPr>
                <w:rFonts w:eastAsia="Times New Roman" w:cstheme="minorHAnsi"/>
                <w:color w:val="000000"/>
                <w:sz w:val="20"/>
                <w:szCs w:val="20"/>
                <w:lang w:eastAsia="es-MX"/>
              </w:rPr>
              <w:t>Sin recomendación</w:t>
            </w:r>
          </w:p>
        </w:tc>
      </w:tr>
    </w:tbl>
    <w:p w14:paraId="26CF23BC" w14:textId="2427877D" w:rsidR="00E67E43" w:rsidRDefault="00E67E43" w:rsidP="00EB1844">
      <w:pPr>
        <w:rPr>
          <w:sz w:val="8"/>
          <w:szCs w:val="8"/>
        </w:rPr>
      </w:pPr>
    </w:p>
    <w:p w14:paraId="1B858C78" w14:textId="50140F11" w:rsidR="00CD7AFF" w:rsidRDefault="00CD7AFF" w:rsidP="00EB1844">
      <w:pPr>
        <w:rPr>
          <w:sz w:val="8"/>
          <w:szCs w:val="8"/>
        </w:rPr>
      </w:pPr>
    </w:p>
    <w:p w14:paraId="2C92D618" w14:textId="77777777" w:rsidR="00CD7AFF" w:rsidRDefault="00CD7AFF" w:rsidP="00EB1844">
      <w:pPr>
        <w:rPr>
          <w:sz w:val="8"/>
          <w:szCs w:val="8"/>
        </w:rPr>
      </w:pPr>
    </w:p>
    <w:p w14:paraId="0685262F" w14:textId="77777777" w:rsidR="00CD7AFF" w:rsidRDefault="00CD7AFF" w:rsidP="00EB1844">
      <w:pPr>
        <w:rPr>
          <w:sz w:val="8"/>
          <w:szCs w:val="8"/>
        </w:rPr>
      </w:pPr>
    </w:p>
    <w:tbl>
      <w:tblPr>
        <w:tblW w:w="4980" w:type="pct"/>
        <w:tblInd w:w="-5" w:type="dxa"/>
        <w:tblCellMar>
          <w:left w:w="70" w:type="dxa"/>
          <w:right w:w="70" w:type="dxa"/>
        </w:tblCellMar>
        <w:tblLook w:val="04A0" w:firstRow="1" w:lastRow="0" w:firstColumn="1" w:lastColumn="0" w:noHBand="0" w:noVBand="1"/>
      </w:tblPr>
      <w:tblGrid>
        <w:gridCol w:w="4820"/>
        <w:gridCol w:w="8688"/>
      </w:tblGrid>
      <w:tr w:rsidR="002E6F0A" w:rsidRPr="00CD7AFF" w14:paraId="092E97BB" w14:textId="77777777" w:rsidTr="005E1463">
        <w:trPr>
          <w:trHeight w:val="303"/>
        </w:trPr>
        <w:tc>
          <w:tcPr>
            <w:tcW w:w="1784" w:type="pct"/>
            <w:tcBorders>
              <w:top w:val="single" w:sz="4" w:space="0" w:color="auto"/>
              <w:left w:val="single" w:sz="4" w:space="0" w:color="auto"/>
              <w:bottom w:val="single" w:sz="4" w:space="0" w:color="auto"/>
              <w:right w:val="single" w:sz="4" w:space="0" w:color="auto"/>
            </w:tcBorders>
            <w:shd w:val="clear" w:color="000000" w:fill="9CC2E5"/>
            <w:vAlign w:val="center"/>
            <w:hideMark/>
          </w:tcPr>
          <w:p w14:paraId="3ED0BB7B" w14:textId="77777777" w:rsidR="002E6F0A" w:rsidRPr="00CD7AFF" w:rsidRDefault="002E6F0A" w:rsidP="000F3860">
            <w:pPr>
              <w:spacing w:before="0" w:after="0"/>
              <w:rPr>
                <w:rFonts w:eastAsia="Times New Roman" w:cstheme="minorHAnsi"/>
                <w:b/>
                <w:bCs/>
                <w:color w:val="000000"/>
                <w:sz w:val="20"/>
                <w:szCs w:val="20"/>
                <w:lang w:eastAsia="es-MX"/>
              </w:rPr>
            </w:pPr>
            <w:r w:rsidRPr="00CD7AFF">
              <w:rPr>
                <w:rFonts w:eastAsia="Times New Roman" w:cstheme="minorHAnsi"/>
                <w:b/>
                <w:bCs/>
                <w:color w:val="000000"/>
                <w:sz w:val="20"/>
                <w:szCs w:val="20"/>
                <w:lang w:eastAsia="es-MX"/>
              </w:rPr>
              <w:lastRenderedPageBreak/>
              <w:t>Nombre de las políticas, programas o proyectos locales</w:t>
            </w:r>
          </w:p>
        </w:tc>
        <w:tc>
          <w:tcPr>
            <w:tcW w:w="3216" w:type="pct"/>
            <w:tcBorders>
              <w:top w:val="single" w:sz="4" w:space="0" w:color="auto"/>
              <w:left w:val="nil"/>
              <w:bottom w:val="single" w:sz="4" w:space="0" w:color="auto"/>
              <w:right w:val="single" w:sz="4" w:space="0" w:color="auto"/>
            </w:tcBorders>
            <w:shd w:val="clear" w:color="auto" w:fill="auto"/>
            <w:vAlign w:val="center"/>
            <w:hideMark/>
          </w:tcPr>
          <w:p w14:paraId="68B52A8F" w14:textId="3D5242E5" w:rsidR="002E6F0A" w:rsidRPr="00CD7AFF" w:rsidRDefault="00124354" w:rsidP="000F3860">
            <w:pPr>
              <w:spacing w:before="0" w:after="0"/>
              <w:rPr>
                <w:rFonts w:eastAsia="Times New Roman" w:cstheme="minorHAnsi"/>
                <w:color w:val="000000"/>
                <w:sz w:val="20"/>
                <w:szCs w:val="20"/>
                <w:lang w:eastAsia="es-MX"/>
              </w:rPr>
            </w:pPr>
            <w:r w:rsidRPr="00CD7AFF">
              <w:rPr>
                <w:rFonts w:eastAsia="Times New Roman" w:cs="Arial"/>
                <w:color w:val="000000"/>
                <w:sz w:val="20"/>
                <w:szCs w:val="20"/>
                <w:lang w:eastAsia="es-MX"/>
              </w:rPr>
              <w:t>Preservación y aprovechamiento sostenible de la biodiversidad y los recursos naturales</w:t>
            </w:r>
          </w:p>
        </w:tc>
      </w:tr>
      <w:tr w:rsidR="002E6F0A" w:rsidRPr="00CD7AFF" w14:paraId="4EAC0242" w14:textId="77777777" w:rsidTr="005E1463">
        <w:trPr>
          <w:trHeight w:val="243"/>
        </w:trPr>
        <w:tc>
          <w:tcPr>
            <w:tcW w:w="1784" w:type="pct"/>
            <w:tcBorders>
              <w:top w:val="nil"/>
              <w:left w:val="single" w:sz="4" w:space="0" w:color="auto"/>
              <w:bottom w:val="single" w:sz="4" w:space="0" w:color="auto"/>
              <w:right w:val="single" w:sz="4" w:space="0" w:color="auto"/>
            </w:tcBorders>
            <w:shd w:val="clear" w:color="000000" w:fill="9CC2E5"/>
            <w:vAlign w:val="center"/>
            <w:hideMark/>
          </w:tcPr>
          <w:p w14:paraId="5B7F8400" w14:textId="77777777" w:rsidR="002E6F0A" w:rsidRPr="00CD7AFF" w:rsidRDefault="002E6F0A" w:rsidP="000F3860">
            <w:pPr>
              <w:spacing w:before="0" w:after="0"/>
              <w:rPr>
                <w:rFonts w:eastAsia="Times New Roman" w:cstheme="minorHAnsi"/>
                <w:b/>
                <w:bCs/>
                <w:color w:val="000000"/>
                <w:sz w:val="20"/>
                <w:szCs w:val="20"/>
                <w:lang w:eastAsia="es-MX"/>
              </w:rPr>
            </w:pPr>
            <w:r w:rsidRPr="00CD7AFF">
              <w:rPr>
                <w:rFonts w:eastAsia="Times New Roman" w:cstheme="minorHAnsi"/>
                <w:b/>
                <w:bCs/>
                <w:color w:val="000000"/>
                <w:sz w:val="20"/>
                <w:szCs w:val="20"/>
                <w:lang w:eastAsia="es-MX"/>
              </w:rPr>
              <w:t xml:space="preserve">Modalidad y Clave </w:t>
            </w:r>
          </w:p>
        </w:tc>
        <w:tc>
          <w:tcPr>
            <w:tcW w:w="3216" w:type="pct"/>
            <w:tcBorders>
              <w:top w:val="nil"/>
              <w:left w:val="nil"/>
              <w:bottom w:val="single" w:sz="4" w:space="0" w:color="auto"/>
              <w:right w:val="single" w:sz="4" w:space="0" w:color="auto"/>
            </w:tcBorders>
            <w:shd w:val="clear" w:color="auto" w:fill="auto"/>
            <w:vAlign w:val="center"/>
            <w:hideMark/>
          </w:tcPr>
          <w:p w14:paraId="45F7CE24" w14:textId="77777777" w:rsidR="002E6F0A" w:rsidRPr="00CD7AFF" w:rsidRDefault="002E6F0A" w:rsidP="000F3860">
            <w:pPr>
              <w:spacing w:before="0" w:after="0"/>
              <w:rPr>
                <w:rFonts w:eastAsia="Times New Roman" w:cstheme="minorHAnsi"/>
                <w:color w:val="000000"/>
                <w:sz w:val="20"/>
                <w:szCs w:val="20"/>
                <w:lang w:eastAsia="es-MX"/>
              </w:rPr>
            </w:pPr>
            <w:r w:rsidRPr="00CD7AFF">
              <w:rPr>
                <w:rFonts w:eastAsia="Times New Roman" w:cstheme="minorHAnsi"/>
                <w:color w:val="000000"/>
                <w:sz w:val="20"/>
                <w:szCs w:val="20"/>
                <w:lang w:eastAsia="es-MX"/>
              </w:rPr>
              <w:t>E04</w:t>
            </w:r>
          </w:p>
        </w:tc>
      </w:tr>
      <w:tr w:rsidR="002E6F0A" w:rsidRPr="00CD7AFF" w14:paraId="5C5839B3" w14:textId="77777777" w:rsidTr="005E1463">
        <w:trPr>
          <w:trHeight w:val="243"/>
        </w:trPr>
        <w:tc>
          <w:tcPr>
            <w:tcW w:w="1784" w:type="pct"/>
            <w:tcBorders>
              <w:top w:val="nil"/>
              <w:left w:val="single" w:sz="4" w:space="0" w:color="auto"/>
              <w:bottom w:val="single" w:sz="4" w:space="0" w:color="auto"/>
              <w:right w:val="single" w:sz="4" w:space="0" w:color="auto"/>
            </w:tcBorders>
            <w:shd w:val="clear" w:color="000000" w:fill="9CC2E5"/>
            <w:vAlign w:val="center"/>
            <w:hideMark/>
          </w:tcPr>
          <w:p w14:paraId="37DF8D3F" w14:textId="77777777" w:rsidR="002E6F0A" w:rsidRPr="00CD7AFF" w:rsidRDefault="002E6F0A" w:rsidP="000F3860">
            <w:pPr>
              <w:spacing w:before="0" w:after="0"/>
              <w:rPr>
                <w:rFonts w:eastAsia="Times New Roman" w:cstheme="minorHAnsi"/>
                <w:b/>
                <w:bCs/>
                <w:color w:val="000000"/>
                <w:sz w:val="20"/>
                <w:szCs w:val="20"/>
                <w:lang w:eastAsia="es-MX"/>
              </w:rPr>
            </w:pPr>
            <w:r w:rsidRPr="00CD7AFF">
              <w:rPr>
                <w:rFonts w:eastAsia="Times New Roman" w:cstheme="minorHAnsi"/>
                <w:b/>
                <w:bCs/>
                <w:color w:val="000000"/>
                <w:sz w:val="20"/>
                <w:szCs w:val="20"/>
                <w:lang w:eastAsia="es-MX"/>
              </w:rPr>
              <w:t xml:space="preserve">Ramo </w:t>
            </w:r>
          </w:p>
        </w:tc>
        <w:tc>
          <w:tcPr>
            <w:tcW w:w="3216" w:type="pct"/>
            <w:tcBorders>
              <w:top w:val="nil"/>
              <w:left w:val="nil"/>
              <w:bottom w:val="single" w:sz="4" w:space="0" w:color="auto"/>
              <w:right w:val="single" w:sz="4" w:space="0" w:color="auto"/>
            </w:tcBorders>
            <w:shd w:val="clear" w:color="auto" w:fill="auto"/>
            <w:vAlign w:val="center"/>
            <w:hideMark/>
          </w:tcPr>
          <w:p w14:paraId="163A799D" w14:textId="53AC4253" w:rsidR="002E6F0A" w:rsidRPr="00CD7AFF" w:rsidRDefault="002E6F0A" w:rsidP="000F3860">
            <w:pPr>
              <w:spacing w:before="0" w:after="0"/>
              <w:rPr>
                <w:rFonts w:eastAsia="Times New Roman" w:cstheme="minorHAnsi"/>
                <w:color w:val="000000"/>
                <w:sz w:val="20"/>
                <w:szCs w:val="20"/>
                <w:lang w:eastAsia="es-MX"/>
              </w:rPr>
            </w:pPr>
            <w:r w:rsidRPr="00CD7AFF">
              <w:rPr>
                <w:rFonts w:eastAsia="Times New Roman" w:cstheme="minorHAnsi"/>
                <w:color w:val="000000"/>
                <w:sz w:val="20"/>
                <w:szCs w:val="20"/>
                <w:lang w:eastAsia="es-MX"/>
              </w:rPr>
              <w:t>1</w:t>
            </w:r>
            <w:r w:rsidR="00BA003F" w:rsidRPr="00CD7AFF">
              <w:rPr>
                <w:rFonts w:eastAsia="Times New Roman" w:cstheme="minorHAnsi"/>
                <w:color w:val="000000"/>
                <w:sz w:val="20"/>
                <w:szCs w:val="20"/>
                <w:lang w:eastAsia="es-MX"/>
              </w:rPr>
              <w:t>2</w:t>
            </w:r>
            <w:r w:rsidRPr="00CD7AFF">
              <w:rPr>
                <w:rFonts w:eastAsia="Times New Roman" w:cstheme="minorHAnsi"/>
                <w:color w:val="000000"/>
                <w:sz w:val="20"/>
                <w:szCs w:val="20"/>
                <w:lang w:eastAsia="es-MX"/>
              </w:rPr>
              <w:t xml:space="preserve">- </w:t>
            </w:r>
            <w:r w:rsidR="00BA003F" w:rsidRPr="00CD7AFF">
              <w:rPr>
                <w:rFonts w:eastAsia="Times New Roman" w:cstheme="minorHAnsi"/>
                <w:color w:val="000000"/>
                <w:sz w:val="20"/>
                <w:szCs w:val="20"/>
                <w:lang w:eastAsia="es-MX"/>
              </w:rPr>
              <w:t>Medio ambiente y recursos naturales</w:t>
            </w:r>
          </w:p>
        </w:tc>
      </w:tr>
      <w:tr w:rsidR="002E6F0A" w:rsidRPr="00CD7AFF" w14:paraId="16881CBD" w14:textId="77777777" w:rsidTr="005E1463">
        <w:trPr>
          <w:trHeight w:val="48"/>
        </w:trPr>
        <w:tc>
          <w:tcPr>
            <w:tcW w:w="1784" w:type="pct"/>
            <w:tcBorders>
              <w:top w:val="nil"/>
              <w:left w:val="single" w:sz="4" w:space="0" w:color="auto"/>
              <w:bottom w:val="single" w:sz="4" w:space="0" w:color="auto"/>
              <w:right w:val="single" w:sz="4" w:space="0" w:color="auto"/>
            </w:tcBorders>
            <w:shd w:val="clear" w:color="000000" w:fill="9CC2E5"/>
            <w:vAlign w:val="center"/>
            <w:hideMark/>
          </w:tcPr>
          <w:p w14:paraId="3FAA74AC" w14:textId="77777777" w:rsidR="002E6F0A" w:rsidRPr="00CD7AFF" w:rsidRDefault="002E6F0A" w:rsidP="000F3860">
            <w:pPr>
              <w:spacing w:before="0" w:after="0"/>
              <w:rPr>
                <w:rFonts w:eastAsia="Times New Roman" w:cstheme="minorHAnsi"/>
                <w:b/>
                <w:bCs/>
                <w:color w:val="000000"/>
                <w:sz w:val="20"/>
                <w:szCs w:val="20"/>
                <w:lang w:eastAsia="es-MX"/>
              </w:rPr>
            </w:pPr>
            <w:r w:rsidRPr="00CD7AFF">
              <w:rPr>
                <w:rFonts w:eastAsia="Times New Roman" w:cstheme="minorHAnsi"/>
                <w:b/>
                <w:bCs/>
                <w:color w:val="000000"/>
                <w:sz w:val="20"/>
                <w:szCs w:val="20"/>
                <w:lang w:eastAsia="es-MX"/>
              </w:rPr>
              <w:t xml:space="preserve">Propósito </w:t>
            </w:r>
          </w:p>
        </w:tc>
        <w:tc>
          <w:tcPr>
            <w:tcW w:w="3216" w:type="pct"/>
            <w:tcBorders>
              <w:top w:val="nil"/>
              <w:left w:val="nil"/>
              <w:bottom w:val="single" w:sz="4" w:space="0" w:color="auto"/>
              <w:right w:val="single" w:sz="4" w:space="0" w:color="auto"/>
            </w:tcBorders>
            <w:shd w:val="clear" w:color="auto" w:fill="auto"/>
            <w:vAlign w:val="center"/>
          </w:tcPr>
          <w:p w14:paraId="094AD2DD" w14:textId="76CF45A7" w:rsidR="002E6F0A" w:rsidRPr="00CD7AFF" w:rsidRDefault="007E4A81" w:rsidP="007E4A81">
            <w:pPr>
              <w:spacing w:before="0" w:after="0"/>
              <w:rPr>
                <w:rFonts w:eastAsia="Times New Roman" w:cstheme="minorHAnsi"/>
                <w:color w:val="000000"/>
                <w:sz w:val="20"/>
                <w:szCs w:val="20"/>
                <w:lang w:eastAsia="es-MX"/>
              </w:rPr>
            </w:pPr>
            <w:r w:rsidRPr="00CD7AFF">
              <w:rPr>
                <w:rFonts w:eastAsia="Times New Roman" w:cstheme="minorHAnsi"/>
                <w:color w:val="000000"/>
                <w:sz w:val="20"/>
                <w:szCs w:val="20"/>
                <w:lang w:eastAsia="es-MX"/>
              </w:rPr>
              <w:t>La población del estado de hidalgo que habita en acuíferos sobreexplotados, cuencas y áreas naturales protegidas cuenta con suficiente agua en cantidad y calidad para su consumo.</w:t>
            </w:r>
          </w:p>
        </w:tc>
      </w:tr>
      <w:tr w:rsidR="002E6F0A" w:rsidRPr="00CD7AFF" w14:paraId="4D1F3132" w14:textId="77777777" w:rsidTr="005E1463">
        <w:trPr>
          <w:trHeight w:val="243"/>
        </w:trPr>
        <w:tc>
          <w:tcPr>
            <w:tcW w:w="1784" w:type="pct"/>
            <w:tcBorders>
              <w:top w:val="nil"/>
              <w:left w:val="single" w:sz="4" w:space="0" w:color="auto"/>
              <w:bottom w:val="single" w:sz="4" w:space="0" w:color="auto"/>
              <w:right w:val="single" w:sz="4" w:space="0" w:color="auto"/>
            </w:tcBorders>
            <w:shd w:val="clear" w:color="000000" w:fill="9CC2E5"/>
            <w:vAlign w:val="center"/>
            <w:hideMark/>
          </w:tcPr>
          <w:p w14:paraId="7EC337D4" w14:textId="77777777" w:rsidR="002E6F0A" w:rsidRPr="00CD7AFF" w:rsidRDefault="002E6F0A" w:rsidP="000F3860">
            <w:pPr>
              <w:spacing w:before="0" w:after="0"/>
              <w:rPr>
                <w:rFonts w:eastAsia="Times New Roman" w:cstheme="minorHAnsi"/>
                <w:b/>
                <w:bCs/>
                <w:color w:val="000000"/>
                <w:sz w:val="20"/>
                <w:szCs w:val="20"/>
                <w:lang w:eastAsia="es-MX"/>
              </w:rPr>
            </w:pPr>
            <w:r w:rsidRPr="00CD7AFF">
              <w:rPr>
                <w:rFonts w:eastAsia="Times New Roman" w:cstheme="minorHAnsi"/>
                <w:b/>
                <w:bCs/>
                <w:color w:val="000000"/>
                <w:sz w:val="20"/>
                <w:szCs w:val="20"/>
                <w:lang w:eastAsia="es-MX"/>
              </w:rPr>
              <w:t xml:space="preserve">Población o área de enfoque objetivo </w:t>
            </w:r>
          </w:p>
        </w:tc>
        <w:tc>
          <w:tcPr>
            <w:tcW w:w="3216" w:type="pct"/>
            <w:tcBorders>
              <w:top w:val="nil"/>
              <w:left w:val="nil"/>
              <w:bottom w:val="single" w:sz="4" w:space="0" w:color="auto"/>
              <w:right w:val="single" w:sz="4" w:space="0" w:color="auto"/>
            </w:tcBorders>
            <w:shd w:val="clear" w:color="auto" w:fill="auto"/>
          </w:tcPr>
          <w:p w14:paraId="2241B08F" w14:textId="3B5AE78F" w:rsidR="002E6F0A" w:rsidRPr="00CD7AFF" w:rsidRDefault="002E6F0A" w:rsidP="000F3860">
            <w:pPr>
              <w:spacing w:before="0" w:after="0"/>
              <w:rPr>
                <w:rFonts w:eastAsia="Times New Roman" w:cstheme="minorHAnsi"/>
                <w:color w:val="000000"/>
                <w:sz w:val="20"/>
                <w:szCs w:val="20"/>
                <w:lang w:eastAsia="es-MX"/>
              </w:rPr>
            </w:pPr>
            <w:r w:rsidRPr="00CD7AFF">
              <w:rPr>
                <w:sz w:val="20"/>
                <w:szCs w:val="20"/>
              </w:rPr>
              <w:t xml:space="preserve">Población de la </w:t>
            </w:r>
            <w:r w:rsidR="007E4A81" w:rsidRPr="00CD7AFF">
              <w:rPr>
                <w:sz w:val="20"/>
                <w:szCs w:val="20"/>
              </w:rPr>
              <w:t>e</w:t>
            </w:r>
            <w:r w:rsidRPr="00CD7AFF">
              <w:rPr>
                <w:sz w:val="20"/>
                <w:szCs w:val="20"/>
              </w:rPr>
              <w:t>ntidad</w:t>
            </w:r>
            <w:r w:rsidR="007E4A81" w:rsidRPr="00CD7AFF">
              <w:rPr>
                <w:sz w:val="20"/>
                <w:szCs w:val="20"/>
              </w:rPr>
              <w:t xml:space="preserve"> federativa </w:t>
            </w:r>
            <w:r w:rsidR="007E4A81" w:rsidRPr="00CD7AFF">
              <w:rPr>
                <w:rFonts w:eastAsia="Times New Roman" w:cstheme="minorHAnsi"/>
                <w:color w:val="000000"/>
                <w:sz w:val="20"/>
                <w:szCs w:val="20"/>
                <w:lang w:eastAsia="es-MX"/>
              </w:rPr>
              <w:t>que habita en acuíferos sobreexplotados, cuencas y áreas naturales protegidas</w:t>
            </w:r>
          </w:p>
        </w:tc>
      </w:tr>
      <w:tr w:rsidR="002E6F0A" w:rsidRPr="00CD7AFF" w14:paraId="0CA190B5" w14:textId="77777777" w:rsidTr="005E1463">
        <w:trPr>
          <w:trHeight w:val="48"/>
        </w:trPr>
        <w:tc>
          <w:tcPr>
            <w:tcW w:w="1784" w:type="pct"/>
            <w:tcBorders>
              <w:top w:val="nil"/>
              <w:left w:val="single" w:sz="4" w:space="0" w:color="auto"/>
              <w:bottom w:val="single" w:sz="4" w:space="0" w:color="auto"/>
              <w:right w:val="single" w:sz="4" w:space="0" w:color="auto"/>
            </w:tcBorders>
            <w:shd w:val="clear" w:color="000000" w:fill="9CC2E5"/>
            <w:vAlign w:val="center"/>
            <w:hideMark/>
          </w:tcPr>
          <w:p w14:paraId="40AF1D70" w14:textId="77777777" w:rsidR="002E6F0A" w:rsidRPr="00CD7AFF" w:rsidRDefault="002E6F0A" w:rsidP="000F3860">
            <w:pPr>
              <w:spacing w:before="0" w:after="0"/>
              <w:rPr>
                <w:rFonts w:eastAsia="Times New Roman" w:cstheme="minorHAnsi"/>
                <w:b/>
                <w:bCs/>
                <w:color w:val="000000"/>
                <w:sz w:val="20"/>
                <w:szCs w:val="20"/>
                <w:lang w:eastAsia="es-MX"/>
              </w:rPr>
            </w:pPr>
            <w:r w:rsidRPr="00CD7AFF">
              <w:rPr>
                <w:rFonts w:eastAsia="Times New Roman" w:cstheme="minorHAnsi"/>
                <w:b/>
                <w:bCs/>
                <w:color w:val="000000"/>
                <w:sz w:val="20"/>
                <w:szCs w:val="20"/>
                <w:lang w:eastAsia="es-MX"/>
              </w:rPr>
              <w:t xml:space="preserve">Tipos de Componentes que entrega a sus destinatarios </w:t>
            </w:r>
          </w:p>
        </w:tc>
        <w:tc>
          <w:tcPr>
            <w:tcW w:w="3216" w:type="pct"/>
            <w:tcBorders>
              <w:top w:val="nil"/>
              <w:left w:val="nil"/>
              <w:bottom w:val="single" w:sz="4" w:space="0" w:color="auto"/>
              <w:right w:val="single" w:sz="4" w:space="0" w:color="auto"/>
            </w:tcBorders>
            <w:shd w:val="clear" w:color="auto" w:fill="auto"/>
          </w:tcPr>
          <w:p w14:paraId="1909161A" w14:textId="5D22D366" w:rsidR="002E6F0A" w:rsidRPr="00CD7AFF" w:rsidRDefault="007E4A81" w:rsidP="000F3860">
            <w:pPr>
              <w:spacing w:before="0" w:after="0"/>
              <w:rPr>
                <w:rFonts w:eastAsia="Times New Roman" w:cstheme="minorHAnsi"/>
                <w:color w:val="000000"/>
                <w:sz w:val="20"/>
                <w:szCs w:val="20"/>
                <w:lang w:eastAsia="es-MX"/>
              </w:rPr>
            </w:pPr>
            <w:r w:rsidRPr="005E1463">
              <w:rPr>
                <w:sz w:val="20"/>
                <w:szCs w:val="20"/>
              </w:rPr>
              <w:t>Conservación, restauración y aprovechamiento sostenible de los recursos forestales, establecimiento y desarrollo de áreas naturales protegidas, desarrollo integral sustentable de cuencas hidrológicas.</w:t>
            </w:r>
          </w:p>
        </w:tc>
      </w:tr>
      <w:tr w:rsidR="002E6F0A" w:rsidRPr="00CD7AFF" w14:paraId="36038D61" w14:textId="77777777" w:rsidTr="005E1463">
        <w:trPr>
          <w:trHeight w:val="243"/>
        </w:trPr>
        <w:tc>
          <w:tcPr>
            <w:tcW w:w="1784" w:type="pct"/>
            <w:tcBorders>
              <w:top w:val="nil"/>
              <w:left w:val="single" w:sz="4" w:space="0" w:color="auto"/>
              <w:bottom w:val="single" w:sz="4" w:space="0" w:color="auto"/>
              <w:right w:val="single" w:sz="4" w:space="0" w:color="auto"/>
            </w:tcBorders>
            <w:shd w:val="clear" w:color="000000" w:fill="9CC2E5"/>
            <w:vAlign w:val="center"/>
            <w:hideMark/>
          </w:tcPr>
          <w:p w14:paraId="2D391824" w14:textId="77777777" w:rsidR="002E6F0A" w:rsidRPr="00CD7AFF" w:rsidRDefault="002E6F0A" w:rsidP="000F3860">
            <w:pPr>
              <w:spacing w:before="0" w:after="0"/>
              <w:rPr>
                <w:rFonts w:eastAsia="Times New Roman" w:cstheme="minorHAnsi"/>
                <w:b/>
                <w:bCs/>
                <w:color w:val="000000"/>
                <w:sz w:val="20"/>
                <w:szCs w:val="20"/>
                <w:lang w:eastAsia="es-MX"/>
              </w:rPr>
            </w:pPr>
            <w:r w:rsidRPr="00CD7AFF">
              <w:rPr>
                <w:rFonts w:eastAsia="Times New Roman" w:cstheme="minorHAnsi"/>
                <w:b/>
                <w:bCs/>
                <w:color w:val="000000"/>
                <w:sz w:val="20"/>
                <w:szCs w:val="20"/>
                <w:lang w:eastAsia="es-MX"/>
              </w:rPr>
              <w:t xml:space="preserve">Cobertura Geográfica </w:t>
            </w:r>
          </w:p>
        </w:tc>
        <w:tc>
          <w:tcPr>
            <w:tcW w:w="3216" w:type="pct"/>
            <w:tcBorders>
              <w:top w:val="nil"/>
              <w:left w:val="nil"/>
              <w:bottom w:val="single" w:sz="4" w:space="0" w:color="auto"/>
              <w:right w:val="single" w:sz="4" w:space="0" w:color="auto"/>
            </w:tcBorders>
            <w:shd w:val="clear" w:color="auto" w:fill="auto"/>
            <w:hideMark/>
          </w:tcPr>
          <w:p w14:paraId="025FF340" w14:textId="77777777" w:rsidR="002E6F0A" w:rsidRPr="00CD7AFF" w:rsidRDefault="002E6F0A" w:rsidP="000F3860">
            <w:pPr>
              <w:spacing w:before="0" w:after="0"/>
              <w:rPr>
                <w:rFonts w:eastAsia="Times New Roman" w:cstheme="minorHAnsi"/>
                <w:color w:val="000000"/>
                <w:sz w:val="20"/>
                <w:szCs w:val="20"/>
                <w:lang w:eastAsia="es-MX"/>
              </w:rPr>
            </w:pPr>
            <w:r w:rsidRPr="00CD7AFF">
              <w:rPr>
                <w:sz w:val="20"/>
                <w:szCs w:val="20"/>
              </w:rPr>
              <w:t>Estatal</w:t>
            </w:r>
          </w:p>
        </w:tc>
      </w:tr>
      <w:tr w:rsidR="002E6F0A" w:rsidRPr="00CD7AFF" w14:paraId="468EB0C5" w14:textId="77777777" w:rsidTr="005E1463">
        <w:trPr>
          <w:trHeight w:val="243"/>
        </w:trPr>
        <w:tc>
          <w:tcPr>
            <w:tcW w:w="1784" w:type="pct"/>
            <w:tcBorders>
              <w:top w:val="nil"/>
              <w:left w:val="single" w:sz="4" w:space="0" w:color="auto"/>
              <w:bottom w:val="single" w:sz="4" w:space="0" w:color="auto"/>
              <w:right w:val="single" w:sz="4" w:space="0" w:color="auto"/>
            </w:tcBorders>
            <w:shd w:val="clear" w:color="000000" w:fill="9CC2E5"/>
            <w:vAlign w:val="center"/>
            <w:hideMark/>
          </w:tcPr>
          <w:p w14:paraId="4153A5BF" w14:textId="77777777" w:rsidR="002E6F0A" w:rsidRPr="00CD7AFF" w:rsidRDefault="002E6F0A" w:rsidP="000F3860">
            <w:pPr>
              <w:spacing w:before="0" w:after="0"/>
              <w:rPr>
                <w:rFonts w:eastAsia="Times New Roman" w:cstheme="minorHAnsi"/>
                <w:b/>
                <w:bCs/>
                <w:color w:val="000000"/>
                <w:sz w:val="20"/>
                <w:szCs w:val="20"/>
                <w:lang w:eastAsia="es-MX"/>
              </w:rPr>
            </w:pPr>
            <w:r w:rsidRPr="00CD7AFF">
              <w:rPr>
                <w:rFonts w:eastAsia="Times New Roman" w:cstheme="minorHAnsi"/>
                <w:b/>
                <w:bCs/>
                <w:color w:val="000000"/>
                <w:sz w:val="20"/>
                <w:szCs w:val="20"/>
                <w:lang w:eastAsia="es-MX"/>
              </w:rPr>
              <w:t xml:space="preserve">Fuentes de Información </w:t>
            </w:r>
          </w:p>
        </w:tc>
        <w:tc>
          <w:tcPr>
            <w:tcW w:w="3216" w:type="pct"/>
            <w:tcBorders>
              <w:top w:val="nil"/>
              <w:left w:val="nil"/>
              <w:bottom w:val="single" w:sz="4" w:space="0" w:color="auto"/>
              <w:right w:val="single" w:sz="4" w:space="0" w:color="auto"/>
            </w:tcBorders>
            <w:shd w:val="clear" w:color="auto" w:fill="auto"/>
            <w:hideMark/>
          </w:tcPr>
          <w:p w14:paraId="410A6342" w14:textId="77777777" w:rsidR="002E6F0A" w:rsidRPr="00CD7AFF" w:rsidRDefault="002E6F0A" w:rsidP="000F3860">
            <w:pPr>
              <w:spacing w:before="0" w:after="0"/>
              <w:rPr>
                <w:rFonts w:eastAsia="Times New Roman" w:cstheme="minorHAnsi"/>
                <w:color w:val="000000"/>
                <w:sz w:val="20"/>
                <w:szCs w:val="20"/>
                <w:lang w:eastAsia="es-MX"/>
              </w:rPr>
            </w:pPr>
            <w:r w:rsidRPr="00CD7AFF">
              <w:rPr>
                <w:sz w:val="20"/>
                <w:szCs w:val="20"/>
              </w:rPr>
              <w:t>MIR de los Pp de la estructura programática estatal</w:t>
            </w:r>
          </w:p>
        </w:tc>
      </w:tr>
      <w:tr w:rsidR="002E6F0A" w:rsidRPr="00CD7AFF" w14:paraId="566420CF" w14:textId="77777777" w:rsidTr="005E1463">
        <w:trPr>
          <w:trHeight w:val="243"/>
        </w:trPr>
        <w:tc>
          <w:tcPr>
            <w:tcW w:w="1784" w:type="pct"/>
            <w:tcBorders>
              <w:top w:val="nil"/>
              <w:left w:val="single" w:sz="4" w:space="0" w:color="auto"/>
              <w:bottom w:val="single" w:sz="4" w:space="0" w:color="auto"/>
              <w:right w:val="single" w:sz="4" w:space="0" w:color="auto"/>
            </w:tcBorders>
            <w:shd w:val="clear" w:color="000000" w:fill="9CC2E5"/>
            <w:vAlign w:val="center"/>
            <w:hideMark/>
          </w:tcPr>
          <w:p w14:paraId="6B204E94" w14:textId="77777777" w:rsidR="002E6F0A" w:rsidRPr="00CD7AFF" w:rsidRDefault="002E6F0A" w:rsidP="000F3860">
            <w:pPr>
              <w:spacing w:before="0" w:after="0"/>
              <w:rPr>
                <w:rFonts w:eastAsia="Times New Roman" w:cstheme="minorHAnsi"/>
                <w:b/>
                <w:bCs/>
                <w:color w:val="000000"/>
                <w:sz w:val="20"/>
                <w:szCs w:val="20"/>
                <w:lang w:eastAsia="es-MX"/>
              </w:rPr>
            </w:pPr>
            <w:r w:rsidRPr="00CD7AFF">
              <w:rPr>
                <w:rFonts w:eastAsia="Times New Roman" w:cstheme="minorHAnsi"/>
                <w:b/>
                <w:bCs/>
                <w:color w:val="000000"/>
                <w:sz w:val="20"/>
                <w:szCs w:val="20"/>
                <w:lang w:eastAsia="es-MX"/>
              </w:rPr>
              <w:t xml:space="preserve">¿Es coincidente? </w:t>
            </w:r>
          </w:p>
        </w:tc>
        <w:tc>
          <w:tcPr>
            <w:tcW w:w="3216" w:type="pct"/>
            <w:tcBorders>
              <w:top w:val="nil"/>
              <w:left w:val="nil"/>
              <w:bottom w:val="single" w:sz="4" w:space="0" w:color="auto"/>
              <w:right w:val="single" w:sz="4" w:space="0" w:color="auto"/>
            </w:tcBorders>
            <w:shd w:val="clear" w:color="auto" w:fill="auto"/>
            <w:hideMark/>
          </w:tcPr>
          <w:p w14:paraId="51737BE0" w14:textId="77777777" w:rsidR="002E6F0A" w:rsidRPr="00CD7AFF" w:rsidRDefault="002E6F0A" w:rsidP="000F3860">
            <w:pPr>
              <w:spacing w:before="0" w:after="0"/>
              <w:rPr>
                <w:rFonts w:eastAsia="Times New Roman" w:cstheme="minorHAnsi"/>
                <w:color w:val="000000"/>
                <w:sz w:val="20"/>
                <w:szCs w:val="20"/>
                <w:lang w:eastAsia="es-MX"/>
              </w:rPr>
            </w:pPr>
            <w:r w:rsidRPr="00CD7AFF">
              <w:rPr>
                <w:sz w:val="20"/>
                <w:szCs w:val="20"/>
              </w:rPr>
              <w:t>No</w:t>
            </w:r>
          </w:p>
        </w:tc>
      </w:tr>
      <w:tr w:rsidR="002E6F0A" w:rsidRPr="00CD7AFF" w14:paraId="0C2D4885" w14:textId="77777777" w:rsidTr="005E1463">
        <w:trPr>
          <w:trHeight w:val="243"/>
        </w:trPr>
        <w:tc>
          <w:tcPr>
            <w:tcW w:w="1784" w:type="pct"/>
            <w:tcBorders>
              <w:top w:val="nil"/>
              <w:left w:val="single" w:sz="4" w:space="0" w:color="auto"/>
              <w:bottom w:val="single" w:sz="4" w:space="0" w:color="auto"/>
              <w:right w:val="single" w:sz="4" w:space="0" w:color="auto"/>
            </w:tcBorders>
            <w:shd w:val="clear" w:color="000000" w:fill="9CC2E5"/>
            <w:vAlign w:val="center"/>
            <w:hideMark/>
          </w:tcPr>
          <w:p w14:paraId="5A4B7645" w14:textId="77777777" w:rsidR="002E6F0A" w:rsidRPr="00CD7AFF" w:rsidRDefault="002E6F0A" w:rsidP="000F3860">
            <w:pPr>
              <w:spacing w:before="0" w:after="0"/>
              <w:rPr>
                <w:rFonts w:eastAsia="Times New Roman" w:cstheme="minorHAnsi"/>
                <w:b/>
                <w:bCs/>
                <w:color w:val="000000"/>
                <w:sz w:val="20"/>
                <w:szCs w:val="20"/>
                <w:lang w:eastAsia="es-MX"/>
              </w:rPr>
            </w:pPr>
            <w:r w:rsidRPr="00CD7AFF">
              <w:rPr>
                <w:rFonts w:eastAsia="Times New Roman" w:cstheme="minorHAnsi"/>
                <w:b/>
                <w:bCs/>
                <w:color w:val="000000"/>
                <w:sz w:val="20"/>
                <w:szCs w:val="20"/>
                <w:lang w:eastAsia="es-MX"/>
              </w:rPr>
              <w:t xml:space="preserve">¿Se complementa? </w:t>
            </w:r>
          </w:p>
        </w:tc>
        <w:tc>
          <w:tcPr>
            <w:tcW w:w="3216" w:type="pct"/>
            <w:tcBorders>
              <w:top w:val="nil"/>
              <w:left w:val="nil"/>
              <w:bottom w:val="single" w:sz="4" w:space="0" w:color="auto"/>
              <w:right w:val="single" w:sz="4" w:space="0" w:color="auto"/>
            </w:tcBorders>
            <w:shd w:val="clear" w:color="auto" w:fill="auto"/>
            <w:hideMark/>
          </w:tcPr>
          <w:p w14:paraId="1C052370" w14:textId="77777777" w:rsidR="002E6F0A" w:rsidRPr="00CD7AFF" w:rsidRDefault="002E6F0A" w:rsidP="000F3860">
            <w:pPr>
              <w:spacing w:before="0" w:after="0"/>
              <w:rPr>
                <w:rFonts w:eastAsia="Times New Roman" w:cstheme="minorHAnsi"/>
                <w:color w:val="000000"/>
                <w:sz w:val="20"/>
                <w:szCs w:val="20"/>
                <w:lang w:eastAsia="es-MX"/>
              </w:rPr>
            </w:pPr>
            <w:r w:rsidRPr="00CD7AFF">
              <w:rPr>
                <w:sz w:val="20"/>
                <w:szCs w:val="20"/>
              </w:rPr>
              <w:t>Sí</w:t>
            </w:r>
          </w:p>
        </w:tc>
      </w:tr>
      <w:tr w:rsidR="002E6F0A" w:rsidRPr="00CD7AFF" w14:paraId="329B5536" w14:textId="77777777" w:rsidTr="005E1463">
        <w:trPr>
          <w:trHeight w:val="48"/>
        </w:trPr>
        <w:tc>
          <w:tcPr>
            <w:tcW w:w="1784" w:type="pct"/>
            <w:tcBorders>
              <w:top w:val="nil"/>
              <w:left w:val="single" w:sz="4" w:space="0" w:color="auto"/>
              <w:bottom w:val="single" w:sz="4" w:space="0" w:color="auto"/>
              <w:right w:val="single" w:sz="4" w:space="0" w:color="auto"/>
            </w:tcBorders>
            <w:shd w:val="clear" w:color="000000" w:fill="9CC2E5"/>
            <w:vAlign w:val="center"/>
            <w:hideMark/>
          </w:tcPr>
          <w:p w14:paraId="4043DF12" w14:textId="77777777" w:rsidR="002E6F0A" w:rsidRPr="00CD7AFF" w:rsidRDefault="002E6F0A" w:rsidP="000F3860">
            <w:pPr>
              <w:spacing w:before="0" w:after="0"/>
              <w:rPr>
                <w:rFonts w:eastAsia="Times New Roman" w:cstheme="minorHAnsi"/>
                <w:b/>
                <w:bCs/>
                <w:color w:val="000000"/>
                <w:sz w:val="20"/>
                <w:szCs w:val="20"/>
                <w:lang w:eastAsia="es-MX"/>
              </w:rPr>
            </w:pPr>
            <w:r w:rsidRPr="00CD7AFF">
              <w:rPr>
                <w:rFonts w:eastAsia="Times New Roman" w:cstheme="minorHAnsi"/>
                <w:b/>
                <w:bCs/>
                <w:color w:val="000000"/>
                <w:sz w:val="20"/>
                <w:szCs w:val="20"/>
                <w:lang w:eastAsia="es-MX"/>
              </w:rPr>
              <w:t>Argumentación</w:t>
            </w:r>
          </w:p>
        </w:tc>
        <w:tc>
          <w:tcPr>
            <w:tcW w:w="3216" w:type="pct"/>
            <w:tcBorders>
              <w:top w:val="nil"/>
              <w:left w:val="nil"/>
              <w:bottom w:val="single" w:sz="4" w:space="0" w:color="auto"/>
              <w:right w:val="single" w:sz="4" w:space="0" w:color="auto"/>
            </w:tcBorders>
            <w:shd w:val="clear" w:color="auto" w:fill="auto"/>
            <w:vAlign w:val="center"/>
          </w:tcPr>
          <w:p w14:paraId="06D19DB1" w14:textId="796F04AF" w:rsidR="002E6F0A" w:rsidRPr="00CD7AFF" w:rsidRDefault="007E4A81" w:rsidP="000F3860">
            <w:pPr>
              <w:spacing w:before="0" w:after="0"/>
              <w:rPr>
                <w:rFonts w:eastAsia="Times New Roman" w:cstheme="minorHAnsi"/>
                <w:color w:val="000000"/>
                <w:sz w:val="20"/>
                <w:szCs w:val="20"/>
                <w:lang w:eastAsia="es-MX"/>
              </w:rPr>
            </w:pPr>
            <w:r w:rsidRPr="00CD7AFF">
              <w:rPr>
                <w:rFonts w:eastAsia="Times New Roman" w:cstheme="minorHAnsi"/>
                <w:color w:val="000000"/>
                <w:sz w:val="20"/>
                <w:szCs w:val="20"/>
                <w:lang w:eastAsia="es-MX"/>
              </w:rPr>
              <w:t>El FAFEF contribuye a adoptar nuevas formas y patrones de aprovechamiento sostenible de recursos a fin de promover las condiciones necesarias para el desarrollo de la población y la preservación de un medio ambiente sano y equilibrado, mediante la elaboración de estudios, desarrollo de infraestructura e implementación de equipamiento</w:t>
            </w:r>
          </w:p>
        </w:tc>
      </w:tr>
      <w:tr w:rsidR="002E6F0A" w:rsidRPr="00CD7AFF" w14:paraId="28BB135F" w14:textId="77777777" w:rsidTr="005E1463">
        <w:trPr>
          <w:trHeight w:val="243"/>
        </w:trPr>
        <w:tc>
          <w:tcPr>
            <w:tcW w:w="1784" w:type="pct"/>
            <w:tcBorders>
              <w:top w:val="nil"/>
              <w:left w:val="single" w:sz="4" w:space="0" w:color="auto"/>
              <w:bottom w:val="single" w:sz="4" w:space="0" w:color="auto"/>
              <w:right w:val="single" w:sz="4" w:space="0" w:color="auto"/>
            </w:tcBorders>
            <w:shd w:val="clear" w:color="000000" w:fill="9CC2E5"/>
            <w:vAlign w:val="center"/>
            <w:hideMark/>
          </w:tcPr>
          <w:p w14:paraId="0C20BE27" w14:textId="77777777" w:rsidR="002E6F0A" w:rsidRPr="00CD7AFF" w:rsidRDefault="002E6F0A" w:rsidP="000F3860">
            <w:pPr>
              <w:spacing w:before="0" w:after="0"/>
              <w:rPr>
                <w:rFonts w:eastAsia="Times New Roman" w:cstheme="minorHAnsi"/>
                <w:b/>
                <w:bCs/>
                <w:color w:val="000000"/>
                <w:sz w:val="20"/>
                <w:szCs w:val="20"/>
                <w:lang w:eastAsia="es-MX"/>
              </w:rPr>
            </w:pPr>
            <w:r w:rsidRPr="00CD7AFF">
              <w:rPr>
                <w:rFonts w:eastAsia="Times New Roman" w:cstheme="minorHAnsi"/>
                <w:b/>
                <w:bCs/>
                <w:color w:val="000000"/>
                <w:sz w:val="20"/>
                <w:szCs w:val="20"/>
                <w:lang w:eastAsia="es-MX"/>
              </w:rPr>
              <w:t>Recomendación</w:t>
            </w:r>
          </w:p>
        </w:tc>
        <w:tc>
          <w:tcPr>
            <w:tcW w:w="3216" w:type="pct"/>
            <w:tcBorders>
              <w:top w:val="nil"/>
              <w:left w:val="nil"/>
              <w:bottom w:val="single" w:sz="4" w:space="0" w:color="auto"/>
              <w:right w:val="single" w:sz="4" w:space="0" w:color="auto"/>
            </w:tcBorders>
            <w:shd w:val="clear" w:color="auto" w:fill="auto"/>
            <w:vAlign w:val="center"/>
            <w:hideMark/>
          </w:tcPr>
          <w:p w14:paraId="5F2BA739" w14:textId="77777777" w:rsidR="002E6F0A" w:rsidRPr="00CD7AFF" w:rsidRDefault="002E6F0A" w:rsidP="000F3860">
            <w:pPr>
              <w:spacing w:before="0" w:after="0"/>
              <w:rPr>
                <w:rFonts w:eastAsia="Times New Roman" w:cstheme="minorHAnsi"/>
                <w:color w:val="000000"/>
                <w:sz w:val="20"/>
                <w:szCs w:val="20"/>
                <w:lang w:eastAsia="es-MX"/>
              </w:rPr>
            </w:pPr>
            <w:r w:rsidRPr="00CD7AFF">
              <w:rPr>
                <w:rFonts w:eastAsia="Times New Roman" w:cstheme="minorHAnsi"/>
                <w:color w:val="000000"/>
                <w:sz w:val="20"/>
                <w:szCs w:val="20"/>
                <w:lang w:eastAsia="es-MX"/>
              </w:rPr>
              <w:t>Sin recomendación</w:t>
            </w:r>
          </w:p>
        </w:tc>
      </w:tr>
    </w:tbl>
    <w:p w14:paraId="7433D1C9" w14:textId="01B7B173" w:rsidR="002E6F0A" w:rsidRDefault="002E6F0A" w:rsidP="00EB1844">
      <w:pPr>
        <w:rPr>
          <w:sz w:val="8"/>
          <w:szCs w:val="8"/>
        </w:rPr>
      </w:pPr>
    </w:p>
    <w:tbl>
      <w:tblPr>
        <w:tblW w:w="4980" w:type="pct"/>
        <w:tblInd w:w="-5" w:type="dxa"/>
        <w:tblCellMar>
          <w:left w:w="70" w:type="dxa"/>
          <w:right w:w="70" w:type="dxa"/>
        </w:tblCellMar>
        <w:tblLook w:val="04A0" w:firstRow="1" w:lastRow="0" w:firstColumn="1" w:lastColumn="0" w:noHBand="0" w:noVBand="1"/>
      </w:tblPr>
      <w:tblGrid>
        <w:gridCol w:w="4820"/>
        <w:gridCol w:w="8688"/>
      </w:tblGrid>
      <w:tr w:rsidR="007E4A81" w:rsidRPr="00CD7AFF" w14:paraId="37DF381D" w14:textId="77777777" w:rsidTr="005E1463">
        <w:trPr>
          <w:trHeight w:val="320"/>
        </w:trPr>
        <w:tc>
          <w:tcPr>
            <w:tcW w:w="1784" w:type="pct"/>
            <w:tcBorders>
              <w:top w:val="single" w:sz="4" w:space="0" w:color="auto"/>
              <w:left w:val="single" w:sz="4" w:space="0" w:color="auto"/>
              <w:bottom w:val="single" w:sz="4" w:space="0" w:color="auto"/>
              <w:right w:val="single" w:sz="4" w:space="0" w:color="auto"/>
            </w:tcBorders>
            <w:shd w:val="clear" w:color="000000" w:fill="9CC2E5"/>
            <w:vAlign w:val="center"/>
            <w:hideMark/>
          </w:tcPr>
          <w:p w14:paraId="1960BB18" w14:textId="77777777" w:rsidR="007E4A81" w:rsidRPr="00CD7AFF" w:rsidRDefault="007E4A81" w:rsidP="000F3860">
            <w:pPr>
              <w:spacing w:before="0" w:after="0"/>
              <w:rPr>
                <w:rFonts w:eastAsia="Times New Roman" w:cstheme="minorHAnsi"/>
                <w:b/>
                <w:bCs/>
                <w:color w:val="000000"/>
                <w:sz w:val="20"/>
                <w:szCs w:val="20"/>
                <w:lang w:eastAsia="es-MX"/>
              </w:rPr>
            </w:pPr>
            <w:r w:rsidRPr="00CD7AFF">
              <w:rPr>
                <w:rFonts w:eastAsia="Times New Roman" w:cstheme="minorHAnsi"/>
                <w:b/>
                <w:bCs/>
                <w:color w:val="000000"/>
                <w:sz w:val="20"/>
                <w:szCs w:val="20"/>
                <w:lang w:eastAsia="es-MX"/>
              </w:rPr>
              <w:t>Nombre de las políticas, programas o proyectos locales</w:t>
            </w:r>
          </w:p>
        </w:tc>
        <w:tc>
          <w:tcPr>
            <w:tcW w:w="3216" w:type="pct"/>
            <w:tcBorders>
              <w:top w:val="single" w:sz="4" w:space="0" w:color="auto"/>
              <w:left w:val="nil"/>
              <w:bottom w:val="single" w:sz="4" w:space="0" w:color="auto"/>
              <w:right w:val="single" w:sz="4" w:space="0" w:color="auto"/>
            </w:tcBorders>
            <w:shd w:val="clear" w:color="auto" w:fill="auto"/>
            <w:vAlign w:val="center"/>
            <w:hideMark/>
          </w:tcPr>
          <w:p w14:paraId="2EF63F18" w14:textId="56AB634F" w:rsidR="007E4A81" w:rsidRPr="00CD7AFF" w:rsidRDefault="006F0E83" w:rsidP="000F3860">
            <w:pPr>
              <w:spacing w:before="0" w:after="0"/>
              <w:rPr>
                <w:rFonts w:eastAsia="Times New Roman" w:cstheme="minorHAnsi"/>
                <w:color w:val="000000"/>
                <w:sz w:val="20"/>
                <w:szCs w:val="20"/>
                <w:lang w:eastAsia="es-MX"/>
              </w:rPr>
            </w:pPr>
            <w:r w:rsidRPr="00CD7AFF">
              <w:rPr>
                <w:rFonts w:eastAsia="Times New Roman" w:cs="Arial"/>
                <w:color w:val="000000"/>
                <w:sz w:val="20"/>
                <w:szCs w:val="20"/>
                <w:lang w:eastAsia="es-MX"/>
              </w:rPr>
              <w:t>Inversión en salud</w:t>
            </w:r>
          </w:p>
        </w:tc>
      </w:tr>
      <w:tr w:rsidR="007E4A81" w:rsidRPr="00CD7AFF" w14:paraId="11177FB6" w14:textId="77777777" w:rsidTr="005E1463">
        <w:trPr>
          <w:trHeight w:val="243"/>
        </w:trPr>
        <w:tc>
          <w:tcPr>
            <w:tcW w:w="1784" w:type="pct"/>
            <w:tcBorders>
              <w:top w:val="nil"/>
              <w:left w:val="single" w:sz="4" w:space="0" w:color="auto"/>
              <w:bottom w:val="single" w:sz="4" w:space="0" w:color="auto"/>
              <w:right w:val="single" w:sz="4" w:space="0" w:color="auto"/>
            </w:tcBorders>
            <w:shd w:val="clear" w:color="000000" w:fill="9CC2E5"/>
            <w:vAlign w:val="center"/>
            <w:hideMark/>
          </w:tcPr>
          <w:p w14:paraId="09787373" w14:textId="77777777" w:rsidR="007E4A81" w:rsidRPr="00CD7AFF" w:rsidRDefault="007E4A81" w:rsidP="000F3860">
            <w:pPr>
              <w:spacing w:before="0" w:after="0"/>
              <w:rPr>
                <w:rFonts w:eastAsia="Times New Roman" w:cstheme="minorHAnsi"/>
                <w:b/>
                <w:bCs/>
                <w:color w:val="000000"/>
                <w:sz w:val="20"/>
                <w:szCs w:val="20"/>
                <w:lang w:eastAsia="es-MX"/>
              </w:rPr>
            </w:pPr>
            <w:r w:rsidRPr="00CD7AFF">
              <w:rPr>
                <w:rFonts w:eastAsia="Times New Roman" w:cstheme="minorHAnsi"/>
                <w:b/>
                <w:bCs/>
                <w:color w:val="000000"/>
                <w:sz w:val="20"/>
                <w:szCs w:val="20"/>
                <w:lang w:eastAsia="es-MX"/>
              </w:rPr>
              <w:t xml:space="preserve">Modalidad y Clave </w:t>
            </w:r>
          </w:p>
        </w:tc>
        <w:tc>
          <w:tcPr>
            <w:tcW w:w="3216" w:type="pct"/>
            <w:tcBorders>
              <w:top w:val="nil"/>
              <w:left w:val="nil"/>
              <w:bottom w:val="single" w:sz="4" w:space="0" w:color="auto"/>
              <w:right w:val="single" w:sz="4" w:space="0" w:color="auto"/>
            </w:tcBorders>
            <w:shd w:val="clear" w:color="auto" w:fill="auto"/>
            <w:vAlign w:val="center"/>
            <w:hideMark/>
          </w:tcPr>
          <w:p w14:paraId="6CF1BE1E" w14:textId="3998686C" w:rsidR="007E4A81" w:rsidRPr="00CD7AFF" w:rsidRDefault="006F0E83" w:rsidP="000F3860">
            <w:pPr>
              <w:spacing w:before="0" w:after="0"/>
              <w:rPr>
                <w:rFonts w:eastAsia="Times New Roman" w:cstheme="minorHAnsi"/>
                <w:color w:val="000000"/>
                <w:sz w:val="20"/>
                <w:szCs w:val="20"/>
                <w:lang w:eastAsia="es-MX"/>
              </w:rPr>
            </w:pPr>
            <w:r w:rsidRPr="00CD7AFF">
              <w:rPr>
                <w:rFonts w:eastAsia="Times New Roman" w:cstheme="minorHAnsi"/>
                <w:color w:val="000000"/>
                <w:sz w:val="20"/>
                <w:szCs w:val="20"/>
                <w:lang w:eastAsia="es-MX"/>
              </w:rPr>
              <w:t>K49</w:t>
            </w:r>
          </w:p>
        </w:tc>
      </w:tr>
      <w:tr w:rsidR="007E4A81" w:rsidRPr="00CD7AFF" w14:paraId="78DD0065" w14:textId="77777777" w:rsidTr="005E1463">
        <w:trPr>
          <w:trHeight w:val="243"/>
        </w:trPr>
        <w:tc>
          <w:tcPr>
            <w:tcW w:w="1784" w:type="pct"/>
            <w:tcBorders>
              <w:top w:val="nil"/>
              <w:left w:val="single" w:sz="4" w:space="0" w:color="auto"/>
              <w:bottom w:val="single" w:sz="4" w:space="0" w:color="auto"/>
              <w:right w:val="single" w:sz="4" w:space="0" w:color="auto"/>
            </w:tcBorders>
            <w:shd w:val="clear" w:color="000000" w:fill="9CC2E5"/>
            <w:vAlign w:val="center"/>
            <w:hideMark/>
          </w:tcPr>
          <w:p w14:paraId="4D8B1181" w14:textId="77777777" w:rsidR="007E4A81" w:rsidRPr="00CD7AFF" w:rsidRDefault="007E4A81" w:rsidP="000F3860">
            <w:pPr>
              <w:spacing w:before="0" w:after="0"/>
              <w:rPr>
                <w:rFonts w:eastAsia="Times New Roman" w:cstheme="minorHAnsi"/>
                <w:b/>
                <w:bCs/>
                <w:color w:val="000000"/>
                <w:sz w:val="20"/>
                <w:szCs w:val="20"/>
                <w:lang w:eastAsia="es-MX"/>
              </w:rPr>
            </w:pPr>
            <w:r w:rsidRPr="00CD7AFF">
              <w:rPr>
                <w:rFonts w:eastAsia="Times New Roman" w:cstheme="minorHAnsi"/>
                <w:b/>
                <w:bCs/>
                <w:color w:val="000000"/>
                <w:sz w:val="20"/>
                <w:szCs w:val="20"/>
                <w:lang w:eastAsia="es-MX"/>
              </w:rPr>
              <w:t xml:space="preserve">Ramo </w:t>
            </w:r>
          </w:p>
        </w:tc>
        <w:tc>
          <w:tcPr>
            <w:tcW w:w="3216" w:type="pct"/>
            <w:tcBorders>
              <w:top w:val="nil"/>
              <w:left w:val="nil"/>
              <w:bottom w:val="single" w:sz="4" w:space="0" w:color="auto"/>
              <w:right w:val="single" w:sz="4" w:space="0" w:color="auto"/>
            </w:tcBorders>
            <w:shd w:val="clear" w:color="auto" w:fill="auto"/>
            <w:vAlign w:val="center"/>
            <w:hideMark/>
          </w:tcPr>
          <w:p w14:paraId="6B2B5807" w14:textId="55049D0C" w:rsidR="007E4A81" w:rsidRPr="00CD7AFF" w:rsidRDefault="007E4A81" w:rsidP="000F3860">
            <w:pPr>
              <w:spacing w:before="0" w:after="0"/>
              <w:rPr>
                <w:rFonts w:eastAsia="Times New Roman" w:cstheme="minorHAnsi"/>
                <w:color w:val="000000"/>
                <w:sz w:val="20"/>
                <w:szCs w:val="20"/>
                <w:lang w:eastAsia="es-MX"/>
              </w:rPr>
            </w:pPr>
            <w:r w:rsidRPr="00CD7AFF">
              <w:rPr>
                <w:rFonts w:eastAsia="Times New Roman" w:cstheme="minorHAnsi"/>
                <w:color w:val="000000"/>
                <w:sz w:val="20"/>
                <w:szCs w:val="20"/>
                <w:lang w:eastAsia="es-MX"/>
              </w:rPr>
              <w:t>18- Salud</w:t>
            </w:r>
          </w:p>
        </w:tc>
      </w:tr>
      <w:tr w:rsidR="007E4A81" w:rsidRPr="00CD7AFF" w14:paraId="6A9FA954" w14:textId="77777777" w:rsidTr="005E1463">
        <w:trPr>
          <w:trHeight w:val="48"/>
        </w:trPr>
        <w:tc>
          <w:tcPr>
            <w:tcW w:w="1784" w:type="pct"/>
            <w:tcBorders>
              <w:top w:val="nil"/>
              <w:left w:val="single" w:sz="4" w:space="0" w:color="auto"/>
              <w:bottom w:val="single" w:sz="4" w:space="0" w:color="auto"/>
              <w:right w:val="single" w:sz="4" w:space="0" w:color="auto"/>
            </w:tcBorders>
            <w:shd w:val="clear" w:color="000000" w:fill="9CC2E5"/>
            <w:vAlign w:val="center"/>
            <w:hideMark/>
          </w:tcPr>
          <w:p w14:paraId="51652CA2" w14:textId="77777777" w:rsidR="007E4A81" w:rsidRPr="00CD7AFF" w:rsidRDefault="007E4A81" w:rsidP="000F3860">
            <w:pPr>
              <w:spacing w:before="0" w:after="0"/>
              <w:rPr>
                <w:rFonts w:eastAsia="Times New Roman" w:cstheme="minorHAnsi"/>
                <w:b/>
                <w:bCs/>
                <w:color w:val="000000"/>
                <w:sz w:val="20"/>
                <w:szCs w:val="20"/>
                <w:lang w:eastAsia="es-MX"/>
              </w:rPr>
            </w:pPr>
            <w:r w:rsidRPr="00CD7AFF">
              <w:rPr>
                <w:rFonts w:eastAsia="Times New Roman" w:cstheme="minorHAnsi"/>
                <w:b/>
                <w:bCs/>
                <w:color w:val="000000"/>
                <w:sz w:val="20"/>
                <w:szCs w:val="20"/>
                <w:lang w:eastAsia="es-MX"/>
              </w:rPr>
              <w:t xml:space="preserve">Propósito </w:t>
            </w:r>
          </w:p>
        </w:tc>
        <w:tc>
          <w:tcPr>
            <w:tcW w:w="3216" w:type="pct"/>
            <w:tcBorders>
              <w:top w:val="nil"/>
              <w:left w:val="nil"/>
              <w:bottom w:val="single" w:sz="4" w:space="0" w:color="auto"/>
              <w:right w:val="single" w:sz="4" w:space="0" w:color="auto"/>
            </w:tcBorders>
            <w:shd w:val="clear" w:color="auto" w:fill="auto"/>
            <w:vAlign w:val="center"/>
          </w:tcPr>
          <w:p w14:paraId="316E2C21" w14:textId="4A53D88A" w:rsidR="007E4A81" w:rsidRPr="00CD7AFF" w:rsidRDefault="006F0E83" w:rsidP="000F3860">
            <w:pPr>
              <w:spacing w:before="0" w:after="0"/>
              <w:rPr>
                <w:rFonts w:eastAsia="Times New Roman" w:cstheme="minorHAnsi"/>
                <w:color w:val="000000"/>
                <w:sz w:val="20"/>
                <w:szCs w:val="20"/>
                <w:lang w:eastAsia="es-MX"/>
              </w:rPr>
            </w:pPr>
            <w:r w:rsidRPr="005E1463">
              <w:rPr>
                <w:sz w:val="20"/>
                <w:szCs w:val="20"/>
              </w:rPr>
              <w:t>Población en el estado de hidalgo cuenta con acceso efectivo a servicios de salud</w:t>
            </w:r>
          </w:p>
        </w:tc>
      </w:tr>
      <w:tr w:rsidR="007E4A81" w:rsidRPr="00CD7AFF" w14:paraId="24D24038" w14:textId="77777777" w:rsidTr="005E1463">
        <w:trPr>
          <w:trHeight w:val="243"/>
        </w:trPr>
        <w:tc>
          <w:tcPr>
            <w:tcW w:w="1784" w:type="pct"/>
            <w:tcBorders>
              <w:top w:val="nil"/>
              <w:left w:val="single" w:sz="4" w:space="0" w:color="auto"/>
              <w:bottom w:val="single" w:sz="4" w:space="0" w:color="auto"/>
              <w:right w:val="single" w:sz="4" w:space="0" w:color="auto"/>
            </w:tcBorders>
            <w:shd w:val="clear" w:color="000000" w:fill="9CC2E5"/>
            <w:vAlign w:val="center"/>
            <w:hideMark/>
          </w:tcPr>
          <w:p w14:paraId="0A2FF654" w14:textId="77777777" w:rsidR="007E4A81" w:rsidRPr="00CD7AFF" w:rsidRDefault="007E4A81" w:rsidP="000F3860">
            <w:pPr>
              <w:spacing w:before="0" w:after="0"/>
              <w:rPr>
                <w:rFonts w:eastAsia="Times New Roman" w:cstheme="minorHAnsi"/>
                <w:b/>
                <w:bCs/>
                <w:color w:val="000000"/>
                <w:sz w:val="20"/>
                <w:szCs w:val="20"/>
                <w:lang w:eastAsia="es-MX"/>
              </w:rPr>
            </w:pPr>
            <w:r w:rsidRPr="00CD7AFF">
              <w:rPr>
                <w:rFonts w:eastAsia="Times New Roman" w:cstheme="minorHAnsi"/>
                <w:b/>
                <w:bCs/>
                <w:color w:val="000000"/>
                <w:sz w:val="20"/>
                <w:szCs w:val="20"/>
                <w:lang w:eastAsia="es-MX"/>
              </w:rPr>
              <w:t xml:space="preserve">Población o área de enfoque objetivo </w:t>
            </w:r>
          </w:p>
        </w:tc>
        <w:tc>
          <w:tcPr>
            <w:tcW w:w="3216" w:type="pct"/>
            <w:tcBorders>
              <w:top w:val="nil"/>
              <w:left w:val="nil"/>
              <w:bottom w:val="single" w:sz="4" w:space="0" w:color="auto"/>
              <w:right w:val="single" w:sz="4" w:space="0" w:color="auto"/>
            </w:tcBorders>
            <w:shd w:val="clear" w:color="auto" w:fill="auto"/>
          </w:tcPr>
          <w:p w14:paraId="6D099CD3" w14:textId="7F164D3C" w:rsidR="007E4A81" w:rsidRPr="00CD7AFF" w:rsidRDefault="006F0E83" w:rsidP="000F3860">
            <w:pPr>
              <w:spacing w:before="0" w:after="0"/>
              <w:rPr>
                <w:rFonts w:eastAsia="Times New Roman" w:cstheme="minorHAnsi"/>
                <w:color w:val="000000"/>
                <w:sz w:val="20"/>
                <w:szCs w:val="20"/>
                <w:lang w:eastAsia="es-MX"/>
              </w:rPr>
            </w:pPr>
            <w:r w:rsidRPr="00CD7AFF">
              <w:rPr>
                <w:rFonts w:eastAsia="Times New Roman" w:cstheme="minorHAnsi"/>
                <w:color w:val="000000"/>
                <w:sz w:val="20"/>
                <w:szCs w:val="20"/>
                <w:lang w:eastAsia="es-MX"/>
              </w:rPr>
              <w:t>Población total de la entidad federativa</w:t>
            </w:r>
          </w:p>
        </w:tc>
      </w:tr>
      <w:tr w:rsidR="007E4A81" w:rsidRPr="00CD7AFF" w14:paraId="6936B6F9" w14:textId="77777777" w:rsidTr="005E1463">
        <w:trPr>
          <w:trHeight w:val="48"/>
        </w:trPr>
        <w:tc>
          <w:tcPr>
            <w:tcW w:w="1784" w:type="pct"/>
            <w:tcBorders>
              <w:top w:val="nil"/>
              <w:left w:val="single" w:sz="4" w:space="0" w:color="auto"/>
              <w:bottom w:val="single" w:sz="4" w:space="0" w:color="auto"/>
              <w:right w:val="single" w:sz="4" w:space="0" w:color="auto"/>
            </w:tcBorders>
            <w:shd w:val="clear" w:color="000000" w:fill="9CC2E5"/>
            <w:vAlign w:val="center"/>
            <w:hideMark/>
          </w:tcPr>
          <w:p w14:paraId="30F657AC" w14:textId="77777777" w:rsidR="007E4A81" w:rsidRPr="00CD7AFF" w:rsidRDefault="007E4A81" w:rsidP="000F3860">
            <w:pPr>
              <w:spacing w:before="0" w:after="0"/>
              <w:rPr>
                <w:rFonts w:eastAsia="Times New Roman" w:cstheme="minorHAnsi"/>
                <w:b/>
                <w:bCs/>
                <w:color w:val="000000"/>
                <w:sz w:val="20"/>
                <w:szCs w:val="20"/>
                <w:lang w:eastAsia="es-MX"/>
              </w:rPr>
            </w:pPr>
            <w:r w:rsidRPr="00CD7AFF">
              <w:rPr>
                <w:rFonts w:eastAsia="Times New Roman" w:cstheme="minorHAnsi"/>
                <w:b/>
                <w:bCs/>
                <w:color w:val="000000"/>
                <w:sz w:val="20"/>
                <w:szCs w:val="20"/>
                <w:lang w:eastAsia="es-MX"/>
              </w:rPr>
              <w:t xml:space="preserve">Tipos de Componentes que entrega a sus destinatarios </w:t>
            </w:r>
          </w:p>
        </w:tc>
        <w:tc>
          <w:tcPr>
            <w:tcW w:w="3216" w:type="pct"/>
            <w:tcBorders>
              <w:top w:val="nil"/>
              <w:left w:val="nil"/>
              <w:bottom w:val="single" w:sz="4" w:space="0" w:color="auto"/>
              <w:right w:val="single" w:sz="4" w:space="0" w:color="auto"/>
            </w:tcBorders>
            <w:shd w:val="clear" w:color="auto" w:fill="auto"/>
          </w:tcPr>
          <w:p w14:paraId="758E2537" w14:textId="636D785A" w:rsidR="007E4A81" w:rsidRPr="00CD7AFF" w:rsidRDefault="006F0E83" w:rsidP="000F3860">
            <w:pPr>
              <w:spacing w:before="0" w:after="0"/>
              <w:rPr>
                <w:rFonts w:eastAsia="Times New Roman" w:cstheme="minorHAnsi"/>
                <w:color w:val="000000"/>
                <w:sz w:val="20"/>
                <w:szCs w:val="20"/>
                <w:lang w:eastAsia="es-MX"/>
              </w:rPr>
            </w:pPr>
            <w:r w:rsidRPr="005E1463">
              <w:rPr>
                <w:sz w:val="20"/>
                <w:szCs w:val="20"/>
              </w:rPr>
              <w:t>Proyectos de inversión destinados al desarrollo de infraestructura y servicios de salud</w:t>
            </w:r>
          </w:p>
        </w:tc>
      </w:tr>
      <w:tr w:rsidR="007E4A81" w:rsidRPr="00CD7AFF" w14:paraId="7A1F5EA5" w14:textId="77777777" w:rsidTr="005E1463">
        <w:trPr>
          <w:trHeight w:val="243"/>
        </w:trPr>
        <w:tc>
          <w:tcPr>
            <w:tcW w:w="1784" w:type="pct"/>
            <w:tcBorders>
              <w:top w:val="nil"/>
              <w:left w:val="single" w:sz="4" w:space="0" w:color="auto"/>
              <w:bottom w:val="single" w:sz="4" w:space="0" w:color="auto"/>
              <w:right w:val="single" w:sz="4" w:space="0" w:color="auto"/>
            </w:tcBorders>
            <w:shd w:val="clear" w:color="000000" w:fill="9CC2E5"/>
            <w:vAlign w:val="center"/>
            <w:hideMark/>
          </w:tcPr>
          <w:p w14:paraId="7316625E" w14:textId="77777777" w:rsidR="007E4A81" w:rsidRPr="00CD7AFF" w:rsidRDefault="007E4A81" w:rsidP="000F3860">
            <w:pPr>
              <w:spacing w:before="0" w:after="0"/>
              <w:rPr>
                <w:rFonts w:eastAsia="Times New Roman" w:cstheme="minorHAnsi"/>
                <w:b/>
                <w:bCs/>
                <w:color w:val="000000"/>
                <w:sz w:val="20"/>
                <w:szCs w:val="20"/>
                <w:lang w:eastAsia="es-MX"/>
              </w:rPr>
            </w:pPr>
            <w:r w:rsidRPr="00CD7AFF">
              <w:rPr>
                <w:rFonts w:eastAsia="Times New Roman" w:cstheme="minorHAnsi"/>
                <w:b/>
                <w:bCs/>
                <w:color w:val="000000"/>
                <w:sz w:val="20"/>
                <w:szCs w:val="20"/>
                <w:lang w:eastAsia="es-MX"/>
              </w:rPr>
              <w:t xml:space="preserve">Cobertura Geográfica </w:t>
            </w:r>
          </w:p>
        </w:tc>
        <w:tc>
          <w:tcPr>
            <w:tcW w:w="3216" w:type="pct"/>
            <w:tcBorders>
              <w:top w:val="nil"/>
              <w:left w:val="nil"/>
              <w:bottom w:val="single" w:sz="4" w:space="0" w:color="auto"/>
              <w:right w:val="single" w:sz="4" w:space="0" w:color="auto"/>
            </w:tcBorders>
            <w:shd w:val="clear" w:color="auto" w:fill="auto"/>
            <w:hideMark/>
          </w:tcPr>
          <w:p w14:paraId="3CC8B047" w14:textId="77777777" w:rsidR="007E4A81" w:rsidRPr="00CD7AFF" w:rsidRDefault="007E4A81" w:rsidP="000F3860">
            <w:pPr>
              <w:spacing w:before="0" w:after="0"/>
              <w:rPr>
                <w:rFonts w:eastAsia="Times New Roman" w:cstheme="minorHAnsi"/>
                <w:color w:val="000000"/>
                <w:sz w:val="20"/>
                <w:szCs w:val="20"/>
                <w:lang w:eastAsia="es-MX"/>
              </w:rPr>
            </w:pPr>
            <w:r w:rsidRPr="00CD7AFF">
              <w:rPr>
                <w:sz w:val="20"/>
                <w:szCs w:val="20"/>
              </w:rPr>
              <w:t>Estatal</w:t>
            </w:r>
          </w:p>
        </w:tc>
      </w:tr>
      <w:tr w:rsidR="007E4A81" w:rsidRPr="00CD7AFF" w14:paraId="275E06F4" w14:textId="77777777" w:rsidTr="005E1463">
        <w:trPr>
          <w:trHeight w:val="243"/>
        </w:trPr>
        <w:tc>
          <w:tcPr>
            <w:tcW w:w="1784" w:type="pct"/>
            <w:tcBorders>
              <w:top w:val="nil"/>
              <w:left w:val="single" w:sz="4" w:space="0" w:color="auto"/>
              <w:bottom w:val="single" w:sz="4" w:space="0" w:color="auto"/>
              <w:right w:val="single" w:sz="4" w:space="0" w:color="auto"/>
            </w:tcBorders>
            <w:shd w:val="clear" w:color="000000" w:fill="9CC2E5"/>
            <w:vAlign w:val="center"/>
            <w:hideMark/>
          </w:tcPr>
          <w:p w14:paraId="207ECB64" w14:textId="77777777" w:rsidR="007E4A81" w:rsidRPr="00CD7AFF" w:rsidRDefault="007E4A81" w:rsidP="000F3860">
            <w:pPr>
              <w:spacing w:before="0" w:after="0"/>
              <w:rPr>
                <w:rFonts w:eastAsia="Times New Roman" w:cstheme="minorHAnsi"/>
                <w:b/>
                <w:bCs/>
                <w:color w:val="000000"/>
                <w:sz w:val="20"/>
                <w:szCs w:val="20"/>
                <w:lang w:eastAsia="es-MX"/>
              </w:rPr>
            </w:pPr>
            <w:r w:rsidRPr="00CD7AFF">
              <w:rPr>
                <w:rFonts w:eastAsia="Times New Roman" w:cstheme="minorHAnsi"/>
                <w:b/>
                <w:bCs/>
                <w:color w:val="000000"/>
                <w:sz w:val="20"/>
                <w:szCs w:val="20"/>
                <w:lang w:eastAsia="es-MX"/>
              </w:rPr>
              <w:t xml:space="preserve">Fuentes de Información </w:t>
            </w:r>
          </w:p>
        </w:tc>
        <w:tc>
          <w:tcPr>
            <w:tcW w:w="3216" w:type="pct"/>
            <w:tcBorders>
              <w:top w:val="nil"/>
              <w:left w:val="nil"/>
              <w:bottom w:val="single" w:sz="4" w:space="0" w:color="auto"/>
              <w:right w:val="single" w:sz="4" w:space="0" w:color="auto"/>
            </w:tcBorders>
            <w:shd w:val="clear" w:color="auto" w:fill="auto"/>
            <w:hideMark/>
          </w:tcPr>
          <w:p w14:paraId="3B4D8116" w14:textId="77777777" w:rsidR="007E4A81" w:rsidRPr="00CD7AFF" w:rsidRDefault="007E4A81" w:rsidP="000F3860">
            <w:pPr>
              <w:spacing w:before="0" w:after="0"/>
              <w:rPr>
                <w:rFonts w:eastAsia="Times New Roman" w:cstheme="minorHAnsi"/>
                <w:color w:val="000000"/>
                <w:sz w:val="20"/>
                <w:szCs w:val="20"/>
                <w:lang w:eastAsia="es-MX"/>
              </w:rPr>
            </w:pPr>
            <w:r w:rsidRPr="00CD7AFF">
              <w:rPr>
                <w:sz w:val="20"/>
                <w:szCs w:val="20"/>
              </w:rPr>
              <w:t>MIR de los Pp de la estructura programática estatal</w:t>
            </w:r>
          </w:p>
        </w:tc>
      </w:tr>
      <w:tr w:rsidR="007E4A81" w:rsidRPr="00CD7AFF" w14:paraId="142DECEA" w14:textId="77777777" w:rsidTr="005E1463">
        <w:trPr>
          <w:trHeight w:val="243"/>
        </w:trPr>
        <w:tc>
          <w:tcPr>
            <w:tcW w:w="1784" w:type="pct"/>
            <w:tcBorders>
              <w:top w:val="nil"/>
              <w:left w:val="single" w:sz="4" w:space="0" w:color="auto"/>
              <w:bottom w:val="single" w:sz="4" w:space="0" w:color="auto"/>
              <w:right w:val="single" w:sz="4" w:space="0" w:color="auto"/>
            </w:tcBorders>
            <w:shd w:val="clear" w:color="000000" w:fill="9CC2E5"/>
            <w:vAlign w:val="center"/>
            <w:hideMark/>
          </w:tcPr>
          <w:p w14:paraId="5D3D8FF0" w14:textId="77777777" w:rsidR="007E4A81" w:rsidRPr="00CD7AFF" w:rsidRDefault="007E4A81" w:rsidP="000F3860">
            <w:pPr>
              <w:spacing w:before="0" w:after="0"/>
              <w:rPr>
                <w:rFonts w:eastAsia="Times New Roman" w:cstheme="minorHAnsi"/>
                <w:b/>
                <w:bCs/>
                <w:color w:val="000000"/>
                <w:sz w:val="20"/>
                <w:szCs w:val="20"/>
                <w:lang w:eastAsia="es-MX"/>
              </w:rPr>
            </w:pPr>
            <w:r w:rsidRPr="00CD7AFF">
              <w:rPr>
                <w:rFonts w:eastAsia="Times New Roman" w:cstheme="minorHAnsi"/>
                <w:b/>
                <w:bCs/>
                <w:color w:val="000000"/>
                <w:sz w:val="20"/>
                <w:szCs w:val="20"/>
                <w:lang w:eastAsia="es-MX"/>
              </w:rPr>
              <w:t xml:space="preserve">¿Es coincidente? </w:t>
            </w:r>
          </w:p>
        </w:tc>
        <w:tc>
          <w:tcPr>
            <w:tcW w:w="3216" w:type="pct"/>
            <w:tcBorders>
              <w:top w:val="nil"/>
              <w:left w:val="nil"/>
              <w:bottom w:val="single" w:sz="4" w:space="0" w:color="auto"/>
              <w:right w:val="single" w:sz="4" w:space="0" w:color="auto"/>
            </w:tcBorders>
            <w:shd w:val="clear" w:color="auto" w:fill="auto"/>
            <w:hideMark/>
          </w:tcPr>
          <w:p w14:paraId="1DC7C71A" w14:textId="77777777" w:rsidR="007E4A81" w:rsidRPr="00CD7AFF" w:rsidRDefault="007E4A81" w:rsidP="000F3860">
            <w:pPr>
              <w:spacing w:before="0" w:after="0"/>
              <w:rPr>
                <w:rFonts w:eastAsia="Times New Roman" w:cstheme="minorHAnsi"/>
                <w:color w:val="000000"/>
                <w:sz w:val="20"/>
                <w:szCs w:val="20"/>
                <w:lang w:eastAsia="es-MX"/>
              </w:rPr>
            </w:pPr>
            <w:r w:rsidRPr="00CD7AFF">
              <w:rPr>
                <w:sz w:val="20"/>
                <w:szCs w:val="20"/>
              </w:rPr>
              <w:t>No</w:t>
            </w:r>
          </w:p>
        </w:tc>
      </w:tr>
      <w:tr w:rsidR="007E4A81" w:rsidRPr="00CD7AFF" w14:paraId="0C6CA78C" w14:textId="77777777" w:rsidTr="005E1463">
        <w:trPr>
          <w:trHeight w:val="243"/>
        </w:trPr>
        <w:tc>
          <w:tcPr>
            <w:tcW w:w="1784" w:type="pct"/>
            <w:tcBorders>
              <w:top w:val="nil"/>
              <w:left w:val="single" w:sz="4" w:space="0" w:color="auto"/>
              <w:bottom w:val="single" w:sz="4" w:space="0" w:color="auto"/>
              <w:right w:val="single" w:sz="4" w:space="0" w:color="auto"/>
            </w:tcBorders>
            <w:shd w:val="clear" w:color="000000" w:fill="9CC2E5"/>
            <w:vAlign w:val="center"/>
            <w:hideMark/>
          </w:tcPr>
          <w:p w14:paraId="40E696E3" w14:textId="77777777" w:rsidR="007E4A81" w:rsidRPr="00CD7AFF" w:rsidRDefault="007E4A81" w:rsidP="000F3860">
            <w:pPr>
              <w:spacing w:before="0" w:after="0"/>
              <w:rPr>
                <w:rFonts w:eastAsia="Times New Roman" w:cstheme="minorHAnsi"/>
                <w:b/>
                <w:bCs/>
                <w:color w:val="000000"/>
                <w:sz w:val="20"/>
                <w:szCs w:val="20"/>
                <w:lang w:eastAsia="es-MX"/>
              </w:rPr>
            </w:pPr>
            <w:r w:rsidRPr="00CD7AFF">
              <w:rPr>
                <w:rFonts w:eastAsia="Times New Roman" w:cstheme="minorHAnsi"/>
                <w:b/>
                <w:bCs/>
                <w:color w:val="000000"/>
                <w:sz w:val="20"/>
                <w:szCs w:val="20"/>
                <w:lang w:eastAsia="es-MX"/>
              </w:rPr>
              <w:t xml:space="preserve">¿Se complementa? </w:t>
            </w:r>
          </w:p>
        </w:tc>
        <w:tc>
          <w:tcPr>
            <w:tcW w:w="3216" w:type="pct"/>
            <w:tcBorders>
              <w:top w:val="nil"/>
              <w:left w:val="nil"/>
              <w:bottom w:val="single" w:sz="4" w:space="0" w:color="auto"/>
              <w:right w:val="single" w:sz="4" w:space="0" w:color="auto"/>
            </w:tcBorders>
            <w:shd w:val="clear" w:color="auto" w:fill="auto"/>
            <w:hideMark/>
          </w:tcPr>
          <w:p w14:paraId="6937600C" w14:textId="77777777" w:rsidR="007E4A81" w:rsidRPr="00CD7AFF" w:rsidRDefault="007E4A81" w:rsidP="000F3860">
            <w:pPr>
              <w:spacing w:before="0" w:after="0"/>
              <w:rPr>
                <w:rFonts w:eastAsia="Times New Roman" w:cstheme="minorHAnsi"/>
                <w:color w:val="000000"/>
                <w:sz w:val="20"/>
                <w:szCs w:val="20"/>
                <w:lang w:eastAsia="es-MX"/>
              </w:rPr>
            </w:pPr>
            <w:r w:rsidRPr="00CD7AFF">
              <w:rPr>
                <w:sz w:val="20"/>
                <w:szCs w:val="20"/>
              </w:rPr>
              <w:t>Sí</w:t>
            </w:r>
          </w:p>
        </w:tc>
      </w:tr>
      <w:tr w:rsidR="007E4A81" w:rsidRPr="00CD7AFF" w14:paraId="18D41CD4" w14:textId="77777777" w:rsidTr="005E1463">
        <w:trPr>
          <w:trHeight w:val="48"/>
        </w:trPr>
        <w:tc>
          <w:tcPr>
            <w:tcW w:w="1784" w:type="pct"/>
            <w:tcBorders>
              <w:top w:val="nil"/>
              <w:left w:val="single" w:sz="4" w:space="0" w:color="auto"/>
              <w:bottom w:val="single" w:sz="4" w:space="0" w:color="auto"/>
              <w:right w:val="single" w:sz="4" w:space="0" w:color="auto"/>
            </w:tcBorders>
            <w:shd w:val="clear" w:color="000000" w:fill="9CC2E5"/>
            <w:vAlign w:val="center"/>
            <w:hideMark/>
          </w:tcPr>
          <w:p w14:paraId="3F644AA6" w14:textId="77777777" w:rsidR="007E4A81" w:rsidRPr="00CD7AFF" w:rsidRDefault="007E4A81" w:rsidP="000F3860">
            <w:pPr>
              <w:spacing w:before="0" w:after="0"/>
              <w:rPr>
                <w:rFonts w:eastAsia="Times New Roman" w:cstheme="minorHAnsi"/>
                <w:b/>
                <w:bCs/>
                <w:color w:val="000000"/>
                <w:sz w:val="20"/>
                <w:szCs w:val="20"/>
                <w:lang w:eastAsia="es-MX"/>
              </w:rPr>
            </w:pPr>
            <w:r w:rsidRPr="00CD7AFF">
              <w:rPr>
                <w:rFonts w:eastAsia="Times New Roman" w:cstheme="minorHAnsi"/>
                <w:b/>
                <w:bCs/>
                <w:color w:val="000000"/>
                <w:sz w:val="20"/>
                <w:szCs w:val="20"/>
                <w:lang w:eastAsia="es-MX"/>
              </w:rPr>
              <w:t>Argumentación</w:t>
            </w:r>
          </w:p>
        </w:tc>
        <w:tc>
          <w:tcPr>
            <w:tcW w:w="3216" w:type="pct"/>
            <w:tcBorders>
              <w:top w:val="nil"/>
              <w:left w:val="nil"/>
              <w:bottom w:val="single" w:sz="4" w:space="0" w:color="auto"/>
              <w:right w:val="single" w:sz="4" w:space="0" w:color="auto"/>
            </w:tcBorders>
            <w:shd w:val="clear" w:color="auto" w:fill="auto"/>
            <w:vAlign w:val="center"/>
          </w:tcPr>
          <w:p w14:paraId="0590A344" w14:textId="2D52B4F0" w:rsidR="007E4A81" w:rsidRPr="00CD7AFF" w:rsidRDefault="006F0E83" w:rsidP="000F3860">
            <w:pPr>
              <w:spacing w:before="0" w:after="0"/>
              <w:rPr>
                <w:rFonts w:eastAsia="Times New Roman" w:cstheme="minorHAnsi"/>
                <w:color w:val="000000"/>
                <w:sz w:val="20"/>
                <w:szCs w:val="20"/>
                <w:lang w:eastAsia="es-MX"/>
              </w:rPr>
            </w:pPr>
            <w:r w:rsidRPr="00CD7AFF">
              <w:rPr>
                <w:rFonts w:eastAsia="Times New Roman" w:cs="Arial"/>
                <w:color w:val="000000"/>
                <w:sz w:val="20"/>
                <w:szCs w:val="20"/>
                <w:lang w:eastAsia="es-MX"/>
              </w:rPr>
              <w:t xml:space="preserve">El FAFEF contribuye a ampliar la cobertura de prestación de servicios de salud de manera equitativa, incluyente, solidaria, </w:t>
            </w:r>
            <w:r w:rsidR="00CD7AFF" w:rsidRPr="00CD7AFF">
              <w:rPr>
                <w:rFonts w:eastAsia="Times New Roman" w:cs="Arial"/>
                <w:color w:val="000000"/>
                <w:sz w:val="20"/>
                <w:szCs w:val="20"/>
                <w:lang w:eastAsia="es-MX"/>
              </w:rPr>
              <w:t>preventiva,</w:t>
            </w:r>
            <w:r w:rsidRPr="00CD7AFF">
              <w:rPr>
                <w:rFonts w:eastAsia="Times New Roman" w:cs="Arial"/>
                <w:color w:val="000000"/>
                <w:sz w:val="20"/>
                <w:szCs w:val="20"/>
                <w:lang w:eastAsia="es-MX"/>
              </w:rPr>
              <w:t xml:space="preserve"> con trato digno y adecuado a toda la población del estado, mediante la construcción de infraestructura.</w:t>
            </w:r>
          </w:p>
        </w:tc>
      </w:tr>
      <w:tr w:rsidR="007E4A81" w:rsidRPr="00CD7AFF" w14:paraId="5F0697F5" w14:textId="77777777" w:rsidTr="005E1463">
        <w:trPr>
          <w:trHeight w:val="243"/>
        </w:trPr>
        <w:tc>
          <w:tcPr>
            <w:tcW w:w="1784" w:type="pct"/>
            <w:tcBorders>
              <w:top w:val="nil"/>
              <w:left w:val="single" w:sz="4" w:space="0" w:color="auto"/>
              <w:bottom w:val="single" w:sz="4" w:space="0" w:color="auto"/>
              <w:right w:val="single" w:sz="4" w:space="0" w:color="auto"/>
            </w:tcBorders>
            <w:shd w:val="clear" w:color="000000" w:fill="9CC2E5"/>
            <w:vAlign w:val="center"/>
            <w:hideMark/>
          </w:tcPr>
          <w:p w14:paraId="1C62C28A" w14:textId="77777777" w:rsidR="007E4A81" w:rsidRPr="00CD7AFF" w:rsidRDefault="007E4A81" w:rsidP="000F3860">
            <w:pPr>
              <w:spacing w:before="0" w:after="0"/>
              <w:rPr>
                <w:rFonts w:eastAsia="Times New Roman" w:cstheme="minorHAnsi"/>
                <w:b/>
                <w:bCs/>
                <w:color w:val="000000"/>
                <w:sz w:val="20"/>
                <w:szCs w:val="20"/>
                <w:lang w:eastAsia="es-MX"/>
              </w:rPr>
            </w:pPr>
            <w:r w:rsidRPr="00CD7AFF">
              <w:rPr>
                <w:rFonts w:eastAsia="Times New Roman" w:cstheme="minorHAnsi"/>
                <w:b/>
                <w:bCs/>
                <w:color w:val="000000"/>
                <w:sz w:val="20"/>
                <w:szCs w:val="20"/>
                <w:lang w:eastAsia="es-MX"/>
              </w:rPr>
              <w:t>Recomendación</w:t>
            </w:r>
          </w:p>
        </w:tc>
        <w:tc>
          <w:tcPr>
            <w:tcW w:w="3216" w:type="pct"/>
            <w:tcBorders>
              <w:top w:val="nil"/>
              <w:left w:val="nil"/>
              <w:bottom w:val="single" w:sz="4" w:space="0" w:color="auto"/>
              <w:right w:val="single" w:sz="4" w:space="0" w:color="auto"/>
            </w:tcBorders>
            <w:shd w:val="clear" w:color="auto" w:fill="auto"/>
            <w:vAlign w:val="center"/>
            <w:hideMark/>
          </w:tcPr>
          <w:p w14:paraId="13CDF397" w14:textId="77777777" w:rsidR="007E4A81" w:rsidRPr="00CD7AFF" w:rsidRDefault="007E4A81" w:rsidP="000F3860">
            <w:pPr>
              <w:spacing w:before="0" w:after="0"/>
              <w:rPr>
                <w:rFonts w:eastAsia="Times New Roman" w:cstheme="minorHAnsi"/>
                <w:color w:val="000000"/>
                <w:sz w:val="20"/>
                <w:szCs w:val="20"/>
                <w:lang w:eastAsia="es-MX"/>
              </w:rPr>
            </w:pPr>
            <w:r w:rsidRPr="00CD7AFF">
              <w:rPr>
                <w:rFonts w:eastAsia="Times New Roman" w:cstheme="minorHAnsi"/>
                <w:color w:val="000000"/>
                <w:sz w:val="20"/>
                <w:szCs w:val="20"/>
                <w:lang w:eastAsia="es-MX"/>
              </w:rPr>
              <w:t>Sin recomendación</w:t>
            </w:r>
          </w:p>
        </w:tc>
      </w:tr>
    </w:tbl>
    <w:p w14:paraId="7FD5192B" w14:textId="5AF891E2" w:rsidR="00601296" w:rsidRDefault="00601296" w:rsidP="00EB1844">
      <w:pPr>
        <w:pStyle w:val="Anexos"/>
        <w:jc w:val="left"/>
        <w:sectPr w:rsidR="00601296" w:rsidSect="009C36EB">
          <w:headerReference w:type="default" r:id="rId58"/>
          <w:footerReference w:type="default" r:id="rId59"/>
          <w:pgSz w:w="15840" w:h="12240" w:orient="landscape" w:code="1"/>
          <w:pgMar w:top="1134" w:right="1134" w:bottom="1134" w:left="1134" w:header="709" w:footer="709" w:gutter="0"/>
          <w:cols w:space="708"/>
          <w:docGrid w:linePitch="360"/>
        </w:sectPr>
      </w:pPr>
    </w:p>
    <w:p w14:paraId="2D33901E" w14:textId="3C5E9F03" w:rsidR="00EB1844" w:rsidRDefault="00EB1844" w:rsidP="00EB1844">
      <w:pPr>
        <w:pStyle w:val="Anexos"/>
        <w:rPr>
          <w:i w:val="0"/>
          <w:iCs/>
        </w:rPr>
      </w:pPr>
      <w:bookmarkStart w:id="153" w:name="_Toc54262979"/>
      <w:bookmarkStart w:id="154" w:name="_Toc55497591"/>
      <w:bookmarkStart w:id="155" w:name="_Toc55542102"/>
      <w:bookmarkStart w:id="156" w:name="_Toc56423512"/>
      <w:bookmarkStart w:id="157" w:name="_Toc56423723"/>
      <w:bookmarkStart w:id="158" w:name="_Toc56449874"/>
      <w:r w:rsidRPr="00441EBD">
        <w:rPr>
          <w:i w:val="0"/>
          <w:iCs/>
        </w:rPr>
        <w:lastRenderedPageBreak/>
        <w:t>Anexo 9. Principales Fortalezas, Oportunidades, Debilidades, Amenazas y Recomendaciones</w:t>
      </w:r>
      <w:bookmarkEnd w:id="152"/>
      <w:bookmarkEnd w:id="153"/>
      <w:bookmarkEnd w:id="154"/>
      <w:bookmarkEnd w:id="155"/>
      <w:bookmarkEnd w:id="156"/>
      <w:bookmarkEnd w:id="157"/>
      <w:bookmarkEnd w:id="158"/>
    </w:p>
    <w:tbl>
      <w:tblPr>
        <w:tblW w:w="4911" w:type="pct"/>
        <w:tblCellMar>
          <w:left w:w="70" w:type="dxa"/>
          <w:right w:w="70" w:type="dxa"/>
        </w:tblCellMar>
        <w:tblLook w:val="04A0" w:firstRow="1" w:lastRow="0" w:firstColumn="1" w:lastColumn="0" w:noHBand="0" w:noVBand="1"/>
      </w:tblPr>
      <w:tblGrid>
        <w:gridCol w:w="2249"/>
        <w:gridCol w:w="3983"/>
        <w:gridCol w:w="1998"/>
        <w:gridCol w:w="5091"/>
      </w:tblGrid>
      <w:tr w:rsidR="00AE4F1E" w:rsidRPr="001E55E3" w14:paraId="1015443C" w14:textId="77777777" w:rsidTr="004C2BB8">
        <w:trPr>
          <w:trHeight w:val="610"/>
          <w:tblHeader/>
        </w:trPr>
        <w:tc>
          <w:tcPr>
            <w:tcW w:w="844" w:type="pct"/>
            <w:tcBorders>
              <w:top w:val="single" w:sz="4" w:space="0" w:color="auto"/>
              <w:left w:val="single" w:sz="4" w:space="0" w:color="auto"/>
              <w:bottom w:val="single" w:sz="4" w:space="0" w:color="auto"/>
              <w:right w:val="single" w:sz="4" w:space="0" w:color="auto"/>
            </w:tcBorders>
            <w:shd w:val="clear" w:color="000000" w:fill="9CC2E5"/>
            <w:noWrap/>
            <w:vAlign w:val="center"/>
            <w:hideMark/>
          </w:tcPr>
          <w:p w14:paraId="584C4401" w14:textId="77777777" w:rsidR="001E55E3" w:rsidRPr="001E55E3" w:rsidRDefault="001E55E3" w:rsidP="005A4598">
            <w:pPr>
              <w:spacing w:before="0" w:after="0"/>
              <w:jc w:val="center"/>
              <w:rPr>
                <w:rFonts w:eastAsia="Times New Roman" w:cstheme="minorHAnsi"/>
                <w:b/>
                <w:bCs/>
                <w:color w:val="000000"/>
                <w:sz w:val="20"/>
                <w:szCs w:val="20"/>
                <w:lang w:eastAsia="es-MX"/>
              </w:rPr>
            </w:pPr>
            <w:bookmarkStart w:id="159" w:name="_Hlk56397684"/>
            <w:r w:rsidRPr="001E55E3">
              <w:rPr>
                <w:rFonts w:eastAsia="Times New Roman" w:cstheme="minorHAnsi"/>
                <w:b/>
                <w:bCs/>
                <w:color w:val="000000"/>
                <w:sz w:val="20"/>
                <w:szCs w:val="20"/>
                <w:lang w:eastAsia="es-MX"/>
              </w:rPr>
              <w:t>Tema de la evaluación</w:t>
            </w:r>
          </w:p>
        </w:tc>
        <w:tc>
          <w:tcPr>
            <w:tcW w:w="1495" w:type="pct"/>
            <w:tcBorders>
              <w:top w:val="single" w:sz="4" w:space="0" w:color="auto"/>
              <w:left w:val="single" w:sz="4" w:space="0" w:color="auto"/>
              <w:bottom w:val="single" w:sz="4" w:space="0" w:color="000000"/>
              <w:right w:val="single" w:sz="4" w:space="0" w:color="auto"/>
            </w:tcBorders>
            <w:shd w:val="clear" w:color="000000" w:fill="9CC2E5"/>
            <w:noWrap/>
            <w:vAlign w:val="center"/>
            <w:hideMark/>
          </w:tcPr>
          <w:p w14:paraId="00D9CF7B" w14:textId="77777777" w:rsidR="001E55E3" w:rsidRPr="001E55E3" w:rsidRDefault="001E55E3" w:rsidP="005A4598">
            <w:pPr>
              <w:spacing w:before="0" w:after="0"/>
              <w:jc w:val="center"/>
              <w:rPr>
                <w:rFonts w:eastAsia="Times New Roman" w:cstheme="minorHAnsi"/>
                <w:b/>
                <w:bCs/>
                <w:color w:val="000000"/>
                <w:sz w:val="20"/>
                <w:szCs w:val="20"/>
                <w:lang w:eastAsia="es-MX"/>
              </w:rPr>
            </w:pPr>
            <w:r w:rsidRPr="001E55E3">
              <w:rPr>
                <w:rFonts w:eastAsia="Times New Roman" w:cstheme="minorHAnsi"/>
                <w:b/>
                <w:bCs/>
                <w:color w:val="000000"/>
                <w:sz w:val="20"/>
                <w:szCs w:val="20"/>
                <w:lang w:eastAsia="es-MX"/>
              </w:rPr>
              <w:t>Fortaleza y Oportunidad/Debilidad</w:t>
            </w:r>
          </w:p>
          <w:p w14:paraId="3EF9517D" w14:textId="77777777" w:rsidR="001E55E3" w:rsidRPr="001E55E3" w:rsidRDefault="001E55E3" w:rsidP="005A4598">
            <w:pPr>
              <w:spacing w:before="0" w:after="0"/>
              <w:jc w:val="center"/>
              <w:rPr>
                <w:rFonts w:eastAsia="Times New Roman" w:cstheme="minorHAnsi"/>
                <w:b/>
                <w:bCs/>
                <w:color w:val="000000"/>
                <w:sz w:val="20"/>
                <w:szCs w:val="20"/>
                <w:lang w:eastAsia="es-MX"/>
              </w:rPr>
            </w:pPr>
            <w:r w:rsidRPr="001E55E3">
              <w:rPr>
                <w:rFonts w:eastAsia="Times New Roman" w:cstheme="minorHAnsi"/>
                <w:b/>
                <w:bCs/>
                <w:color w:val="000000"/>
                <w:sz w:val="20"/>
                <w:szCs w:val="20"/>
                <w:lang w:eastAsia="es-MX"/>
              </w:rPr>
              <w:t xml:space="preserve"> y Amenaza</w:t>
            </w:r>
          </w:p>
        </w:tc>
        <w:tc>
          <w:tcPr>
            <w:tcW w:w="750" w:type="pct"/>
            <w:tcBorders>
              <w:top w:val="single" w:sz="4" w:space="0" w:color="auto"/>
              <w:left w:val="nil"/>
              <w:bottom w:val="single" w:sz="4" w:space="0" w:color="auto"/>
              <w:right w:val="single" w:sz="4" w:space="0" w:color="auto"/>
            </w:tcBorders>
            <w:shd w:val="clear" w:color="000000" w:fill="9CC2E5"/>
            <w:noWrap/>
            <w:vAlign w:val="center"/>
            <w:hideMark/>
          </w:tcPr>
          <w:p w14:paraId="7DB7FDE7" w14:textId="77777777" w:rsidR="001E55E3" w:rsidRPr="001E55E3" w:rsidRDefault="001E55E3" w:rsidP="005A4598">
            <w:pPr>
              <w:spacing w:before="0" w:after="0"/>
              <w:jc w:val="center"/>
              <w:rPr>
                <w:rFonts w:eastAsia="Times New Roman" w:cstheme="minorHAnsi"/>
                <w:b/>
                <w:bCs/>
                <w:color w:val="000000"/>
                <w:sz w:val="20"/>
                <w:szCs w:val="20"/>
                <w:lang w:eastAsia="es-MX"/>
              </w:rPr>
            </w:pPr>
            <w:r w:rsidRPr="001E55E3">
              <w:rPr>
                <w:rFonts w:eastAsia="Times New Roman" w:cstheme="minorHAnsi"/>
                <w:b/>
                <w:bCs/>
                <w:color w:val="000000"/>
                <w:sz w:val="20"/>
                <w:szCs w:val="20"/>
                <w:lang w:eastAsia="es-MX"/>
              </w:rPr>
              <w:t xml:space="preserve">Referencia (pregunta </w:t>
            </w:r>
          </w:p>
          <w:p w14:paraId="169475E4" w14:textId="77777777" w:rsidR="001E55E3" w:rsidRPr="001E55E3" w:rsidRDefault="001E55E3" w:rsidP="005A4598">
            <w:pPr>
              <w:spacing w:before="0" w:after="0"/>
              <w:jc w:val="center"/>
              <w:rPr>
                <w:rFonts w:eastAsia="Times New Roman" w:cstheme="minorHAnsi"/>
                <w:b/>
                <w:bCs/>
                <w:color w:val="000000"/>
                <w:sz w:val="20"/>
                <w:szCs w:val="20"/>
                <w:lang w:eastAsia="es-MX"/>
              </w:rPr>
            </w:pPr>
            <w:r w:rsidRPr="001E55E3">
              <w:rPr>
                <w:rFonts w:eastAsia="Times New Roman" w:cstheme="minorHAnsi"/>
                <w:b/>
                <w:bCs/>
                <w:color w:val="000000"/>
                <w:sz w:val="20"/>
                <w:szCs w:val="20"/>
                <w:lang w:eastAsia="es-MX"/>
              </w:rPr>
              <w:t>específica)</w:t>
            </w:r>
          </w:p>
        </w:tc>
        <w:tc>
          <w:tcPr>
            <w:tcW w:w="1911" w:type="pct"/>
            <w:tcBorders>
              <w:top w:val="single" w:sz="4" w:space="0" w:color="auto"/>
              <w:left w:val="single" w:sz="4" w:space="0" w:color="auto"/>
              <w:bottom w:val="single" w:sz="4" w:space="0" w:color="auto"/>
              <w:right w:val="single" w:sz="4" w:space="0" w:color="auto"/>
            </w:tcBorders>
            <w:shd w:val="clear" w:color="000000" w:fill="9CC2E5"/>
            <w:noWrap/>
            <w:vAlign w:val="center"/>
            <w:hideMark/>
          </w:tcPr>
          <w:p w14:paraId="587B5FC1" w14:textId="77777777" w:rsidR="001E55E3" w:rsidRPr="001E55E3" w:rsidRDefault="001E55E3" w:rsidP="005A4598">
            <w:pPr>
              <w:spacing w:before="0" w:after="0"/>
              <w:jc w:val="center"/>
              <w:rPr>
                <w:rFonts w:eastAsia="Times New Roman" w:cstheme="minorHAnsi"/>
                <w:b/>
                <w:bCs/>
                <w:color w:val="000000"/>
                <w:sz w:val="20"/>
                <w:szCs w:val="20"/>
                <w:lang w:eastAsia="es-MX"/>
              </w:rPr>
            </w:pPr>
            <w:r w:rsidRPr="001E55E3">
              <w:rPr>
                <w:rFonts w:eastAsia="Times New Roman" w:cstheme="minorHAnsi"/>
                <w:b/>
                <w:bCs/>
                <w:color w:val="000000"/>
                <w:sz w:val="20"/>
                <w:szCs w:val="20"/>
                <w:lang w:eastAsia="es-MX"/>
              </w:rPr>
              <w:t>Recomendación concreta</w:t>
            </w:r>
          </w:p>
        </w:tc>
      </w:tr>
      <w:tr w:rsidR="005956AC" w:rsidRPr="001E55E3" w14:paraId="554B5395" w14:textId="77777777" w:rsidTr="00AE4F1E">
        <w:trPr>
          <w:trHeight w:val="300"/>
        </w:trPr>
        <w:tc>
          <w:tcPr>
            <w:tcW w:w="5000" w:type="pct"/>
            <w:gridSpan w:val="4"/>
            <w:tcBorders>
              <w:top w:val="single" w:sz="4" w:space="0" w:color="auto"/>
              <w:left w:val="single" w:sz="4" w:space="0" w:color="auto"/>
              <w:bottom w:val="single" w:sz="4" w:space="0" w:color="auto"/>
              <w:right w:val="single" w:sz="4" w:space="0" w:color="auto"/>
            </w:tcBorders>
            <w:shd w:val="clear" w:color="000000" w:fill="D9D9D9"/>
            <w:vAlign w:val="center"/>
          </w:tcPr>
          <w:p w14:paraId="38C76A71" w14:textId="15982A39" w:rsidR="005956AC" w:rsidRPr="001E55E3" w:rsidRDefault="000D68C2" w:rsidP="005A4598">
            <w:pPr>
              <w:spacing w:before="0" w:after="0"/>
              <w:jc w:val="center"/>
              <w:rPr>
                <w:rFonts w:eastAsia="Times New Roman" w:cstheme="minorHAnsi"/>
                <w:b/>
                <w:bCs/>
                <w:color w:val="000000"/>
                <w:sz w:val="20"/>
                <w:szCs w:val="20"/>
                <w:lang w:eastAsia="es-MX"/>
              </w:rPr>
            </w:pPr>
            <w:r w:rsidRPr="00DD514D">
              <w:rPr>
                <w:rFonts w:eastAsia="Calibri" w:cstheme="minorHAnsi"/>
                <w:b/>
                <w:sz w:val="20"/>
                <w:szCs w:val="20"/>
              </w:rPr>
              <w:t>Fortaleza y Oportunidad</w:t>
            </w:r>
          </w:p>
        </w:tc>
      </w:tr>
      <w:tr w:rsidR="009666DF" w:rsidRPr="001E55E3" w14:paraId="322925B3" w14:textId="77777777" w:rsidTr="004C2BB8">
        <w:trPr>
          <w:trHeight w:val="300"/>
        </w:trPr>
        <w:tc>
          <w:tcPr>
            <w:tcW w:w="844" w:type="pct"/>
            <w:tcBorders>
              <w:top w:val="single" w:sz="4" w:space="0" w:color="auto"/>
              <w:left w:val="single" w:sz="4" w:space="0" w:color="auto"/>
              <w:bottom w:val="single" w:sz="4" w:space="0" w:color="auto"/>
              <w:right w:val="single" w:sz="4" w:space="0" w:color="auto"/>
            </w:tcBorders>
            <w:shd w:val="clear" w:color="auto" w:fill="auto"/>
            <w:vAlign w:val="center"/>
          </w:tcPr>
          <w:p w14:paraId="5AFF2828" w14:textId="11696AAD" w:rsidR="000D68C2" w:rsidRPr="001E55E3" w:rsidRDefault="009666DF" w:rsidP="009666DF">
            <w:pPr>
              <w:spacing w:before="0" w:after="0"/>
              <w:rPr>
                <w:rFonts w:eastAsia="Times New Roman" w:cstheme="minorHAnsi"/>
                <w:b/>
                <w:bCs/>
                <w:color w:val="000000"/>
                <w:sz w:val="20"/>
                <w:szCs w:val="20"/>
                <w:lang w:eastAsia="es-MX"/>
              </w:rPr>
            </w:pPr>
            <w:r w:rsidRPr="001E55E3">
              <w:rPr>
                <w:rFonts w:eastAsia="Times New Roman" w:cstheme="minorHAnsi"/>
                <w:b/>
                <w:bCs/>
                <w:color w:val="000000"/>
                <w:sz w:val="20"/>
                <w:szCs w:val="20"/>
                <w:lang w:eastAsia="es-MX"/>
              </w:rPr>
              <w:t>Módulo 1. Justificación del diseño del Fondo y de su mecanismo de intervención.</w:t>
            </w:r>
          </w:p>
        </w:tc>
        <w:tc>
          <w:tcPr>
            <w:tcW w:w="1495" w:type="pct"/>
            <w:tcBorders>
              <w:top w:val="single" w:sz="4" w:space="0" w:color="auto"/>
              <w:left w:val="single" w:sz="4" w:space="0" w:color="auto"/>
              <w:bottom w:val="single" w:sz="4" w:space="0" w:color="auto"/>
              <w:right w:val="single" w:sz="4" w:space="0" w:color="auto"/>
            </w:tcBorders>
            <w:shd w:val="clear" w:color="auto" w:fill="auto"/>
            <w:vAlign w:val="center"/>
          </w:tcPr>
          <w:p w14:paraId="09B468EA" w14:textId="46AA4426" w:rsidR="000D68C2" w:rsidRPr="00820874" w:rsidRDefault="00AE4F1E" w:rsidP="00820874">
            <w:pPr>
              <w:spacing w:before="0" w:after="0"/>
              <w:jc w:val="left"/>
              <w:rPr>
                <w:rFonts w:eastAsia="Times New Roman" w:cstheme="minorHAnsi"/>
                <w:color w:val="000000"/>
                <w:sz w:val="20"/>
                <w:szCs w:val="20"/>
                <w:lang w:eastAsia="es-MX"/>
              </w:rPr>
            </w:pPr>
            <w:r>
              <w:rPr>
                <w:rFonts w:eastAsia="Times New Roman" w:cstheme="minorHAnsi"/>
                <w:color w:val="000000"/>
                <w:sz w:val="20"/>
                <w:szCs w:val="20"/>
                <w:lang w:eastAsia="es-MX"/>
              </w:rPr>
              <w:t>Sin f</w:t>
            </w:r>
            <w:r w:rsidR="00820874" w:rsidRPr="00820874">
              <w:rPr>
                <w:rFonts w:eastAsia="Times New Roman" w:cstheme="minorHAnsi"/>
                <w:color w:val="000000"/>
                <w:sz w:val="20"/>
                <w:szCs w:val="20"/>
                <w:lang w:eastAsia="es-MX"/>
              </w:rPr>
              <w:t xml:space="preserve">ortaleza </w:t>
            </w:r>
            <w:r>
              <w:rPr>
                <w:rFonts w:eastAsia="Times New Roman" w:cstheme="minorHAnsi"/>
                <w:color w:val="000000"/>
                <w:sz w:val="20"/>
                <w:szCs w:val="20"/>
                <w:lang w:eastAsia="es-MX"/>
              </w:rPr>
              <w:t>u o</w:t>
            </w:r>
            <w:r w:rsidR="00820874" w:rsidRPr="00820874">
              <w:rPr>
                <w:rFonts w:eastAsia="Times New Roman" w:cstheme="minorHAnsi"/>
                <w:color w:val="000000"/>
                <w:sz w:val="20"/>
                <w:szCs w:val="20"/>
                <w:lang w:eastAsia="es-MX"/>
              </w:rPr>
              <w:t>portunidad</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69299F70" w14:textId="0D053B14" w:rsidR="000D68C2" w:rsidRPr="001E55E3" w:rsidRDefault="00AE4F1E" w:rsidP="005A4598">
            <w:pPr>
              <w:spacing w:before="0" w:after="0"/>
              <w:jc w:val="center"/>
              <w:rPr>
                <w:rFonts w:eastAsia="Times New Roman" w:cstheme="minorHAnsi"/>
                <w:b/>
                <w:bCs/>
                <w:color w:val="000000"/>
                <w:sz w:val="20"/>
                <w:szCs w:val="20"/>
                <w:lang w:eastAsia="es-MX"/>
              </w:rPr>
            </w:pPr>
            <w:r>
              <w:rPr>
                <w:rFonts w:eastAsia="Times New Roman" w:cstheme="minorHAnsi"/>
                <w:b/>
                <w:bCs/>
                <w:color w:val="000000"/>
                <w:sz w:val="20"/>
                <w:szCs w:val="20"/>
                <w:lang w:eastAsia="es-MX"/>
              </w:rPr>
              <w:t>-</w:t>
            </w:r>
          </w:p>
        </w:tc>
        <w:tc>
          <w:tcPr>
            <w:tcW w:w="1911" w:type="pct"/>
            <w:tcBorders>
              <w:top w:val="single" w:sz="4" w:space="0" w:color="auto"/>
              <w:left w:val="single" w:sz="4" w:space="0" w:color="auto"/>
              <w:bottom w:val="single" w:sz="4" w:space="0" w:color="auto"/>
              <w:right w:val="single" w:sz="4" w:space="0" w:color="auto"/>
            </w:tcBorders>
            <w:shd w:val="clear" w:color="auto" w:fill="auto"/>
            <w:vAlign w:val="center"/>
          </w:tcPr>
          <w:p w14:paraId="34B22B05" w14:textId="5BABCEE4" w:rsidR="000D68C2" w:rsidRPr="00AE4F1E" w:rsidRDefault="00AE4F1E" w:rsidP="00AE4F1E">
            <w:pPr>
              <w:spacing w:before="0" w:after="0"/>
              <w:jc w:val="left"/>
              <w:rPr>
                <w:rFonts w:eastAsia="Times New Roman" w:cstheme="minorHAnsi"/>
                <w:color w:val="000000"/>
                <w:sz w:val="20"/>
                <w:szCs w:val="20"/>
                <w:lang w:eastAsia="es-MX"/>
              </w:rPr>
            </w:pPr>
            <w:r w:rsidRPr="00AE4F1E">
              <w:rPr>
                <w:rFonts w:eastAsia="Times New Roman" w:cstheme="minorHAnsi"/>
                <w:color w:val="000000"/>
                <w:sz w:val="20"/>
                <w:szCs w:val="20"/>
                <w:lang w:eastAsia="es-MX"/>
              </w:rPr>
              <w:t>Sin recomendación</w:t>
            </w:r>
          </w:p>
        </w:tc>
      </w:tr>
      <w:tr w:rsidR="001E55E3" w:rsidRPr="001E55E3" w14:paraId="3C1EE957" w14:textId="77777777" w:rsidTr="00AE4F1E">
        <w:trPr>
          <w:trHeight w:val="182"/>
        </w:trPr>
        <w:tc>
          <w:tcPr>
            <w:tcW w:w="5000" w:type="pct"/>
            <w:gridSpan w:val="4"/>
            <w:tcBorders>
              <w:top w:val="single" w:sz="4" w:space="0" w:color="auto"/>
              <w:left w:val="single" w:sz="4" w:space="0" w:color="auto"/>
              <w:bottom w:val="single" w:sz="4" w:space="0" w:color="auto"/>
              <w:right w:val="single" w:sz="4" w:space="0" w:color="auto"/>
            </w:tcBorders>
            <w:shd w:val="clear" w:color="000000" w:fill="D9D9D9"/>
            <w:vAlign w:val="center"/>
            <w:hideMark/>
          </w:tcPr>
          <w:p w14:paraId="1AE77276" w14:textId="77777777" w:rsidR="001E55E3" w:rsidRPr="001E55E3" w:rsidRDefault="001E55E3" w:rsidP="005A4598">
            <w:pPr>
              <w:spacing w:before="0" w:after="0"/>
              <w:jc w:val="center"/>
              <w:rPr>
                <w:rFonts w:eastAsia="Times New Roman" w:cstheme="minorHAnsi"/>
                <w:b/>
                <w:bCs/>
                <w:color w:val="000000"/>
                <w:sz w:val="20"/>
                <w:szCs w:val="20"/>
                <w:lang w:eastAsia="es-MX"/>
              </w:rPr>
            </w:pPr>
            <w:r w:rsidRPr="001E55E3">
              <w:rPr>
                <w:rFonts w:eastAsia="Times New Roman" w:cstheme="minorHAnsi"/>
                <w:b/>
                <w:bCs/>
                <w:color w:val="000000"/>
                <w:sz w:val="20"/>
                <w:szCs w:val="20"/>
                <w:lang w:eastAsia="es-MX"/>
              </w:rPr>
              <w:t>Debilidad o Amenaza</w:t>
            </w:r>
          </w:p>
        </w:tc>
      </w:tr>
      <w:tr w:rsidR="00AE4F1E" w:rsidRPr="001E55E3" w14:paraId="5256E744" w14:textId="77777777" w:rsidTr="004C2BB8">
        <w:trPr>
          <w:trHeight w:val="2490"/>
        </w:trPr>
        <w:tc>
          <w:tcPr>
            <w:tcW w:w="844" w:type="pct"/>
            <w:vMerge w:val="restart"/>
            <w:tcBorders>
              <w:top w:val="nil"/>
              <w:left w:val="single" w:sz="4" w:space="0" w:color="auto"/>
              <w:bottom w:val="single" w:sz="4" w:space="0" w:color="auto"/>
              <w:right w:val="single" w:sz="4" w:space="0" w:color="auto"/>
            </w:tcBorders>
            <w:shd w:val="clear" w:color="000000" w:fill="FFFFFF"/>
            <w:vAlign w:val="center"/>
            <w:hideMark/>
          </w:tcPr>
          <w:p w14:paraId="08EA8B98" w14:textId="77777777" w:rsidR="001E55E3" w:rsidRPr="001E55E3" w:rsidRDefault="001E55E3" w:rsidP="005A4598">
            <w:pPr>
              <w:spacing w:before="0" w:after="0"/>
              <w:rPr>
                <w:rFonts w:eastAsia="Times New Roman" w:cstheme="minorHAnsi"/>
                <w:b/>
                <w:bCs/>
                <w:color w:val="000000"/>
                <w:sz w:val="20"/>
                <w:szCs w:val="20"/>
                <w:lang w:eastAsia="es-MX"/>
              </w:rPr>
            </w:pPr>
            <w:r w:rsidRPr="001E55E3">
              <w:rPr>
                <w:rFonts w:eastAsia="Times New Roman" w:cstheme="minorHAnsi"/>
                <w:b/>
                <w:bCs/>
                <w:color w:val="000000"/>
                <w:sz w:val="20"/>
                <w:szCs w:val="20"/>
                <w:lang w:eastAsia="es-MX"/>
              </w:rPr>
              <w:t>Módulo 1. Justificación del diseño del Fondo y de su mecanismo de intervención.</w:t>
            </w:r>
          </w:p>
        </w:tc>
        <w:tc>
          <w:tcPr>
            <w:tcW w:w="1495" w:type="pct"/>
            <w:tcBorders>
              <w:top w:val="nil"/>
              <w:left w:val="nil"/>
              <w:bottom w:val="single" w:sz="4" w:space="0" w:color="auto"/>
              <w:right w:val="single" w:sz="4" w:space="0" w:color="auto"/>
            </w:tcBorders>
            <w:shd w:val="clear" w:color="000000" w:fill="FFFFFF"/>
            <w:vAlign w:val="center"/>
            <w:hideMark/>
          </w:tcPr>
          <w:p w14:paraId="28FA09A8" w14:textId="77777777" w:rsidR="001E55E3" w:rsidRPr="001E55E3" w:rsidRDefault="001E55E3" w:rsidP="005A4598">
            <w:pPr>
              <w:spacing w:before="0" w:after="0"/>
              <w:rPr>
                <w:rFonts w:eastAsia="Times New Roman" w:cstheme="minorHAnsi"/>
                <w:color w:val="000000"/>
                <w:sz w:val="20"/>
                <w:szCs w:val="20"/>
                <w:lang w:eastAsia="es-MX"/>
              </w:rPr>
            </w:pPr>
            <w:r w:rsidRPr="001E55E3">
              <w:rPr>
                <w:rFonts w:eastAsia="Times New Roman" w:cstheme="minorHAnsi"/>
                <w:b/>
                <w:bCs/>
                <w:color w:val="000000"/>
                <w:sz w:val="20"/>
                <w:szCs w:val="20"/>
                <w:lang w:eastAsia="es-MX"/>
              </w:rPr>
              <w:t>Debilidad:</w:t>
            </w:r>
            <w:r w:rsidRPr="001E55E3">
              <w:rPr>
                <w:rFonts w:eastAsia="Times New Roman" w:cstheme="minorHAnsi"/>
                <w:color w:val="000000"/>
                <w:sz w:val="20"/>
                <w:szCs w:val="20"/>
                <w:lang w:eastAsia="es-MX"/>
              </w:rPr>
              <w:t xml:space="preserve"> Aunque se cuenta con un documento diagnóstico, este no se estructura en un árbol de problemas, no se identifica un problema central dentro del entorno de política pública al que respondería el FAFEF y tampoco se presenta un árbol de objetivos. En este documento tampoco se realiza un diagnóstico específico sobre las problemáticas que se atienden con los recursos del FAFEF.</w:t>
            </w:r>
          </w:p>
        </w:tc>
        <w:tc>
          <w:tcPr>
            <w:tcW w:w="750" w:type="pct"/>
            <w:tcBorders>
              <w:top w:val="nil"/>
              <w:left w:val="nil"/>
              <w:bottom w:val="single" w:sz="4" w:space="0" w:color="auto"/>
              <w:right w:val="single" w:sz="4" w:space="0" w:color="auto"/>
            </w:tcBorders>
            <w:shd w:val="clear" w:color="000000" w:fill="FFFFFF"/>
            <w:vAlign w:val="center"/>
            <w:hideMark/>
          </w:tcPr>
          <w:p w14:paraId="1B5137CB" w14:textId="77777777" w:rsidR="001E55E3" w:rsidRPr="001E55E3" w:rsidRDefault="001E55E3" w:rsidP="005A4598">
            <w:pPr>
              <w:spacing w:before="0" w:after="0"/>
              <w:jc w:val="center"/>
              <w:rPr>
                <w:rFonts w:eastAsia="Times New Roman" w:cstheme="minorHAnsi"/>
                <w:color w:val="000000"/>
                <w:sz w:val="20"/>
                <w:szCs w:val="20"/>
                <w:lang w:eastAsia="es-MX"/>
              </w:rPr>
            </w:pPr>
            <w:r w:rsidRPr="001E55E3">
              <w:rPr>
                <w:rFonts w:eastAsia="Times New Roman" w:cstheme="minorHAnsi"/>
                <w:color w:val="000000"/>
                <w:sz w:val="20"/>
                <w:szCs w:val="20"/>
                <w:lang w:eastAsia="es-MX"/>
              </w:rPr>
              <w:t>1</w:t>
            </w:r>
          </w:p>
        </w:tc>
        <w:tc>
          <w:tcPr>
            <w:tcW w:w="1911" w:type="pct"/>
            <w:tcBorders>
              <w:top w:val="nil"/>
              <w:left w:val="nil"/>
              <w:bottom w:val="single" w:sz="4" w:space="0" w:color="auto"/>
              <w:right w:val="single" w:sz="4" w:space="0" w:color="auto"/>
            </w:tcBorders>
            <w:shd w:val="clear" w:color="000000" w:fill="FFFFFF"/>
            <w:vAlign w:val="center"/>
            <w:hideMark/>
          </w:tcPr>
          <w:p w14:paraId="15D61E59" w14:textId="075F5750" w:rsidR="001E55E3" w:rsidRPr="001E55E3" w:rsidRDefault="001E55E3" w:rsidP="005A4598">
            <w:pPr>
              <w:spacing w:before="0" w:after="0"/>
              <w:rPr>
                <w:rFonts w:eastAsia="Times New Roman" w:cstheme="minorHAnsi"/>
                <w:color w:val="000000"/>
                <w:sz w:val="20"/>
                <w:szCs w:val="20"/>
                <w:lang w:eastAsia="es-MX"/>
              </w:rPr>
            </w:pPr>
            <w:r w:rsidRPr="001E55E3">
              <w:rPr>
                <w:rFonts w:eastAsia="Times New Roman" w:cstheme="minorHAnsi"/>
                <w:color w:val="000000"/>
                <w:sz w:val="20"/>
                <w:szCs w:val="20"/>
                <w:lang w:eastAsia="es-MX"/>
              </w:rPr>
              <w:t>1. Mejorar el documento de Diagnóstico, integrando en este las problemáticas detectadas para cada uno de los 9 rubros de gasto especificados en el Artículo 47 de la LCF.</w:t>
            </w:r>
            <w:r w:rsidR="00771353">
              <w:rPr>
                <w:rFonts w:eastAsia="Times New Roman" w:cstheme="minorHAnsi"/>
                <w:color w:val="000000"/>
                <w:sz w:val="20"/>
                <w:szCs w:val="20"/>
                <w:lang w:eastAsia="es-MX"/>
              </w:rPr>
              <w:t xml:space="preserve">  </w:t>
            </w:r>
            <w:r w:rsidRPr="001E55E3">
              <w:rPr>
                <w:rFonts w:eastAsia="Times New Roman" w:cstheme="minorHAnsi"/>
                <w:color w:val="000000"/>
                <w:sz w:val="20"/>
                <w:szCs w:val="20"/>
                <w:lang w:eastAsia="es-MX"/>
              </w:rPr>
              <w:t>Este deberá atender los criterios metodológicos definidos por la SHCP y el CONEVAL. Para su elaboración se sugiere lo</w:t>
            </w:r>
            <w:r w:rsidR="000B7129">
              <w:rPr>
                <w:rFonts w:eastAsia="Times New Roman" w:cstheme="minorHAnsi"/>
                <w:color w:val="000000"/>
                <w:sz w:val="20"/>
                <w:szCs w:val="20"/>
                <w:lang w:eastAsia="es-MX"/>
              </w:rPr>
              <w:t>s siguientes elementos mínimos: i</w:t>
            </w:r>
            <w:r w:rsidRPr="001E55E3">
              <w:rPr>
                <w:rFonts w:eastAsia="Times New Roman" w:cstheme="minorHAnsi"/>
                <w:color w:val="000000"/>
                <w:sz w:val="20"/>
                <w:szCs w:val="20"/>
                <w:lang w:eastAsia="es-MX"/>
              </w:rPr>
              <w:t>dentificación del problema, estado actual del problema, evolución del problema, árbol de problemas, árbol de objetivos, justificación teórica y empírica de la intervención, Matriz de Indicadores, presupuesto requerido, población potencial y objetivo, estrategias de cobertura, entre otros</w:t>
            </w:r>
          </w:p>
        </w:tc>
      </w:tr>
      <w:tr w:rsidR="00AE4F1E" w:rsidRPr="001E55E3" w14:paraId="2E629A33" w14:textId="77777777" w:rsidTr="004C2BB8">
        <w:trPr>
          <w:trHeight w:val="1800"/>
        </w:trPr>
        <w:tc>
          <w:tcPr>
            <w:tcW w:w="844" w:type="pct"/>
            <w:vMerge/>
            <w:tcBorders>
              <w:top w:val="nil"/>
              <w:left w:val="single" w:sz="4" w:space="0" w:color="auto"/>
              <w:bottom w:val="single" w:sz="4" w:space="0" w:color="auto"/>
              <w:right w:val="single" w:sz="4" w:space="0" w:color="auto"/>
            </w:tcBorders>
            <w:vAlign w:val="center"/>
            <w:hideMark/>
          </w:tcPr>
          <w:p w14:paraId="6AF2F89D" w14:textId="77777777" w:rsidR="001E55E3" w:rsidRPr="001E55E3" w:rsidRDefault="001E55E3" w:rsidP="005A4598">
            <w:pPr>
              <w:spacing w:before="0" w:after="0"/>
              <w:jc w:val="left"/>
              <w:rPr>
                <w:rFonts w:eastAsia="Times New Roman" w:cstheme="minorHAnsi"/>
                <w:b/>
                <w:bCs/>
                <w:color w:val="000000"/>
                <w:sz w:val="20"/>
                <w:szCs w:val="20"/>
                <w:lang w:eastAsia="es-MX"/>
              </w:rPr>
            </w:pPr>
          </w:p>
        </w:tc>
        <w:tc>
          <w:tcPr>
            <w:tcW w:w="1495" w:type="pct"/>
            <w:tcBorders>
              <w:top w:val="nil"/>
              <w:left w:val="nil"/>
              <w:bottom w:val="single" w:sz="4" w:space="0" w:color="auto"/>
              <w:right w:val="single" w:sz="4" w:space="0" w:color="auto"/>
            </w:tcBorders>
            <w:shd w:val="clear" w:color="000000" w:fill="FFFFFF"/>
            <w:vAlign w:val="center"/>
            <w:hideMark/>
          </w:tcPr>
          <w:p w14:paraId="063881DF" w14:textId="77777777" w:rsidR="001E55E3" w:rsidRPr="001E55E3" w:rsidRDefault="001E55E3" w:rsidP="005A4598">
            <w:pPr>
              <w:spacing w:before="0" w:after="0"/>
              <w:rPr>
                <w:rFonts w:eastAsia="Times New Roman" w:cstheme="minorHAnsi"/>
                <w:color w:val="000000"/>
                <w:sz w:val="20"/>
                <w:szCs w:val="20"/>
                <w:lang w:eastAsia="es-MX"/>
              </w:rPr>
            </w:pPr>
            <w:r w:rsidRPr="001E55E3">
              <w:rPr>
                <w:rFonts w:eastAsia="Times New Roman" w:cstheme="minorHAnsi"/>
                <w:b/>
                <w:bCs/>
                <w:color w:val="000000"/>
                <w:sz w:val="20"/>
                <w:szCs w:val="20"/>
                <w:lang w:eastAsia="es-MX"/>
              </w:rPr>
              <w:t>Debilidad:</w:t>
            </w:r>
            <w:r w:rsidRPr="001E55E3">
              <w:rPr>
                <w:rFonts w:eastAsia="Times New Roman" w:cstheme="minorHAnsi"/>
                <w:color w:val="000000"/>
                <w:sz w:val="20"/>
                <w:szCs w:val="20"/>
                <w:lang w:eastAsia="es-MX"/>
              </w:rPr>
              <w:t xml:space="preserve"> No existe un documento de planeación estratégica específico para el FAFEF en la entidad federativa. La planeación de los recursos de este Fondo obedece al PEDH 2016-2022.</w:t>
            </w:r>
          </w:p>
        </w:tc>
        <w:tc>
          <w:tcPr>
            <w:tcW w:w="750" w:type="pct"/>
            <w:tcBorders>
              <w:top w:val="nil"/>
              <w:left w:val="nil"/>
              <w:bottom w:val="single" w:sz="4" w:space="0" w:color="auto"/>
              <w:right w:val="single" w:sz="4" w:space="0" w:color="auto"/>
            </w:tcBorders>
            <w:shd w:val="clear" w:color="000000" w:fill="FFFFFF"/>
            <w:vAlign w:val="center"/>
            <w:hideMark/>
          </w:tcPr>
          <w:p w14:paraId="40DAEB9A" w14:textId="77777777" w:rsidR="001E55E3" w:rsidRPr="001E55E3" w:rsidRDefault="001E55E3" w:rsidP="005A4598">
            <w:pPr>
              <w:spacing w:before="0" w:after="0"/>
              <w:jc w:val="center"/>
              <w:rPr>
                <w:rFonts w:eastAsia="Times New Roman" w:cstheme="minorHAnsi"/>
                <w:color w:val="000000"/>
                <w:sz w:val="20"/>
                <w:szCs w:val="20"/>
                <w:lang w:eastAsia="es-MX"/>
              </w:rPr>
            </w:pPr>
            <w:r w:rsidRPr="001E55E3">
              <w:rPr>
                <w:rFonts w:eastAsia="Times New Roman" w:cstheme="minorHAnsi"/>
                <w:color w:val="000000"/>
                <w:sz w:val="20"/>
                <w:szCs w:val="20"/>
                <w:lang w:eastAsia="es-MX"/>
              </w:rPr>
              <w:t>2</w:t>
            </w:r>
          </w:p>
        </w:tc>
        <w:tc>
          <w:tcPr>
            <w:tcW w:w="1911" w:type="pct"/>
            <w:tcBorders>
              <w:top w:val="nil"/>
              <w:left w:val="nil"/>
              <w:bottom w:val="single" w:sz="4" w:space="0" w:color="auto"/>
              <w:right w:val="single" w:sz="4" w:space="0" w:color="auto"/>
            </w:tcBorders>
            <w:shd w:val="clear" w:color="000000" w:fill="FFFFFF"/>
            <w:vAlign w:val="center"/>
          </w:tcPr>
          <w:p w14:paraId="298D5780" w14:textId="77777777" w:rsidR="001E55E3" w:rsidRPr="001E55E3" w:rsidRDefault="001E55E3" w:rsidP="005A4598">
            <w:pPr>
              <w:spacing w:before="0" w:after="0"/>
              <w:rPr>
                <w:rFonts w:eastAsia="Times New Roman" w:cstheme="minorHAnsi"/>
                <w:color w:val="000000"/>
                <w:sz w:val="20"/>
                <w:szCs w:val="20"/>
                <w:lang w:eastAsia="es-MX"/>
              </w:rPr>
            </w:pPr>
            <w:r w:rsidRPr="001E55E3">
              <w:rPr>
                <w:rFonts w:eastAsia="Times New Roman" w:cstheme="minorHAnsi"/>
                <w:color w:val="000000"/>
                <w:sz w:val="20"/>
                <w:szCs w:val="20"/>
                <w:lang w:eastAsia="es-MX"/>
              </w:rPr>
              <w:t>2. Elaborar un documento de planeación estratégica adicional a los instrumentos de planeación estatal, que contemple la magnitud de las problemáticas representadas en los rubros de atención del FAFEF y la contribución del Fondo a su solución o atenuación; plantee objetivos y metas a corto, mediano y largo plazos; defina y cuantifique a la población potencial y objetivo para cada rubro de atención; establezca metas de cobertura e incluya indicadores de gestión y resultados para medir el desempeño en el ejercicio de los recursos.</w:t>
            </w:r>
          </w:p>
        </w:tc>
      </w:tr>
      <w:tr w:rsidR="00AE4F1E" w:rsidRPr="001E55E3" w14:paraId="040047A7" w14:textId="77777777" w:rsidTr="004C2BB8">
        <w:trPr>
          <w:trHeight w:val="113"/>
        </w:trPr>
        <w:tc>
          <w:tcPr>
            <w:tcW w:w="844" w:type="pct"/>
            <w:tcBorders>
              <w:top w:val="nil"/>
              <w:left w:val="single" w:sz="4" w:space="0" w:color="auto"/>
              <w:bottom w:val="single" w:sz="4" w:space="0" w:color="auto"/>
              <w:right w:val="single" w:sz="4" w:space="0" w:color="auto"/>
            </w:tcBorders>
            <w:shd w:val="clear" w:color="auto" w:fill="9CC2E5"/>
            <w:vAlign w:val="center"/>
          </w:tcPr>
          <w:p w14:paraId="57308C8A" w14:textId="24D69CDB" w:rsidR="00AE4F1E" w:rsidRPr="001E55E3" w:rsidRDefault="00AE4F1E" w:rsidP="00AE4F1E">
            <w:pPr>
              <w:spacing w:before="0" w:after="0"/>
              <w:jc w:val="center"/>
              <w:rPr>
                <w:rFonts w:eastAsia="Times New Roman" w:cstheme="minorHAnsi"/>
                <w:b/>
                <w:bCs/>
                <w:color w:val="000000"/>
                <w:sz w:val="20"/>
                <w:szCs w:val="20"/>
                <w:lang w:eastAsia="es-MX"/>
              </w:rPr>
            </w:pPr>
            <w:r w:rsidRPr="001E55E3">
              <w:rPr>
                <w:rFonts w:eastAsia="Times New Roman" w:cstheme="minorHAnsi"/>
                <w:b/>
                <w:bCs/>
                <w:color w:val="000000"/>
                <w:sz w:val="20"/>
                <w:szCs w:val="20"/>
                <w:lang w:eastAsia="es-MX"/>
              </w:rPr>
              <w:t>Tema de la evaluación</w:t>
            </w:r>
          </w:p>
        </w:tc>
        <w:tc>
          <w:tcPr>
            <w:tcW w:w="1495" w:type="pct"/>
            <w:tcBorders>
              <w:top w:val="nil"/>
              <w:left w:val="nil"/>
              <w:bottom w:val="single" w:sz="4" w:space="0" w:color="auto"/>
              <w:right w:val="single" w:sz="4" w:space="0" w:color="auto"/>
            </w:tcBorders>
            <w:shd w:val="clear" w:color="auto" w:fill="9CC2E5"/>
            <w:vAlign w:val="center"/>
          </w:tcPr>
          <w:p w14:paraId="584C3587" w14:textId="77777777" w:rsidR="00AE4F1E" w:rsidRPr="001E55E3" w:rsidRDefault="00AE4F1E" w:rsidP="00AE4F1E">
            <w:pPr>
              <w:spacing w:before="0" w:after="0"/>
              <w:jc w:val="center"/>
              <w:rPr>
                <w:rFonts w:eastAsia="Times New Roman" w:cstheme="minorHAnsi"/>
                <w:b/>
                <w:bCs/>
                <w:color w:val="000000"/>
                <w:sz w:val="20"/>
                <w:szCs w:val="20"/>
                <w:lang w:eastAsia="es-MX"/>
              </w:rPr>
            </w:pPr>
            <w:r w:rsidRPr="001E55E3">
              <w:rPr>
                <w:rFonts w:eastAsia="Times New Roman" w:cstheme="minorHAnsi"/>
                <w:b/>
                <w:bCs/>
                <w:color w:val="000000"/>
                <w:sz w:val="20"/>
                <w:szCs w:val="20"/>
                <w:lang w:eastAsia="es-MX"/>
              </w:rPr>
              <w:t>Fortaleza y Oportunidad/Debilidad</w:t>
            </w:r>
          </w:p>
          <w:p w14:paraId="7C8C5E20" w14:textId="261A6706" w:rsidR="00AE4F1E" w:rsidRPr="001E55E3" w:rsidRDefault="00AE4F1E" w:rsidP="00AE4F1E">
            <w:pPr>
              <w:spacing w:before="0" w:after="0"/>
              <w:jc w:val="center"/>
              <w:rPr>
                <w:rFonts w:eastAsia="Times New Roman" w:cstheme="minorHAnsi"/>
                <w:b/>
                <w:bCs/>
                <w:color w:val="000000"/>
                <w:sz w:val="20"/>
                <w:szCs w:val="20"/>
                <w:lang w:eastAsia="es-MX"/>
              </w:rPr>
            </w:pPr>
            <w:r w:rsidRPr="001E55E3">
              <w:rPr>
                <w:rFonts w:eastAsia="Times New Roman" w:cstheme="minorHAnsi"/>
                <w:b/>
                <w:bCs/>
                <w:color w:val="000000"/>
                <w:sz w:val="20"/>
                <w:szCs w:val="20"/>
                <w:lang w:eastAsia="es-MX"/>
              </w:rPr>
              <w:t>y Amenaza</w:t>
            </w:r>
          </w:p>
        </w:tc>
        <w:tc>
          <w:tcPr>
            <w:tcW w:w="750" w:type="pct"/>
            <w:tcBorders>
              <w:top w:val="nil"/>
              <w:left w:val="nil"/>
              <w:bottom w:val="single" w:sz="4" w:space="0" w:color="auto"/>
              <w:right w:val="single" w:sz="4" w:space="0" w:color="auto"/>
            </w:tcBorders>
            <w:shd w:val="clear" w:color="auto" w:fill="9CC2E5"/>
            <w:vAlign w:val="center"/>
          </w:tcPr>
          <w:p w14:paraId="05128362" w14:textId="5DEF2014" w:rsidR="00AE4F1E" w:rsidRPr="001E55E3" w:rsidRDefault="00AE4F1E" w:rsidP="00AE4F1E">
            <w:pPr>
              <w:spacing w:before="0" w:after="0"/>
              <w:jc w:val="center"/>
              <w:rPr>
                <w:rFonts w:eastAsia="Times New Roman" w:cstheme="minorHAnsi"/>
                <w:b/>
                <w:bCs/>
                <w:color w:val="000000"/>
                <w:sz w:val="20"/>
                <w:szCs w:val="20"/>
                <w:lang w:eastAsia="es-MX"/>
              </w:rPr>
            </w:pPr>
            <w:r w:rsidRPr="001E55E3">
              <w:rPr>
                <w:rFonts w:eastAsia="Times New Roman" w:cstheme="minorHAnsi"/>
                <w:b/>
                <w:bCs/>
                <w:color w:val="000000"/>
                <w:sz w:val="20"/>
                <w:szCs w:val="20"/>
                <w:lang w:eastAsia="es-MX"/>
              </w:rPr>
              <w:t>Referencia (pregunta</w:t>
            </w:r>
          </w:p>
          <w:p w14:paraId="3003E338" w14:textId="32470505" w:rsidR="00AE4F1E" w:rsidRPr="001E55E3" w:rsidRDefault="00AE4F1E" w:rsidP="00AE4F1E">
            <w:pPr>
              <w:spacing w:before="0" w:after="0"/>
              <w:jc w:val="center"/>
              <w:rPr>
                <w:rFonts w:eastAsia="Times New Roman" w:cstheme="minorHAnsi"/>
                <w:color w:val="000000"/>
                <w:sz w:val="20"/>
                <w:szCs w:val="20"/>
                <w:lang w:eastAsia="es-MX"/>
              </w:rPr>
            </w:pPr>
            <w:r w:rsidRPr="001E55E3">
              <w:rPr>
                <w:rFonts w:eastAsia="Times New Roman" w:cstheme="minorHAnsi"/>
                <w:b/>
                <w:bCs/>
                <w:color w:val="000000"/>
                <w:sz w:val="20"/>
                <w:szCs w:val="20"/>
                <w:lang w:eastAsia="es-MX"/>
              </w:rPr>
              <w:t>específica)</w:t>
            </w:r>
          </w:p>
        </w:tc>
        <w:tc>
          <w:tcPr>
            <w:tcW w:w="1911" w:type="pct"/>
            <w:tcBorders>
              <w:top w:val="nil"/>
              <w:left w:val="nil"/>
              <w:bottom w:val="single" w:sz="4" w:space="0" w:color="auto"/>
              <w:right w:val="single" w:sz="4" w:space="0" w:color="auto"/>
            </w:tcBorders>
            <w:shd w:val="clear" w:color="auto" w:fill="9CC2E5"/>
            <w:vAlign w:val="center"/>
          </w:tcPr>
          <w:p w14:paraId="20309CE9" w14:textId="6998500E" w:rsidR="00AE4F1E" w:rsidRPr="001E55E3" w:rsidRDefault="00AE4F1E" w:rsidP="00AE4F1E">
            <w:pPr>
              <w:spacing w:before="0" w:after="0"/>
              <w:jc w:val="center"/>
              <w:rPr>
                <w:rFonts w:eastAsia="Times New Roman" w:cstheme="minorHAnsi"/>
                <w:color w:val="000000"/>
                <w:sz w:val="20"/>
                <w:szCs w:val="20"/>
                <w:lang w:eastAsia="es-MX"/>
              </w:rPr>
            </w:pPr>
            <w:r w:rsidRPr="001E55E3">
              <w:rPr>
                <w:rFonts w:eastAsia="Times New Roman" w:cstheme="minorHAnsi"/>
                <w:b/>
                <w:bCs/>
                <w:color w:val="000000"/>
                <w:sz w:val="20"/>
                <w:szCs w:val="20"/>
                <w:lang w:eastAsia="es-MX"/>
              </w:rPr>
              <w:t>Recomendación concreta</w:t>
            </w:r>
          </w:p>
        </w:tc>
      </w:tr>
      <w:tr w:rsidR="00AE4F1E" w:rsidRPr="001E55E3" w14:paraId="17389086" w14:textId="77777777" w:rsidTr="00AE4F1E">
        <w:trPr>
          <w:trHeight w:val="77"/>
        </w:trPr>
        <w:tc>
          <w:tcPr>
            <w:tcW w:w="5000" w:type="pct"/>
            <w:gridSpan w:val="4"/>
            <w:tcBorders>
              <w:top w:val="single" w:sz="4" w:space="0" w:color="auto"/>
              <w:left w:val="single" w:sz="4" w:space="0" w:color="auto"/>
              <w:bottom w:val="single" w:sz="4" w:space="0" w:color="auto"/>
              <w:right w:val="single" w:sz="4" w:space="0" w:color="auto"/>
            </w:tcBorders>
            <w:shd w:val="clear" w:color="000000" w:fill="D9D9D9"/>
            <w:vAlign w:val="center"/>
            <w:hideMark/>
          </w:tcPr>
          <w:p w14:paraId="17C2620F" w14:textId="77777777" w:rsidR="00AE4F1E" w:rsidRPr="001E55E3" w:rsidRDefault="00AE4F1E" w:rsidP="00AE4F1E">
            <w:pPr>
              <w:spacing w:before="0" w:after="0"/>
              <w:jc w:val="center"/>
              <w:rPr>
                <w:rFonts w:eastAsia="Times New Roman" w:cstheme="minorHAnsi"/>
                <w:b/>
                <w:bCs/>
                <w:color w:val="000000"/>
                <w:sz w:val="20"/>
                <w:szCs w:val="20"/>
                <w:lang w:eastAsia="es-MX"/>
              </w:rPr>
            </w:pPr>
            <w:r w:rsidRPr="001E55E3">
              <w:rPr>
                <w:rFonts w:eastAsia="Times New Roman" w:cstheme="minorHAnsi"/>
                <w:b/>
                <w:bCs/>
                <w:color w:val="000000"/>
                <w:sz w:val="20"/>
                <w:szCs w:val="20"/>
                <w:lang w:eastAsia="es-MX"/>
              </w:rPr>
              <w:t>Fortaleza y Oportunidad</w:t>
            </w:r>
          </w:p>
        </w:tc>
      </w:tr>
      <w:tr w:rsidR="004C2BB8" w:rsidRPr="001E55E3" w14:paraId="5BBD6DD0" w14:textId="77777777" w:rsidTr="004C2BB8">
        <w:trPr>
          <w:trHeight w:val="954"/>
        </w:trPr>
        <w:tc>
          <w:tcPr>
            <w:tcW w:w="844" w:type="pct"/>
            <w:vMerge w:val="restart"/>
            <w:tcBorders>
              <w:top w:val="nil"/>
              <w:left w:val="single" w:sz="4" w:space="0" w:color="auto"/>
              <w:right w:val="single" w:sz="4" w:space="0" w:color="auto"/>
            </w:tcBorders>
            <w:shd w:val="clear" w:color="auto" w:fill="auto"/>
            <w:vAlign w:val="center"/>
            <w:hideMark/>
          </w:tcPr>
          <w:p w14:paraId="700D2B8F" w14:textId="77777777" w:rsidR="004C2BB8" w:rsidRPr="001E55E3" w:rsidRDefault="004C2BB8" w:rsidP="00626E13">
            <w:pPr>
              <w:spacing w:before="0" w:after="0"/>
              <w:rPr>
                <w:rFonts w:eastAsia="Times New Roman" w:cstheme="minorHAnsi"/>
                <w:b/>
                <w:bCs/>
                <w:color w:val="000000"/>
                <w:sz w:val="20"/>
                <w:szCs w:val="20"/>
                <w:lang w:eastAsia="es-MX"/>
              </w:rPr>
            </w:pPr>
            <w:r w:rsidRPr="001E55E3">
              <w:rPr>
                <w:rFonts w:eastAsia="Times New Roman" w:cstheme="minorHAnsi"/>
                <w:b/>
                <w:bCs/>
                <w:color w:val="000000"/>
                <w:sz w:val="20"/>
                <w:szCs w:val="20"/>
                <w:lang w:eastAsia="es-MX"/>
              </w:rPr>
              <w:t>Módulo 2. Matriz de Indicadores para Resultados (MIR)</w:t>
            </w:r>
          </w:p>
        </w:tc>
        <w:tc>
          <w:tcPr>
            <w:tcW w:w="1495" w:type="pct"/>
            <w:tcBorders>
              <w:top w:val="nil"/>
              <w:left w:val="nil"/>
              <w:bottom w:val="single" w:sz="4" w:space="0" w:color="auto"/>
              <w:right w:val="single" w:sz="4" w:space="0" w:color="auto"/>
            </w:tcBorders>
            <w:shd w:val="clear" w:color="000000" w:fill="FFFFFF"/>
            <w:vAlign w:val="center"/>
            <w:hideMark/>
          </w:tcPr>
          <w:p w14:paraId="444D06B5" w14:textId="77777777" w:rsidR="004C2BB8" w:rsidRPr="001E55E3" w:rsidRDefault="004C2BB8" w:rsidP="00AE4F1E">
            <w:pPr>
              <w:spacing w:before="0" w:after="0"/>
              <w:rPr>
                <w:rFonts w:eastAsia="Times New Roman" w:cstheme="minorHAnsi"/>
                <w:color w:val="000000"/>
                <w:sz w:val="20"/>
                <w:szCs w:val="20"/>
                <w:lang w:eastAsia="es-MX"/>
              </w:rPr>
            </w:pPr>
            <w:r w:rsidRPr="001E55E3">
              <w:rPr>
                <w:rFonts w:eastAsia="Times New Roman" w:cstheme="minorHAnsi"/>
                <w:b/>
                <w:bCs/>
                <w:color w:val="000000"/>
                <w:sz w:val="20"/>
                <w:szCs w:val="20"/>
                <w:lang w:eastAsia="es-MX"/>
              </w:rPr>
              <w:t xml:space="preserve">Fortaleza: </w:t>
            </w:r>
            <w:r w:rsidRPr="001E55E3">
              <w:rPr>
                <w:rFonts w:eastAsia="Times New Roman" w:cstheme="minorHAnsi"/>
                <w:color w:val="000000"/>
                <w:sz w:val="20"/>
                <w:szCs w:val="20"/>
                <w:lang w:eastAsia="es-MX"/>
              </w:rPr>
              <w:t xml:space="preserve">Los resultados de las Aportaciones del FAFEF en Hidalgo se documentan a través de tres fuentes de información; la primera, se refiere a los indicadores de la MIR Federal </w:t>
            </w:r>
            <w:r w:rsidRPr="001E55E3">
              <w:rPr>
                <w:rFonts w:eastAsia="Times New Roman" w:cstheme="minorHAnsi"/>
                <w:color w:val="000000"/>
                <w:sz w:val="20"/>
                <w:szCs w:val="20"/>
                <w:lang w:eastAsia="es-MX"/>
              </w:rPr>
              <w:lastRenderedPageBreak/>
              <w:t>asociados al FAFEF, reportados mediante el Sistema de Recursos Federales Transferidos (SRFT); la segunda a los indicadores de la MIR estatal específica para el FAFEF e indicadores de los Pp que reciben financiamiento del Fondo; y la tercera a los resultados de las evaluaciones externas.</w:t>
            </w:r>
          </w:p>
        </w:tc>
        <w:tc>
          <w:tcPr>
            <w:tcW w:w="750" w:type="pct"/>
            <w:tcBorders>
              <w:top w:val="nil"/>
              <w:left w:val="nil"/>
              <w:bottom w:val="single" w:sz="4" w:space="0" w:color="auto"/>
              <w:right w:val="single" w:sz="8" w:space="0" w:color="auto"/>
            </w:tcBorders>
            <w:shd w:val="clear" w:color="000000" w:fill="FFFFFF"/>
            <w:vAlign w:val="center"/>
            <w:hideMark/>
          </w:tcPr>
          <w:p w14:paraId="5A072E09" w14:textId="77777777" w:rsidR="004C2BB8" w:rsidRPr="001E55E3" w:rsidRDefault="004C2BB8" w:rsidP="00AE4F1E">
            <w:pPr>
              <w:spacing w:before="0" w:after="0"/>
              <w:jc w:val="center"/>
              <w:rPr>
                <w:rFonts w:eastAsia="Times New Roman" w:cstheme="minorHAnsi"/>
                <w:color w:val="000000"/>
                <w:sz w:val="20"/>
                <w:szCs w:val="20"/>
                <w:lang w:eastAsia="es-MX"/>
              </w:rPr>
            </w:pPr>
            <w:r w:rsidRPr="001E55E3">
              <w:rPr>
                <w:rFonts w:eastAsia="Times New Roman" w:cstheme="minorHAnsi"/>
                <w:color w:val="000000"/>
                <w:sz w:val="20"/>
                <w:szCs w:val="20"/>
                <w:lang w:eastAsia="es-MX"/>
              </w:rPr>
              <w:lastRenderedPageBreak/>
              <w:t>3</w:t>
            </w:r>
          </w:p>
        </w:tc>
        <w:tc>
          <w:tcPr>
            <w:tcW w:w="1911" w:type="pct"/>
            <w:tcBorders>
              <w:top w:val="single" w:sz="8" w:space="0" w:color="auto"/>
              <w:left w:val="single" w:sz="8" w:space="0" w:color="auto"/>
              <w:bottom w:val="single" w:sz="4" w:space="0" w:color="auto"/>
              <w:right w:val="single" w:sz="8" w:space="0" w:color="auto"/>
            </w:tcBorders>
            <w:shd w:val="clear" w:color="000000" w:fill="FFFFFF"/>
            <w:vAlign w:val="center"/>
            <w:hideMark/>
          </w:tcPr>
          <w:p w14:paraId="607DF8C4" w14:textId="77777777" w:rsidR="004C2BB8" w:rsidRPr="001E55E3" w:rsidRDefault="004C2BB8" w:rsidP="00AE4F1E">
            <w:pPr>
              <w:spacing w:before="0" w:after="0"/>
              <w:rPr>
                <w:rFonts w:eastAsia="Times New Roman" w:cstheme="minorHAnsi"/>
                <w:color w:val="000000"/>
                <w:sz w:val="20"/>
                <w:szCs w:val="20"/>
                <w:lang w:eastAsia="es-MX"/>
              </w:rPr>
            </w:pPr>
            <w:r w:rsidRPr="001E55E3">
              <w:rPr>
                <w:rFonts w:eastAsia="Times New Roman" w:cstheme="minorHAnsi"/>
                <w:color w:val="000000"/>
                <w:sz w:val="20"/>
                <w:szCs w:val="20"/>
                <w:lang w:eastAsia="es-MX"/>
              </w:rPr>
              <w:t>Sin recomendación</w:t>
            </w:r>
          </w:p>
        </w:tc>
      </w:tr>
      <w:tr w:rsidR="004C2BB8" w:rsidRPr="001E55E3" w14:paraId="4D026C43" w14:textId="77777777" w:rsidTr="004C2BB8">
        <w:trPr>
          <w:trHeight w:val="1790"/>
        </w:trPr>
        <w:tc>
          <w:tcPr>
            <w:tcW w:w="844" w:type="pct"/>
            <w:vMerge/>
            <w:tcBorders>
              <w:left w:val="single" w:sz="4" w:space="0" w:color="auto"/>
              <w:right w:val="single" w:sz="4" w:space="0" w:color="auto"/>
            </w:tcBorders>
            <w:vAlign w:val="center"/>
            <w:hideMark/>
          </w:tcPr>
          <w:p w14:paraId="0D2AB303" w14:textId="77777777" w:rsidR="004C2BB8" w:rsidRPr="001E55E3" w:rsidRDefault="004C2BB8" w:rsidP="00AE4F1E">
            <w:pPr>
              <w:spacing w:before="0" w:after="0"/>
              <w:jc w:val="left"/>
              <w:rPr>
                <w:rFonts w:eastAsia="Times New Roman" w:cstheme="minorHAnsi"/>
                <w:b/>
                <w:bCs/>
                <w:color w:val="000000"/>
                <w:sz w:val="20"/>
                <w:szCs w:val="20"/>
                <w:lang w:eastAsia="es-MX"/>
              </w:rPr>
            </w:pPr>
          </w:p>
        </w:tc>
        <w:tc>
          <w:tcPr>
            <w:tcW w:w="1495" w:type="pct"/>
            <w:tcBorders>
              <w:top w:val="nil"/>
              <w:left w:val="nil"/>
              <w:bottom w:val="single" w:sz="4" w:space="0" w:color="auto"/>
              <w:right w:val="single" w:sz="4" w:space="0" w:color="auto"/>
            </w:tcBorders>
            <w:shd w:val="clear" w:color="000000" w:fill="FFFFFF"/>
            <w:vAlign w:val="center"/>
            <w:hideMark/>
          </w:tcPr>
          <w:p w14:paraId="3A222387" w14:textId="77777777" w:rsidR="004C2BB8" w:rsidRPr="001E55E3" w:rsidRDefault="004C2BB8" w:rsidP="00AE4F1E">
            <w:pPr>
              <w:spacing w:before="0" w:after="0"/>
              <w:rPr>
                <w:rFonts w:eastAsia="Times New Roman" w:cstheme="minorHAnsi"/>
                <w:color w:val="000000"/>
                <w:sz w:val="20"/>
                <w:szCs w:val="20"/>
                <w:lang w:eastAsia="es-MX"/>
              </w:rPr>
            </w:pPr>
            <w:r w:rsidRPr="001E55E3">
              <w:rPr>
                <w:rFonts w:eastAsia="Times New Roman" w:cstheme="minorHAnsi"/>
                <w:b/>
                <w:bCs/>
                <w:color w:val="000000"/>
                <w:sz w:val="20"/>
                <w:szCs w:val="20"/>
                <w:lang w:eastAsia="es-MX"/>
              </w:rPr>
              <w:t>Oportunidad:</w:t>
            </w:r>
            <w:r w:rsidRPr="001E55E3">
              <w:rPr>
                <w:rFonts w:eastAsia="Times New Roman" w:cstheme="minorHAnsi"/>
                <w:color w:val="000000"/>
                <w:sz w:val="20"/>
                <w:szCs w:val="20"/>
                <w:lang w:eastAsia="es-MX"/>
              </w:rPr>
              <w:t xml:space="preserve"> En la construcción de la MIR estatal para el FAFEF no se visualiza que se haya seguido la metodología SHCP-CONEVAL, puesto que no se estructura a partir de un árbol de problemas y objetivos</w:t>
            </w:r>
          </w:p>
        </w:tc>
        <w:tc>
          <w:tcPr>
            <w:tcW w:w="750" w:type="pct"/>
            <w:tcBorders>
              <w:top w:val="nil"/>
              <w:left w:val="nil"/>
              <w:bottom w:val="single" w:sz="4" w:space="0" w:color="auto"/>
              <w:right w:val="single" w:sz="8" w:space="0" w:color="auto"/>
            </w:tcBorders>
            <w:shd w:val="clear" w:color="000000" w:fill="FFFFFF"/>
            <w:vAlign w:val="center"/>
            <w:hideMark/>
          </w:tcPr>
          <w:p w14:paraId="4AB9B6AD" w14:textId="77777777" w:rsidR="004C2BB8" w:rsidRPr="001E55E3" w:rsidRDefault="004C2BB8" w:rsidP="00AE4F1E">
            <w:pPr>
              <w:spacing w:before="0" w:after="0"/>
              <w:jc w:val="center"/>
              <w:rPr>
                <w:rFonts w:eastAsia="Times New Roman" w:cstheme="minorHAnsi"/>
                <w:color w:val="000000"/>
                <w:sz w:val="20"/>
                <w:szCs w:val="20"/>
                <w:lang w:eastAsia="es-MX"/>
              </w:rPr>
            </w:pPr>
            <w:r w:rsidRPr="001E55E3">
              <w:rPr>
                <w:rFonts w:eastAsia="Times New Roman" w:cstheme="minorHAnsi"/>
                <w:color w:val="000000"/>
                <w:sz w:val="20"/>
                <w:szCs w:val="20"/>
                <w:lang w:eastAsia="es-MX"/>
              </w:rPr>
              <w:t>3</w:t>
            </w:r>
          </w:p>
        </w:tc>
        <w:tc>
          <w:tcPr>
            <w:tcW w:w="1911" w:type="pct"/>
            <w:tcBorders>
              <w:left w:val="single" w:sz="8" w:space="0" w:color="auto"/>
              <w:bottom w:val="single" w:sz="8" w:space="0" w:color="auto"/>
              <w:right w:val="single" w:sz="8" w:space="0" w:color="auto"/>
            </w:tcBorders>
            <w:shd w:val="clear" w:color="000000" w:fill="FFFFFF"/>
            <w:vAlign w:val="center"/>
            <w:hideMark/>
          </w:tcPr>
          <w:p w14:paraId="51A1F35F" w14:textId="22B183D2" w:rsidR="004C2BB8" w:rsidRPr="001E55E3" w:rsidRDefault="004C2BB8" w:rsidP="00BC7FA4">
            <w:pPr>
              <w:spacing w:before="0" w:after="0"/>
              <w:rPr>
                <w:rFonts w:eastAsia="Times New Roman" w:cstheme="minorHAnsi"/>
                <w:color w:val="000000"/>
                <w:sz w:val="20"/>
                <w:szCs w:val="20"/>
                <w:lang w:eastAsia="es-MX"/>
              </w:rPr>
            </w:pPr>
            <w:r w:rsidRPr="00BC7FA4">
              <w:rPr>
                <w:rFonts w:eastAsia="Times New Roman" w:cstheme="minorHAnsi"/>
                <w:color w:val="000000"/>
                <w:sz w:val="20"/>
                <w:szCs w:val="20"/>
                <w:lang w:eastAsia="es-MX"/>
              </w:rPr>
              <w:t xml:space="preserve">3. </w:t>
            </w:r>
            <w:r w:rsidR="00BC7FA4" w:rsidRPr="00BC7FA4">
              <w:rPr>
                <w:rFonts w:eastAsia="Times New Roman" w:cstheme="minorHAnsi"/>
                <w:color w:val="000000"/>
                <w:sz w:val="20"/>
                <w:szCs w:val="20"/>
                <w:lang w:eastAsia="es-MX"/>
              </w:rPr>
              <w:t>Fortalecer el diseño de la MIR estatal de Fondo, basado en la MML, así como establecer a nivel componentes su vinculación con las MIR de los Pp que reciben recursos del FAFEF en el Estado. La MIR estatal del FAFEF puede incluir componentes o indicadores a relacionados con los nueve rubros de gasto de LCF.</w:t>
            </w:r>
            <w:r w:rsidR="00BC7FA4">
              <w:rPr>
                <w:rFonts w:eastAsia="Times New Roman" w:cstheme="minorHAnsi"/>
                <w:color w:val="000000"/>
                <w:sz w:val="20"/>
                <w:szCs w:val="20"/>
                <w:lang w:eastAsia="es-MX"/>
              </w:rPr>
              <w:t xml:space="preserve"> </w:t>
            </w:r>
            <w:r w:rsidR="00BC7FA4" w:rsidRPr="00BC7FA4">
              <w:rPr>
                <w:rFonts w:eastAsia="Times New Roman" w:cstheme="minorHAnsi"/>
                <w:color w:val="000000"/>
                <w:sz w:val="20"/>
                <w:szCs w:val="20"/>
                <w:lang w:eastAsia="es-MX"/>
              </w:rPr>
              <w:t>Mediante este mecanismo se podrá tener información clara de los resultados del ejercicio de los recursos del Fondo derivada de los Pp que ejercen recursos, que a su vez permitan alimentar indicadores de la MIR estatal del Fondo y a la MIR federal a través del SRFT”.</w:t>
            </w:r>
          </w:p>
        </w:tc>
      </w:tr>
      <w:tr w:rsidR="004C2BB8" w:rsidRPr="001E55E3" w14:paraId="79C47BB4" w14:textId="77777777" w:rsidTr="004C2BB8">
        <w:trPr>
          <w:trHeight w:val="1790"/>
        </w:trPr>
        <w:tc>
          <w:tcPr>
            <w:tcW w:w="844" w:type="pct"/>
            <w:vMerge/>
            <w:tcBorders>
              <w:left w:val="single" w:sz="4" w:space="0" w:color="auto"/>
              <w:right w:val="single" w:sz="4" w:space="0" w:color="auto"/>
            </w:tcBorders>
            <w:vAlign w:val="center"/>
          </w:tcPr>
          <w:p w14:paraId="71001DA1" w14:textId="77777777" w:rsidR="004C2BB8" w:rsidRPr="001E55E3" w:rsidRDefault="004C2BB8" w:rsidP="00AE4F1E">
            <w:pPr>
              <w:spacing w:before="0" w:after="0"/>
              <w:jc w:val="left"/>
              <w:rPr>
                <w:rFonts w:eastAsia="Times New Roman" w:cstheme="minorHAnsi"/>
                <w:b/>
                <w:bCs/>
                <w:color w:val="000000"/>
                <w:sz w:val="20"/>
                <w:szCs w:val="20"/>
                <w:lang w:eastAsia="es-MX"/>
              </w:rPr>
            </w:pPr>
          </w:p>
        </w:tc>
        <w:tc>
          <w:tcPr>
            <w:tcW w:w="1495" w:type="pct"/>
            <w:tcBorders>
              <w:top w:val="nil"/>
              <w:left w:val="nil"/>
              <w:bottom w:val="single" w:sz="4" w:space="0" w:color="auto"/>
              <w:right w:val="single" w:sz="4" w:space="0" w:color="auto"/>
            </w:tcBorders>
            <w:shd w:val="clear" w:color="000000" w:fill="FFFFFF"/>
            <w:vAlign w:val="center"/>
          </w:tcPr>
          <w:p w14:paraId="2C7D9AC8" w14:textId="77777777" w:rsidR="004C2BB8" w:rsidRPr="001E55E3" w:rsidRDefault="004C2BB8" w:rsidP="00AE4F1E">
            <w:pPr>
              <w:spacing w:before="0" w:after="0"/>
              <w:rPr>
                <w:rFonts w:eastAsia="Times New Roman" w:cstheme="minorHAnsi"/>
                <w:color w:val="000000"/>
                <w:sz w:val="20"/>
                <w:szCs w:val="20"/>
                <w:lang w:eastAsia="es-MX"/>
              </w:rPr>
            </w:pPr>
            <w:r w:rsidRPr="001E55E3">
              <w:rPr>
                <w:rFonts w:eastAsia="Times New Roman" w:cstheme="minorHAnsi"/>
                <w:b/>
                <w:bCs/>
                <w:color w:val="000000"/>
                <w:sz w:val="20"/>
                <w:szCs w:val="20"/>
                <w:lang w:eastAsia="es-MX"/>
              </w:rPr>
              <w:t xml:space="preserve">Oportunidad: </w:t>
            </w:r>
            <w:r w:rsidRPr="001E55E3">
              <w:rPr>
                <w:rFonts w:eastAsia="Times New Roman" w:cstheme="minorHAnsi"/>
                <w:color w:val="000000"/>
                <w:sz w:val="20"/>
                <w:szCs w:val="20"/>
                <w:lang w:eastAsia="es-MX"/>
              </w:rPr>
              <w:t xml:space="preserve">No se </w:t>
            </w:r>
            <w:r w:rsidRPr="001E55E3">
              <w:rPr>
                <w:rFonts w:cstheme="minorHAnsi"/>
                <w:sz w:val="20"/>
                <w:szCs w:val="20"/>
              </w:rPr>
              <w:t>contó con información en la que se puede verificar los criterios para el establecimiento</w:t>
            </w:r>
            <w:r w:rsidRPr="001E55E3">
              <w:rPr>
                <w:rFonts w:eastAsia="Times New Roman" w:cstheme="minorHAnsi"/>
                <w:color w:val="000000"/>
                <w:sz w:val="20"/>
                <w:szCs w:val="20"/>
                <w:lang w:eastAsia="es-MX"/>
              </w:rPr>
              <w:t xml:space="preserve"> de metas para los indicadores de la MIR federal, MIR estatal del Fondo y Mir de los Pp. </w:t>
            </w:r>
          </w:p>
        </w:tc>
        <w:tc>
          <w:tcPr>
            <w:tcW w:w="750" w:type="pct"/>
            <w:tcBorders>
              <w:top w:val="nil"/>
              <w:left w:val="nil"/>
              <w:bottom w:val="single" w:sz="4" w:space="0" w:color="auto"/>
              <w:right w:val="single" w:sz="8" w:space="0" w:color="auto"/>
            </w:tcBorders>
            <w:shd w:val="clear" w:color="000000" w:fill="FFFFFF"/>
            <w:vAlign w:val="center"/>
          </w:tcPr>
          <w:p w14:paraId="69A7B6B5" w14:textId="77777777" w:rsidR="004C2BB8" w:rsidRPr="001E55E3" w:rsidRDefault="004C2BB8" w:rsidP="00AE4F1E">
            <w:pPr>
              <w:spacing w:before="0" w:after="0"/>
              <w:jc w:val="center"/>
              <w:rPr>
                <w:rFonts w:eastAsia="Times New Roman" w:cstheme="minorHAnsi"/>
                <w:color w:val="000000"/>
                <w:sz w:val="20"/>
                <w:szCs w:val="20"/>
                <w:lang w:eastAsia="es-MX"/>
              </w:rPr>
            </w:pPr>
            <w:r w:rsidRPr="001E55E3">
              <w:rPr>
                <w:rFonts w:eastAsia="Times New Roman" w:cstheme="minorHAnsi"/>
                <w:color w:val="000000"/>
                <w:sz w:val="20"/>
                <w:szCs w:val="20"/>
                <w:lang w:eastAsia="es-MX"/>
              </w:rPr>
              <w:t>4</w:t>
            </w:r>
          </w:p>
        </w:tc>
        <w:tc>
          <w:tcPr>
            <w:tcW w:w="1911" w:type="pct"/>
            <w:tcBorders>
              <w:left w:val="single" w:sz="8" w:space="0" w:color="auto"/>
              <w:bottom w:val="single" w:sz="8" w:space="0" w:color="auto"/>
              <w:right w:val="single" w:sz="8" w:space="0" w:color="auto"/>
            </w:tcBorders>
            <w:shd w:val="clear" w:color="000000" w:fill="FFFFFF"/>
            <w:vAlign w:val="center"/>
          </w:tcPr>
          <w:p w14:paraId="6219259A" w14:textId="77777777" w:rsidR="004C2BB8" w:rsidRPr="001E55E3" w:rsidRDefault="004C2BB8" w:rsidP="00AE4F1E">
            <w:pPr>
              <w:spacing w:before="0" w:after="0"/>
              <w:rPr>
                <w:rFonts w:eastAsia="Times New Roman" w:cstheme="minorHAnsi"/>
                <w:color w:val="000000"/>
                <w:sz w:val="20"/>
                <w:szCs w:val="20"/>
                <w:lang w:eastAsia="es-MX"/>
              </w:rPr>
            </w:pPr>
            <w:r w:rsidRPr="001E55E3">
              <w:rPr>
                <w:rFonts w:eastAsia="Times New Roman" w:cstheme="minorHAnsi"/>
                <w:color w:val="000000"/>
                <w:sz w:val="20"/>
                <w:szCs w:val="20"/>
                <w:lang w:eastAsia="es-MX"/>
              </w:rPr>
              <w:t>4. Se recomienda que sea la SFP en coordinación con las instancias ejecutoras quienes planteen las metas para cada indicador de la MIR Federal del Fondo. Para establecer metas se debe asegurar que sean cuantificables y que estén directamente relacionadas con el objetivo, orientadas a mejorar los resultados del desempeño, deben ser retadoras y ser factibles de alcanzar. Cuando los recursos se destinen a un rubro de gasto con ejercicio en años anteriores se deberá considerar el nivel alcanzado en las metas de dichos rubros.</w:t>
            </w:r>
          </w:p>
        </w:tc>
      </w:tr>
      <w:tr w:rsidR="004C2BB8" w:rsidRPr="001E55E3" w14:paraId="7104AB44" w14:textId="77777777" w:rsidTr="00AF227A">
        <w:trPr>
          <w:trHeight w:val="1790"/>
        </w:trPr>
        <w:tc>
          <w:tcPr>
            <w:tcW w:w="844" w:type="pct"/>
            <w:vMerge/>
            <w:tcBorders>
              <w:left w:val="single" w:sz="4" w:space="0" w:color="auto"/>
              <w:right w:val="single" w:sz="4" w:space="0" w:color="auto"/>
            </w:tcBorders>
            <w:vAlign w:val="center"/>
          </w:tcPr>
          <w:p w14:paraId="01CAA4C7" w14:textId="77777777" w:rsidR="004C2BB8" w:rsidRPr="001E55E3" w:rsidRDefault="004C2BB8" w:rsidP="00AE4F1E">
            <w:pPr>
              <w:spacing w:before="0" w:after="0"/>
              <w:jc w:val="left"/>
              <w:rPr>
                <w:rFonts w:eastAsia="Times New Roman" w:cstheme="minorHAnsi"/>
                <w:b/>
                <w:bCs/>
                <w:color w:val="000000"/>
                <w:sz w:val="20"/>
                <w:szCs w:val="20"/>
                <w:lang w:eastAsia="es-MX"/>
              </w:rPr>
            </w:pPr>
          </w:p>
        </w:tc>
        <w:tc>
          <w:tcPr>
            <w:tcW w:w="1495" w:type="pct"/>
            <w:tcBorders>
              <w:top w:val="nil"/>
              <w:left w:val="nil"/>
              <w:bottom w:val="single" w:sz="4" w:space="0" w:color="auto"/>
              <w:right w:val="single" w:sz="4" w:space="0" w:color="auto"/>
            </w:tcBorders>
            <w:shd w:val="clear" w:color="000000" w:fill="FFFFFF"/>
            <w:vAlign w:val="center"/>
          </w:tcPr>
          <w:p w14:paraId="5620077C" w14:textId="77777777" w:rsidR="004C2BB8" w:rsidRPr="001E55E3" w:rsidRDefault="004C2BB8" w:rsidP="00AE4F1E">
            <w:pPr>
              <w:spacing w:before="0" w:after="0"/>
              <w:rPr>
                <w:rFonts w:eastAsia="Times New Roman" w:cstheme="minorHAnsi"/>
                <w:b/>
                <w:bCs/>
                <w:color w:val="000000"/>
                <w:sz w:val="20"/>
                <w:szCs w:val="20"/>
                <w:lang w:eastAsia="es-MX"/>
              </w:rPr>
            </w:pPr>
            <w:r w:rsidRPr="001E55E3">
              <w:rPr>
                <w:rFonts w:eastAsia="Times New Roman" w:cstheme="minorHAnsi"/>
                <w:b/>
                <w:bCs/>
                <w:color w:val="000000"/>
                <w:sz w:val="20"/>
                <w:szCs w:val="20"/>
                <w:lang w:eastAsia="es-MX"/>
              </w:rPr>
              <w:t xml:space="preserve">Oportunidad: </w:t>
            </w:r>
            <w:r w:rsidRPr="001E55E3">
              <w:rPr>
                <w:rFonts w:eastAsia="Times New Roman" w:cstheme="minorHAnsi"/>
                <w:color w:val="000000"/>
                <w:sz w:val="20"/>
                <w:szCs w:val="20"/>
                <w:lang w:eastAsia="es-MX"/>
              </w:rPr>
              <w:t>L</w:t>
            </w:r>
            <w:r w:rsidRPr="001E55E3">
              <w:rPr>
                <w:rFonts w:cstheme="minorHAnsi"/>
                <w:sz w:val="20"/>
                <w:szCs w:val="20"/>
              </w:rPr>
              <w:t>os indicadores a nivel de Fin y Propósito de la MIR estatal para el FAFEF, son adecuados y se vinculan con los indicadores de la MIR federal, sin embargo, a nivel de Componentes y Actividades sólo miden la ejecución de los proyectos de inversión ejecutados en el ejercicio fiscal.</w:t>
            </w:r>
          </w:p>
        </w:tc>
        <w:tc>
          <w:tcPr>
            <w:tcW w:w="750" w:type="pct"/>
            <w:tcBorders>
              <w:top w:val="nil"/>
              <w:left w:val="nil"/>
              <w:bottom w:val="single" w:sz="4" w:space="0" w:color="auto"/>
              <w:right w:val="single" w:sz="8" w:space="0" w:color="auto"/>
            </w:tcBorders>
            <w:shd w:val="clear" w:color="000000" w:fill="FFFFFF"/>
            <w:vAlign w:val="center"/>
          </w:tcPr>
          <w:p w14:paraId="25CC0BCC" w14:textId="77777777" w:rsidR="004C2BB8" w:rsidRPr="001E55E3" w:rsidRDefault="004C2BB8" w:rsidP="00AE4F1E">
            <w:pPr>
              <w:spacing w:before="0" w:after="0"/>
              <w:jc w:val="center"/>
              <w:rPr>
                <w:rFonts w:eastAsia="Times New Roman" w:cstheme="minorHAnsi"/>
                <w:color w:val="000000"/>
                <w:sz w:val="20"/>
                <w:szCs w:val="20"/>
                <w:lang w:eastAsia="es-MX"/>
              </w:rPr>
            </w:pPr>
            <w:r w:rsidRPr="001E55E3">
              <w:rPr>
                <w:rFonts w:eastAsia="Times New Roman" w:cstheme="minorHAnsi"/>
                <w:color w:val="000000"/>
                <w:sz w:val="20"/>
                <w:szCs w:val="20"/>
                <w:lang w:eastAsia="es-MX"/>
              </w:rPr>
              <w:t>4</w:t>
            </w:r>
          </w:p>
        </w:tc>
        <w:tc>
          <w:tcPr>
            <w:tcW w:w="1911" w:type="pct"/>
            <w:tcBorders>
              <w:left w:val="single" w:sz="8" w:space="0" w:color="auto"/>
              <w:bottom w:val="single" w:sz="8" w:space="0" w:color="auto"/>
              <w:right w:val="single" w:sz="8" w:space="0" w:color="auto"/>
            </w:tcBorders>
            <w:shd w:val="clear" w:color="000000" w:fill="FFFFFF"/>
            <w:vAlign w:val="center"/>
          </w:tcPr>
          <w:p w14:paraId="1FED633C" w14:textId="1BC79391" w:rsidR="004C2BB8" w:rsidRPr="001A67BB" w:rsidRDefault="004C2BB8" w:rsidP="00AE4F1E">
            <w:pPr>
              <w:spacing w:before="0" w:after="0"/>
            </w:pPr>
            <w:r w:rsidRPr="001A67BB">
              <w:rPr>
                <w:rFonts w:eastAsia="Times New Roman" w:cstheme="minorHAnsi"/>
                <w:color w:val="000000"/>
                <w:sz w:val="20"/>
                <w:szCs w:val="20"/>
                <w:lang w:eastAsia="es-MX"/>
              </w:rPr>
              <w:t>5.</w:t>
            </w:r>
            <w:r w:rsidR="00D94ED2" w:rsidRPr="001A67BB">
              <w:t xml:space="preserve"> </w:t>
            </w:r>
            <w:r w:rsidR="00BC7FA4" w:rsidRPr="001A67BB">
              <w:t>Incorporar en la MIR estatal del FAFEF componentes y/o indicadores relacionados con las MIR de los Pp o intervenciones públicas que reciban recursos del Fondo</w:t>
            </w:r>
            <w:r w:rsidR="00D94ED2" w:rsidRPr="001A67BB">
              <w:rPr>
                <w:rFonts w:eastAsia="Times New Roman" w:cstheme="minorHAnsi"/>
                <w:color w:val="000000"/>
                <w:sz w:val="20"/>
                <w:szCs w:val="20"/>
                <w:lang w:eastAsia="es-MX"/>
              </w:rPr>
              <w:t>, los cuales deben ser congruentes con los rubros de gasto de la LCF, lo anterior a fin de medir los efectos que se generan con dichos recursos</w:t>
            </w:r>
            <w:r w:rsidRPr="001A67BB">
              <w:rPr>
                <w:rFonts w:eastAsia="Times New Roman" w:cstheme="minorHAnsi"/>
                <w:color w:val="000000"/>
                <w:sz w:val="20"/>
                <w:szCs w:val="20"/>
                <w:lang w:eastAsia="es-MX"/>
              </w:rPr>
              <w:t>.</w:t>
            </w:r>
          </w:p>
        </w:tc>
      </w:tr>
      <w:tr w:rsidR="00F54466" w:rsidRPr="001E55E3" w14:paraId="30251708" w14:textId="77777777" w:rsidTr="00DB3A87">
        <w:trPr>
          <w:trHeight w:val="300"/>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4109CDB3" w14:textId="430F749F" w:rsidR="00F54466" w:rsidRPr="001E55E3" w:rsidRDefault="00F54466" w:rsidP="00F54466">
            <w:pPr>
              <w:spacing w:before="0" w:after="0"/>
              <w:jc w:val="center"/>
              <w:rPr>
                <w:rFonts w:eastAsia="Times New Roman" w:cstheme="minorHAnsi"/>
                <w:b/>
                <w:bCs/>
                <w:color w:val="000000"/>
                <w:sz w:val="20"/>
                <w:szCs w:val="20"/>
                <w:lang w:eastAsia="es-MX"/>
              </w:rPr>
            </w:pPr>
            <w:r w:rsidRPr="001E55E3">
              <w:rPr>
                <w:rFonts w:eastAsia="Times New Roman" w:cstheme="minorHAnsi"/>
                <w:b/>
                <w:bCs/>
                <w:color w:val="000000"/>
                <w:sz w:val="20"/>
                <w:szCs w:val="20"/>
                <w:lang w:eastAsia="es-MX"/>
              </w:rPr>
              <w:t>Debilidad o Amenaza</w:t>
            </w:r>
          </w:p>
        </w:tc>
      </w:tr>
      <w:tr w:rsidR="00F54466" w:rsidRPr="001E55E3" w14:paraId="689CF04E" w14:textId="77777777" w:rsidTr="00F54466">
        <w:trPr>
          <w:trHeight w:val="300"/>
        </w:trPr>
        <w:tc>
          <w:tcPr>
            <w:tcW w:w="844" w:type="pct"/>
            <w:tcBorders>
              <w:top w:val="single" w:sz="4" w:space="0" w:color="auto"/>
              <w:left w:val="single" w:sz="4" w:space="0" w:color="auto"/>
              <w:bottom w:val="single" w:sz="4" w:space="0" w:color="auto"/>
              <w:right w:val="single" w:sz="4" w:space="0" w:color="auto"/>
            </w:tcBorders>
            <w:shd w:val="clear" w:color="auto" w:fill="auto"/>
            <w:vAlign w:val="center"/>
          </w:tcPr>
          <w:p w14:paraId="15F47389" w14:textId="4E7ADD0A" w:rsidR="00F54466" w:rsidRPr="001E55E3" w:rsidRDefault="00DB3A87" w:rsidP="00626E13">
            <w:pPr>
              <w:spacing w:before="0" w:after="0"/>
              <w:rPr>
                <w:rFonts w:eastAsia="Times New Roman" w:cstheme="minorHAnsi"/>
                <w:b/>
                <w:bCs/>
                <w:color w:val="000000"/>
                <w:sz w:val="20"/>
                <w:szCs w:val="20"/>
                <w:lang w:eastAsia="es-MX"/>
              </w:rPr>
            </w:pPr>
            <w:r w:rsidRPr="001E55E3">
              <w:rPr>
                <w:rFonts w:eastAsia="Times New Roman" w:cstheme="minorHAnsi"/>
                <w:b/>
                <w:bCs/>
                <w:color w:val="000000"/>
                <w:sz w:val="20"/>
                <w:szCs w:val="20"/>
                <w:lang w:eastAsia="es-MX"/>
              </w:rPr>
              <w:lastRenderedPageBreak/>
              <w:t>Módulo 2. Matriz de Indicadores para Resultados (MIR)</w:t>
            </w:r>
          </w:p>
        </w:tc>
        <w:tc>
          <w:tcPr>
            <w:tcW w:w="1495" w:type="pct"/>
            <w:tcBorders>
              <w:top w:val="single" w:sz="4" w:space="0" w:color="auto"/>
              <w:left w:val="single" w:sz="4" w:space="0" w:color="auto"/>
              <w:bottom w:val="single" w:sz="4" w:space="0" w:color="auto"/>
              <w:right w:val="single" w:sz="4" w:space="0" w:color="auto"/>
            </w:tcBorders>
            <w:shd w:val="clear" w:color="auto" w:fill="auto"/>
            <w:vAlign w:val="center"/>
          </w:tcPr>
          <w:p w14:paraId="5E011487" w14:textId="792CA241" w:rsidR="00F54466" w:rsidRPr="00DB3A87" w:rsidRDefault="00DB3A87" w:rsidP="00DB3A87">
            <w:pPr>
              <w:spacing w:before="0" w:after="0"/>
              <w:rPr>
                <w:rFonts w:eastAsia="Times New Roman" w:cstheme="minorHAnsi"/>
                <w:color w:val="000000"/>
                <w:sz w:val="20"/>
                <w:szCs w:val="20"/>
                <w:lang w:eastAsia="es-MX"/>
              </w:rPr>
            </w:pPr>
            <w:r w:rsidRPr="00DB3A87">
              <w:rPr>
                <w:rFonts w:eastAsia="Times New Roman" w:cstheme="minorHAnsi"/>
                <w:color w:val="000000"/>
                <w:sz w:val="20"/>
                <w:szCs w:val="20"/>
                <w:lang w:eastAsia="es-MX"/>
              </w:rPr>
              <w:t>Sin debilidad o amenaza</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6A7D5D00" w14:textId="4059A348" w:rsidR="00F54466" w:rsidRPr="001E55E3" w:rsidRDefault="00DB3A87" w:rsidP="00F54466">
            <w:pPr>
              <w:spacing w:before="0" w:after="0"/>
              <w:jc w:val="center"/>
              <w:rPr>
                <w:rFonts w:eastAsia="Times New Roman" w:cstheme="minorHAnsi"/>
                <w:b/>
                <w:bCs/>
                <w:color w:val="000000"/>
                <w:sz w:val="20"/>
                <w:szCs w:val="20"/>
                <w:lang w:eastAsia="es-MX"/>
              </w:rPr>
            </w:pPr>
            <w:r>
              <w:rPr>
                <w:rFonts w:eastAsia="Times New Roman" w:cstheme="minorHAnsi"/>
                <w:b/>
                <w:bCs/>
                <w:color w:val="000000"/>
                <w:sz w:val="20"/>
                <w:szCs w:val="20"/>
                <w:lang w:eastAsia="es-MX"/>
              </w:rPr>
              <w:t>-</w:t>
            </w:r>
          </w:p>
        </w:tc>
        <w:tc>
          <w:tcPr>
            <w:tcW w:w="1911" w:type="pct"/>
            <w:tcBorders>
              <w:top w:val="single" w:sz="4" w:space="0" w:color="auto"/>
              <w:left w:val="single" w:sz="4" w:space="0" w:color="auto"/>
              <w:bottom w:val="single" w:sz="4" w:space="0" w:color="auto"/>
              <w:right w:val="single" w:sz="4" w:space="0" w:color="auto"/>
            </w:tcBorders>
            <w:shd w:val="clear" w:color="auto" w:fill="auto"/>
            <w:vAlign w:val="center"/>
          </w:tcPr>
          <w:p w14:paraId="6665C0A9" w14:textId="31A95977" w:rsidR="00F54466" w:rsidRPr="00DB3A87" w:rsidRDefault="00DB3A87" w:rsidP="00DB3A87">
            <w:pPr>
              <w:spacing w:before="0" w:after="0"/>
              <w:jc w:val="left"/>
              <w:rPr>
                <w:rFonts w:eastAsia="Times New Roman" w:cstheme="minorHAnsi"/>
                <w:color w:val="000000"/>
                <w:sz w:val="20"/>
                <w:szCs w:val="20"/>
                <w:lang w:eastAsia="es-MX"/>
              </w:rPr>
            </w:pPr>
            <w:r w:rsidRPr="00DB3A87">
              <w:rPr>
                <w:rFonts w:eastAsia="Times New Roman" w:cstheme="minorHAnsi"/>
                <w:color w:val="000000"/>
                <w:sz w:val="20"/>
                <w:szCs w:val="20"/>
                <w:lang w:eastAsia="es-MX"/>
              </w:rPr>
              <w:t>Sin recomendación</w:t>
            </w:r>
          </w:p>
        </w:tc>
      </w:tr>
      <w:tr w:rsidR="00F54466" w:rsidRPr="001E55E3" w14:paraId="6001367F" w14:textId="77777777" w:rsidTr="00F54466">
        <w:trPr>
          <w:trHeight w:val="300"/>
        </w:trPr>
        <w:tc>
          <w:tcPr>
            <w:tcW w:w="844" w:type="pct"/>
            <w:tcBorders>
              <w:top w:val="single" w:sz="4" w:space="0" w:color="auto"/>
              <w:left w:val="single" w:sz="4" w:space="0" w:color="auto"/>
              <w:bottom w:val="single" w:sz="4" w:space="0" w:color="auto"/>
              <w:right w:val="single" w:sz="4" w:space="0" w:color="auto"/>
            </w:tcBorders>
            <w:shd w:val="clear" w:color="auto" w:fill="9CC2E5"/>
            <w:vAlign w:val="center"/>
          </w:tcPr>
          <w:p w14:paraId="6B7B6132" w14:textId="26506E21" w:rsidR="00F54466" w:rsidRPr="001E55E3" w:rsidRDefault="00F54466" w:rsidP="00F54466">
            <w:pPr>
              <w:spacing w:before="0" w:after="0"/>
              <w:jc w:val="center"/>
              <w:rPr>
                <w:rFonts w:eastAsia="Times New Roman" w:cstheme="minorHAnsi"/>
                <w:b/>
                <w:bCs/>
                <w:color w:val="000000"/>
                <w:sz w:val="20"/>
                <w:szCs w:val="20"/>
                <w:lang w:eastAsia="es-MX"/>
              </w:rPr>
            </w:pPr>
            <w:r w:rsidRPr="001E55E3">
              <w:rPr>
                <w:rFonts w:eastAsia="Times New Roman" w:cstheme="minorHAnsi"/>
                <w:b/>
                <w:bCs/>
                <w:color w:val="000000"/>
                <w:sz w:val="20"/>
                <w:szCs w:val="20"/>
                <w:lang w:eastAsia="es-MX"/>
              </w:rPr>
              <w:t>Tema de la evaluación</w:t>
            </w:r>
          </w:p>
        </w:tc>
        <w:tc>
          <w:tcPr>
            <w:tcW w:w="1495" w:type="pct"/>
            <w:tcBorders>
              <w:top w:val="single" w:sz="4" w:space="0" w:color="auto"/>
              <w:left w:val="single" w:sz="4" w:space="0" w:color="auto"/>
              <w:bottom w:val="single" w:sz="4" w:space="0" w:color="auto"/>
              <w:right w:val="single" w:sz="4" w:space="0" w:color="auto"/>
            </w:tcBorders>
            <w:shd w:val="clear" w:color="auto" w:fill="9CC2E5"/>
            <w:vAlign w:val="center"/>
          </w:tcPr>
          <w:p w14:paraId="769DA6C6" w14:textId="77777777" w:rsidR="00F54466" w:rsidRPr="001E55E3" w:rsidRDefault="00F54466" w:rsidP="00F54466">
            <w:pPr>
              <w:spacing w:before="0" w:after="0"/>
              <w:jc w:val="center"/>
              <w:rPr>
                <w:rFonts w:eastAsia="Times New Roman" w:cstheme="minorHAnsi"/>
                <w:b/>
                <w:bCs/>
                <w:color w:val="000000"/>
                <w:sz w:val="20"/>
                <w:szCs w:val="20"/>
                <w:lang w:eastAsia="es-MX"/>
              </w:rPr>
            </w:pPr>
            <w:r w:rsidRPr="001E55E3">
              <w:rPr>
                <w:rFonts w:eastAsia="Times New Roman" w:cstheme="minorHAnsi"/>
                <w:b/>
                <w:bCs/>
                <w:color w:val="000000"/>
                <w:sz w:val="20"/>
                <w:szCs w:val="20"/>
                <w:lang w:eastAsia="es-MX"/>
              </w:rPr>
              <w:t>Fortaleza y Oportunidad/Debilidad</w:t>
            </w:r>
          </w:p>
          <w:p w14:paraId="774C9ED1" w14:textId="19140260" w:rsidR="00F54466" w:rsidRPr="001E55E3" w:rsidRDefault="00F54466" w:rsidP="00F54466">
            <w:pPr>
              <w:spacing w:before="0" w:after="0"/>
              <w:jc w:val="center"/>
              <w:rPr>
                <w:rFonts w:eastAsia="Times New Roman" w:cstheme="minorHAnsi"/>
                <w:b/>
                <w:bCs/>
                <w:color w:val="000000"/>
                <w:sz w:val="20"/>
                <w:szCs w:val="20"/>
                <w:lang w:eastAsia="es-MX"/>
              </w:rPr>
            </w:pPr>
            <w:r w:rsidRPr="001E55E3">
              <w:rPr>
                <w:rFonts w:eastAsia="Times New Roman" w:cstheme="minorHAnsi"/>
                <w:b/>
                <w:bCs/>
                <w:color w:val="000000"/>
                <w:sz w:val="20"/>
                <w:szCs w:val="20"/>
                <w:lang w:eastAsia="es-MX"/>
              </w:rPr>
              <w:t>y Amenaza</w:t>
            </w:r>
          </w:p>
        </w:tc>
        <w:tc>
          <w:tcPr>
            <w:tcW w:w="750" w:type="pct"/>
            <w:tcBorders>
              <w:top w:val="single" w:sz="4" w:space="0" w:color="auto"/>
              <w:left w:val="single" w:sz="4" w:space="0" w:color="auto"/>
              <w:bottom w:val="single" w:sz="4" w:space="0" w:color="auto"/>
              <w:right w:val="single" w:sz="4" w:space="0" w:color="auto"/>
            </w:tcBorders>
            <w:shd w:val="clear" w:color="auto" w:fill="9CC2E5"/>
            <w:vAlign w:val="center"/>
          </w:tcPr>
          <w:p w14:paraId="2FABEDE0" w14:textId="77777777" w:rsidR="00F54466" w:rsidRPr="001E55E3" w:rsidRDefault="00F54466" w:rsidP="00F54466">
            <w:pPr>
              <w:spacing w:before="0" w:after="0"/>
              <w:jc w:val="center"/>
              <w:rPr>
                <w:rFonts w:eastAsia="Times New Roman" w:cstheme="minorHAnsi"/>
                <w:b/>
                <w:bCs/>
                <w:color w:val="000000"/>
                <w:sz w:val="20"/>
                <w:szCs w:val="20"/>
                <w:lang w:eastAsia="es-MX"/>
              </w:rPr>
            </w:pPr>
            <w:r w:rsidRPr="001E55E3">
              <w:rPr>
                <w:rFonts w:eastAsia="Times New Roman" w:cstheme="minorHAnsi"/>
                <w:b/>
                <w:bCs/>
                <w:color w:val="000000"/>
                <w:sz w:val="20"/>
                <w:szCs w:val="20"/>
                <w:lang w:eastAsia="es-MX"/>
              </w:rPr>
              <w:t>Referencia (pregunta</w:t>
            </w:r>
          </w:p>
          <w:p w14:paraId="5175A83E" w14:textId="71D16B69" w:rsidR="00F54466" w:rsidRPr="001E55E3" w:rsidRDefault="00F54466" w:rsidP="00F54466">
            <w:pPr>
              <w:spacing w:before="0" w:after="0"/>
              <w:jc w:val="center"/>
              <w:rPr>
                <w:rFonts w:eastAsia="Times New Roman" w:cstheme="minorHAnsi"/>
                <w:b/>
                <w:bCs/>
                <w:color w:val="000000"/>
                <w:sz w:val="20"/>
                <w:szCs w:val="20"/>
                <w:lang w:eastAsia="es-MX"/>
              </w:rPr>
            </w:pPr>
            <w:r w:rsidRPr="001E55E3">
              <w:rPr>
                <w:rFonts w:eastAsia="Times New Roman" w:cstheme="minorHAnsi"/>
                <w:b/>
                <w:bCs/>
                <w:color w:val="000000"/>
                <w:sz w:val="20"/>
                <w:szCs w:val="20"/>
                <w:lang w:eastAsia="es-MX"/>
              </w:rPr>
              <w:t>específica)</w:t>
            </w:r>
          </w:p>
        </w:tc>
        <w:tc>
          <w:tcPr>
            <w:tcW w:w="1911" w:type="pct"/>
            <w:tcBorders>
              <w:top w:val="single" w:sz="4" w:space="0" w:color="auto"/>
              <w:left w:val="single" w:sz="4" w:space="0" w:color="auto"/>
              <w:bottom w:val="single" w:sz="4" w:space="0" w:color="auto"/>
              <w:right w:val="single" w:sz="4" w:space="0" w:color="auto"/>
            </w:tcBorders>
            <w:shd w:val="clear" w:color="auto" w:fill="9CC2E5"/>
            <w:vAlign w:val="center"/>
          </w:tcPr>
          <w:p w14:paraId="0628A2FB" w14:textId="0A128E76" w:rsidR="00F54466" w:rsidRPr="001E55E3" w:rsidRDefault="00F54466" w:rsidP="00F54466">
            <w:pPr>
              <w:spacing w:before="0" w:after="0"/>
              <w:jc w:val="center"/>
              <w:rPr>
                <w:rFonts w:eastAsia="Times New Roman" w:cstheme="minorHAnsi"/>
                <w:b/>
                <w:bCs/>
                <w:color w:val="000000"/>
                <w:sz w:val="20"/>
                <w:szCs w:val="20"/>
                <w:lang w:eastAsia="es-MX"/>
              </w:rPr>
            </w:pPr>
            <w:r w:rsidRPr="001E55E3">
              <w:rPr>
                <w:rFonts w:eastAsia="Times New Roman" w:cstheme="minorHAnsi"/>
                <w:b/>
                <w:bCs/>
                <w:color w:val="000000"/>
                <w:sz w:val="20"/>
                <w:szCs w:val="20"/>
                <w:lang w:eastAsia="es-MX"/>
              </w:rPr>
              <w:t>Recomendación concreta</w:t>
            </w:r>
          </w:p>
        </w:tc>
      </w:tr>
      <w:tr w:rsidR="00AE4F1E" w:rsidRPr="001E55E3" w14:paraId="27F2E59D" w14:textId="77777777" w:rsidTr="00AE4F1E">
        <w:trPr>
          <w:trHeight w:val="300"/>
        </w:trPr>
        <w:tc>
          <w:tcPr>
            <w:tcW w:w="5000" w:type="pct"/>
            <w:gridSpan w:val="4"/>
            <w:tcBorders>
              <w:top w:val="single" w:sz="4" w:space="0" w:color="auto"/>
              <w:left w:val="single" w:sz="4" w:space="0" w:color="auto"/>
              <w:bottom w:val="single" w:sz="4" w:space="0" w:color="auto"/>
              <w:right w:val="single" w:sz="4" w:space="0" w:color="auto"/>
            </w:tcBorders>
            <w:shd w:val="clear" w:color="000000" w:fill="D9D9D9"/>
            <w:vAlign w:val="center"/>
            <w:hideMark/>
          </w:tcPr>
          <w:p w14:paraId="5B2B51ED" w14:textId="77777777" w:rsidR="00AE4F1E" w:rsidRPr="001E55E3" w:rsidRDefault="00AE4F1E" w:rsidP="00AE4F1E">
            <w:pPr>
              <w:spacing w:before="0" w:after="0"/>
              <w:jc w:val="center"/>
              <w:rPr>
                <w:rFonts w:eastAsia="Times New Roman" w:cstheme="minorHAnsi"/>
                <w:b/>
                <w:bCs/>
                <w:color w:val="000000"/>
                <w:sz w:val="20"/>
                <w:szCs w:val="20"/>
                <w:lang w:eastAsia="es-MX"/>
              </w:rPr>
            </w:pPr>
            <w:r w:rsidRPr="001E55E3">
              <w:rPr>
                <w:rFonts w:eastAsia="Times New Roman" w:cstheme="minorHAnsi"/>
                <w:b/>
                <w:bCs/>
                <w:color w:val="000000"/>
                <w:sz w:val="20"/>
                <w:szCs w:val="20"/>
                <w:lang w:eastAsia="es-MX"/>
              </w:rPr>
              <w:t>Fortaleza y Oportunidad</w:t>
            </w:r>
          </w:p>
        </w:tc>
      </w:tr>
      <w:tr w:rsidR="00AE4F1E" w:rsidRPr="001E55E3" w14:paraId="337F1FE3" w14:textId="77777777" w:rsidTr="004C2BB8">
        <w:trPr>
          <w:trHeight w:val="1920"/>
        </w:trPr>
        <w:tc>
          <w:tcPr>
            <w:tcW w:w="844" w:type="pct"/>
            <w:vMerge w:val="restart"/>
            <w:tcBorders>
              <w:top w:val="nil"/>
              <w:left w:val="single" w:sz="4" w:space="0" w:color="auto"/>
              <w:bottom w:val="single" w:sz="4" w:space="0" w:color="auto"/>
              <w:right w:val="single" w:sz="4" w:space="0" w:color="auto"/>
            </w:tcBorders>
            <w:shd w:val="clear" w:color="000000" w:fill="FFFFFF"/>
            <w:vAlign w:val="center"/>
            <w:hideMark/>
          </w:tcPr>
          <w:p w14:paraId="2C5F7CD2" w14:textId="77777777" w:rsidR="00AE4F1E" w:rsidRPr="001E55E3" w:rsidRDefault="00AE4F1E" w:rsidP="00AE4F1E">
            <w:pPr>
              <w:spacing w:before="0" w:after="0"/>
              <w:rPr>
                <w:rFonts w:eastAsia="Times New Roman" w:cstheme="minorHAnsi"/>
                <w:b/>
                <w:bCs/>
                <w:color w:val="000000"/>
                <w:sz w:val="20"/>
                <w:szCs w:val="20"/>
                <w:lang w:eastAsia="es-MX"/>
              </w:rPr>
            </w:pPr>
            <w:r w:rsidRPr="001E55E3">
              <w:rPr>
                <w:rFonts w:eastAsia="Times New Roman" w:cstheme="minorHAnsi"/>
                <w:b/>
                <w:bCs/>
                <w:color w:val="000000"/>
                <w:sz w:val="20"/>
                <w:szCs w:val="20"/>
                <w:lang w:eastAsia="es-MX"/>
              </w:rPr>
              <w:t>Módulo 3. Consistencia entre los elementos del diseño</w:t>
            </w:r>
          </w:p>
        </w:tc>
        <w:tc>
          <w:tcPr>
            <w:tcW w:w="1495" w:type="pct"/>
            <w:tcBorders>
              <w:top w:val="nil"/>
              <w:left w:val="nil"/>
              <w:bottom w:val="single" w:sz="4" w:space="0" w:color="auto"/>
              <w:right w:val="single" w:sz="4" w:space="0" w:color="auto"/>
            </w:tcBorders>
            <w:shd w:val="clear" w:color="000000" w:fill="FFFFFF"/>
            <w:vAlign w:val="center"/>
            <w:hideMark/>
          </w:tcPr>
          <w:p w14:paraId="66445463" w14:textId="77777777" w:rsidR="00AE4F1E" w:rsidRPr="001E55E3" w:rsidRDefault="00AE4F1E" w:rsidP="00AE4F1E">
            <w:pPr>
              <w:spacing w:before="0" w:after="0"/>
              <w:rPr>
                <w:rFonts w:eastAsia="Times New Roman" w:cstheme="minorHAnsi"/>
                <w:color w:val="000000"/>
                <w:sz w:val="20"/>
                <w:szCs w:val="20"/>
                <w:lang w:eastAsia="es-MX"/>
              </w:rPr>
            </w:pPr>
            <w:r w:rsidRPr="001E55E3">
              <w:rPr>
                <w:rFonts w:eastAsia="Times New Roman" w:cstheme="minorHAnsi"/>
                <w:b/>
                <w:bCs/>
                <w:color w:val="000000"/>
                <w:sz w:val="20"/>
                <w:szCs w:val="20"/>
                <w:lang w:eastAsia="es-MX"/>
              </w:rPr>
              <w:t>Fortaleza:</w:t>
            </w:r>
            <w:r w:rsidRPr="001E55E3">
              <w:rPr>
                <w:rFonts w:eastAsia="Times New Roman" w:cstheme="minorHAnsi"/>
                <w:color w:val="000000"/>
                <w:sz w:val="20"/>
                <w:szCs w:val="20"/>
                <w:lang w:eastAsia="es-MX"/>
              </w:rPr>
              <w:t xml:space="preserve"> En Hidalgo existe evidencia de que los hallazgos y recomendaciones derivadas de las evaluaciones externas realizadas al FAFEF en los ejercicios 2014, 2015 y 2018, han sido elementos a considerar para la toma de decisiones sobre la operación del Fondo de manera regular e institucionalizada, lo que ha contribuido a mejorar la operación del Fondo y sus resultados. </w:t>
            </w:r>
          </w:p>
        </w:tc>
        <w:tc>
          <w:tcPr>
            <w:tcW w:w="750" w:type="pct"/>
            <w:tcBorders>
              <w:top w:val="nil"/>
              <w:left w:val="nil"/>
              <w:bottom w:val="single" w:sz="4" w:space="0" w:color="auto"/>
              <w:right w:val="single" w:sz="4" w:space="0" w:color="auto"/>
            </w:tcBorders>
            <w:shd w:val="clear" w:color="000000" w:fill="FFFFFF"/>
            <w:vAlign w:val="center"/>
            <w:hideMark/>
          </w:tcPr>
          <w:p w14:paraId="66663A78" w14:textId="77777777" w:rsidR="00AE4F1E" w:rsidRPr="001E55E3" w:rsidRDefault="00AE4F1E" w:rsidP="00AE4F1E">
            <w:pPr>
              <w:spacing w:before="0" w:after="0"/>
              <w:jc w:val="center"/>
              <w:rPr>
                <w:rFonts w:eastAsia="Times New Roman" w:cstheme="minorHAnsi"/>
                <w:color w:val="000000"/>
                <w:sz w:val="20"/>
                <w:szCs w:val="20"/>
                <w:lang w:eastAsia="es-MX"/>
              </w:rPr>
            </w:pPr>
            <w:r w:rsidRPr="001E55E3">
              <w:rPr>
                <w:rFonts w:eastAsia="Times New Roman" w:cstheme="minorHAnsi"/>
                <w:color w:val="000000"/>
                <w:sz w:val="20"/>
                <w:szCs w:val="20"/>
                <w:lang w:eastAsia="es-MX"/>
              </w:rPr>
              <w:t>5</w:t>
            </w:r>
          </w:p>
        </w:tc>
        <w:tc>
          <w:tcPr>
            <w:tcW w:w="1911" w:type="pct"/>
            <w:tcBorders>
              <w:top w:val="nil"/>
              <w:left w:val="nil"/>
              <w:bottom w:val="single" w:sz="4" w:space="0" w:color="auto"/>
              <w:right w:val="single" w:sz="4" w:space="0" w:color="auto"/>
            </w:tcBorders>
            <w:shd w:val="clear" w:color="000000" w:fill="FFFFFF"/>
            <w:vAlign w:val="center"/>
            <w:hideMark/>
          </w:tcPr>
          <w:p w14:paraId="7ADE0BFF" w14:textId="77777777" w:rsidR="00AE4F1E" w:rsidRPr="001E55E3" w:rsidRDefault="00AE4F1E" w:rsidP="00AE4F1E">
            <w:pPr>
              <w:spacing w:before="0" w:after="0"/>
              <w:rPr>
                <w:rFonts w:eastAsia="Times New Roman" w:cstheme="minorHAnsi"/>
                <w:color w:val="000000"/>
                <w:sz w:val="20"/>
                <w:szCs w:val="20"/>
                <w:lang w:eastAsia="es-MX"/>
              </w:rPr>
            </w:pPr>
            <w:r w:rsidRPr="001E55E3">
              <w:rPr>
                <w:rFonts w:eastAsia="Times New Roman" w:cstheme="minorHAnsi"/>
                <w:color w:val="000000"/>
                <w:sz w:val="20"/>
                <w:szCs w:val="20"/>
                <w:lang w:eastAsia="es-MX"/>
              </w:rPr>
              <w:t>Sin recomendación</w:t>
            </w:r>
          </w:p>
        </w:tc>
      </w:tr>
      <w:tr w:rsidR="00AE4F1E" w:rsidRPr="001E55E3" w14:paraId="5503CC33" w14:textId="77777777" w:rsidTr="00BD06AB">
        <w:trPr>
          <w:trHeight w:val="1304"/>
        </w:trPr>
        <w:tc>
          <w:tcPr>
            <w:tcW w:w="844" w:type="pct"/>
            <w:vMerge/>
            <w:tcBorders>
              <w:top w:val="nil"/>
              <w:left w:val="single" w:sz="4" w:space="0" w:color="auto"/>
              <w:bottom w:val="single" w:sz="4" w:space="0" w:color="auto"/>
              <w:right w:val="single" w:sz="4" w:space="0" w:color="auto"/>
            </w:tcBorders>
            <w:vAlign w:val="center"/>
            <w:hideMark/>
          </w:tcPr>
          <w:p w14:paraId="2EF710D2" w14:textId="77777777" w:rsidR="00AE4F1E" w:rsidRPr="001E55E3" w:rsidRDefault="00AE4F1E" w:rsidP="00AE4F1E">
            <w:pPr>
              <w:spacing w:before="0" w:after="0"/>
              <w:jc w:val="left"/>
              <w:rPr>
                <w:rFonts w:eastAsia="Times New Roman" w:cstheme="minorHAnsi"/>
                <w:b/>
                <w:bCs/>
                <w:color w:val="000000"/>
                <w:sz w:val="20"/>
                <w:szCs w:val="20"/>
                <w:lang w:eastAsia="es-MX"/>
              </w:rPr>
            </w:pPr>
          </w:p>
        </w:tc>
        <w:tc>
          <w:tcPr>
            <w:tcW w:w="1495" w:type="pct"/>
            <w:tcBorders>
              <w:top w:val="nil"/>
              <w:left w:val="nil"/>
              <w:bottom w:val="single" w:sz="4" w:space="0" w:color="auto"/>
              <w:right w:val="single" w:sz="4" w:space="0" w:color="auto"/>
            </w:tcBorders>
            <w:shd w:val="clear" w:color="000000" w:fill="FFFFFF"/>
            <w:vAlign w:val="center"/>
            <w:hideMark/>
          </w:tcPr>
          <w:p w14:paraId="574D1B75" w14:textId="2A131F1F" w:rsidR="00AE4F1E" w:rsidRPr="001E55E3" w:rsidRDefault="00AE4F1E" w:rsidP="00AE4F1E">
            <w:pPr>
              <w:spacing w:before="0" w:after="0"/>
              <w:rPr>
                <w:rFonts w:eastAsia="Times New Roman" w:cstheme="minorHAnsi"/>
                <w:b/>
                <w:bCs/>
                <w:color w:val="000000"/>
                <w:sz w:val="20"/>
                <w:szCs w:val="20"/>
                <w:lang w:eastAsia="es-MX"/>
              </w:rPr>
            </w:pPr>
            <w:r w:rsidRPr="001E55E3">
              <w:rPr>
                <w:rFonts w:eastAsia="Times New Roman" w:cstheme="minorHAnsi"/>
                <w:b/>
                <w:bCs/>
                <w:color w:val="000000"/>
                <w:sz w:val="20"/>
                <w:szCs w:val="20"/>
                <w:lang w:eastAsia="es-MX"/>
              </w:rPr>
              <w:t>Oportunidad:</w:t>
            </w:r>
            <w:r w:rsidRPr="001E55E3">
              <w:rPr>
                <w:rFonts w:eastAsia="Times New Roman" w:cstheme="minorHAnsi"/>
                <w:color w:val="000000"/>
                <w:sz w:val="20"/>
                <w:szCs w:val="20"/>
                <w:lang w:eastAsia="es-MX"/>
              </w:rPr>
              <w:t xml:space="preserve"> Los planes anuales de trabajo son establecidos por las dependencias del Estado, y el FAFEF representa una de las fuentes de financiamiento con las que se operan dichos planes. </w:t>
            </w:r>
          </w:p>
        </w:tc>
        <w:tc>
          <w:tcPr>
            <w:tcW w:w="750" w:type="pct"/>
            <w:tcBorders>
              <w:top w:val="nil"/>
              <w:left w:val="nil"/>
              <w:bottom w:val="single" w:sz="4" w:space="0" w:color="auto"/>
              <w:right w:val="single" w:sz="4" w:space="0" w:color="auto"/>
            </w:tcBorders>
            <w:shd w:val="clear" w:color="000000" w:fill="FFFFFF"/>
            <w:vAlign w:val="center"/>
            <w:hideMark/>
          </w:tcPr>
          <w:p w14:paraId="4423492C" w14:textId="77777777" w:rsidR="00AE4F1E" w:rsidRPr="001E55E3" w:rsidRDefault="00AE4F1E" w:rsidP="00AE4F1E">
            <w:pPr>
              <w:spacing w:before="0" w:after="0"/>
              <w:jc w:val="center"/>
              <w:rPr>
                <w:rFonts w:eastAsia="Times New Roman" w:cstheme="minorHAnsi"/>
                <w:color w:val="000000"/>
                <w:sz w:val="20"/>
                <w:szCs w:val="20"/>
                <w:lang w:eastAsia="es-MX"/>
              </w:rPr>
            </w:pPr>
            <w:r w:rsidRPr="001E55E3">
              <w:rPr>
                <w:rFonts w:eastAsia="Times New Roman" w:cstheme="minorHAnsi"/>
                <w:color w:val="000000"/>
                <w:sz w:val="20"/>
                <w:szCs w:val="20"/>
                <w:lang w:eastAsia="es-MX"/>
              </w:rPr>
              <w:t>9</w:t>
            </w:r>
          </w:p>
        </w:tc>
        <w:tc>
          <w:tcPr>
            <w:tcW w:w="1911" w:type="pct"/>
            <w:tcBorders>
              <w:top w:val="nil"/>
              <w:left w:val="nil"/>
              <w:bottom w:val="single" w:sz="4" w:space="0" w:color="auto"/>
              <w:right w:val="single" w:sz="4" w:space="0" w:color="auto"/>
            </w:tcBorders>
            <w:shd w:val="clear" w:color="000000" w:fill="FFFFFF"/>
            <w:vAlign w:val="center"/>
            <w:hideMark/>
          </w:tcPr>
          <w:p w14:paraId="18BAE585" w14:textId="33F93E27" w:rsidR="00AE4F1E" w:rsidRPr="005E1463" w:rsidRDefault="00AE4F1E" w:rsidP="00AE4F1E">
            <w:pPr>
              <w:spacing w:before="0" w:after="0"/>
              <w:rPr>
                <w:rFonts w:eastAsia="Times New Roman" w:cstheme="minorHAnsi"/>
                <w:color w:val="000000"/>
                <w:sz w:val="18"/>
                <w:szCs w:val="18"/>
                <w:lang w:eastAsia="es-MX"/>
              </w:rPr>
            </w:pPr>
            <w:r w:rsidRPr="00EE26D5">
              <w:rPr>
                <w:rFonts w:eastAsia="Times New Roman" w:cstheme="minorHAnsi"/>
                <w:color w:val="000000"/>
                <w:sz w:val="20"/>
                <w:szCs w:val="20"/>
                <w:lang w:eastAsia="es-MX"/>
              </w:rPr>
              <w:t>6.</w:t>
            </w:r>
            <w:r w:rsidR="00647061" w:rsidRPr="005E1463">
              <w:rPr>
                <w:sz w:val="20"/>
                <w:szCs w:val="20"/>
              </w:rPr>
              <w:t xml:space="preserve"> Elaborar un PAT específico para el FAFEF en la entidad federativa, que sea </w:t>
            </w:r>
            <w:r w:rsidR="00647061" w:rsidRPr="005E1463">
              <w:rPr>
                <w:rFonts w:cstheme="minorHAnsi"/>
                <w:sz w:val="20"/>
                <w:szCs w:val="20"/>
              </w:rPr>
              <w:t>producto de ejercicios de planeación institucionalizados</w:t>
            </w:r>
            <w:r w:rsidR="00647061" w:rsidRPr="005E1463">
              <w:rPr>
                <w:sz w:val="20"/>
                <w:szCs w:val="20"/>
              </w:rPr>
              <w:t>, que contenga las necesidades prioritarias definidas en el diagnóstico específico del FAFEF, los entregables o Componentes producidos con el presupuesto del Fondo, los objetivos y propósitos del trabajo anual, actualizados y coherentes con los recursos viables a realizarse en un año, dimensionar los objetivos que se pretenden alcanzar al cabo de un año, las estrategias para lograr los objetivos y metas, las actividades y acciones que se desarrollarán, las instancias que participarán y, por último, la metodología para evaluar lo programado, de tal manera que se garantice el adecuado ejercicio del Fondo en la entidad federativa.</w:t>
            </w:r>
          </w:p>
        </w:tc>
      </w:tr>
      <w:tr w:rsidR="00AE4F1E" w:rsidRPr="001E55E3" w14:paraId="3CB586E2" w14:textId="77777777" w:rsidTr="00AE4F1E">
        <w:trPr>
          <w:trHeight w:val="300"/>
        </w:trPr>
        <w:tc>
          <w:tcPr>
            <w:tcW w:w="5000" w:type="pct"/>
            <w:gridSpan w:val="4"/>
            <w:tcBorders>
              <w:top w:val="single" w:sz="4" w:space="0" w:color="auto"/>
              <w:left w:val="single" w:sz="4" w:space="0" w:color="auto"/>
              <w:bottom w:val="single" w:sz="4" w:space="0" w:color="auto"/>
              <w:right w:val="single" w:sz="4" w:space="0" w:color="auto"/>
            </w:tcBorders>
            <w:shd w:val="clear" w:color="000000" w:fill="D9D9D9"/>
            <w:vAlign w:val="center"/>
            <w:hideMark/>
          </w:tcPr>
          <w:p w14:paraId="0DBD92CD" w14:textId="77777777" w:rsidR="00AE4F1E" w:rsidRPr="001E55E3" w:rsidRDefault="00AE4F1E" w:rsidP="00AE4F1E">
            <w:pPr>
              <w:spacing w:before="0" w:after="0"/>
              <w:jc w:val="center"/>
              <w:rPr>
                <w:rFonts w:eastAsia="Times New Roman" w:cstheme="minorHAnsi"/>
                <w:b/>
                <w:bCs/>
                <w:color w:val="000000"/>
                <w:sz w:val="20"/>
                <w:szCs w:val="20"/>
                <w:lang w:eastAsia="es-MX"/>
              </w:rPr>
            </w:pPr>
            <w:r w:rsidRPr="001E55E3">
              <w:rPr>
                <w:rFonts w:eastAsia="Times New Roman" w:cstheme="minorHAnsi"/>
                <w:b/>
                <w:bCs/>
                <w:color w:val="000000"/>
                <w:sz w:val="20"/>
                <w:szCs w:val="20"/>
                <w:lang w:eastAsia="es-MX"/>
              </w:rPr>
              <w:t>Debilidad o Amenaza</w:t>
            </w:r>
          </w:p>
        </w:tc>
      </w:tr>
      <w:tr w:rsidR="00AE4F1E" w:rsidRPr="001E55E3" w14:paraId="1C69ABD4" w14:textId="77777777" w:rsidTr="0064092C">
        <w:trPr>
          <w:trHeight w:val="113"/>
        </w:trPr>
        <w:tc>
          <w:tcPr>
            <w:tcW w:w="844" w:type="pct"/>
            <w:vMerge w:val="restart"/>
            <w:tcBorders>
              <w:top w:val="nil"/>
              <w:left w:val="single" w:sz="4" w:space="0" w:color="auto"/>
              <w:bottom w:val="single" w:sz="4" w:space="0" w:color="auto"/>
              <w:right w:val="single" w:sz="4" w:space="0" w:color="auto"/>
            </w:tcBorders>
            <w:shd w:val="clear" w:color="000000" w:fill="FFFFFF"/>
            <w:vAlign w:val="center"/>
            <w:hideMark/>
          </w:tcPr>
          <w:p w14:paraId="1B045FB9" w14:textId="77777777" w:rsidR="00AE4F1E" w:rsidRPr="001E55E3" w:rsidRDefault="00AE4F1E" w:rsidP="00626E13">
            <w:pPr>
              <w:spacing w:before="0" w:after="0"/>
              <w:rPr>
                <w:rFonts w:eastAsia="Times New Roman" w:cstheme="minorHAnsi"/>
                <w:b/>
                <w:bCs/>
                <w:color w:val="000000"/>
                <w:sz w:val="20"/>
                <w:szCs w:val="20"/>
                <w:lang w:eastAsia="es-MX"/>
              </w:rPr>
            </w:pPr>
            <w:r w:rsidRPr="001E55E3">
              <w:rPr>
                <w:rFonts w:eastAsia="Times New Roman" w:cstheme="minorHAnsi"/>
                <w:b/>
                <w:bCs/>
                <w:color w:val="000000"/>
                <w:sz w:val="20"/>
                <w:szCs w:val="20"/>
                <w:lang w:eastAsia="es-MX"/>
              </w:rPr>
              <w:t>Módulo 3. Consistencia entre los elementos del diseño</w:t>
            </w:r>
          </w:p>
        </w:tc>
        <w:tc>
          <w:tcPr>
            <w:tcW w:w="1495" w:type="pct"/>
            <w:tcBorders>
              <w:top w:val="nil"/>
              <w:left w:val="nil"/>
              <w:bottom w:val="single" w:sz="4" w:space="0" w:color="auto"/>
              <w:right w:val="single" w:sz="4" w:space="0" w:color="auto"/>
            </w:tcBorders>
            <w:shd w:val="clear" w:color="000000" w:fill="FFFFFF"/>
            <w:vAlign w:val="center"/>
            <w:hideMark/>
          </w:tcPr>
          <w:p w14:paraId="11D90AF6" w14:textId="77777777" w:rsidR="00AE4F1E" w:rsidRPr="001E55E3" w:rsidRDefault="00AE4F1E" w:rsidP="00AE4F1E">
            <w:pPr>
              <w:spacing w:before="0" w:after="0"/>
              <w:rPr>
                <w:rFonts w:eastAsia="Times New Roman" w:cstheme="minorHAnsi"/>
                <w:color w:val="000000"/>
                <w:sz w:val="20"/>
                <w:szCs w:val="20"/>
                <w:lang w:eastAsia="es-MX"/>
              </w:rPr>
            </w:pPr>
            <w:r w:rsidRPr="001E55E3">
              <w:rPr>
                <w:rFonts w:eastAsia="Times New Roman" w:cstheme="minorHAnsi"/>
                <w:b/>
                <w:bCs/>
                <w:sz w:val="20"/>
                <w:szCs w:val="20"/>
                <w:lang w:eastAsia="es-MX"/>
              </w:rPr>
              <w:t>Debilidad:</w:t>
            </w:r>
            <w:r w:rsidRPr="001E55E3">
              <w:rPr>
                <w:rFonts w:eastAsia="Times New Roman" w:cstheme="minorHAnsi"/>
                <w:sz w:val="20"/>
                <w:szCs w:val="20"/>
                <w:lang w:eastAsia="es-MX"/>
              </w:rPr>
              <w:t xml:space="preserve"> No se identificó evidencia que sustente la consideración de la información de desempeño del FAFEF para la toma de decisiones relacionada con el establecimiento de metas, la asignación de recursos, la distribución de actividades o la selección geográfica de población o área a atenderse. Los </w:t>
            </w:r>
            <w:r w:rsidRPr="001E55E3">
              <w:rPr>
                <w:rFonts w:eastAsia="Times New Roman" w:cstheme="minorHAnsi"/>
                <w:sz w:val="20"/>
                <w:szCs w:val="20"/>
                <w:lang w:eastAsia="es-MX"/>
              </w:rPr>
              <w:lastRenderedPageBreak/>
              <w:t>ASM derivados de las evaluaciones se han centrado sobre todo en mejorar la operación del FAFEF en la entidad federativa, lo que limita el uso de la información para el establecimiento de metas, asignación de recursos, distribución de actividades y selección geográfica de la población a atenderse.</w:t>
            </w:r>
          </w:p>
        </w:tc>
        <w:tc>
          <w:tcPr>
            <w:tcW w:w="750" w:type="pct"/>
            <w:tcBorders>
              <w:top w:val="nil"/>
              <w:left w:val="nil"/>
              <w:bottom w:val="single" w:sz="4" w:space="0" w:color="auto"/>
              <w:right w:val="single" w:sz="4" w:space="0" w:color="auto"/>
            </w:tcBorders>
            <w:shd w:val="clear" w:color="000000" w:fill="FFFFFF"/>
            <w:vAlign w:val="center"/>
            <w:hideMark/>
          </w:tcPr>
          <w:p w14:paraId="4E862F2C" w14:textId="77777777" w:rsidR="00AE4F1E" w:rsidRPr="001E55E3" w:rsidRDefault="00AE4F1E" w:rsidP="00AE4F1E">
            <w:pPr>
              <w:spacing w:before="0" w:after="0"/>
              <w:jc w:val="center"/>
              <w:rPr>
                <w:rFonts w:eastAsia="Times New Roman" w:cstheme="minorHAnsi"/>
                <w:color w:val="000000"/>
                <w:sz w:val="20"/>
                <w:szCs w:val="20"/>
                <w:lang w:eastAsia="es-MX"/>
              </w:rPr>
            </w:pPr>
            <w:r w:rsidRPr="001E55E3">
              <w:rPr>
                <w:rFonts w:eastAsia="Times New Roman" w:cstheme="minorHAnsi"/>
                <w:color w:val="000000"/>
                <w:sz w:val="20"/>
                <w:szCs w:val="20"/>
                <w:lang w:eastAsia="es-MX"/>
              </w:rPr>
              <w:lastRenderedPageBreak/>
              <w:t>7</w:t>
            </w:r>
          </w:p>
        </w:tc>
        <w:tc>
          <w:tcPr>
            <w:tcW w:w="1911" w:type="pct"/>
            <w:tcBorders>
              <w:top w:val="nil"/>
              <w:left w:val="nil"/>
              <w:bottom w:val="single" w:sz="4" w:space="0" w:color="auto"/>
              <w:right w:val="single" w:sz="4" w:space="0" w:color="auto"/>
            </w:tcBorders>
            <w:shd w:val="clear" w:color="000000" w:fill="FFFFFF"/>
            <w:vAlign w:val="center"/>
            <w:hideMark/>
          </w:tcPr>
          <w:p w14:paraId="0CCC807B" w14:textId="759EB05E" w:rsidR="00AE4F1E" w:rsidRPr="001E55E3" w:rsidRDefault="00AE4F1E" w:rsidP="00AE4F1E">
            <w:pPr>
              <w:spacing w:before="0" w:after="0"/>
              <w:rPr>
                <w:rFonts w:eastAsia="Times New Roman" w:cstheme="minorHAnsi"/>
                <w:color w:val="000000"/>
                <w:sz w:val="20"/>
                <w:szCs w:val="20"/>
                <w:lang w:eastAsia="es-MX"/>
              </w:rPr>
            </w:pPr>
            <w:r w:rsidRPr="001E55E3">
              <w:rPr>
                <w:rFonts w:eastAsia="Times New Roman" w:cstheme="minorHAnsi"/>
                <w:sz w:val="20"/>
                <w:szCs w:val="20"/>
                <w:lang w:eastAsia="es-MX"/>
              </w:rPr>
              <w:t>7. Se recomienda que las evaluaciones externas del FAFEF incluyan información sobre metas físicas y su cumplimiento, así como de población beneficiada con las obras y proyectos financiados con el Fondo, no obstante, esta sea de manera indirecta al tratarse, en varios casos, de obras de beneficio común</w:t>
            </w:r>
            <w:r w:rsidR="000B7129">
              <w:rPr>
                <w:rFonts w:eastAsia="Times New Roman" w:cstheme="minorHAnsi"/>
                <w:sz w:val="20"/>
                <w:szCs w:val="20"/>
                <w:lang w:eastAsia="es-MX"/>
              </w:rPr>
              <w:t>.</w:t>
            </w:r>
          </w:p>
        </w:tc>
      </w:tr>
      <w:tr w:rsidR="00AE4F1E" w:rsidRPr="001E55E3" w14:paraId="5AA5C7C3" w14:textId="77777777" w:rsidTr="00BD06AB">
        <w:trPr>
          <w:trHeight w:val="1814"/>
        </w:trPr>
        <w:tc>
          <w:tcPr>
            <w:tcW w:w="844" w:type="pct"/>
            <w:vMerge/>
            <w:tcBorders>
              <w:top w:val="nil"/>
              <w:left w:val="single" w:sz="4" w:space="0" w:color="auto"/>
              <w:bottom w:val="single" w:sz="4" w:space="0" w:color="auto"/>
              <w:right w:val="single" w:sz="4" w:space="0" w:color="auto"/>
            </w:tcBorders>
            <w:vAlign w:val="center"/>
            <w:hideMark/>
          </w:tcPr>
          <w:p w14:paraId="1CF19FE3" w14:textId="77777777" w:rsidR="00AE4F1E" w:rsidRPr="001E55E3" w:rsidRDefault="00AE4F1E" w:rsidP="00AE4F1E">
            <w:pPr>
              <w:spacing w:before="0" w:after="0"/>
              <w:jc w:val="left"/>
              <w:rPr>
                <w:rFonts w:eastAsia="Times New Roman" w:cstheme="minorHAnsi"/>
                <w:b/>
                <w:bCs/>
                <w:color w:val="000000"/>
                <w:sz w:val="20"/>
                <w:szCs w:val="20"/>
                <w:lang w:eastAsia="es-MX"/>
              </w:rPr>
            </w:pPr>
          </w:p>
        </w:tc>
        <w:tc>
          <w:tcPr>
            <w:tcW w:w="1495" w:type="pct"/>
            <w:vMerge w:val="restart"/>
            <w:tcBorders>
              <w:top w:val="nil"/>
              <w:left w:val="single" w:sz="4" w:space="0" w:color="auto"/>
              <w:bottom w:val="single" w:sz="4" w:space="0" w:color="auto"/>
              <w:right w:val="single" w:sz="4" w:space="0" w:color="auto"/>
            </w:tcBorders>
            <w:shd w:val="clear" w:color="000000" w:fill="FFFFFF"/>
            <w:vAlign w:val="center"/>
            <w:hideMark/>
          </w:tcPr>
          <w:p w14:paraId="7C8F7FF5" w14:textId="77777777" w:rsidR="00AE4F1E" w:rsidRPr="001E55E3" w:rsidRDefault="00AE4F1E" w:rsidP="00AE4F1E">
            <w:pPr>
              <w:spacing w:before="0" w:after="0"/>
              <w:rPr>
                <w:rFonts w:eastAsia="Times New Roman" w:cstheme="minorHAnsi"/>
                <w:color w:val="000000"/>
                <w:sz w:val="20"/>
                <w:szCs w:val="20"/>
                <w:lang w:eastAsia="es-MX"/>
              </w:rPr>
            </w:pPr>
            <w:r w:rsidRPr="001E55E3">
              <w:rPr>
                <w:rFonts w:eastAsia="Times New Roman" w:cstheme="minorHAnsi"/>
                <w:b/>
                <w:bCs/>
                <w:sz w:val="20"/>
                <w:szCs w:val="20"/>
                <w:lang w:eastAsia="es-MX"/>
              </w:rPr>
              <w:t>Debilidad:</w:t>
            </w:r>
            <w:r w:rsidRPr="001E55E3">
              <w:rPr>
                <w:rFonts w:eastAsia="Times New Roman" w:cstheme="minorHAnsi"/>
                <w:sz w:val="20"/>
                <w:szCs w:val="20"/>
                <w:lang w:eastAsia="es-MX"/>
              </w:rPr>
              <w:t xml:space="preserve"> No se encontró evidencia documental de la definición de un plan estratégico para el FAFEF en la entidad federativa.</w:t>
            </w:r>
          </w:p>
        </w:tc>
        <w:tc>
          <w:tcPr>
            <w:tcW w:w="750" w:type="pct"/>
            <w:vMerge w:val="restart"/>
            <w:tcBorders>
              <w:top w:val="nil"/>
              <w:left w:val="single" w:sz="4" w:space="0" w:color="auto"/>
              <w:bottom w:val="single" w:sz="4" w:space="0" w:color="auto"/>
              <w:right w:val="single" w:sz="4" w:space="0" w:color="auto"/>
            </w:tcBorders>
            <w:shd w:val="clear" w:color="000000" w:fill="FFFFFF"/>
            <w:vAlign w:val="center"/>
            <w:hideMark/>
          </w:tcPr>
          <w:p w14:paraId="282CD88F" w14:textId="77777777" w:rsidR="00AE4F1E" w:rsidRPr="001E55E3" w:rsidRDefault="00AE4F1E" w:rsidP="00AE4F1E">
            <w:pPr>
              <w:spacing w:before="0" w:after="0"/>
              <w:jc w:val="center"/>
              <w:rPr>
                <w:rFonts w:eastAsia="Times New Roman" w:cstheme="minorHAnsi"/>
                <w:color w:val="000000"/>
                <w:sz w:val="20"/>
                <w:szCs w:val="20"/>
                <w:lang w:eastAsia="es-MX"/>
              </w:rPr>
            </w:pPr>
            <w:r w:rsidRPr="001E55E3">
              <w:rPr>
                <w:rFonts w:eastAsia="Times New Roman" w:cstheme="minorHAnsi"/>
                <w:color w:val="000000"/>
                <w:sz w:val="20"/>
                <w:szCs w:val="20"/>
                <w:lang w:eastAsia="es-MX"/>
              </w:rPr>
              <w:t>8</w:t>
            </w:r>
          </w:p>
        </w:tc>
        <w:tc>
          <w:tcPr>
            <w:tcW w:w="1911" w:type="pct"/>
            <w:vMerge w:val="restart"/>
            <w:tcBorders>
              <w:top w:val="nil"/>
              <w:left w:val="single" w:sz="4" w:space="0" w:color="auto"/>
              <w:bottom w:val="single" w:sz="4" w:space="0" w:color="auto"/>
              <w:right w:val="single" w:sz="4" w:space="0" w:color="auto"/>
            </w:tcBorders>
            <w:shd w:val="clear" w:color="000000" w:fill="FFFFFF"/>
            <w:vAlign w:val="center"/>
            <w:hideMark/>
          </w:tcPr>
          <w:p w14:paraId="5B7CB7D8" w14:textId="63E0F26B" w:rsidR="00AE4F1E" w:rsidRPr="001E55E3" w:rsidRDefault="00AE4F1E" w:rsidP="000B7129">
            <w:pPr>
              <w:spacing w:before="0" w:after="0"/>
              <w:rPr>
                <w:rFonts w:eastAsia="Times New Roman" w:cstheme="minorHAnsi"/>
                <w:color w:val="000000"/>
                <w:sz w:val="20"/>
                <w:szCs w:val="20"/>
                <w:lang w:eastAsia="es-MX"/>
              </w:rPr>
            </w:pPr>
            <w:r w:rsidRPr="001E55E3">
              <w:rPr>
                <w:rFonts w:eastAsia="Times New Roman" w:cstheme="minorHAnsi"/>
                <w:color w:val="000000"/>
                <w:sz w:val="20"/>
                <w:szCs w:val="20"/>
                <w:lang w:eastAsia="es-MX"/>
              </w:rPr>
              <w:t>8. Definir un plan estratégico de mediano plazo (de 5 años) que sea producto de ejercicios institucionalizados, se definan los resultados que se pretenden alcanzar con la ejecución del Fondo. De manera general, debe contener como mínimo los antecedentes, el marco jurídico, la estructura organizacional, la alineación con el PED y al PND vigentes, la metodología para la planeación estratégica y los objetivos y metas de mediano y/o largo plazo de la planeación, que le permita orientar sus acciones hacia resultados, sobre todo a nivel de Fin y Propósito del Fondo.</w:t>
            </w:r>
          </w:p>
        </w:tc>
      </w:tr>
      <w:tr w:rsidR="00AE4F1E" w:rsidRPr="001E55E3" w14:paraId="1C30529A" w14:textId="77777777" w:rsidTr="00BD06AB">
        <w:trPr>
          <w:trHeight w:val="450"/>
        </w:trPr>
        <w:tc>
          <w:tcPr>
            <w:tcW w:w="844" w:type="pct"/>
            <w:vMerge/>
            <w:tcBorders>
              <w:top w:val="nil"/>
              <w:left w:val="single" w:sz="4" w:space="0" w:color="auto"/>
              <w:bottom w:val="single" w:sz="4" w:space="0" w:color="auto"/>
              <w:right w:val="single" w:sz="4" w:space="0" w:color="auto"/>
            </w:tcBorders>
            <w:vAlign w:val="center"/>
            <w:hideMark/>
          </w:tcPr>
          <w:p w14:paraId="24ED6C11" w14:textId="77777777" w:rsidR="00AE4F1E" w:rsidRPr="001E55E3" w:rsidRDefault="00AE4F1E" w:rsidP="00AE4F1E">
            <w:pPr>
              <w:spacing w:before="0" w:after="0"/>
              <w:jc w:val="left"/>
              <w:rPr>
                <w:rFonts w:eastAsia="Times New Roman" w:cstheme="minorHAnsi"/>
                <w:b/>
                <w:bCs/>
                <w:color w:val="000000"/>
                <w:sz w:val="20"/>
                <w:szCs w:val="20"/>
                <w:lang w:eastAsia="es-MX"/>
              </w:rPr>
            </w:pPr>
          </w:p>
        </w:tc>
        <w:tc>
          <w:tcPr>
            <w:tcW w:w="1495" w:type="pct"/>
            <w:vMerge/>
            <w:tcBorders>
              <w:top w:val="nil"/>
              <w:left w:val="single" w:sz="4" w:space="0" w:color="auto"/>
              <w:bottom w:val="single" w:sz="4" w:space="0" w:color="auto"/>
              <w:right w:val="single" w:sz="4" w:space="0" w:color="auto"/>
            </w:tcBorders>
            <w:vAlign w:val="center"/>
            <w:hideMark/>
          </w:tcPr>
          <w:p w14:paraId="4357950D" w14:textId="77777777" w:rsidR="00AE4F1E" w:rsidRPr="001E55E3" w:rsidRDefault="00AE4F1E" w:rsidP="00AE4F1E">
            <w:pPr>
              <w:spacing w:before="0" w:after="0"/>
              <w:jc w:val="left"/>
              <w:rPr>
                <w:rFonts w:eastAsia="Times New Roman" w:cstheme="minorHAnsi"/>
                <w:color w:val="000000"/>
                <w:sz w:val="20"/>
                <w:szCs w:val="20"/>
                <w:lang w:eastAsia="es-MX"/>
              </w:rPr>
            </w:pPr>
          </w:p>
        </w:tc>
        <w:tc>
          <w:tcPr>
            <w:tcW w:w="750" w:type="pct"/>
            <w:vMerge/>
            <w:tcBorders>
              <w:top w:val="nil"/>
              <w:left w:val="single" w:sz="4" w:space="0" w:color="auto"/>
              <w:bottom w:val="single" w:sz="4" w:space="0" w:color="auto"/>
              <w:right w:val="single" w:sz="4" w:space="0" w:color="auto"/>
            </w:tcBorders>
            <w:vAlign w:val="center"/>
            <w:hideMark/>
          </w:tcPr>
          <w:p w14:paraId="11FDFB80" w14:textId="77777777" w:rsidR="00AE4F1E" w:rsidRPr="001E55E3" w:rsidRDefault="00AE4F1E" w:rsidP="00AE4F1E">
            <w:pPr>
              <w:spacing w:before="0" w:after="0"/>
              <w:jc w:val="left"/>
              <w:rPr>
                <w:rFonts w:eastAsia="Times New Roman" w:cstheme="minorHAnsi"/>
                <w:color w:val="000000"/>
                <w:sz w:val="20"/>
                <w:szCs w:val="20"/>
                <w:lang w:eastAsia="es-MX"/>
              </w:rPr>
            </w:pPr>
          </w:p>
        </w:tc>
        <w:tc>
          <w:tcPr>
            <w:tcW w:w="1911" w:type="pct"/>
            <w:vMerge/>
            <w:tcBorders>
              <w:top w:val="nil"/>
              <w:left w:val="single" w:sz="4" w:space="0" w:color="auto"/>
              <w:bottom w:val="single" w:sz="4" w:space="0" w:color="auto"/>
              <w:right w:val="single" w:sz="4" w:space="0" w:color="auto"/>
            </w:tcBorders>
            <w:vAlign w:val="center"/>
            <w:hideMark/>
          </w:tcPr>
          <w:p w14:paraId="57A626EE" w14:textId="77777777" w:rsidR="00AE4F1E" w:rsidRPr="001E55E3" w:rsidRDefault="00AE4F1E" w:rsidP="00AE4F1E">
            <w:pPr>
              <w:spacing w:before="0" w:after="0"/>
              <w:jc w:val="left"/>
              <w:rPr>
                <w:rFonts w:eastAsia="Times New Roman" w:cstheme="minorHAnsi"/>
                <w:color w:val="000000"/>
                <w:sz w:val="20"/>
                <w:szCs w:val="20"/>
                <w:lang w:eastAsia="es-MX"/>
              </w:rPr>
            </w:pPr>
          </w:p>
        </w:tc>
      </w:tr>
      <w:tr w:rsidR="00AE4F1E" w:rsidRPr="001E55E3" w14:paraId="1177BDEB" w14:textId="77777777" w:rsidTr="0064092C">
        <w:trPr>
          <w:trHeight w:val="1872"/>
        </w:trPr>
        <w:tc>
          <w:tcPr>
            <w:tcW w:w="844" w:type="pct"/>
            <w:vMerge/>
            <w:tcBorders>
              <w:top w:val="nil"/>
              <w:left w:val="single" w:sz="4" w:space="0" w:color="auto"/>
              <w:bottom w:val="single" w:sz="4" w:space="0" w:color="auto"/>
              <w:right w:val="single" w:sz="4" w:space="0" w:color="auto"/>
            </w:tcBorders>
            <w:vAlign w:val="center"/>
            <w:hideMark/>
          </w:tcPr>
          <w:p w14:paraId="04DDA522" w14:textId="77777777" w:rsidR="00AE4F1E" w:rsidRPr="001E55E3" w:rsidRDefault="00AE4F1E" w:rsidP="00AE4F1E">
            <w:pPr>
              <w:spacing w:before="0" w:after="0"/>
              <w:jc w:val="left"/>
              <w:rPr>
                <w:rFonts w:eastAsia="Times New Roman" w:cstheme="minorHAnsi"/>
                <w:b/>
                <w:bCs/>
                <w:color w:val="000000"/>
                <w:sz w:val="20"/>
                <w:szCs w:val="20"/>
                <w:lang w:eastAsia="es-MX"/>
              </w:rPr>
            </w:pPr>
          </w:p>
        </w:tc>
        <w:tc>
          <w:tcPr>
            <w:tcW w:w="1495" w:type="pct"/>
            <w:tcBorders>
              <w:top w:val="nil"/>
              <w:left w:val="nil"/>
              <w:bottom w:val="single" w:sz="4" w:space="0" w:color="auto"/>
              <w:right w:val="single" w:sz="4" w:space="0" w:color="auto"/>
            </w:tcBorders>
            <w:shd w:val="clear" w:color="000000" w:fill="FFFFFF"/>
            <w:vAlign w:val="center"/>
            <w:hideMark/>
          </w:tcPr>
          <w:p w14:paraId="4614ABE5" w14:textId="7BD22127" w:rsidR="00AE4F1E" w:rsidRPr="001E55E3" w:rsidRDefault="00AE4F1E" w:rsidP="00AE4F1E">
            <w:pPr>
              <w:spacing w:before="0" w:after="0"/>
              <w:rPr>
                <w:rFonts w:eastAsia="Times New Roman" w:cstheme="minorHAnsi"/>
                <w:color w:val="000000"/>
                <w:sz w:val="20"/>
                <w:szCs w:val="20"/>
                <w:lang w:eastAsia="es-MX"/>
              </w:rPr>
            </w:pPr>
            <w:r w:rsidRPr="001E55E3">
              <w:rPr>
                <w:rFonts w:eastAsia="Times New Roman" w:cstheme="minorHAnsi"/>
                <w:b/>
                <w:bCs/>
                <w:sz w:val="20"/>
                <w:szCs w:val="20"/>
                <w:lang w:eastAsia="es-MX"/>
              </w:rPr>
              <w:t>Debilidad:</w:t>
            </w:r>
            <w:r w:rsidRPr="001E55E3">
              <w:rPr>
                <w:rFonts w:eastAsia="Times New Roman" w:cstheme="minorHAnsi"/>
                <w:sz w:val="20"/>
                <w:szCs w:val="20"/>
                <w:lang w:eastAsia="es-MX"/>
              </w:rPr>
              <w:t xml:space="preserve"> El FAFEF en Hidalgo no cuenta con un Plan Anual de Trabajo (PAT) que sea producto de ejercicios de planeación institucionalizados, considere los entregables o </w:t>
            </w:r>
            <w:r w:rsidR="00DE67FD">
              <w:rPr>
                <w:rFonts w:eastAsia="Times New Roman" w:cstheme="minorHAnsi"/>
                <w:sz w:val="20"/>
                <w:szCs w:val="20"/>
                <w:lang w:eastAsia="es-MX"/>
              </w:rPr>
              <w:t>C</w:t>
            </w:r>
            <w:r w:rsidRPr="001E55E3">
              <w:rPr>
                <w:rFonts w:eastAsia="Times New Roman" w:cstheme="minorHAnsi"/>
                <w:sz w:val="20"/>
                <w:szCs w:val="20"/>
                <w:lang w:eastAsia="es-MX"/>
              </w:rPr>
              <w:t xml:space="preserve">omponentes que se producen con el presupuesto del FAFEF, establezca metas u objetivos para el logo del propósito del Fondo y se revise y actualice periódicamente. </w:t>
            </w:r>
          </w:p>
        </w:tc>
        <w:tc>
          <w:tcPr>
            <w:tcW w:w="750" w:type="pct"/>
            <w:tcBorders>
              <w:top w:val="nil"/>
              <w:left w:val="nil"/>
              <w:bottom w:val="single" w:sz="4" w:space="0" w:color="auto"/>
              <w:right w:val="single" w:sz="4" w:space="0" w:color="auto"/>
            </w:tcBorders>
            <w:shd w:val="clear" w:color="000000" w:fill="FFFFFF"/>
            <w:vAlign w:val="center"/>
            <w:hideMark/>
          </w:tcPr>
          <w:p w14:paraId="22133FEB" w14:textId="77777777" w:rsidR="00AE4F1E" w:rsidRPr="001E55E3" w:rsidRDefault="00AE4F1E" w:rsidP="00AE4F1E">
            <w:pPr>
              <w:spacing w:before="0" w:after="0"/>
              <w:jc w:val="center"/>
              <w:rPr>
                <w:rFonts w:eastAsia="Times New Roman" w:cstheme="minorHAnsi"/>
                <w:color w:val="000000"/>
                <w:sz w:val="20"/>
                <w:szCs w:val="20"/>
                <w:lang w:eastAsia="es-MX"/>
              </w:rPr>
            </w:pPr>
            <w:r w:rsidRPr="001E55E3">
              <w:rPr>
                <w:rFonts w:eastAsia="Times New Roman" w:cstheme="minorHAnsi"/>
                <w:color w:val="000000"/>
                <w:sz w:val="20"/>
                <w:szCs w:val="20"/>
                <w:lang w:eastAsia="es-MX"/>
              </w:rPr>
              <w:t>9</w:t>
            </w:r>
          </w:p>
        </w:tc>
        <w:tc>
          <w:tcPr>
            <w:tcW w:w="1911" w:type="pct"/>
            <w:tcBorders>
              <w:top w:val="nil"/>
              <w:left w:val="nil"/>
              <w:bottom w:val="single" w:sz="4" w:space="0" w:color="auto"/>
              <w:right w:val="single" w:sz="4" w:space="0" w:color="auto"/>
            </w:tcBorders>
            <w:shd w:val="clear" w:color="000000" w:fill="FFFFFF"/>
            <w:vAlign w:val="center"/>
            <w:hideMark/>
          </w:tcPr>
          <w:p w14:paraId="5787D809" w14:textId="474EBDD8" w:rsidR="00AE4F1E" w:rsidRPr="001E55E3" w:rsidRDefault="00AE4F1E" w:rsidP="00AE4F1E">
            <w:pPr>
              <w:spacing w:before="0" w:after="0"/>
              <w:rPr>
                <w:rFonts w:eastAsia="Times New Roman" w:cstheme="minorHAnsi"/>
                <w:color w:val="000000"/>
                <w:sz w:val="20"/>
                <w:szCs w:val="20"/>
                <w:lang w:eastAsia="es-MX"/>
              </w:rPr>
            </w:pPr>
            <w:r w:rsidRPr="001E55E3">
              <w:rPr>
                <w:rFonts w:eastAsia="Times New Roman" w:cstheme="minorHAnsi"/>
                <w:color w:val="000000"/>
                <w:sz w:val="20"/>
                <w:szCs w:val="20"/>
                <w:lang w:eastAsia="es-MX"/>
              </w:rPr>
              <w:t xml:space="preserve">9. Elaborar un PAT producto de ejercicios de planeación institucionalizados, que contenga las necesidades prioritarias definidas en el diagnóstico específico del FAFEF, los entregables o </w:t>
            </w:r>
            <w:r w:rsidR="00DE67FD">
              <w:rPr>
                <w:rFonts w:eastAsia="Times New Roman" w:cstheme="minorHAnsi"/>
                <w:color w:val="000000"/>
                <w:sz w:val="20"/>
                <w:szCs w:val="20"/>
                <w:lang w:eastAsia="es-MX"/>
              </w:rPr>
              <w:t>C</w:t>
            </w:r>
            <w:r w:rsidRPr="001E55E3">
              <w:rPr>
                <w:rFonts w:eastAsia="Times New Roman" w:cstheme="minorHAnsi"/>
                <w:color w:val="000000"/>
                <w:sz w:val="20"/>
                <w:szCs w:val="20"/>
                <w:lang w:eastAsia="es-MX"/>
              </w:rPr>
              <w:t xml:space="preserve">omponentes producidos con el presupuesto del Fondo, los objetivos y propósitos del trabajo anual, actualizados y coherentes con los recursos viables a realizarse en un año, dimensionar los objetivos que se pretenden alcanzar al cabo de un año, las estrategias para lograr los objetivos y metas, las actividades y acciones que se desarrollarán, las instancias que participarán y, por último, la metodología para evaluar lo programado. </w:t>
            </w:r>
          </w:p>
        </w:tc>
      </w:tr>
      <w:tr w:rsidR="00AE4F1E" w:rsidRPr="001E55E3" w14:paraId="50198771" w14:textId="77777777" w:rsidTr="004C2BB8">
        <w:trPr>
          <w:trHeight w:val="1530"/>
        </w:trPr>
        <w:tc>
          <w:tcPr>
            <w:tcW w:w="844" w:type="pct"/>
            <w:vMerge/>
            <w:tcBorders>
              <w:top w:val="nil"/>
              <w:left w:val="single" w:sz="4" w:space="0" w:color="auto"/>
              <w:bottom w:val="single" w:sz="4" w:space="0" w:color="auto"/>
              <w:right w:val="single" w:sz="4" w:space="0" w:color="auto"/>
            </w:tcBorders>
            <w:vAlign w:val="center"/>
            <w:hideMark/>
          </w:tcPr>
          <w:p w14:paraId="39BDA262" w14:textId="77777777" w:rsidR="00AE4F1E" w:rsidRPr="001E55E3" w:rsidRDefault="00AE4F1E" w:rsidP="00AE4F1E">
            <w:pPr>
              <w:spacing w:before="0" w:after="0"/>
              <w:jc w:val="left"/>
              <w:rPr>
                <w:rFonts w:eastAsia="Times New Roman" w:cstheme="minorHAnsi"/>
                <w:b/>
                <w:bCs/>
                <w:color w:val="000000"/>
                <w:sz w:val="20"/>
                <w:szCs w:val="20"/>
                <w:lang w:eastAsia="es-MX"/>
              </w:rPr>
            </w:pPr>
          </w:p>
        </w:tc>
        <w:tc>
          <w:tcPr>
            <w:tcW w:w="1495" w:type="pct"/>
            <w:tcBorders>
              <w:top w:val="nil"/>
              <w:left w:val="nil"/>
              <w:bottom w:val="single" w:sz="4" w:space="0" w:color="auto"/>
              <w:right w:val="single" w:sz="4" w:space="0" w:color="auto"/>
            </w:tcBorders>
            <w:shd w:val="clear" w:color="000000" w:fill="FFFFFF"/>
            <w:vAlign w:val="center"/>
            <w:hideMark/>
          </w:tcPr>
          <w:p w14:paraId="3B0B646A" w14:textId="77777777" w:rsidR="00AE4F1E" w:rsidRPr="001E55E3" w:rsidRDefault="00AE4F1E" w:rsidP="00AE4F1E">
            <w:pPr>
              <w:spacing w:before="0" w:after="0"/>
              <w:rPr>
                <w:rFonts w:eastAsia="Times New Roman" w:cstheme="minorHAnsi"/>
                <w:color w:val="000000"/>
                <w:sz w:val="20"/>
                <w:szCs w:val="20"/>
                <w:lang w:eastAsia="es-MX"/>
              </w:rPr>
            </w:pPr>
            <w:r w:rsidRPr="001E55E3">
              <w:rPr>
                <w:rFonts w:eastAsia="Times New Roman" w:cstheme="minorHAnsi"/>
                <w:b/>
                <w:bCs/>
                <w:sz w:val="20"/>
                <w:szCs w:val="20"/>
                <w:lang w:eastAsia="es-MX"/>
              </w:rPr>
              <w:t>Debilidad</w:t>
            </w:r>
            <w:r w:rsidRPr="001E55E3">
              <w:rPr>
                <w:rFonts w:eastAsia="Times New Roman" w:cstheme="minorHAnsi"/>
                <w:sz w:val="20"/>
                <w:szCs w:val="20"/>
                <w:lang w:eastAsia="es-MX"/>
              </w:rPr>
              <w:t>: En la entidad federativa, no se dispone de una definición, identificación ni cuantificación precisa de la población potencial, objetivo y atendida mediante los recursos del Fondo.</w:t>
            </w:r>
          </w:p>
        </w:tc>
        <w:tc>
          <w:tcPr>
            <w:tcW w:w="750" w:type="pct"/>
            <w:tcBorders>
              <w:top w:val="nil"/>
              <w:left w:val="nil"/>
              <w:bottom w:val="single" w:sz="4" w:space="0" w:color="auto"/>
              <w:right w:val="single" w:sz="4" w:space="0" w:color="auto"/>
            </w:tcBorders>
            <w:shd w:val="clear" w:color="000000" w:fill="FFFFFF"/>
            <w:vAlign w:val="center"/>
            <w:hideMark/>
          </w:tcPr>
          <w:p w14:paraId="3F18160B" w14:textId="77777777" w:rsidR="00AE4F1E" w:rsidRPr="001E55E3" w:rsidRDefault="00AE4F1E" w:rsidP="00AE4F1E">
            <w:pPr>
              <w:spacing w:before="0" w:after="0"/>
              <w:jc w:val="center"/>
              <w:rPr>
                <w:rFonts w:eastAsia="Times New Roman" w:cstheme="minorHAnsi"/>
                <w:color w:val="000000"/>
                <w:sz w:val="20"/>
                <w:szCs w:val="20"/>
                <w:lang w:eastAsia="es-MX"/>
              </w:rPr>
            </w:pPr>
            <w:r w:rsidRPr="001E55E3">
              <w:rPr>
                <w:rFonts w:eastAsia="Times New Roman" w:cstheme="minorHAnsi"/>
                <w:color w:val="000000"/>
                <w:sz w:val="20"/>
                <w:szCs w:val="20"/>
                <w:lang w:eastAsia="es-MX"/>
              </w:rPr>
              <w:t>10 y 11</w:t>
            </w:r>
          </w:p>
        </w:tc>
        <w:tc>
          <w:tcPr>
            <w:tcW w:w="1911" w:type="pct"/>
            <w:tcBorders>
              <w:top w:val="nil"/>
              <w:left w:val="nil"/>
              <w:bottom w:val="single" w:sz="4" w:space="0" w:color="auto"/>
              <w:right w:val="single" w:sz="4" w:space="0" w:color="auto"/>
            </w:tcBorders>
            <w:shd w:val="clear" w:color="000000" w:fill="FFFFFF"/>
            <w:vAlign w:val="center"/>
            <w:hideMark/>
          </w:tcPr>
          <w:p w14:paraId="47C0DED8" w14:textId="77777777" w:rsidR="00AE4F1E" w:rsidRDefault="00AE4F1E" w:rsidP="00AE4F1E">
            <w:pPr>
              <w:spacing w:before="0" w:after="0"/>
              <w:rPr>
                <w:rFonts w:eastAsia="Times New Roman" w:cstheme="minorHAnsi"/>
                <w:color w:val="000000"/>
                <w:sz w:val="20"/>
                <w:szCs w:val="20"/>
                <w:lang w:eastAsia="es-MX"/>
              </w:rPr>
            </w:pPr>
            <w:r w:rsidRPr="001E55E3">
              <w:rPr>
                <w:rFonts w:eastAsia="Times New Roman" w:cstheme="minorHAnsi"/>
                <w:color w:val="000000"/>
                <w:sz w:val="20"/>
                <w:szCs w:val="20"/>
                <w:lang w:eastAsia="es-MX"/>
              </w:rPr>
              <w:t>10. Se recomienda que se recabe información socioeconómica de los beneficiarios de los proyectos de inversión y del programa para el otorgamiento de becas, que permitan cuantificar a la población potencial, objetivo y atendida con recursos del Fondo, y de esta manera poder medir la cobertura del FAFEF en la entidad de una forma más precisa.</w:t>
            </w:r>
          </w:p>
          <w:p w14:paraId="71609BFC" w14:textId="77777777" w:rsidR="000B7129" w:rsidRDefault="000B7129" w:rsidP="00AE4F1E">
            <w:pPr>
              <w:spacing w:before="0" w:after="0"/>
              <w:rPr>
                <w:rFonts w:eastAsia="Times New Roman" w:cstheme="minorHAnsi"/>
                <w:color w:val="000000"/>
                <w:sz w:val="20"/>
                <w:szCs w:val="20"/>
                <w:lang w:eastAsia="es-MX"/>
              </w:rPr>
            </w:pPr>
          </w:p>
          <w:p w14:paraId="1A126E2E" w14:textId="77777777" w:rsidR="000B7129" w:rsidRPr="001E55E3" w:rsidRDefault="000B7129" w:rsidP="00AE4F1E">
            <w:pPr>
              <w:spacing w:before="0" w:after="0"/>
              <w:rPr>
                <w:rFonts w:eastAsia="Times New Roman" w:cstheme="minorHAnsi"/>
                <w:color w:val="000000"/>
                <w:sz w:val="20"/>
                <w:szCs w:val="20"/>
                <w:lang w:eastAsia="es-MX"/>
              </w:rPr>
            </w:pPr>
          </w:p>
        </w:tc>
      </w:tr>
      <w:tr w:rsidR="0064092C" w:rsidRPr="001E55E3" w14:paraId="28E91636" w14:textId="77777777" w:rsidTr="0064092C">
        <w:trPr>
          <w:trHeight w:val="113"/>
        </w:trPr>
        <w:tc>
          <w:tcPr>
            <w:tcW w:w="844" w:type="pct"/>
            <w:tcBorders>
              <w:top w:val="nil"/>
              <w:left w:val="single" w:sz="4" w:space="0" w:color="auto"/>
              <w:bottom w:val="single" w:sz="4" w:space="0" w:color="auto"/>
              <w:right w:val="single" w:sz="4" w:space="0" w:color="auto"/>
            </w:tcBorders>
            <w:shd w:val="clear" w:color="auto" w:fill="9CC2E5"/>
            <w:vAlign w:val="center"/>
          </w:tcPr>
          <w:p w14:paraId="7BE91422" w14:textId="550F5891" w:rsidR="0064092C" w:rsidRPr="001E55E3" w:rsidRDefault="0064092C" w:rsidP="0064092C">
            <w:pPr>
              <w:spacing w:before="0" w:after="0"/>
              <w:jc w:val="center"/>
              <w:rPr>
                <w:rFonts w:eastAsia="Times New Roman" w:cstheme="minorHAnsi"/>
                <w:b/>
                <w:bCs/>
                <w:color w:val="000000"/>
                <w:sz w:val="20"/>
                <w:szCs w:val="20"/>
                <w:lang w:eastAsia="es-MX"/>
              </w:rPr>
            </w:pPr>
            <w:r w:rsidRPr="001E55E3">
              <w:rPr>
                <w:rFonts w:eastAsia="Times New Roman" w:cstheme="minorHAnsi"/>
                <w:b/>
                <w:bCs/>
                <w:color w:val="000000"/>
                <w:sz w:val="20"/>
                <w:szCs w:val="20"/>
                <w:lang w:eastAsia="es-MX"/>
              </w:rPr>
              <w:t>Tema de la evaluación</w:t>
            </w:r>
          </w:p>
        </w:tc>
        <w:tc>
          <w:tcPr>
            <w:tcW w:w="1495" w:type="pct"/>
            <w:tcBorders>
              <w:top w:val="nil"/>
              <w:left w:val="nil"/>
              <w:bottom w:val="single" w:sz="4" w:space="0" w:color="auto"/>
              <w:right w:val="single" w:sz="4" w:space="0" w:color="auto"/>
            </w:tcBorders>
            <w:shd w:val="clear" w:color="auto" w:fill="9CC2E5"/>
            <w:vAlign w:val="center"/>
          </w:tcPr>
          <w:p w14:paraId="48C59309" w14:textId="77777777" w:rsidR="0064092C" w:rsidRPr="001E55E3" w:rsidRDefault="0064092C" w:rsidP="0064092C">
            <w:pPr>
              <w:spacing w:before="0" w:after="0"/>
              <w:jc w:val="center"/>
              <w:rPr>
                <w:rFonts w:eastAsia="Times New Roman" w:cstheme="minorHAnsi"/>
                <w:b/>
                <w:bCs/>
                <w:color w:val="000000"/>
                <w:sz w:val="20"/>
                <w:szCs w:val="20"/>
                <w:lang w:eastAsia="es-MX"/>
              </w:rPr>
            </w:pPr>
            <w:r w:rsidRPr="001E55E3">
              <w:rPr>
                <w:rFonts w:eastAsia="Times New Roman" w:cstheme="minorHAnsi"/>
                <w:b/>
                <w:bCs/>
                <w:color w:val="000000"/>
                <w:sz w:val="20"/>
                <w:szCs w:val="20"/>
                <w:lang w:eastAsia="es-MX"/>
              </w:rPr>
              <w:t>Fortaleza y Oportunidad/Debilidad</w:t>
            </w:r>
          </w:p>
          <w:p w14:paraId="37B64DCB" w14:textId="5EA68A5F" w:rsidR="0064092C" w:rsidRPr="001E55E3" w:rsidRDefault="0064092C" w:rsidP="0064092C">
            <w:pPr>
              <w:spacing w:before="0" w:after="0"/>
              <w:jc w:val="center"/>
              <w:rPr>
                <w:rFonts w:eastAsia="Times New Roman" w:cstheme="minorHAnsi"/>
                <w:b/>
                <w:bCs/>
                <w:sz w:val="20"/>
                <w:szCs w:val="20"/>
                <w:lang w:eastAsia="es-MX"/>
              </w:rPr>
            </w:pPr>
            <w:r w:rsidRPr="001E55E3">
              <w:rPr>
                <w:rFonts w:eastAsia="Times New Roman" w:cstheme="minorHAnsi"/>
                <w:b/>
                <w:bCs/>
                <w:color w:val="000000"/>
                <w:sz w:val="20"/>
                <w:szCs w:val="20"/>
                <w:lang w:eastAsia="es-MX"/>
              </w:rPr>
              <w:lastRenderedPageBreak/>
              <w:t>y Amenaza</w:t>
            </w:r>
          </w:p>
        </w:tc>
        <w:tc>
          <w:tcPr>
            <w:tcW w:w="750" w:type="pct"/>
            <w:tcBorders>
              <w:top w:val="nil"/>
              <w:left w:val="nil"/>
              <w:bottom w:val="single" w:sz="4" w:space="0" w:color="auto"/>
              <w:right w:val="single" w:sz="4" w:space="0" w:color="auto"/>
            </w:tcBorders>
            <w:shd w:val="clear" w:color="auto" w:fill="9CC2E5"/>
            <w:vAlign w:val="center"/>
          </w:tcPr>
          <w:p w14:paraId="36175101" w14:textId="77777777" w:rsidR="0064092C" w:rsidRPr="001E55E3" w:rsidRDefault="0064092C" w:rsidP="0064092C">
            <w:pPr>
              <w:spacing w:before="0" w:after="0"/>
              <w:jc w:val="center"/>
              <w:rPr>
                <w:rFonts w:eastAsia="Times New Roman" w:cstheme="minorHAnsi"/>
                <w:b/>
                <w:bCs/>
                <w:color w:val="000000"/>
                <w:sz w:val="20"/>
                <w:szCs w:val="20"/>
                <w:lang w:eastAsia="es-MX"/>
              </w:rPr>
            </w:pPr>
            <w:r w:rsidRPr="001E55E3">
              <w:rPr>
                <w:rFonts w:eastAsia="Times New Roman" w:cstheme="minorHAnsi"/>
                <w:b/>
                <w:bCs/>
                <w:color w:val="000000"/>
                <w:sz w:val="20"/>
                <w:szCs w:val="20"/>
                <w:lang w:eastAsia="es-MX"/>
              </w:rPr>
              <w:lastRenderedPageBreak/>
              <w:t>Referencia (pregunta</w:t>
            </w:r>
          </w:p>
          <w:p w14:paraId="67D33EE2" w14:textId="378B5BD2" w:rsidR="0064092C" w:rsidRPr="001E55E3" w:rsidRDefault="0064092C" w:rsidP="0064092C">
            <w:pPr>
              <w:spacing w:before="0" w:after="0"/>
              <w:jc w:val="center"/>
              <w:rPr>
                <w:rFonts w:eastAsia="Times New Roman" w:cstheme="minorHAnsi"/>
                <w:color w:val="000000"/>
                <w:sz w:val="20"/>
                <w:szCs w:val="20"/>
                <w:lang w:eastAsia="es-MX"/>
              </w:rPr>
            </w:pPr>
            <w:r w:rsidRPr="001E55E3">
              <w:rPr>
                <w:rFonts w:eastAsia="Times New Roman" w:cstheme="minorHAnsi"/>
                <w:b/>
                <w:bCs/>
                <w:color w:val="000000"/>
                <w:sz w:val="20"/>
                <w:szCs w:val="20"/>
                <w:lang w:eastAsia="es-MX"/>
              </w:rPr>
              <w:lastRenderedPageBreak/>
              <w:t>específica)</w:t>
            </w:r>
          </w:p>
        </w:tc>
        <w:tc>
          <w:tcPr>
            <w:tcW w:w="1911" w:type="pct"/>
            <w:tcBorders>
              <w:top w:val="nil"/>
              <w:left w:val="nil"/>
              <w:bottom w:val="single" w:sz="4" w:space="0" w:color="auto"/>
              <w:right w:val="single" w:sz="4" w:space="0" w:color="auto"/>
            </w:tcBorders>
            <w:shd w:val="clear" w:color="auto" w:fill="9CC2E5"/>
            <w:vAlign w:val="center"/>
          </w:tcPr>
          <w:p w14:paraId="2E2051A6" w14:textId="784E5390" w:rsidR="0064092C" w:rsidRPr="001E55E3" w:rsidRDefault="0064092C" w:rsidP="0064092C">
            <w:pPr>
              <w:spacing w:before="0" w:after="0"/>
              <w:jc w:val="center"/>
              <w:rPr>
                <w:rFonts w:eastAsia="Times New Roman" w:cstheme="minorHAnsi"/>
                <w:color w:val="000000"/>
                <w:sz w:val="20"/>
                <w:szCs w:val="20"/>
                <w:lang w:eastAsia="es-MX"/>
              </w:rPr>
            </w:pPr>
            <w:r w:rsidRPr="001E55E3">
              <w:rPr>
                <w:rFonts w:eastAsia="Times New Roman" w:cstheme="minorHAnsi"/>
                <w:b/>
                <w:bCs/>
                <w:color w:val="000000"/>
                <w:sz w:val="20"/>
                <w:szCs w:val="20"/>
                <w:lang w:eastAsia="es-MX"/>
              </w:rPr>
              <w:lastRenderedPageBreak/>
              <w:t>Recomendación concreta</w:t>
            </w:r>
          </w:p>
        </w:tc>
      </w:tr>
      <w:tr w:rsidR="00AE4F1E" w:rsidRPr="001E55E3" w14:paraId="58ED6667" w14:textId="77777777" w:rsidTr="00AE4F1E">
        <w:trPr>
          <w:trHeight w:val="300"/>
        </w:trPr>
        <w:tc>
          <w:tcPr>
            <w:tcW w:w="5000" w:type="pct"/>
            <w:gridSpan w:val="4"/>
            <w:tcBorders>
              <w:top w:val="single" w:sz="4" w:space="0" w:color="auto"/>
              <w:left w:val="single" w:sz="4" w:space="0" w:color="auto"/>
              <w:bottom w:val="single" w:sz="4" w:space="0" w:color="auto"/>
              <w:right w:val="single" w:sz="4" w:space="0" w:color="auto"/>
            </w:tcBorders>
            <w:shd w:val="clear" w:color="000000" w:fill="D9D9D9"/>
            <w:vAlign w:val="center"/>
            <w:hideMark/>
          </w:tcPr>
          <w:p w14:paraId="7E6DE4BF" w14:textId="77777777" w:rsidR="00AE4F1E" w:rsidRPr="001E55E3" w:rsidRDefault="00AE4F1E" w:rsidP="00AE4F1E">
            <w:pPr>
              <w:spacing w:before="0" w:after="0"/>
              <w:jc w:val="center"/>
              <w:rPr>
                <w:rFonts w:eastAsia="Times New Roman" w:cstheme="minorHAnsi"/>
                <w:b/>
                <w:bCs/>
                <w:color w:val="000000"/>
                <w:sz w:val="20"/>
                <w:szCs w:val="20"/>
                <w:lang w:eastAsia="es-MX"/>
              </w:rPr>
            </w:pPr>
            <w:r w:rsidRPr="001E55E3">
              <w:rPr>
                <w:rFonts w:eastAsia="Times New Roman" w:cstheme="minorHAnsi"/>
                <w:b/>
                <w:bCs/>
                <w:color w:val="000000"/>
                <w:sz w:val="20"/>
                <w:szCs w:val="20"/>
                <w:lang w:eastAsia="es-MX"/>
              </w:rPr>
              <w:t>Fortaleza y Oportunidad</w:t>
            </w:r>
          </w:p>
        </w:tc>
      </w:tr>
      <w:tr w:rsidR="00AE4F1E" w:rsidRPr="001E55E3" w14:paraId="3A07B3A2" w14:textId="77777777" w:rsidTr="004C2BB8">
        <w:trPr>
          <w:trHeight w:val="1020"/>
        </w:trPr>
        <w:tc>
          <w:tcPr>
            <w:tcW w:w="844" w:type="pct"/>
            <w:tcBorders>
              <w:top w:val="nil"/>
              <w:left w:val="single" w:sz="4" w:space="0" w:color="auto"/>
              <w:bottom w:val="single" w:sz="4" w:space="0" w:color="auto"/>
              <w:right w:val="single" w:sz="4" w:space="0" w:color="auto"/>
            </w:tcBorders>
            <w:shd w:val="clear" w:color="000000" w:fill="FFFFFF"/>
            <w:vAlign w:val="center"/>
            <w:hideMark/>
          </w:tcPr>
          <w:p w14:paraId="267E505E" w14:textId="77777777" w:rsidR="00AE4F1E" w:rsidRPr="001E55E3" w:rsidRDefault="00AE4F1E" w:rsidP="00AE4F1E">
            <w:pPr>
              <w:spacing w:before="0" w:after="0"/>
              <w:rPr>
                <w:rFonts w:eastAsia="Times New Roman" w:cstheme="minorHAnsi"/>
                <w:b/>
                <w:bCs/>
                <w:color w:val="000000"/>
                <w:sz w:val="20"/>
                <w:szCs w:val="20"/>
                <w:lang w:eastAsia="es-MX"/>
              </w:rPr>
            </w:pPr>
            <w:r w:rsidRPr="001E55E3">
              <w:rPr>
                <w:rFonts w:eastAsia="Times New Roman" w:cstheme="minorHAnsi"/>
                <w:b/>
                <w:bCs/>
                <w:color w:val="000000"/>
                <w:sz w:val="20"/>
                <w:szCs w:val="20"/>
                <w:lang w:eastAsia="es-MX"/>
              </w:rPr>
              <w:t>Módulo 4. Alineación del Fondo a la Planeación Nacional y a los Objetivos de Desarrollo Sostenible</w:t>
            </w:r>
          </w:p>
        </w:tc>
        <w:tc>
          <w:tcPr>
            <w:tcW w:w="1495" w:type="pct"/>
            <w:tcBorders>
              <w:top w:val="nil"/>
              <w:left w:val="nil"/>
              <w:bottom w:val="single" w:sz="4" w:space="0" w:color="auto"/>
              <w:right w:val="single" w:sz="4" w:space="0" w:color="auto"/>
            </w:tcBorders>
            <w:shd w:val="clear" w:color="000000" w:fill="FFFFFF"/>
            <w:vAlign w:val="center"/>
            <w:hideMark/>
          </w:tcPr>
          <w:p w14:paraId="56DDDC8C" w14:textId="77777777" w:rsidR="00AE4F1E" w:rsidRPr="001E55E3" w:rsidRDefault="00AE4F1E" w:rsidP="00AE4F1E">
            <w:pPr>
              <w:spacing w:before="0" w:after="0"/>
              <w:rPr>
                <w:rFonts w:eastAsia="Times New Roman" w:cstheme="minorHAnsi"/>
                <w:color w:val="000000"/>
                <w:sz w:val="20"/>
                <w:szCs w:val="20"/>
                <w:lang w:eastAsia="es-MX"/>
              </w:rPr>
            </w:pPr>
            <w:r w:rsidRPr="001E55E3">
              <w:rPr>
                <w:rFonts w:eastAsia="Times New Roman" w:cstheme="minorHAnsi"/>
                <w:b/>
                <w:bCs/>
                <w:color w:val="000000"/>
                <w:sz w:val="20"/>
                <w:szCs w:val="20"/>
                <w:lang w:eastAsia="es-MX"/>
              </w:rPr>
              <w:t>Fortaleza</w:t>
            </w:r>
            <w:r w:rsidRPr="001E55E3">
              <w:rPr>
                <w:rFonts w:eastAsia="Times New Roman" w:cstheme="minorHAnsi"/>
                <w:color w:val="000000"/>
                <w:sz w:val="20"/>
                <w:szCs w:val="20"/>
                <w:lang w:eastAsia="es-MX"/>
              </w:rPr>
              <w:t xml:space="preserve">: Los rubros de gasto del FAFEF etiquetados en la LCF a los cuales se han destinado los recursos en Hidalgo se alinean con el PEDH 2016-2022, con el PND 2013-2018 y con los ODS de la agenda 2030. </w:t>
            </w:r>
          </w:p>
        </w:tc>
        <w:tc>
          <w:tcPr>
            <w:tcW w:w="750" w:type="pct"/>
            <w:tcBorders>
              <w:top w:val="nil"/>
              <w:left w:val="nil"/>
              <w:bottom w:val="single" w:sz="4" w:space="0" w:color="auto"/>
              <w:right w:val="single" w:sz="4" w:space="0" w:color="auto"/>
            </w:tcBorders>
            <w:shd w:val="clear" w:color="000000" w:fill="FFFFFF"/>
            <w:vAlign w:val="center"/>
            <w:hideMark/>
          </w:tcPr>
          <w:p w14:paraId="1862BBC2" w14:textId="77777777" w:rsidR="00AE4F1E" w:rsidRPr="001E55E3" w:rsidRDefault="00AE4F1E" w:rsidP="00AE4F1E">
            <w:pPr>
              <w:spacing w:before="0" w:after="0"/>
              <w:jc w:val="center"/>
              <w:rPr>
                <w:rFonts w:eastAsia="Times New Roman" w:cstheme="minorHAnsi"/>
                <w:color w:val="000000"/>
                <w:sz w:val="20"/>
                <w:szCs w:val="20"/>
                <w:lang w:eastAsia="es-MX"/>
              </w:rPr>
            </w:pPr>
            <w:r w:rsidRPr="001E55E3">
              <w:rPr>
                <w:rFonts w:eastAsia="Times New Roman" w:cstheme="minorHAnsi"/>
                <w:color w:val="000000"/>
                <w:sz w:val="20"/>
                <w:szCs w:val="20"/>
                <w:lang w:eastAsia="es-MX"/>
              </w:rPr>
              <w:t>13-14</w:t>
            </w:r>
          </w:p>
        </w:tc>
        <w:tc>
          <w:tcPr>
            <w:tcW w:w="1911" w:type="pct"/>
            <w:tcBorders>
              <w:top w:val="nil"/>
              <w:left w:val="nil"/>
              <w:bottom w:val="single" w:sz="4" w:space="0" w:color="auto"/>
              <w:right w:val="single" w:sz="4" w:space="0" w:color="auto"/>
            </w:tcBorders>
            <w:shd w:val="clear" w:color="000000" w:fill="FFFFFF"/>
            <w:vAlign w:val="center"/>
            <w:hideMark/>
          </w:tcPr>
          <w:p w14:paraId="1EC9AD3D" w14:textId="77777777" w:rsidR="00AE4F1E" w:rsidRPr="001E55E3" w:rsidRDefault="00AE4F1E" w:rsidP="00AE4F1E">
            <w:pPr>
              <w:spacing w:before="0" w:after="0"/>
              <w:rPr>
                <w:rFonts w:eastAsia="Times New Roman" w:cstheme="minorHAnsi"/>
                <w:color w:val="000000"/>
                <w:sz w:val="20"/>
                <w:szCs w:val="20"/>
                <w:lang w:eastAsia="es-MX"/>
              </w:rPr>
            </w:pPr>
            <w:r w:rsidRPr="001E55E3">
              <w:rPr>
                <w:rFonts w:eastAsia="Times New Roman" w:cstheme="minorHAnsi"/>
                <w:color w:val="000000"/>
                <w:sz w:val="20"/>
                <w:szCs w:val="20"/>
                <w:lang w:eastAsia="es-MX"/>
              </w:rPr>
              <w:t>Sin recomendación</w:t>
            </w:r>
          </w:p>
        </w:tc>
      </w:tr>
      <w:tr w:rsidR="0064092C" w:rsidRPr="001E55E3" w14:paraId="46E41F7B" w14:textId="77777777" w:rsidTr="00AE4F1E">
        <w:trPr>
          <w:trHeight w:val="300"/>
        </w:trPr>
        <w:tc>
          <w:tcPr>
            <w:tcW w:w="5000" w:type="pct"/>
            <w:gridSpan w:val="4"/>
            <w:tcBorders>
              <w:top w:val="single" w:sz="4" w:space="0" w:color="auto"/>
              <w:left w:val="single" w:sz="4" w:space="0" w:color="auto"/>
              <w:bottom w:val="single" w:sz="4" w:space="0" w:color="auto"/>
              <w:right w:val="single" w:sz="4" w:space="0" w:color="auto"/>
            </w:tcBorders>
            <w:shd w:val="clear" w:color="000000" w:fill="D9D9D9"/>
            <w:vAlign w:val="center"/>
            <w:hideMark/>
          </w:tcPr>
          <w:p w14:paraId="548329B6" w14:textId="795E7275" w:rsidR="0064092C" w:rsidRPr="001E55E3" w:rsidRDefault="0064092C" w:rsidP="0064092C">
            <w:pPr>
              <w:spacing w:before="0" w:after="0"/>
              <w:jc w:val="center"/>
              <w:rPr>
                <w:rFonts w:eastAsia="Times New Roman" w:cstheme="minorHAnsi"/>
                <w:b/>
                <w:bCs/>
                <w:color w:val="000000"/>
                <w:sz w:val="20"/>
                <w:szCs w:val="20"/>
                <w:lang w:eastAsia="es-MX"/>
              </w:rPr>
            </w:pPr>
            <w:r w:rsidRPr="001E55E3">
              <w:rPr>
                <w:rFonts w:eastAsia="Times New Roman" w:cstheme="minorHAnsi"/>
                <w:b/>
                <w:bCs/>
                <w:color w:val="000000"/>
                <w:sz w:val="20"/>
                <w:szCs w:val="20"/>
                <w:lang w:eastAsia="es-MX"/>
              </w:rPr>
              <w:t>Debilidad o Amenaza</w:t>
            </w:r>
          </w:p>
        </w:tc>
      </w:tr>
      <w:tr w:rsidR="00AC58FC" w:rsidRPr="001E55E3" w14:paraId="037B81FD" w14:textId="77777777" w:rsidTr="00AC58FC">
        <w:trPr>
          <w:trHeight w:val="300"/>
        </w:trPr>
        <w:tc>
          <w:tcPr>
            <w:tcW w:w="844" w:type="pct"/>
            <w:tcBorders>
              <w:top w:val="single" w:sz="4" w:space="0" w:color="auto"/>
              <w:left w:val="single" w:sz="4" w:space="0" w:color="auto"/>
              <w:bottom w:val="single" w:sz="4" w:space="0" w:color="auto"/>
              <w:right w:val="single" w:sz="4" w:space="0" w:color="auto"/>
            </w:tcBorders>
            <w:shd w:val="clear" w:color="auto" w:fill="auto"/>
            <w:vAlign w:val="center"/>
          </w:tcPr>
          <w:p w14:paraId="7699031A" w14:textId="024D6A0B" w:rsidR="00AC58FC" w:rsidRPr="001E55E3" w:rsidRDefault="00AC58FC" w:rsidP="00AC58FC">
            <w:pPr>
              <w:spacing w:before="0" w:after="0"/>
              <w:rPr>
                <w:rFonts w:eastAsia="Times New Roman" w:cstheme="minorHAnsi"/>
                <w:b/>
                <w:bCs/>
                <w:color w:val="000000"/>
                <w:sz w:val="20"/>
                <w:szCs w:val="20"/>
                <w:lang w:eastAsia="es-MX"/>
              </w:rPr>
            </w:pPr>
            <w:r w:rsidRPr="001E55E3">
              <w:rPr>
                <w:rFonts w:eastAsia="Times New Roman" w:cstheme="minorHAnsi"/>
                <w:b/>
                <w:bCs/>
                <w:color w:val="000000"/>
                <w:sz w:val="20"/>
                <w:szCs w:val="20"/>
                <w:lang w:eastAsia="es-MX"/>
              </w:rPr>
              <w:t>Módulo 4. Alineación del Fondo a la Planeación Nacional y a los Objetivos de Desarrollo Sostenible</w:t>
            </w:r>
          </w:p>
        </w:tc>
        <w:tc>
          <w:tcPr>
            <w:tcW w:w="1495" w:type="pct"/>
            <w:tcBorders>
              <w:top w:val="single" w:sz="4" w:space="0" w:color="auto"/>
              <w:left w:val="single" w:sz="4" w:space="0" w:color="auto"/>
              <w:bottom w:val="single" w:sz="4" w:space="0" w:color="auto"/>
              <w:right w:val="single" w:sz="4" w:space="0" w:color="auto"/>
            </w:tcBorders>
            <w:shd w:val="clear" w:color="auto" w:fill="auto"/>
            <w:vAlign w:val="center"/>
          </w:tcPr>
          <w:p w14:paraId="6718FAEC" w14:textId="1BD68D54" w:rsidR="00AC58FC" w:rsidRPr="001E55E3" w:rsidRDefault="00AC58FC" w:rsidP="00AC58FC">
            <w:pPr>
              <w:spacing w:before="0" w:after="0"/>
              <w:rPr>
                <w:rFonts w:eastAsia="Times New Roman" w:cstheme="minorHAnsi"/>
                <w:b/>
                <w:bCs/>
                <w:color w:val="000000"/>
                <w:sz w:val="20"/>
                <w:szCs w:val="20"/>
                <w:lang w:eastAsia="es-MX"/>
              </w:rPr>
            </w:pPr>
            <w:r w:rsidRPr="00DB3A87">
              <w:rPr>
                <w:rFonts w:eastAsia="Times New Roman" w:cstheme="minorHAnsi"/>
                <w:color w:val="000000"/>
                <w:sz w:val="20"/>
                <w:szCs w:val="20"/>
                <w:lang w:eastAsia="es-MX"/>
              </w:rPr>
              <w:t>Sin debilidad o amenaza</w:t>
            </w:r>
          </w:p>
        </w:tc>
        <w:tc>
          <w:tcPr>
            <w:tcW w:w="750" w:type="pct"/>
            <w:tcBorders>
              <w:top w:val="single" w:sz="4" w:space="0" w:color="auto"/>
              <w:left w:val="single" w:sz="4" w:space="0" w:color="auto"/>
              <w:bottom w:val="single" w:sz="4" w:space="0" w:color="auto"/>
              <w:right w:val="single" w:sz="4" w:space="0" w:color="auto"/>
            </w:tcBorders>
            <w:shd w:val="clear" w:color="auto" w:fill="auto"/>
            <w:vAlign w:val="center"/>
          </w:tcPr>
          <w:p w14:paraId="445F20F3" w14:textId="10F88FE2" w:rsidR="00AC58FC" w:rsidRPr="001E55E3" w:rsidRDefault="00AC58FC" w:rsidP="00AC58FC">
            <w:pPr>
              <w:spacing w:before="0" w:after="0"/>
              <w:jc w:val="center"/>
              <w:rPr>
                <w:rFonts w:eastAsia="Times New Roman" w:cstheme="minorHAnsi"/>
                <w:b/>
                <w:bCs/>
                <w:color w:val="000000"/>
                <w:sz w:val="20"/>
                <w:szCs w:val="20"/>
                <w:lang w:eastAsia="es-MX"/>
              </w:rPr>
            </w:pPr>
            <w:r>
              <w:rPr>
                <w:rFonts w:eastAsia="Times New Roman" w:cstheme="minorHAnsi"/>
                <w:b/>
                <w:bCs/>
                <w:color w:val="000000"/>
                <w:sz w:val="20"/>
                <w:szCs w:val="20"/>
                <w:lang w:eastAsia="es-MX"/>
              </w:rPr>
              <w:t>-</w:t>
            </w:r>
          </w:p>
        </w:tc>
        <w:tc>
          <w:tcPr>
            <w:tcW w:w="1911" w:type="pct"/>
            <w:tcBorders>
              <w:top w:val="single" w:sz="4" w:space="0" w:color="auto"/>
              <w:left w:val="single" w:sz="4" w:space="0" w:color="auto"/>
              <w:bottom w:val="single" w:sz="4" w:space="0" w:color="auto"/>
              <w:right w:val="single" w:sz="4" w:space="0" w:color="auto"/>
            </w:tcBorders>
            <w:shd w:val="clear" w:color="auto" w:fill="auto"/>
            <w:vAlign w:val="center"/>
          </w:tcPr>
          <w:p w14:paraId="6BF7260C" w14:textId="2AB485B4" w:rsidR="00AC58FC" w:rsidRPr="001E55E3" w:rsidRDefault="00AC58FC" w:rsidP="00AC58FC">
            <w:pPr>
              <w:spacing w:before="0" w:after="0"/>
              <w:rPr>
                <w:rFonts w:eastAsia="Times New Roman" w:cstheme="minorHAnsi"/>
                <w:b/>
                <w:bCs/>
                <w:color w:val="000000"/>
                <w:sz w:val="20"/>
                <w:szCs w:val="20"/>
                <w:lang w:eastAsia="es-MX"/>
              </w:rPr>
            </w:pPr>
            <w:r w:rsidRPr="00DB3A87">
              <w:rPr>
                <w:rFonts w:eastAsia="Times New Roman" w:cstheme="minorHAnsi"/>
                <w:color w:val="000000"/>
                <w:sz w:val="20"/>
                <w:szCs w:val="20"/>
                <w:lang w:eastAsia="es-MX"/>
              </w:rPr>
              <w:t>Sin recomendación</w:t>
            </w:r>
          </w:p>
        </w:tc>
      </w:tr>
      <w:tr w:rsidR="00AC58FC" w:rsidRPr="001E55E3" w14:paraId="07C3826F" w14:textId="77777777" w:rsidTr="00850817">
        <w:trPr>
          <w:trHeight w:val="113"/>
        </w:trPr>
        <w:tc>
          <w:tcPr>
            <w:tcW w:w="844" w:type="pct"/>
            <w:tcBorders>
              <w:top w:val="nil"/>
              <w:left w:val="single" w:sz="4" w:space="0" w:color="auto"/>
              <w:bottom w:val="single" w:sz="4" w:space="0" w:color="auto"/>
              <w:right w:val="single" w:sz="4" w:space="0" w:color="auto"/>
            </w:tcBorders>
            <w:shd w:val="clear" w:color="auto" w:fill="9CC2E5"/>
            <w:vAlign w:val="center"/>
          </w:tcPr>
          <w:p w14:paraId="2C2C3193" w14:textId="77777777" w:rsidR="00AC58FC" w:rsidRPr="001E55E3" w:rsidRDefault="00AC58FC" w:rsidP="00850817">
            <w:pPr>
              <w:spacing w:before="0" w:after="0"/>
              <w:jc w:val="center"/>
              <w:rPr>
                <w:rFonts w:eastAsia="Times New Roman" w:cstheme="minorHAnsi"/>
                <w:b/>
                <w:bCs/>
                <w:color w:val="000000"/>
                <w:sz w:val="20"/>
                <w:szCs w:val="20"/>
                <w:lang w:eastAsia="es-MX"/>
              </w:rPr>
            </w:pPr>
            <w:r w:rsidRPr="001E55E3">
              <w:rPr>
                <w:rFonts w:eastAsia="Times New Roman" w:cstheme="minorHAnsi"/>
                <w:b/>
                <w:bCs/>
                <w:color w:val="000000"/>
                <w:sz w:val="20"/>
                <w:szCs w:val="20"/>
                <w:lang w:eastAsia="es-MX"/>
              </w:rPr>
              <w:t>Tema de la evaluación</w:t>
            </w:r>
          </w:p>
        </w:tc>
        <w:tc>
          <w:tcPr>
            <w:tcW w:w="1495" w:type="pct"/>
            <w:tcBorders>
              <w:top w:val="nil"/>
              <w:left w:val="nil"/>
              <w:bottom w:val="single" w:sz="4" w:space="0" w:color="auto"/>
              <w:right w:val="single" w:sz="4" w:space="0" w:color="auto"/>
            </w:tcBorders>
            <w:shd w:val="clear" w:color="auto" w:fill="9CC2E5"/>
            <w:vAlign w:val="center"/>
          </w:tcPr>
          <w:p w14:paraId="36769883" w14:textId="77777777" w:rsidR="00AC58FC" w:rsidRPr="001E55E3" w:rsidRDefault="00AC58FC" w:rsidP="00850817">
            <w:pPr>
              <w:spacing w:before="0" w:after="0"/>
              <w:jc w:val="center"/>
              <w:rPr>
                <w:rFonts w:eastAsia="Times New Roman" w:cstheme="minorHAnsi"/>
                <w:b/>
                <w:bCs/>
                <w:color w:val="000000"/>
                <w:sz w:val="20"/>
                <w:szCs w:val="20"/>
                <w:lang w:eastAsia="es-MX"/>
              </w:rPr>
            </w:pPr>
            <w:r w:rsidRPr="001E55E3">
              <w:rPr>
                <w:rFonts w:eastAsia="Times New Roman" w:cstheme="minorHAnsi"/>
                <w:b/>
                <w:bCs/>
                <w:color w:val="000000"/>
                <w:sz w:val="20"/>
                <w:szCs w:val="20"/>
                <w:lang w:eastAsia="es-MX"/>
              </w:rPr>
              <w:t>Fortaleza y Oportunidad/Debilidad</w:t>
            </w:r>
          </w:p>
          <w:p w14:paraId="7EC5B7B2" w14:textId="77777777" w:rsidR="00AC58FC" w:rsidRPr="001E55E3" w:rsidRDefault="00AC58FC" w:rsidP="00850817">
            <w:pPr>
              <w:spacing w:before="0" w:after="0"/>
              <w:jc w:val="center"/>
              <w:rPr>
                <w:rFonts w:eastAsia="Times New Roman" w:cstheme="minorHAnsi"/>
                <w:b/>
                <w:bCs/>
                <w:sz w:val="20"/>
                <w:szCs w:val="20"/>
                <w:lang w:eastAsia="es-MX"/>
              </w:rPr>
            </w:pPr>
            <w:r w:rsidRPr="001E55E3">
              <w:rPr>
                <w:rFonts w:eastAsia="Times New Roman" w:cstheme="minorHAnsi"/>
                <w:b/>
                <w:bCs/>
                <w:color w:val="000000"/>
                <w:sz w:val="20"/>
                <w:szCs w:val="20"/>
                <w:lang w:eastAsia="es-MX"/>
              </w:rPr>
              <w:t>y Amenaza</w:t>
            </w:r>
          </w:p>
        </w:tc>
        <w:tc>
          <w:tcPr>
            <w:tcW w:w="750" w:type="pct"/>
            <w:tcBorders>
              <w:top w:val="nil"/>
              <w:left w:val="nil"/>
              <w:bottom w:val="single" w:sz="4" w:space="0" w:color="auto"/>
              <w:right w:val="single" w:sz="4" w:space="0" w:color="auto"/>
            </w:tcBorders>
            <w:shd w:val="clear" w:color="auto" w:fill="9CC2E5"/>
            <w:vAlign w:val="center"/>
          </w:tcPr>
          <w:p w14:paraId="02252D44" w14:textId="77777777" w:rsidR="00AC58FC" w:rsidRPr="001E55E3" w:rsidRDefault="00AC58FC" w:rsidP="00850817">
            <w:pPr>
              <w:spacing w:before="0" w:after="0"/>
              <w:jc w:val="center"/>
              <w:rPr>
                <w:rFonts w:eastAsia="Times New Roman" w:cstheme="minorHAnsi"/>
                <w:b/>
                <w:bCs/>
                <w:color w:val="000000"/>
                <w:sz w:val="20"/>
                <w:szCs w:val="20"/>
                <w:lang w:eastAsia="es-MX"/>
              </w:rPr>
            </w:pPr>
            <w:r w:rsidRPr="001E55E3">
              <w:rPr>
                <w:rFonts w:eastAsia="Times New Roman" w:cstheme="minorHAnsi"/>
                <w:b/>
                <w:bCs/>
                <w:color w:val="000000"/>
                <w:sz w:val="20"/>
                <w:szCs w:val="20"/>
                <w:lang w:eastAsia="es-MX"/>
              </w:rPr>
              <w:t>Referencia (pregunta</w:t>
            </w:r>
          </w:p>
          <w:p w14:paraId="67463815" w14:textId="77777777" w:rsidR="00AC58FC" w:rsidRPr="001E55E3" w:rsidRDefault="00AC58FC" w:rsidP="00850817">
            <w:pPr>
              <w:spacing w:before="0" w:after="0"/>
              <w:jc w:val="center"/>
              <w:rPr>
                <w:rFonts w:eastAsia="Times New Roman" w:cstheme="minorHAnsi"/>
                <w:color w:val="000000"/>
                <w:sz w:val="20"/>
                <w:szCs w:val="20"/>
                <w:lang w:eastAsia="es-MX"/>
              </w:rPr>
            </w:pPr>
            <w:r w:rsidRPr="001E55E3">
              <w:rPr>
                <w:rFonts w:eastAsia="Times New Roman" w:cstheme="minorHAnsi"/>
                <w:b/>
                <w:bCs/>
                <w:color w:val="000000"/>
                <w:sz w:val="20"/>
                <w:szCs w:val="20"/>
                <w:lang w:eastAsia="es-MX"/>
              </w:rPr>
              <w:t>específica)</w:t>
            </w:r>
          </w:p>
        </w:tc>
        <w:tc>
          <w:tcPr>
            <w:tcW w:w="1911" w:type="pct"/>
            <w:tcBorders>
              <w:top w:val="nil"/>
              <w:left w:val="nil"/>
              <w:bottom w:val="single" w:sz="4" w:space="0" w:color="auto"/>
              <w:right w:val="single" w:sz="4" w:space="0" w:color="auto"/>
            </w:tcBorders>
            <w:shd w:val="clear" w:color="auto" w:fill="9CC2E5"/>
            <w:vAlign w:val="center"/>
          </w:tcPr>
          <w:p w14:paraId="0BE2682F" w14:textId="77777777" w:rsidR="00AC58FC" w:rsidRPr="001E55E3" w:rsidRDefault="00AC58FC" w:rsidP="00850817">
            <w:pPr>
              <w:spacing w:before="0" w:after="0"/>
              <w:jc w:val="center"/>
              <w:rPr>
                <w:rFonts w:eastAsia="Times New Roman" w:cstheme="minorHAnsi"/>
                <w:color w:val="000000"/>
                <w:sz w:val="20"/>
                <w:szCs w:val="20"/>
                <w:lang w:eastAsia="es-MX"/>
              </w:rPr>
            </w:pPr>
            <w:r w:rsidRPr="001E55E3">
              <w:rPr>
                <w:rFonts w:eastAsia="Times New Roman" w:cstheme="minorHAnsi"/>
                <w:b/>
                <w:bCs/>
                <w:color w:val="000000"/>
                <w:sz w:val="20"/>
                <w:szCs w:val="20"/>
                <w:lang w:eastAsia="es-MX"/>
              </w:rPr>
              <w:t>Recomendación concreta</w:t>
            </w:r>
          </w:p>
        </w:tc>
      </w:tr>
      <w:tr w:rsidR="00AC58FC" w:rsidRPr="001E55E3" w14:paraId="5D4BB971" w14:textId="77777777" w:rsidTr="00AE4F1E">
        <w:trPr>
          <w:trHeight w:val="300"/>
        </w:trPr>
        <w:tc>
          <w:tcPr>
            <w:tcW w:w="5000" w:type="pct"/>
            <w:gridSpan w:val="4"/>
            <w:tcBorders>
              <w:top w:val="single" w:sz="4" w:space="0" w:color="auto"/>
              <w:left w:val="single" w:sz="4" w:space="0" w:color="auto"/>
              <w:bottom w:val="single" w:sz="4" w:space="0" w:color="auto"/>
              <w:right w:val="single" w:sz="4" w:space="0" w:color="auto"/>
            </w:tcBorders>
            <w:shd w:val="clear" w:color="000000" w:fill="D9D9D9"/>
            <w:vAlign w:val="center"/>
          </w:tcPr>
          <w:p w14:paraId="7B3938FA" w14:textId="127745F3" w:rsidR="00AC58FC" w:rsidRPr="001E55E3" w:rsidRDefault="00AC58FC" w:rsidP="00AC58FC">
            <w:pPr>
              <w:spacing w:before="0" w:after="0"/>
              <w:jc w:val="center"/>
              <w:rPr>
                <w:rFonts w:eastAsia="Times New Roman" w:cstheme="minorHAnsi"/>
                <w:b/>
                <w:bCs/>
                <w:color w:val="000000"/>
                <w:sz w:val="20"/>
                <w:szCs w:val="20"/>
                <w:lang w:eastAsia="es-MX"/>
              </w:rPr>
            </w:pPr>
            <w:r w:rsidRPr="001E55E3">
              <w:rPr>
                <w:rFonts w:eastAsia="Times New Roman" w:cstheme="minorHAnsi"/>
                <w:b/>
                <w:bCs/>
                <w:color w:val="000000"/>
                <w:sz w:val="20"/>
                <w:szCs w:val="20"/>
                <w:lang w:eastAsia="es-MX"/>
              </w:rPr>
              <w:t>Fortaleza y Oportunidad</w:t>
            </w:r>
          </w:p>
        </w:tc>
      </w:tr>
      <w:tr w:rsidR="00AC58FC" w:rsidRPr="001E55E3" w14:paraId="2306FCC7" w14:textId="77777777" w:rsidTr="004C2BB8">
        <w:trPr>
          <w:trHeight w:val="658"/>
        </w:trPr>
        <w:tc>
          <w:tcPr>
            <w:tcW w:w="844"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38988EE5" w14:textId="77777777" w:rsidR="00AC58FC" w:rsidRPr="001E55E3" w:rsidRDefault="00AC58FC" w:rsidP="00AC58FC">
            <w:pPr>
              <w:spacing w:before="0" w:after="0"/>
              <w:rPr>
                <w:rFonts w:eastAsia="Times New Roman" w:cstheme="minorHAnsi"/>
                <w:b/>
                <w:bCs/>
                <w:color w:val="000000"/>
                <w:sz w:val="20"/>
                <w:szCs w:val="20"/>
                <w:lang w:eastAsia="es-MX"/>
              </w:rPr>
            </w:pPr>
            <w:r w:rsidRPr="001E55E3">
              <w:rPr>
                <w:rFonts w:eastAsia="Times New Roman" w:cstheme="minorHAnsi"/>
                <w:b/>
                <w:bCs/>
                <w:color w:val="000000"/>
                <w:sz w:val="20"/>
                <w:szCs w:val="20"/>
                <w:lang w:eastAsia="es-MX"/>
              </w:rPr>
              <w:t>Módulo 5. Mecanismo de coordinación</w:t>
            </w:r>
          </w:p>
        </w:tc>
        <w:tc>
          <w:tcPr>
            <w:tcW w:w="1495" w:type="pct"/>
            <w:tcBorders>
              <w:top w:val="nil"/>
              <w:left w:val="nil"/>
              <w:bottom w:val="single" w:sz="4" w:space="0" w:color="auto"/>
              <w:right w:val="single" w:sz="4" w:space="0" w:color="auto"/>
            </w:tcBorders>
            <w:shd w:val="clear" w:color="000000" w:fill="FFFFFF"/>
            <w:vAlign w:val="center"/>
            <w:hideMark/>
          </w:tcPr>
          <w:p w14:paraId="4FAEBF88" w14:textId="77777777" w:rsidR="00AC58FC" w:rsidRPr="001E55E3" w:rsidRDefault="00AC58FC" w:rsidP="00AC58FC">
            <w:pPr>
              <w:spacing w:before="0" w:after="0"/>
              <w:rPr>
                <w:rFonts w:eastAsia="Times New Roman" w:cstheme="minorHAnsi"/>
                <w:color w:val="000000"/>
                <w:sz w:val="20"/>
                <w:szCs w:val="20"/>
                <w:lang w:eastAsia="es-MX"/>
              </w:rPr>
            </w:pPr>
            <w:r w:rsidRPr="001E55E3">
              <w:rPr>
                <w:rFonts w:eastAsia="Times New Roman" w:cstheme="minorHAnsi"/>
                <w:b/>
                <w:bCs/>
                <w:color w:val="000000"/>
                <w:sz w:val="20"/>
                <w:szCs w:val="20"/>
                <w:lang w:eastAsia="es-MX"/>
              </w:rPr>
              <w:t>Fortaleza:</w:t>
            </w:r>
            <w:r w:rsidRPr="001E55E3">
              <w:rPr>
                <w:rFonts w:eastAsia="Times New Roman" w:cstheme="minorHAnsi"/>
                <w:color w:val="000000"/>
                <w:sz w:val="20"/>
                <w:szCs w:val="20"/>
                <w:lang w:eastAsia="es-MX"/>
              </w:rPr>
              <w:t xml:space="preserve"> A nivel estatal se cuenta con distintas plataformas (SIDET, SIFAP y SIIPPED) desarrolladas para vincular los procesos inherentes a la asignación, presupuestación, ejercicio, control y seguimiento de los de recursos que ejercen los distintos Pp.</w:t>
            </w:r>
          </w:p>
        </w:tc>
        <w:tc>
          <w:tcPr>
            <w:tcW w:w="750" w:type="pct"/>
            <w:tcBorders>
              <w:top w:val="nil"/>
              <w:left w:val="nil"/>
              <w:bottom w:val="single" w:sz="4" w:space="0" w:color="auto"/>
              <w:right w:val="single" w:sz="4" w:space="0" w:color="auto"/>
            </w:tcBorders>
            <w:shd w:val="clear" w:color="000000" w:fill="FFFFFF"/>
            <w:vAlign w:val="center"/>
            <w:hideMark/>
          </w:tcPr>
          <w:p w14:paraId="7DF6A429" w14:textId="77777777" w:rsidR="00AC58FC" w:rsidRPr="001E55E3" w:rsidRDefault="00AC58FC" w:rsidP="00AC58FC">
            <w:pPr>
              <w:spacing w:before="0" w:after="0"/>
              <w:jc w:val="center"/>
              <w:rPr>
                <w:rFonts w:eastAsia="Times New Roman" w:cstheme="minorHAnsi"/>
                <w:color w:val="000000"/>
                <w:sz w:val="20"/>
                <w:szCs w:val="20"/>
                <w:lang w:eastAsia="es-MX"/>
              </w:rPr>
            </w:pPr>
            <w:r w:rsidRPr="001E55E3">
              <w:rPr>
                <w:rFonts w:eastAsia="Times New Roman" w:cstheme="minorHAnsi"/>
                <w:color w:val="000000"/>
                <w:sz w:val="20"/>
                <w:szCs w:val="20"/>
                <w:lang w:eastAsia="es-MX"/>
              </w:rPr>
              <w:t>16</w:t>
            </w:r>
          </w:p>
        </w:tc>
        <w:tc>
          <w:tcPr>
            <w:tcW w:w="1911" w:type="pct"/>
            <w:tcBorders>
              <w:top w:val="nil"/>
              <w:left w:val="nil"/>
              <w:bottom w:val="single" w:sz="4" w:space="0" w:color="auto"/>
              <w:right w:val="single" w:sz="4" w:space="0" w:color="auto"/>
            </w:tcBorders>
            <w:shd w:val="clear" w:color="000000" w:fill="FFFFFF"/>
            <w:vAlign w:val="center"/>
            <w:hideMark/>
          </w:tcPr>
          <w:p w14:paraId="7A04BE57" w14:textId="77777777" w:rsidR="00AC58FC" w:rsidRPr="001E55E3" w:rsidRDefault="00AC58FC" w:rsidP="00AC58FC">
            <w:pPr>
              <w:spacing w:before="0" w:after="0"/>
              <w:rPr>
                <w:rFonts w:eastAsia="Times New Roman" w:cstheme="minorHAnsi"/>
                <w:color w:val="000000"/>
                <w:sz w:val="20"/>
                <w:szCs w:val="20"/>
                <w:lang w:eastAsia="es-MX"/>
              </w:rPr>
            </w:pPr>
            <w:r w:rsidRPr="001E55E3">
              <w:rPr>
                <w:rFonts w:eastAsia="Times New Roman" w:cstheme="minorHAnsi"/>
                <w:color w:val="000000"/>
                <w:sz w:val="20"/>
                <w:szCs w:val="20"/>
                <w:lang w:eastAsia="es-MX"/>
              </w:rPr>
              <w:t>Sin recomendación</w:t>
            </w:r>
          </w:p>
        </w:tc>
      </w:tr>
      <w:tr w:rsidR="00AC58FC" w:rsidRPr="001E55E3" w14:paraId="7960F0B8" w14:textId="77777777" w:rsidTr="004C2BB8">
        <w:trPr>
          <w:trHeight w:val="1020"/>
        </w:trPr>
        <w:tc>
          <w:tcPr>
            <w:tcW w:w="844" w:type="pct"/>
            <w:vMerge/>
            <w:tcBorders>
              <w:top w:val="single" w:sz="4" w:space="0" w:color="auto"/>
              <w:left w:val="single" w:sz="4" w:space="0" w:color="auto"/>
              <w:bottom w:val="single" w:sz="4" w:space="0" w:color="auto"/>
              <w:right w:val="single" w:sz="4" w:space="0" w:color="auto"/>
            </w:tcBorders>
            <w:vAlign w:val="center"/>
            <w:hideMark/>
          </w:tcPr>
          <w:p w14:paraId="5E1C2ACB" w14:textId="77777777" w:rsidR="00AC58FC" w:rsidRPr="001E55E3" w:rsidRDefault="00AC58FC" w:rsidP="00AC58FC">
            <w:pPr>
              <w:spacing w:before="0" w:after="0"/>
              <w:jc w:val="left"/>
              <w:rPr>
                <w:rFonts w:eastAsia="Times New Roman" w:cstheme="minorHAnsi"/>
                <w:b/>
                <w:bCs/>
                <w:color w:val="000000"/>
                <w:sz w:val="20"/>
                <w:szCs w:val="20"/>
                <w:lang w:eastAsia="es-MX"/>
              </w:rPr>
            </w:pPr>
          </w:p>
        </w:tc>
        <w:tc>
          <w:tcPr>
            <w:tcW w:w="1495" w:type="pct"/>
            <w:tcBorders>
              <w:top w:val="nil"/>
              <w:left w:val="nil"/>
              <w:bottom w:val="single" w:sz="4" w:space="0" w:color="auto"/>
              <w:right w:val="single" w:sz="4" w:space="0" w:color="auto"/>
            </w:tcBorders>
            <w:shd w:val="clear" w:color="000000" w:fill="FFFFFF"/>
            <w:vAlign w:val="center"/>
            <w:hideMark/>
          </w:tcPr>
          <w:p w14:paraId="79A2990A" w14:textId="32D5D7DE" w:rsidR="00AC58FC" w:rsidRPr="001E55E3" w:rsidRDefault="00AC58FC" w:rsidP="00AC58FC">
            <w:pPr>
              <w:spacing w:before="0" w:after="0"/>
              <w:rPr>
                <w:rFonts w:eastAsia="Times New Roman" w:cstheme="minorHAnsi"/>
                <w:color w:val="000000"/>
                <w:sz w:val="20"/>
                <w:szCs w:val="20"/>
                <w:lang w:eastAsia="es-MX"/>
              </w:rPr>
            </w:pPr>
            <w:r w:rsidRPr="001E55E3">
              <w:rPr>
                <w:rFonts w:eastAsia="Times New Roman" w:cstheme="minorHAnsi"/>
                <w:b/>
                <w:bCs/>
                <w:color w:val="000000"/>
                <w:sz w:val="20"/>
                <w:szCs w:val="20"/>
                <w:lang w:eastAsia="es-MX"/>
              </w:rPr>
              <w:t xml:space="preserve">Oportunidad: </w:t>
            </w:r>
            <w:r w:rsidRPr="001E55E3">
              <w:rPr>
                <w:rFonts w:eastAsia="Times New Roman" w:cstheme="minorHAnsi"/>
                <w:color w:val="000000"/>
                <w:sz w:val="20"/>
                <w:szCs w:val="20"/>
                <w:lang w:eastAsia="es-MX"/>
              </w:rPr>
              <w:t xml:space="preserve">En el </w:t>
            </w:r>
            <w:r w:rsidR="005934C9">
              <w:rPr>
                <w:rFonts w:eastAsia="Times New Roman" w:cstheme="minorHAnsi"/>
                <w:color w:val="000000"/>
                <w:sz w:val="20"/>
                <w:szCs w:val="20"/>
                <w:lang w:eastAsia="es-MX"/>
              </w:rPr>
              <w:t>E</w:t>
            </w:r>
            <w:r w:rsidRPr="001E55E3">
              <w:rPr>
                <w:rFonts w:eastAsia="Times New Roman" w:cstheme="minorHAnsi"/>
                <w:color w:val="000000"/>
                <w:sz w:val="20"/>
                <w:szCs w:val="20"/>
                <w:lang w:eastAsia="es-MX"/>
              </w:rPr>
              <w:t>stado de Hidalgo no se cuenta con un mecanismo o proceso exclusivo del FAFEF para la generación o administración de información sobre su operación con la intención de mejorar su desempeño.</w:t>
            </w:r>
          </w:p>
        </w:tc>
        <w:tc>
          <w:tcPr>
            <w:tcW w:w="750" w:type="pct"/>
            <w:tcBorders>
              <w:top w:val="nil"/>
              <w:left w:val="nil"/>
              <w:bottom w:val="single" w:sz="4" w:space="0" w:color="auto"/>
              <w:right w:val="single" w:sz="4" w:space="0" w:color="auto"/>
            </w:tcBorders>
            <w:shd w:val="clear" w:color="000000" w:fill="FFFFFF"/>
            <w:vAlign w:val="center"/>
            <w:hideMark/>
          </w:tcPr>
          <w:p w14:paraId="6DD61907" w14:textId="77777777" w:rsidR="00AC58FC" w:rsidRPr="001E55E3" w:rsidRDefault="00AC58FC" w:rsidP="00AC58FC">
            <w:pPr>
              <w:spacing w:before="0" w:after="0"/>
              <w:jc w:val="center"/>
              <w:rPr>
                <w:rFonts w:eastAsia="Times New Roman" w:cstheme="minorHAnsi"/>
                <w:color w:val="000000"/>
                <w:sz w:val="20"/>
                <w:szCs w:val="20"/>
                <w:lang w:eastAsia="es-MX"/>
              </w:rPr>
            </w:pPr>
            <w:r w:rsidRPr="001E55E3">
              <w:rPr>
                <w:rFonts w:eastAsia="Times New Roman" w:cstheme="minorHAnsi"/>
                <w:color w:val="000000"/>
                <w:sz w:val="20"/>
                <w:szCs w:val="20"/>
                <w:lang w:eastAsia="es-MX"/>
              </w:rPr>
              <w:t>16</w:t>
            </w:r>
          </w:p>
        </w:tc>
        <w:tc>
          <w:tcPr>
            <w:tcW w:w="1911" w:type="pct"/>
            <w:tcBorders>
              <w:top w:val="nil"/>
              <w:left w:val="nil"/>
              <w:bottom w:val="single" w:sz="4" w:space="0" w:color="auto"/>
              <w:right w:val="single" w:sz="4" w:space="0" w:color="auto"/>
            </w:tcBorders>
            <w:shd w:val="clear" w:color="000000" w:fill="FFFFFF"/>
            <w:vAlign w:val="center"/>
          </w:tcPr>
          <w:p w14:paraId="498B203F" w14:textId="77777777" w:rsidR="00AC58FC" w:rsidRPr="001E55E3" w:rsidRDefault="00AC58FC" w:rsidP="00AC58FC">
            <w:pPr>
              <w:spacing w:before="0" w:after="0"/>
              <w:rPr>
                <w:rFonts w:eastAsia="Times New Roman" w:cstheme="minorHAnsi"/>
                <w:color w:val="000000"/>
                <w:sz w:val="20"/>
                <w:szCs w:val="20"/>
                <w:lang w:eastAsia="es-MX"/>
              </w:rPr>
            </w:pPr>
            <w:r w:rsidRPr="001E55E3">
              <w:rPr>
                <w:rFonts w:eastAsia="Times New Roman" w:cstheme="minorHAnsi"/>
                <w:color w:val="000000"/>
                <w:sz w:val="20"/>
                <w:szCs w:val="20"/>
                <w:lang w:eastAsia="es-MX"/>
              </w:rPr>
              <w:t>11. Establecer en el manual de procedimientos o lineamientos que se elabore para el FAFEF, un mecanismo para contar con información que permita identificar periódicamente las necesidades que pueden atenderse con recursos del Fondo.</w:t>
            </w:r>
          </w:p>
        </w:tc>
      </w:tr>
      <w:tr w:rsidR="00AC58FC" w:rsidRPr="001E55E3" w14:paraId="536F641F" w14:textId="77777777" w:rsidTr="004C2BB8">
        <w:trPr>
          <w:trHeight w:val="2295"/>
        </w:trPr>
        <w:tc>
          <w:tcPr>
            <w:tcW w:w="844" w:type="pct"/>
            <w:vMerge/>
            <w:tcBorders>
              <w:top w:val="single" w:sz="4" w:space="0" w:color="auto"/>
              <w:left w:val="single" w:sz="4" w:space="0" w:color="auto"/>
              <w:bottom w:val="single" w:sz="4" w:space="0" w:color="auto"/>
              <w:right w:val="single" w:sz="4" w:space="0" w:color="auto"/>
            </w:tcBorders>
            <w:vAlign w:val="center"/>
            <w:hideMark/>
          </w:tcPr>
          <w:p w14:paraId="16FFA8E6" w14:textId="77777777" w:rsidR="00AC58FC" w:rsidRPr="001E55E3" w:rsidRDefault="00AC58FC" w:rsidP="00AC58FC">
            <w:pPr>
              <w:spacing w:before="0" w:after="0"/>
              <w:jc w:val="left"/>
              <w:rPr>
                <w:rFonts w:eastAsia="Times New Roman" w:cstheme="minorHAnsi"/>
                <w:b/>
                <w:bCs/>
                <w:color w:val="000000"/>
                <w:sz w:val="20"/>
                <w:szCs w:val="20"/>
                <w:lang w:eastAsia="es-MX"/>
              </w:rPr>
            </w:pPr>
          </w:p>
        </w:tc>
        <w:tc>
          <w:tcPr>
            <w:tcW w:w="1495" w:type="pct"/>
            <w:tcBorders>
              <w:top w:val="nil"/>
              <w:left w:val="nil"/>
              <w:bottom w:val="single" w:sz="4" w:space="0" w:color="auto"/>
              <w:right w:val="single" w:sz="4" w:space="0" w:color="auto"/>
            </w:tcBorders>
            <w:shd w:val="clear" w:color="000000" w:fill="FFFFFF"/>
            <w:vAlign w:val="center"/>
            <w:hideMark/>
          </w:tcPr>
          <w:p w14:paraId="68FF4250" w14:textId="77777777" w:rsidR="00AC58FC" w:rsidRPr="001E55E3" w:rsidRDefault="00AC58FC" w:rsidP="00AC58FC">
            <w:pPr>
              <w:spacing w:before="0" w:after="0"/>
              <w:rPr>
                <w:rFonts w:eastAsia="Times New Roman" w:cstheme="minorHAnsi"/>
                <w:color w:val="000000"/>
                <w:sz w:val="20"/>
                <w:szCs w:val="20"/>
                <w:lang w:eastAsia="es-MX"/>
              </w:rPr>
            </w:pPr>
            <w:r w:rsidRPr="001E55E3">
              <w:rPr>
                <w:rFonts w:eastAsia="Times New Roman" w:cstheme="minorHAnsi"/>
                <w:b/>
                <w:bCs/>
                <w:color w:val="000000"/>
                <w:sz w:val="20"/>
                <w:szCs w:val="20"/>
                <w:lang w:eastAsia="es-MX"/>
              </w:rPr>
              <w:t>Fortaleza:</w:t>
            </w:r>
            <w:r w:rsidRPr="001E55E3">
              <w:rPr>
                <w:rFonts w:eastAsia="Times New Roman" w:cstheme="minorHAnsi"/>
                <w:color w:val="000000"/>
                <w:sz w:val="20"/>
                <w:szCs w:val="20"/>
                <w:lang w:eastAsia="es-MX"/>
              </w:rPr>
              <w:t xml:space="preserve"> Los resultados de la ejecución del FAFEF en el Estado de Hidalgo se documentan a través de indicadores reportados en tres fuentes de información; la primera, se refiere a los indicadores de la MIR Federal del FAFEF, la segunda al monitoreo de indicadores estatales de los Pp, a través del SIIPPED y la tercera a las evaluaciones externas que se han realizado al Fondo.</w:t>
            </w:r>
          </w:p>
        </w:tc>
        <w:tc>
          <w:tcPr>
            <w:tcW w:w="750" w:type="pct"/>
            <w:tcBorders>
              <w:top w:val="nil"/>
              <w:left w:val="nil"/>
              <w:bottom w:val="single" w:sz="4" w:space="0" w:color="auto"/>
              <w:right w:val="single" w:sz="4" w:space="0" w:color="auto"/>
            </w:tcBorders>
            <w:shd w:val="clear" w:color="000000" w:fill="FFFFFF"/>
            <w:vAlign w:val="center"/>
            <w:hideMark/>
          </w:tcPr>
          <w:p w14:paraId="239FF133" w14:textId="77777777" w:rsidR="00AC58FC" w:rsidRPr="001E55E3" w:rsidRDefault="00AC58FC" w:rsidP="00AC58FC">
            <w:pPr>
              <w:spacing w:before="0" w:after="0"/>
              <w:jc w:val="center"/>
              <w:rPr>
                <w:rFonts w:eastAsia="Times New Roman" w:cstheme="minorHAnsi"/>
                <w:color w:val="000000"/>
                <w:sz w:val="20"/>
                <w:szCs w:val="20"/>
                <w:lang w:eastAsia="es-MX"/>
              </w:rPr>
            </w:pPr>
            <w:r w:rsidRPr="001E55E3">
              <w:rPr>
                <w:rFonts w:eastAsia="Times New Roman" w:cstheme="minorHAnsi"/>
                <w:color w:val="000000"/>
                <w:sz w:val="20"/>
                <w:szCs w:val="20"/>
                <w:lang w:eastAsia="es-MX"/>
              </w:rPr>
              <w:t>19</w:t>
            </w:r>
          </w:p>
        </w:tc>
        <w:tc>
          <w:tcPr>
            <w:tcW w:w="1911" w:type="pct"/>
            <w:tcBorders>
              <w:top w:val="nil"/>
              <w:left w:val="nil"/>
              <w:bottom w:val="single" w:sz="4" w:space="0" w:color="auto"/>
              <w:right w:val="single" w:sz="4" w:space="0" w:color="auto"/>
            </w:tcBorders>
            <w:shd w:val="clear" w:color="000000" w:fill="FFFFFF"/>
            <w:vAlign w:val="center"/>
            <w:hideMark/>
          </w:tcPr>
          <w:p w14:paraId="49F4E7DA" w14:textId="77777777" w:rsidR="00AC58FC" w:rsidRPr="001E55E3" w:rsidRDefault="00AC58FC" w:rsidP="00AC58FC">
            <w:pPr>
              <w:spacing w:before="0" w:after="0"/>
              <w:rPr>
                <w:rFonts w:eastAsia="Times New Roman" w:cstheme="minorHAnsi"/>
                <w:color w:val="000000"/>
                <w:sz w:val="20"/>
                <w:szCs w:val="20"/>
                <w:lang w:eastAsia="es-MX"/>
              </w:rPr>
            </w:pPr>
            <w:r w:rsidRPr="001E55E3">
              <w:rPr>
                <w:rFonts w:eastAsia="Times New Roman" w:cstheme="minorHAnsi"/>
                <w:color w:val="000000"/>
                <w:sz w:val="20"/>
                <w:szCs w:val="20"/>
                <w:lang w:eastAsia="es-MX"/>
              </w:rPr>
              <w:t>Sin recomendación</w:t>
            </w:r>
          </w:p>
        </w:tc>
      </w:tr>
      <w:tr w:rsidR="00AC58FC" w:rsidRPr="001E55E3" w14:paraId="45F48EFE" w14:textId="77777777" w:rsidTr="00FA6646">
        <w:trPr>
          <w:trHeight w:val="963"/>
        </w:trPr>
        <w:tc>
          <w:tcPr>
            <w:tcW w:w="844" w:type="pct"/>
            <w:vMerge/>
            <w:tcBorders>
              <w:top w:val="single" w:sz="4" w:space="0" w:color="auto"/>
              <w:left w:val="single" w:sz="4" w:space="0" w:color="auto"/>
              <w:bottom w:val="single" w:sz="4" w:space="0" w:color="auto"/>
              <w:right w:val="single" w:sz="4" w:space="0" w:color="auto"/>
            </w:tcBorders>
            <w:vAlign w:val="center"/>
          </w:tcPr>
          <w:p w14:paraId="7360CF80" w14:textId="77777777" w:rsidR="00AC58FC" w:rsidRPr="001E55E3" w:rsidRDefault="00AC58FC" w:rsidP="00AC58FC">
            <w:pPr>
              <w:spacing w:before="0" w:after="0"/>
              <w:jc w:val="left"/>
              <w:rPr>
                <w:rFonts w:eastAsia="Times New Roman" w:cstheme="minorHAnsi"/>
                <w:b/>
                <w:bCs/>
                <w:color w:val="000000"/>
                <w:sz w:val="20"/>
                <w:szCs w:val="20"/>
                <w:lang w:eastAsia="es-MX"/>
              </w:rPr>
            </w:pPr>
          </w:p>
        </w:tc>
        <w:tc>
          <w:tcPr>
            <w:tcW w:w="1495" w:type="pct"/>
            <w:tcBorders>
              <w:top w:val="nil"/>
              <w:left w:val="nil"/>
              <w:bottom w:val="single" w:sz="4" w:space="0" w:color="auto"/>
              <w:right w:val="single" w:sz="4" w:space="0" w:color="auto"/>
            </w:tcBorders>
            <w:shd w:val="clear" w:color="000000" w:fill="FFFFFF"/>
            <w:vAlign w:val="center"/>
          </w:tcPr>
          <w:p w14:paraId="64056453" w14:textId="77777777" w:rsidR="00AC58FC" w:rsidRPr="001E55E3" w:rsidRDefault="00AC58FC" w:rsidP="00AC58FC">
            <w:pPr>
              <w:spacing w:before="0" w:after="0"/>
              <w:rPr>
                <w:rFonts w:eastAsia="Times New Roman" w:cstheme="minorHAnsi"/>
                <w:b/>
                <w:bCs/>
                <w:color w:val="000000"/>
                <w:sz w:val="20"/>
                <w:szCs w:val="20"/>
                <w:lang w:eastAsia="es-MX"/>
              </w:rPr>
            </w:pPr>
            <w:r w:rsidRPr="001E55E3">
              <w:rPr>
                <w:rFonts w:eastAsia="Times New Roman" w:cstheme="minorHAnsi"/>
                <w:b/>
                <w:bCs/>
                <w:color w:val="000000"/>
                <w:sz w:val="20"/>
                <w:szCs w:val="20"/>
                <w:lang w:eastAsia="es-MX"/>
              </w:rPr>
              <w:t>Oportunidad:</w:t>
            </w:r>
            <w:r w:rsidRPr="001E55E3">
              <w:rPr>
                <w:rFonts w:eastAsia="Times New Roman" w:cstheme="minorHAnsi"/>
                <w:color w:val="000000"/>
                <w:sz w:val="20"/>
                <w:szCs w:val="20"/>
                <w:lang w:eastAsia="es-MX"/>
              </w:rPr>
              <w:t xml:space="preserve"> No se identificaron ejercicios para fomentar una coordinación eficaz y continua entre la dependencia coordinadora, el gobierno de la entidad federativa y las instancias ejecutoras</w:t>
            </w:r>
          </w:p>
        </w:tc>
        <w:tc>
          <w:tcPr>
            <w:tcW w:w="750" w:type="pct"/>
            <w:tcBorders>
              <w:top w:val="nil"/>
              <w:left w:val="nil"/>
              <w:bottom w:val="single" w:sz="4" w:space="0" w:color="auto"/>
              <w:right w:val="single" w:sz="4" w:space="0" w:color="auto"/>
            </w:tcBorders>
            <w:shd w:val="clear" w:color="000000" w:fill="FFFFFF"/>
            <w:vAlign w:val="center"/>
          </w:tcPr>
          <w:p w14:paraId="3DE6A3B0" w14:textId="77777777" w:rsidR="00AC58FC" w:rsidRPr="001E55E3" w:rsidRDefault="00AC58FC" w:rsidP="00AC58FC">
            <w:pPr>
              <w:spacing w:before="0" w:after="0"/>
              <w:jc w:val="center"/>
              <w:rPr>
                <w:rFonts w:eastAsia="Times New Roman" w:cstheme="minorHAnsi"/>
                <w:color w:val="000000"/>
                <w:sz w:val="20"/>
                <w:szCs w:val="20"/>
                <w:lang w:eastAsia="es-MX"/>
              </w:rPr>
            </w:pPr>
            <w:r w:rsidRPr="001E55E3">
              <w:rPr>
                <w:rFonts w:eastAsia="Times New Roman" w:cstheme="minorHAnsi"/>
                <w:color w:val="000000"/>
                <w:sz w:val="20"/>
                <w:szCs w:val="20"/>
                <w:lang w:eastAsia="es-MX"/>
              </w:rPr>
              <w:t>20</w:t>
            </w:r>
          </w:p>
        </w:tc>
        <w:tc>
          <w:tcPr>
            <w:tcW w:w="1911" w:type="pct"/>
            <w:tcBorders>
              <w:top w:val="nil"/>
              <w:left w:val="nil"/>
              <w:bottom w:val="single" w:sz="4" w:space="0" w:color="auto"/>
              <w:right w:val="single" w:sz="4" w:space="0" w:color="auto"/>
            </w:tcBorders>
            <w:shd w:val="clear" w:color="000000" w:fill="FFFFFF"/>
            <w:vAlign w:val="center"/>
          </w:tcPr>
          <w:p w14:paraId="5422611E" w14:textId="7E62D391" w:rsidR="00AC58FC" w:rsidRPr="0048441F" w:rsidRDefault="0048441F" w:rsidP="0048441F">
            <w:pPr>
              <w:spacing w:before="0" w:after="0"/>
              <w:rPr>
                <w:rFonts w:eastAsia="Times New Roman" w:cstheme="minorHAnsi"/>
                <w:color w:val="000000"/>
                <w:sz w:val="20"/>
                <w:szCs w:val="20"/>
                <w:lang w:eastAsia="es-MX"/>
              </w:rPr>
            </w:pPr>
            <w:r>
              <w:rPr>
                <w:rFonts w:eastAsia="Times New Roman" w:cstheme="minorHAnsi"/>
                <w:color w:val="000000"/>
                <w:sz w:val="20"/>
                <w:szCs w:val="20"/>
                <w:lang w:eastAsia="es-MX"/>
              </w:rPr>
              <w:t xml:space="preserve">12. </w:t>
            </w:r>
            <w:r w:rsidRPr="0048441F">
              <w:rPr>
                <w:rFonts w:eastAsia="Times New Roman" w:cstheme="minorHAnsi"/>
                <w:color w:val="000000"/>
                <w:sz w:val="20"/>
                <w:szCs w:val="20"/>
                <w:lang w:eastAsia="es-MX"/>
              </w:rPr>
              <w:t>F</w:t>
            </w:r>
            <w:r w:rsidR="00F94D5B" w:rsidRPr="0048441F">
              <w:rPr>
                <w:rFonts w:eastAsia="Times New Roman" w:cstheme="minorHAnsi"/>
                <w:color w:val="000000"/>
                <w:sz w:val="20"/>
                <w:szCs w:val="20"/>
                <w:lang w:eastAsia="es-MX"/>
              </w:rPr>
              <w:t xml:space="preserve">ortalecer la coordinación </w:t>
            </w:r>
            <w:r w:rsidRPr="0048441F">
              <w:rPr>
                <w:rFonts w:eastAsia="Times New Roman" w:cstheme="minorHAnsi"/>
                <w:color w:val="000000"/>
                <w:sz w:val="20"/>
                <w:szCs w:val="20"/>
                <w:lang w:eastAsia="es-MX"/>
              </w:rPr>
              <w:t xml:space="preserve">entre las unidades responsables de </w:t>
            </w:r>
            <w:r w:rsidR="00F94D5B" w:rsidRPr="0048441F">
              <w:rPr>
                <w:rFonts w:eastAsia="Times New Roman" w:cstheme="minorHAnsi"/>
                <w:color w:val="000000"/>
                <w:sz w:val="20"/>
                <w:szCs w:val="20"/>
                <w:lang w:eastAsia="es-MX"/>
              </w:rPr>
              <w:t xml:space="preserve">planeación, programación, presupuestación, ejercicio y seguimiento del FAFEF en la entidad, </w:t>
            </w:r>
            <w:r>
              <w:rPr>
                <w:rFonts w:eastAsia="Times New Roman" w:cstheme="minorHAnsi"/>
                <w:color w:val="000000"/>
                <w:sz w:val="20"/>
                <w:szCs w:val="20"/>
                <w:lang w:eastAsia="es-MX"/>
              </w:rPr>
              <w:t>mediante el establecimiento de funciones en el</w:t>
            </w:r>
            <w:r w:rsidR="00F94D5B" w:rsidRPr="0048441F">
              <w:rPr>
                <w:rFonts w:eastAsia="Times New Roman" w:cstheme="minorHAnsi"/>
                <w:color w:val="000000"/>
                <w:sz w:val="20"/>
                <w:szCs w:val="20"/>
                <w:lang w:eastAsia="es-MX"/>
              </w:rPr>
              <w:t xml:space="preserve"> manual de procedimientos </w:t>
            </w:r>
            <w:r>
              <w:rPr>
                <w:rFonts w:eastAsia="Times New Roman" w:cstheme="minorHAnsi"/>
                <w:color w:val="000000"/>
                <w:sz w:val="20"/>
                <w:szCs w:val="20"/>
                <w:lang w:eastAsia="es-MX"/>
              </w:rPr>
              <w:t>sugerido anteriormente.</w:t>
            </w:r>
          </w:p>
        </w:tc>
      </w:tr>
      <w:tr w:rsidR="00AC58FC" w:rsidRPr="001E55E3" w14:paraId="79AC6D1B" w14:textId="77777777" w:rsidTr="00AE4F1E">
        <w:trPr>
          <w:trHeight w:val="300"/>
        </w:trPr>
        <w:tc>
          <w:tcPr>
            <w:tcW w:w="5000" w:type="pct"/>
            <w:gridSpan w:val="4"/>
            <w:tcBorders>
              <w:top w:val="single" w:sz="4" w:space="0" w:color="auto"/>
              <w:left w:val="single" w:sz="4" w:space="0" w:color="auto"/>
              <w:bottom w:val="single" w:sz="4" w:space="0" w:color="auto"/>
              <w:right w:val="single" w:sz="4" w:space="0" w:color="auto"/>
            </w:tcBorders>
            <w:shd w:val="clear" w:color="000000" w:fill="D9D9D9"/>
            <w:vAlign w:val="center"/>
            <w:hideMark/>
          </w:tcPr>
          <w:p w14:paraId="521E90F8" w14:textId="77777777" w:rsidR="00AC58FC" w:rsidRPr="001E55E3" w:rsidRDefault="00AC58FC" w:rsidP="00AC58FC">
            <w:pPr>
              <w:spacing w:before="0" w:after="0"/>
              <w:jc w:val="center"/>
              <w:rPr>
                <w:rFonts w:eastAsia="Times New Roman" w:cstheme="minorHAnsi"/>
                <w:b/>
                <w:bCs/>
                <w:color w:val="000000"/>
                <w:sz w:val="20"/>
                <w:szCs w:val="20"/>
                <w:lang w:eastAsia="es-MX"/>
              </w:rPr>
            </w:pPr>
            <w:r w:rsidRPr="001E55E3">
              <w:rPr>
                <w:rFonts w:eastAsia="Times New Roman" w:cstheme="minorHAnsi"/>
                <w:b/>
                <w:bCs/>
                <w:color w:val="000000"/>
                <w:sz w:val="20"/>
                <w:szCs w:val="20"/>
                <w:lang w:eastAsia="es-MX"/>
              </w:rPr>
              <w:t>Debilidad o Amenaza</w:t>
            </w:r>
          </w:p>
        </w:tc>
      </w:tr>
      <w:tr w:rsidR="00D62AFB" w:rsidRPr="001E55E3" w14:paraId="7B101186" w14:textId="77777777" w:rsidTr="0080720C">
        <w:trPr>
          <w:trHeight w:val="874"/>
        </w:trPr>
        <w:tc>
          <w:tcPr>
            <w:tcW w:w="844" w:type="pct"/>
            <w:vMerge w:val="restart"/>
            <w:tcBorders>
              <w:top w:val="nil"/>
              <w:left w:val="single" w:sz="4" w:space="0" w:color="auto"/>
              <w:right w:val="single" w:sz="4" w:space="0" w:color="auto"/>
            </w:tcBorders>
            <w:shd w:val="clear" w:color="auto" w:fill="auto"/>
            <w:vAlign w:val="center"/>
          </w:tcPr>
          <w:p w14:paraId="17F69C55" w14:textId="2812CA9F" w:rsidR="00D62AFB" w:rsidRPr="001E55E3" w:rsidRDefault="00D62AFB" w:rsidP="00AC58FC">
            <w:pPr>
              <w:spacing w:before="0" w:after="0"/>
              <w:jc w:val="left"/>
              <w:rPr>
                <w:rFonts w:eastAsia="Times New Roman" w:cstheme="minorHAnsi"/>
                <w:b/>
                <w:bCs/>
                <w:color w:val="000000"/>
                <w:sz w:val="20"/>
                <w:szCs w:val="20"/>
                <w:lang w:eastAsia="es-MX"/>
              </w:rPr>
            </w:pPr>
            <w:r w:rsidRPr="001E55E3">
              <w:rPr>
                <w:rFonts w:eastAsia="Times New Roman" w:cstheme="minorHAnsi"/>
                <w:b/>
                <w:bCs/>
                <w:color w:val="000000"/>
                <w:sz w:val="20"/>
                <w:szCs w:val="20"/>
                <w:lang w:eastAsia="es-MX"/>
              </w:rPr>
              <w:t>Módulo 5. Mecanismo de coordinación</w:t>
            </w:r>
          </w:p>
        </w:tc>
        <w:tc>
          <w:tcPr>
            <w:tcW w:w="1495" w:type="pct"/>
            <w:tcBorders>
              <w:top w:val="nil"/>
              <w:left w:val="nil"/>
              <w:bottom w:val="single" w:sz="4" w:space="0" w:color="auto"/>
              <w:right w:val="single" w:sz="4" w:space="0" w:color="auto"/>
            </w:tcBorders>
            <w:shd w:val="clear" w:color="auto" w:fill="auto"/>
            <w:vAlign w:val="center"/>
          </w:tcPr>
          <w:p w14:paraId="6AD8341B" w14:textId="7C265B95" w:rsidR="00D62AFB" w:rsidRPr="001E55E3" w:rsidRDefault="00D62AFB" w:rsidP="00AC58FC">
            <w:pPr>
              <w:spacing w:before="0" w:after="0"/>
              <w:rPr>
                <w:rFonts w:eastAsia="Times New Roman" w:cstheme="minorHAnsi"/>
                <w:b/>
                <w:bCs/>
                <w:color w:val="000000"/>
                <w:sz w:val="20"/>
                <w:szCs w:val="20"/>
                <w:lang w:eastAsia="es-MX"/>
              </w:rPr>
            </w:pPr>
            <w:r w:rsidRPr="00D62AFB">
              <w:rPr>
                <w:rFonts w:eastAsia="Calibri" w:cs="Calibri"/>
                <w:b/>
                <w:bCs/>
                <w:color w:val="000000" w:themeColor="text1"/>
              </w:rPr>
              <w:t xml:space="preserve">Amenaza: </w:t>
            </w:r>
            <w:r w:rsidRPr="004D0549">
              <w:rPr>
                <w:rFonts w:eastAsia="Calibri" w:cs="Calibri"/>
                <w:color w:val="000000" w:themeColor="text1"/>
              </w:rPr>
              <w:t>Cambios legislativos en materia de federalismo fiscal podrían afectar la operación o la existencia del Fondo</w:t>
            </w:r>
          </w:p>
        </w:tc>
        <w:tc>
          <w:tcPr>
            <w:tcW w:w="750" w:type="pct"/>
            <w:tcBorders>
              <w:top w:val="nil"/>
              <w:left w:val="nil"/>
              <w:bottom w:val="single" w:sz="4" w:space="0" w:color="auto"/>
              <w:right w:val="single" w:sz="4" w:space="0" w:color="auto"/>
            </w:tcBorders>
            <w:shd w:val="clear" w:color="000000" w:fill="FFFFFF"/>
            <w:vAlign w:val="center"/>
          </w:tcPr>
          <w:p w14:paraId="0353D7BD" w14:textId="1F0281E6" w:rsidR="00D62AFB" w:rsidRPr="001E55E3" w:rsidRDefault="00D62AFB" w:rsidP="00AC58FC">
            <w:pPr>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15</w:t>
            </w:r>
          </w:p>
        </w:tc>
        <w:tc>
          <w:tcPr>
            <w:tcW w:w="1911" w:type="pct"/>
            <w:tcBorders>
              <w:top w:val="nil"/>
              <w:left w:val="nil"/>
              <w:bottom w:val="single" w:sz="4" w:space="0" w:color="auto"/>
              <w:right w:val="single" w:sz="4" w:space="0" w:color="auto"/>
            </w:tcBorders>
            <w:shd w:val="clear" w:color="000000" w:fill="FFFFFF"/>
            <w:vAlign w:val="center"/>
          </w:tcPr>
          <w:p w14:paraId="42881EBD" w14:textId="05C55159" w:rsidR="00D62AFB" w:rsidRPr="001E55E3" w:rsidRDefault="004D4B62" w:rsidP="00AC58FC">
            <w:pPr>
              <w:spacing w:before="0" w:after="0"/>
              <w:rPr>
                <w:rFonts w:eastAsia="Times New Roman" w:cstheme="minorHAnsi"/>
                <w:color w:val="000000"/>
                <w:sz w:val="20"/>
                <w:szCs w:val="20"/>
                <w:lang w:eastAsia="es-MX"/>
              </w:rPr>
            </w:pPr>
            <w:r>
              <w:rPr>
                <w:rFonts w:eastAsia="Times New Roman" w:cstheme="minorHAnsi"/>
                <w:color w:val="000000"/>
                <w:sz w:val="20"/>
                <w:szCs w:val="20"/>
                <w:lang w:eastAsia="es-MX"/>
              </w:rPr>
              <w:t>Sin recomendación.</w:t>
            </w:r>
          </w:p>
        </w:tc>
      </w:tr>
      <w:tr w:rsidR="00D62AFB" w:rsidRPr="001E55E3" w14:paraId="57CB9E3C" w14:textId="77777777" w:rsidTr="0080720C">
        <w:trPr>
          <w:trHeight w:val="874"/>
        </w:trPr>
        <w:tc>
          <w:tcPr>
            <w:tcW w:w="844" w:type="pct"/>
            <w:vMerge/>
            <w:tcBorders>
              <w:left w:val="single" w:sz="4" w:space="0" w:color="auto"/>
              <w:right w:val="single" w:sz="4" w:space="0" w:color="auto"/>
            </w:tcBorders>
            <w:shd w:val="clear" w:color="auto" w:fill="auto"/>
            <w:vAlign w:val="center"/>
            <w:hideMark/>
          </w:tcPr>
          <w:p w14:paraId="66E29E0A" w14:textId="198BED14" w:rsidR="00D62AFB" w:rsidRPr="001E55E3" w:rsidRDefault="00D62AFB" w:rsidP="00AC58FC">
            <w:pPr>
              <w:spacing w:before="0" w:after="0"/>
              <w:jc w:val="left"/>
              <w:rPr>
                <w:rFonts w:eastAsia="Times New Roman" w:cstheme="minorHAnsi"/>
                <w:b/>
                <w:bCs/>
                <w:color w:val="000000"/>
                <w:sz w:val="20"/>
                <w:szCs w:val="20"/>
                <w:lang w:eastAsia="es-MX"/>
              </w:rPr>
            </w:pPr>
          </w:p>
        </w:tc>
        <w:tc>
          <w:tcPr>
            <w:tcW w:w="1495" w:type="pct"/>
            <w:tcBorders>
              <w:top w:val="nil"/>
              <w:left w:val="nil"/>
              <w:bottom w:val="single" w:sz="4" w:space="0" w:color="auto"/>
              <w:right w:val="single" w:sz="4" w:space="0" w:color="auto"/>
            </w:tcBorders>
            <w:shd w:val="clear" w:color="auto" w:fill="auto"/>
            <w:vAlign w:val="center"/>
            <w:hideMark/>
          </w:tcPr>
          <w:p w14:paraId="1ED5E1F1" w14:textId="77777777" w:rsidR="00D62AFB" w:rsidRPr="001E55E3" w:rsidRDefault="00D62AFB" w:rsidP="00AC58FC">
            <w:pPr>
              <w:spacing w:before="0" w:after="0"/>
              <w:rPr>
                <w:rFonts w:eastAsia="Times New Roman" w:cstheme="minorHAnsi"/>
                <w:color w:val="000000"/>
                <w:sz w:val="20"/>
                <w:szCs w:val="20"/>
                <w:lang w:eastAsia="es-MX"/>
              </w:rPr>
            </w:pPr>
            <w:r w:rsidRPr="001E55E3">
              <w:rPr>
                <w:rFonts w:eastAsia="Times New Roman" w:cstheme="minorHAnsi"/>
                <w:b/>
                <w:bCs/>
                <w:color w:val="000000"/>
                <w:sz w:val="20"/>
                <w:szCs w:val="20"/>
                <w:lang w:eastAsia="es-MX"/>
              </w:rPr>
              <w:t>Debilidad:</w:t>
            </w:r>
            <w:r w:rsidRPr="001E55E3">
              <w:rPr>
                <w:rFonts w:eastAsia="Times New Roman" w:cstheme="minorHAnsi"/>
                <w:color w:val="000000"/>
                <w:sz w:val="20"/>
                <w:szCs w:val="20"/>
                <w:lang w:eastAsia="es-MX"/>
              </w:rPr>
              <w:t xml:space="preserve"> Si bien para la integración del PPEE se consideran las decisiones de las mesas de trabajo y en la asignación de los recursos del Fondo participan diferentes dependencias, la asignación de los recursos se da de manera global y para cada sector estratégico del PEDH 2016-2022.</w:t>
            </w:r>
          </w:p>
        </w:tc>
        <w:tc>
          <w:tcPr>
            <w:tcW w:w="750" w:type="pct"/>
            <w:tcBorders>
              <w:top w:val="nil"/>
              <w:left w:val="nil"/>
              <w:bottom w:val="single" w:sz="4" w:space="0" w:color="auto"/>
              <w:right w:val="single" w:sz="4" w:space="0" w:color="auto"/>
            </w:tcBorders>
            <w:shd w:val="clear" w:color="000000" w:fill="FFFFFF"/>
            <w:vAlign w:val="center"/>
            <w:hideMark/>
          </w:tcPr>
          <w:p w14:paraId="0E499B24" w14:textId="77777777" w:rsidR="00D62AFB" w:rsidRPr="001E55E3" w:rsidRDefault="00D62AFB" w:rsidP="00AC58FC">
            <w:pPr>
              <w:spacing w:before="0" w:after="0"/>
              <w:jc w:val="center"/>
              <w:rPr>
                <w:rFonts w:eastAsia="Times New Roman" w:cstheme="minorHAnsi"/>
                <w:color w:val="000000"/>
                <w:sz w:val="20"/>
                <w:szCs w:val="20"/>
                <w:lang w:eastAsia="es-MX"/>
              </w:rPr>
            </w:pPr>
            <w:r w:rsidRPr="001E55E3">
              <w:rPr>
                <w:rFonts w:eastAsia="Times New Roman" w:cstheme="minorHAnsi"/>
                <w:color w:val="000000"/>
                <w:sz w:val="20"/>
                <w:szCs w:val="20"/>
                <w:lang w:eastAsia="es-MX"/>
              </w:rPr>
              <w:t>15</w:t>
            </w:r>
          </w:p>
        </w:tc>
        <w:tc>
          <w:tcPr>
            <w:tcW w:w="1911" w:type="pct"/>
            <w:tcBorders>
              <w:top w:val="nil"/>
              <w:left w:val="nil"/>
              <w:bottom w:val="single" w:sz="4" w:space="0" w:color="auto"/>
              <w:right w:val="single" w:sz="4" w:space="0" w:color="auto"/>
            </w:tcBorders>
            <w:shd w:val="clear" w:color="000000" w:fill="FFFFFF"/>
            <w:vAlign w:val="center"/>
            <w:hideMark/>
          </w:tcPr>
          <w:p w14:paraId="38D17D95" w14:textId="77777777" w:rsidR="00D62AFB" w:rsidRPr="001E55E3" w:rsidRDefault="00D62AFB" w:rsidP="00AC58FC">
            <w:pPr>
              <w:spacing w:before="0" w:after="0"/>
              <w:rPr>
                <w:rFonts w:eastAsia="Times New Roman" w:cstheme="minorHAnsi"/>
                <w:color w:val="000000"/>
                <w:sz w:val="20"/>
                <w:szCs w:val="20"/>
                <w:lang w:eastAsia="es-MX"/>
              </w:rPr>
            </w:pPr>
            <w:r w:rsidRPr="001E55E3">
              <w:rPr>
                <w:rFonts w:eastAsia="Times New Roman" w:cstheme="minorHAnsi"/>
                <w:color w:val="000000"/>
                <w:sz w:val="20"/>
                <w:szCs w:val="20"/>
                <w:lang w:eastAsia="es-MX"/>
              </w:rPr>
              <w:t>13. Se recomienda que una vez que la SFP ha realizado una estimación de los ingresos del Estado en el marco del proceso de integración del PPE y cuenta con las necesidades de gasto para el siguiente año, señalar en algún anexo o en el propio proyecto de Decreto, los rubros de gasto a los que se orientará el FAFEF conforme a las necesidades más apremiantes de la entidad federativa.</w:t>
            </w:r>
          </w:p>
        </w:tc>
      </w:tr>
      <w:tr w:rsidR="00D62AFB" w:rsidRPr="001E55E3" w14:paraId="2B043286" w14:textId="77777777" w:rsidTr="0080720C">
        <w:trPr>
          <w:trHeight w:val="870"/>
        </w:trPr>
        <w:tc>
          <w:tcPr>
            <w:tcW w:w="844" w:type="pct"/>
            <w:vMerge/>
            <w:tcBorders>
              <w:left w:val="single" w:sz="4" w:space="0" w:color="auto"/>
              <w:right w:val="single" w:sz="4" w:space="0" w:color="auto"/>
            </w:tcBorders>
            <w:vAlign w:val="center"/>
            <w:hideMark/>
          </w:tcPr>
          <w:p w14:paraId="39824D39" w14:textId="77777777" w:rsidR="00D62AFB" w:rsidRPr="001E55E3" w:rsidRDefault="00D62AFB" w:rsidP="00AC58FC">
            <w:pPr>
              <w:spacing w:before="0" w:after="0"/>
              <w:jc w:val="left"/>
              <w:rPr>
                <w:rFonts w:eastAsia="Times New Roman" w:cstheme="minorHAnsi"/>
                <w:b/>
                <w:bCs/>
                <w:color w:val="000000"/>
                <w:sz w:val="20"/>
                <w:szCs w:val="20"/>
                <w:lang w:eastAsia="es-MX"/>
              </w:rPr>
            </w:pPr>
          </w:p>
        </w:tc>
        <w:tc>
          <w:tcPr>
            <w:tcW w:w="1495" w:type="pct"/>
            <w:tcBorders>
              <w:top w:val="nil"/>
              <w:left w:val="nil"/>
              <w:bottom w:val="single" w:sz="4" w:space="0" w:color="auto"/>
              <w:right w:val="single" w:sz="4" w:space="0" w:color="auto"/>
            </w:tcBorders>
            <w:shd w:val="clear" w:color="000000" w:fill="FFFFFF"/>
            <w:vAlign w:val="center"/>
            <w:hideMark/>
          </w:tcPr>
          <w:p w14:paraId="56D94CFC" w14:textId="77777777" w:rsidR="00D62AFB" w:rsidRPr="001E55E3" w:rsidRDefault="00D62AFB" w:rsidP="00AC58FC">
            <w:pPr>
              <w:spacing w:before="0" w:after="0"/>
              <w:rPr>
                <w:rFonts w:eastAsia="Times New Roman" w:cstheme="minorHAnsi"/>
                <w:color w:val="000000"/>
                <w:sz w:val="20"/>
                <w:szCs w:val="20"/>
                <w:lang w:eastAsia="es-MX"/>
              </w:rPr>
            </w:pPr>
            <w:r w:rsidRPr="001E55E3">
              <w:rPr>
                <w:rFonts w:eastAsia="Times New Roman" w:cstheme="minorHAnsi"/>
                <w:b/>
                <w:bCs/>
                <w:color w:val="000000"/>
                <w:sz w:val="20"/>
                <w:szCs w:val="20"/>
                <w:lang w:eastAsia="es-MX"/>
              </w:rPr>
              <w:t>Debilidad:</w:t>
            </w:r>
            <w:r w:rsidRPr="001E55E3">
              <w:rPr>
                <w:rFonts w:eastAsia="Times New Roman" w:cstheme="minorHAnsi"/>
                <w:color w:val="000000"/>
                <w:sz w:val="20"/>
                <w:szCs w:val="20"/>
                <w:lang w:eastAsia="es-MX"/>
              </w:rPr>
              <w:t xml:space="preserve"> No se define con claridad los procesos que se deben seguir para la ejecución de todos los rubros de gasto del FAFEF en la entidad, por lo tanto, los procedimientos para el ejercicio, no se encuentran homologados.</w:t>
            </w:r>
          </w:p>
        </w:tc>
        <w:tc>
          <w:tcPr>
            <w:tcW w:w="750" w:type="pct"/>
            <w:tcBorders>
              <w:top w:val="nil"/>
              <w:left w:val="nil"/>
              <w:bottom w:val="single" w:sz="4" w:space="0" w:color="auto"/>
              <w:right w:val="single" w:sz="4" w:space="0" w:color="auto"/>
            </w:tcBorders>
            <w:shd w:val="clear" w:color="000000" w:fill="FFFFFF"/>
            <w:vAlign w:val="center"/>
            <w:hideMark/>
          </w:tcPr>
          <w:p w14:paraId="696B521C" w14:textId="77777777" w:rsidR="00D62AFB" w:rsidRPr="001E55E3" w:rsidRDefault="00D62AFB" w:rsidP="00AC58FC">
            <w:pPr>
              <w:spacing w:before="0" w:after="0"/>
              <w:jc w:val="center"/>
              <w:rPr>
                <w:rFonts w:eastAsia="Times New Roman" w:cstheme="minorHAnsi"/>
                <w:color w:val="000000"/>
                <w:sz w:val="20"/>
                <w:szCs w:val="20"/>
                <w:lang w:eastAsia="es-MX"/>
              </w:rPr>
            </w:pPr>
            <w:r w:rsidRPr="001E55E3">
              <w:rPr>
                <w:rFonts w:eastAsia="Times New Roman" w:cstheme="minorHAnsi"/>
                <w:color w:val="000000"/>
                <w:sz w:val="20"/>
                <w:szCs w:val="20"/>
                <w:lang w:eastAsia="es-MX"/>
              </w:rPr>
              <w:t>15</w:t>
            </w:r>
          </w:p>
        </w:tc>
        <w:tc>
          <w:tcPr>
            <w:tcW w:w="1911" w:type="pct"/>
            <w:vMerge w:val="restart"/>
            <w:tcBorders>
              <w:top w:val="nil"/>
              <w:left w:val="nil"/>
              <w:right w:val="single" w:sz="4" w:space="0" w:color="auto"/>
            </w:tcBorders>
            <w:shd w:val="clear" w:color="000000" w:fill="FFFFFF"/>
            <w:vAlign w:val="center"/>
            <w:hideMark/>
          </w:tcPr>
          <w:p w14:paraId="5539F1F5" w14:textId="77777777" w:rsidR="00D62AFB" w:rsidRPr="001E55E3" w:rsidRDefault="00D62AFB" w:rsidP="00AC58FC">
            <w:pPr>
              <w:spacing w:before="0" w:after="0"/>
              <w:rPr>
                <w:rFonts w:eastAsia="Times New Roman" w:cstheme="minorHAnsi"/>
                <w:color w:val="000000"/>
                <w:sz w:val="20"/>
                <w:szCs w:val="20"/>
                <w:lang w:eastAsia="es-MX"/>
              </w:rPr>
            </w:pPr>
            <w:r w:rsidRPr="001E55E3">
              <w:rPr>
                <w:rFonts w:eastAsia="Times New Roman" w:cstheme="minorHAnsi"/>
                <w:color w:val="000000"/>
                <w:sz w:val="20"/>
                <w:szCs w:val="20"/>
                <w:lang w:eastAsia="es-MX"/>
              </w:rPr>
              <w:t>14. Elaborar un manual de procedimientos o lineamientos que regulen el funcionamiento del Fondo, en donde se determine un mecanismo para contar con información que permita identificar periódicamente las necesidades que pueden atenderse con recursos del Fondo, las dificultades (oportunidades y amenazas) que enfrenta en la operación cada política pública asociada a los rubros de gasto y el cumplimiento de los objetivos y metas a alcanzar; así como las estrategias para implementarlas y alcance de las mismas, asignar responsables para el seguimiento de los procesos y elaborar diagramas de flujo. Con ello, la entidad federativa contará con una guía para la operación de los recursos del FAFEF que actué bajo los mismos criterios.</w:t>
            </w:r>
          </w:p>
        </w:tc>
      </w:tr>
      <w:tr w:rsidR="00D62AFB" w:rsidRPr="001E55E3" w14:paraId="65265826" w14:textId="77777777" w:rsidTr="0080720C">
        <w:trPr>
          <w:trHeight w:val="1327"/>
        </w:trPr>
        <w:tc>
          <w:tcPr>
            <w:tcW w:w="844" w:type="pct"/>
            <w:vMerge/>
            <w:tcBorders>
              <w:left w:val="single" w:sz="4" w:space="0" w:color="auto"/>
              <w:bottom w:val="single" w:sz="4" w:space="0" w:color="auto"/>
              <w:right w:val="single" w:sz="4" w:space="0" w:color="auto"/>
            </w:tcBorders>
            <w:vAlign w:val="center"/>
            <w:hideMark/>
          </w:tcPr>
          <w:p w14:paraId="5B131572" w14:textId="77777777" w:rsidR="00D62AFB" w:rsidRPr="001E55E3" w:rsidRDefault="00D62AFB" w:rsidP="00AC58FC">
            <w:pPr>
              <w:spacing w:before="0" w:after="0"/>
              <w:jc w:val="left"/>
              <w:rPr>
                <w:rFonts w:eastAsia="Times New Roman" w:cstheme="minorHAnsi"/>
                <w:b/>
                <w:bCs/>
                <w:color w:val="000000"/>
                <w:sz w:val="20"/>
                <w:szCs w:val="20"/>
                <w:lang w:eastAsia="es-MX"/>
              </w:rPr>
            </w:pPr>
          </w:p>
        </w:tc>
        <w:tc>
          <w:tcPr>
            <w:tcW w:w="1495" w:type="pct"/>
            <w:tcBorders>
              <w:top w:val="nil"/>
              <w:left w:val="nil"/>
              <w:bottom w:val="single" w:sz="4" w:space="0" w:color="auto"/>
              <w:right w:val="single" w:sz="4" w:space="0" w:color="auto"/>
            </w:tcBorders>
            <w:shd w:val="clear" w:color="000000" w:fill="FFFFFF"/>
            <w:vAlign w:val="center"/>
            <w:hideMark/>
          </w:tcPr>
          <w:p w14:paraId="062A9D4B" w14:textId="77777777" w:rsidR="00D62AFB" w:rsidRPr="001E55E3" w:rsidRDefault="00D62AFB" w:rsidP="00AC58FC">
            <w:pPr>
              <w:spacing w:before="0" w:after="0"/>
              <w:rPr>
                <w:rFonts w:eastAsia="Times New Roman" w:cstheme="minorHAnsi"/>
                <w:color w:val="000000"/>
                <w:sz w:val="20"/>
                <w:szCs w:val="20"/>
                <w:lang w:eastAsia="es-MX"/>
              </w:rPr>
            </w:pPr>
            <w:r w:rsidRPr="001E55E3">
              <w:rPr>
                <w:rFonts w:eastAsia="Times New Roman" w:cstheme="minorHAnsi"/>
                <w:b/>
                <w:bCs/>
                <w:color w:val="000000"/>
                <w:sz w:val="20"/>
                <w:szCs w:val="20"/>
                <w:lang w:eastAsia="es-MX"/>
              </w:rPr>
              <w:t>Debilidad:</w:t>
            </w:r>
            <w:r w:rsidRPr="001E55E3">
              <w:rPr>
                <w:rFonts w:eastAsia="Times New Roman" w:cstheme="minorHAnsi"/>
                <w:color w:val="000000"/>
                <w:sz w:val="20"/>
                <w:szCs w:val="20"/>
                <w:lang w:eastAsia="es-MX"/>
              </w:rPr>
              <w:t xml:space="preserve"> La entidad federativa no cuenta con procesos institucionalizados y estandarizados para supervisar el ejercicio de los recursos del FAFEF de una manera integral, es decir procesos homogéneos que consideren la posibilidad de utilizar los recursos en cualquiera de los nueve rubros establecidos en la LCF, independientemente del uso que se le dé en el Estado.</w:t>
            </w:r>
          </w:p>
        </w:tc>
        <w:tc>
          <w:tcPr>
            <w:tcW w:w="750" w:type="pct"/>
            <w:tcBorders>
              <w:top w:val="nil"/>
              <w:left w:val="nil"/>
              <w:bottom w:val="single" w:sz="4" w:space="0" w:color="auto"/>
              <w:right w:val="single" w:sz="4" w:space="0" w:color="auto"/>
            </w:tcBorders>
            <w:shd w:val="clear" w:color="000000" w:fill="FFFFFF"/>
            <w:vAlign w:val="center"/>
            <w:hideMark/>
          </w:tcPr>
          <w:p w14:paraId="2BE108C9" w14:textId="77777777" w:rsidR="00D62AFB" w:rsidRPr="001E55E3" w:rsidRDefault="00D62AFB" w:rsidP="00AC58FC">
            <w:pPr>
              <w:spacing w:before="0" w:after="0"/>
              <w:jc w:val="center"/>
              <w:rPr>
                <w:rFonts w:eastAsia="Times New Roman" w:cstheme="minorHAnsi"/>
                <w:color w:val="000000"/>
                <w:sz w:val="20"/>
                <w:szCs w:val="20"/>
                <w:lang w:eastAsia="es-MX"/>
              </w:rPr>
            </w:pPr>
            <w:r w:rsidRPr="001E55E3">
              <w:rPr>
                <w:rFonts w:eastAsia="Times New Roman" w:cstheme="minorHAnsi"/>
                <w:color w:val="000000"/>
                <w:sz w:val="20"/>
                <w:szCs w:val="20"/>
                <w:lang w:eastAsia="es-MX"/>
              </w:rPr>
              <w:t>17</w:t>
            </w:r>
          </w:p>
        </w:tc>
        <w:tc>
          <w:tcPr>
            <w:tcW w:w="1911" w:type="pct"/>
            <w:vMerge/>
            <w:tcBorders>
              <w:left w:val="nil"/>
              <w:bottom w:val="single" w:sz="4" w:space="0" w:color="auto"/>
              <w:right w:val="single" w:sz="4" w:space="0" w:color="auto"/>
            </w:tcBorders>
            <w:shd w:val="clear" w:color="000000" w:fill="FFFFFF"/>
            <w:vAlign w:val="center"/>
            <w:hideMark/>
          </w:tcPr>
          <w:p w14:paraId="731AC5E2" w14:textId="77777777" w:rsidR="00D62AFB" w:rsidRPr="001E55E3" w:rsidRDefault="00D62AFB" w:rsidP="00AC58FC">
            <w:pPr>
              <w:spacing w:before="0" w:after="0"/>
              <w:rPr>
                <w:rFonts w:eastAsia="Times New Roman" w:cstheme="minorHAnsi"/>
                <w:color w:val="000000"/>
                <w:sz w:val="20"/>
                <w:szCs w:val="20"/>
                <w:lang w:eastAsia="es-MX"/>
              </w:rPr>
            </w:pPr>
          </w:p>
        </w:tc>
      </w:tr>
      <w:tr w:rsidR="00FA6646" w:rsidRPr="001E55E3" w14:paraId="3F7F1BA7" w14:textId="77777777" w:rsidTr="00FA6646">
        <w:trPr>
          <w:trHeight w:val="77"/>
        </w:trPr>
        <w:tc>
          <w:tcPr>
            <w:tcW w:w="844" w:type="pct"/>
            <w:tcBorders>
              <w:top w:val="nil"/>
              <w:left w:val="single" w:sz="4" w:space="0" w:color="auto"/>
              <w:bottom w:val="single" w:sz="4" w:space="0" w:color="auto"/>
              <w:right w:val="single" w:sz="4" w:space="0" w:color="auto"/>
            </w:tcBorders>
            <w:shd w:val="clear" w:color="auto" w:fill="9CC2E5"/>
            <w:vAlign w:val="center"/>
          </w:tcPr>
          <w:p w14:paraId="3028F041" w14:textId="30EDD99A" w:rsidR="00FA6646" w:rsidRPr="001E55E3" w:rsidRDefault="00FA6646" w:rsidP="00FA6646">
            <w:pPr>
              <w:spacing w:before="0" w:after="0"/>
              <w:jc w:val="center"/>
              <w:rPr>
                <w:rFonts w:eastAsia="Times New Roman" w:cstheme="minorHAnsi"/>
                <w:b/>
                <w:bCs/>
                <w:color w:val="000000"/>
                <w:sz w:val="20"/>
                <w:szCs w:val="20"/>
                <w:lang w:eastAsia="es-MX"/>
              </w:rPr>
            </w:pPr>
            <w:r w:rsidRPr="001E55E3">
              <w:rPr>
                <w:rFonts w:eastAsia="Times New Roman" w:cstheme="minorHAnsi"/>
                <w:b/>
                <w:bCs/>
                <w:color w:val="000000"/>
                <w:sz w:val="20"/>
                <w:szCs w:val="20"/>
                <w:lang w:eastAsia="es-MX"/>
              </w:rPr>
              <w:t>Tema de la evaluación</w:t>
            </w:r>
          </w:p>
        </w:tc>
        <w:tc>
          <w:tcPr>
            <w:tcW w:w="1495" w:type="pct"/>
            <w:tcBorders>
              <w:top w:val="nil"/>
              <w:left w:val="nil"/>
              <w:bottom w:val="single" w:sz="4" w:space="0" w:color="auto"/>
              <w:right w:val="single" w:sz="4" w:space="0" w:color="auto"/>
            </w:tcBorders>
            <w:shd w:val="clear" w:color="auto" w:fill="9CC2E5"/>
            <w:vAlign w:val="center"/>
          </w:tcPr>
          <w:p w14:paraId="2FC1A710" w14:textId="77777777" w:rsidR="00FA6646" w:rsidRPr="001E55E3" w:rsidRDefault="00FA6646" w:rsidP="00FA6646">
            <w:pPr>
              <w:spacing w:before="0" w:after="0"/>
              <w:jc w:val="center"/>
              <w:rPr>
                <w:rFonts w:eastAsia="Times New Roman" w:cstheme="minorHAnsi"/>
                <w:b/>
                <w:bCs/>
                <w:color w:val="000000"/>
                <w:sz w:val="20"/>
                <w:szCs w:val="20"/>
                <w:lang w:eastAsia="es-MX"/>
              </w:rPr>
            </w:pPr>
            <w:r w:rsidRPr="001E55E3">
              <w:rPr>
                <w:rFonts w:eastAsia="Times New Roman" w:cstheme="minorHAnsi"/>
                <w:b/>
                <w:bCs/>
                <w:color w:val="000000"/>
                <w:sz w:val="20"/>
                <w:szCs w:val="20"/>
                <w:lang w:eastAsia="es-MX"/>
              </w:rPr>
              <w:t>Fortaleza y Oportunidad/Debilidad</w:t>
            </w:r>
          </w:p>
          <w:p w14:paraId="2D95C176" w14:textId="3332DA8B" w:rsidR="00FA6646" w:rsidRPr="001E55E3" w:rsidRDefault="00FA6646" w:rsidP="00FA6646">
            <w:pPr>
              <w:spacing w:before="0" w:after="0"/>
              <w:jc w:val="center"/>
              <w:rPr>
                <w:rFonts w:eastAsia="Times New Roman" w:cstheme="minorHAnsi"/>
                <w:b/>
                <w:bCs/>
                <w:color w:val="000000"/>
                <w:sz w:val="20"/>
                <w:szCs w:val="20"/>
                <w:lang w:eastAsia="es-MX"/>
              </w:rPr>
            </w:pPr>
            <w:r w:rsidRPr="001E55E3">
              <w:rPr>
                <w:rFonts w:eastAsia="Times New Roman" w:cstheme="minorHAnsi"/>
                <w:b/>
                <w:bCs/>
                <w:color w:val="000000"/>
                <w:sz w:val="20"/>
                <w:szCs w:val="20"/>
                <w:lang w:eastAsia="es-MX"/>
              </w:rPr>
              <w:t>y Amenaza</w:t>
            </w:r>
          </w:p>
        </w:tc>
        <w:tc>
          <w:tcPr>
            <w:tcW w:w="750" w:type="pct"/>
            <w:tcBorders>
              <w:top w:val="nil"/>
              <w:left w:val="nil"/>
              <w:bottom w:val="single" w:sz="4" w:space="0" w:color="auto"/>
              <w:right w:val="single" w:sz="4" w:space="0" w:color="auto"/>
            </w:tcBorders>
            <w:shd w:val="clear" w:color="auto" w:fill="9CC2E5"/>
            <w:vAlign w:val="center"/>
          </w:tcPr>
          <w:p w14:paraId="40F6D625" w14:textId="77777777" w:rsidR="00FA6646" w:rsidRPr="001E55E3" w:rsidRDefault="00FA6646" w:rsidP="00FA6646">
            <w:pPr>
              <w:spacing w:before="0" w:after="0"/>
              <w:jc w:val="center"/>
              <w:rPr>
                <w:rFonts w:eastAsia="Times New Roman" w:cstheme="minorHAnsi"/>
                <w:b/>
                <w:bCs/>
                <w:color w:val="000000"/>
                <w:sz w:val="20"/>
                <w:szCs w:val="20"/>
                <w:lang w:eastAsia="es-MX"/>
              </w:rPr>
            </w:pPr>
            <w:r w:rsidRPr="001E55E3">
              <w:rPr>
                <w:rFonts w:eastAsia="Times New Roman" w:cstheme="minorHAnsi"/>
                <w:b/>
                <w:bCs/>
                <w:color w:val="000000"/>
                <w:sz w:val="20"/>
                <w:szCs w:val="20"/>
                <w:lang w:eastAsia="es-MX"/>
              </w:rPr>
              <w:t>Referencia (pregunta</w:t>
            </w:r>
          </w:p>
          <w:p w14:paraId="652B978B" w14:textId="58822680" w:rsidR="00FA6646" w:rsidRPr="001E55E3" w:rsidRDefault="00FA6646" w:rsidP="00FA6646">
            <w:pPr>
              <w:spacing w:before="0" w:after="0"/>
              <w:jc w:val="center"/>
              <w:rPr>
                <w:rFonts w:eastAsia="Times New Roman" w:cstheme="minorHAnsi"/>
                <w:color w:val="000000"/>
                <w:sz w:val="20"/>
                <w:szCs w:val="20"/>
                <w:lang w:eastAsia="es-MX"/>
              </w:rPr>
            </w:pPr>
            <w:r w:rsidRPr="001E55E3">
              <w:rPr>
                <w:rFonts w:eastAsia="Times New Roman" w:cstheme="minorHAnsi"/>
                <w:b/>
                <w:bCs/>
                <w:color w:val="000000"/>
                <w:sz w:val="20"/>
                <w:szCs w:val="20"/>
                <w:lang w:eastAsia="es-MX"/>
              </w:rPr>
              <w:t>específica)</w:t>
            </w:r>
          </w:p>
        </w:tc>
        <w:tc>
          <w:tcPr>
            <w:tcW w:w="1911" w:type="pct"/>
            <w:tcBorders>
              <w:left w:val="nil"/>
              <w:bottom w:val="single" w:sz="4" w:space="0" w:color="auto"/>
              <w:right w:val="single" w:sz="4" w:space="0" w:color="auto"/>
            </w:tcBorders>
            <w:shd w:val="clear" w:color="auto" w:fill="9CC2E5"/>
            <w:vAlign w:val="center"/>
          </w:tcPr>
          <w:p w14:paraId="54619ADE" w14:textId="140BED45" w:rsidR="00FA6646" w:rsidRPr="001E55E3" w:rsidRDefault="00FA6646" w:rsidP="00FA6646">
            <w:pPr>
              <w:spacing w:before="0" w:after="0"/>
              <w:jc w:val="center"/>
              <w:rPr>
                <w:rFonts w:eastAsia="Times New Roman" w:cstheme="minorHAnsi"/>
                <w:color w:val="000000"/>
                <w:sz w:val="20"/>
                <w:szCs w:val="20"/>
                <w:lang w:eastAsia="es-MX"/>
              </w:rPr>
            </w:pPr>
            <w:r w:rsidRPr="001E55E3">
              <w:rPr>
                <w:rFonts w:eastAsia="Times New Roman" w:cstheme="minorHAnsi"/>
                <w:b/>
                <w:bCs/>
                <w:color w:val="000000"/>
                <w:sz w:val="20"/>
                <w:szCs w:val="20"/>
                <w:lang w:eastAsia="es-MX"/>
              </w:rPr>
              <w:t>Recomendación concreta</w:t>
            </w:r>
          </w:p>
        </w:tc>
      </w:tr>
      <w:tr w:rsidR="00AC58FC" w:rsidRPr="001E55E3" w14:paraId="176876A5" w14:textId="77777777" w:rsidTr="004E0127">
        <w:trPr>
          <w:trHeight w:val="300"/>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0B109D1F" w14:textId="77777777" w:rsidR="00AC58FC" w:rsidRPr="001E55E3" w:rsidRDefault="00AC58FC" w:rsidP="00AC58FC">
            <w:pPr>
              <w:spacing w:before="0" w:after="0"/>
              <w:jc w:val="center"/>
              <w:rPr>
                <w:rFonts w:eastAsia="Times New Roman" w:cstheme="minorHAnsi"/>
                <w:b/>
                <w:bCs/>
                <w:color w:val="000000"/>
                <w:sz w:val="20"/>
                <w:szCs w:val="20"/>
                <w:lang w:eastAsia="es-MX"/>
              </w:rPr>
            </w:pPr>
            <w:r w:rsidRPr="001E55E3">
              <w:rPr>
                <w:rFonts w:eastAsia="Times New Roman" w:cstheme="minorHAnsi"/>
                <w:b/>
                <w:bCs/>
                <w:color w:val="000000"/>
                <w:sz w:val="20"/>
                <w:szCs w:val="20"/>
                <w:lang w:eastAsia="es-MX"/>
              </w:rPr>
              <w:t>Fortaleza y Oportunidad</w:t>
            </w:r>
          </w:p>
        </w:tc>
      </w:tr>
      <w:tr w:rsidR="00AC58FC" w:rsidRPr="001E55E3" w14:paraId="03AE27E1" w14:textId="77777777" w:rsidTr="004C2BB8">
        <w:trPr>
          <w:trHeight w:val="765"/>
        </w:trPr>
        <w:tc>
          <w:tcPr>
            <w:tcW w:w="844" w:type="pct"/>
            <w:tcBorders>
              <w:top w:val="nil"/>
              <w:left w:val="single" w:sz="4" w:space="0" w:color="auto"/>
              <w:bottom w:val="single" w:sz="4" w:space="0" w:color="auto"/>
              <w:right w:val="single" w:sz="4" w:space="0" w:color="auto"/>
            </w:tcBorders>
            <w:shd w:val="clear" w:color="000000" w:fill="FFFFFF"/>
            <w:vAlign w:val="center"/>
            <w:hideMark/>
          </w:tcPr>
          <w:p w14:paraId="1D9C5D41" w14:textId="77777777" w:rsidR="00AC58FC" w:rsidRPr="001E55E3" w:rsidRDefault="00AC58FC" w:rsidP="00AC58FC">
            <w:pPr>
              <w:spacing w:before="0" w:after="0"/>
              <w:rPr>
                <w:rFonts w:eastAsia="Times New Roman" w:cstheme="minorHAnsi"/>
                <w:b/>
                <w:bCs/>
                <w:color w:val="000000"/>
                <w:sz w:val="20"/>
                <w:szCs w:val="20"/>
                <w:lang w:eastAsia="es-MX"/>
              </w:rPr>
            </w:pPr>
            <w:r w:rsidRPr="001E55E3">
              <w:rPr>
                <w:rFonts w:eastAsia="Times New Roman" w:cstheme="minorHAnsi"/>
                <w:b/>
                <w:bCs/>
                <w:color w:val="000000"/>
                <w:sz w:val="20"/>
                <w:szCs w:val="20"/>
                <w:lang w:eastAsia="es-MX"/>
              </w:rPr>
              <w:t>Módulo 6. Complementariedades y coincidencias</w:t>
            </w:r>
          </w:p>
        </w:tc>
        <w:tc>
          <w:tcPr>
            <w:tcW w:w="1495" w:type="pct"/>
            <w:tcBorders>
              <w:top w:val="nil"/>
              <w:left w:val="nil"/>
              <w:bottom w:val="single" w:sz="4" w:space="0" w:color="auto"/>
              <w:right w:val="single" w:sz="4" w:space="0" w:color="auto"/>
            </w:tcBorders>
            <w:shd w:val="clear" w:color="000000" w:fill="FFFFFF"/>
            <w:vAlign w:val="center"/>
            <w:hideMark/>
          </w:tcPr>
          <w:p w14:paraId="12B23AC4" w14:textId="6DBD13FC" w:rsidR="00AC58FC" w:rsidRPr="001E55E3" w:rsidRDefault="00AC58FC" w:rsidP="00AC58FC">
            <w:pPr>
              <w:spacing w:before="0" w:after="0"/>
              <w:rPr>
                <w:rFonts w:eastAsia="Times New Roman" w:cstheme="minorHAnsi"/>
                <w:color w:val="000000"/>
                <w:sz w:val="20"/>
                <w:szCs w:val="20"/>
                <w:lang w:eastAsia="es-MX"/>
              </w:rPr>
            </w:pPr>
            <w:r w:rsidRPr="001E55E3">
              <w:rPr>
                <w:rFonts w:eastAsia="Times New Roman" w:cstheme="minorHAnsi"/>
                <w:b/>
                <w:bCs/>
                <w:color w:val="000000"/>
                <w:sz w:val="20"/>
                <w:szCs w:val="20"/>
                <w:lang w:eastAsia="es-MX"/>
              </w:rPr>
              <w:t>Fortaleza:</w:t>
            </w:r>
            <w:r w:rsidR="00B74B08">
              <w:rPr>
                <w:rFonts w:eastAsia="Times New Roman" w:cstheme="minorHAnsi"/>
                <w:color w:val="000000"/>
                <w:sz w:val="20"/>
                <w:szCs w:val="20"/>
                <w:lang w:eastAsia="es-MX"/>
              </w:rPr>
              <w:t xml:space="preserve"> El Fondo complementa</w:t>
            </w:r>
            <w:r w:rsidRPr="001E55E3">
              <w:rPr>
                <w:rFonts w:eastAsia="Times New Roman" w:cstheme="minorHAnsi"/>
                <w:color w:val="000000"/>
                <w:sz w:val="20"/>
                <w:szCs w:val="20"/>
                <w:lang w:eastAsia="es-MX"/>
              </w:rPr>
              <w:t xml:space="preserve"> diversos Pp del Estado dado que complementa los recursos </w:t>
            </w:r>
            <w:r w:rsidRPr="001E55E3">
              <w:rPr>
                <w:rFonts w:eastAsia="Times New Roman" w:cstheme="minorHAnsi"/>
                <w:color w:val="000000"/>
                <w:sz w:val="20"/>
                <w:szCs w:val="20"/>
                <w:lang w:eastAsia="es-MX"/>
              </w:rPr>
              <w:lastRenderedPageBreak/>
              <w:t xml:space="preserve">para llevar a cabo la implementación de obra pública a nivel estatal. </w:t>
            </w:r>
          </w:p>
        </w:tc>
        <w:tc>
          <w:tcPr>
            <w:tcW w:w="750" w:type="pct"/>
            <w:tcBorders>
              <w:top w:val="nil"/>
              <w:left w:val="nil"/>
              <w:bottom w:val="single" w:sz="4" w:space="0" w:color="auto"/>
              <w:right w:val="single" w:sz="4" w:space="0" w:color="auto"/>
            </w:tcBorders>
            <w:shd w:val="clear" w:color="000000" w:fill="FFFFFF"/>
            <w:vAlign w:val="center"/>
            <w:hideMark/>
          </w:tcPr>
          <w:p w14:paraId="5A8534DD" w14:textId="77777777" w:rsidR="00AC58FC" w:rsidRPr="001E55E3" w:rsidRDefault="00AC58FC" w:rsidP="00AC58FC">
            <w:pPr>
              <w:spacing w:before="0" w:after="0"/>
              <w:jc w:val="center"/>
              <w:rPr>
                <w:rFonts w:eastAsia="Times New Roman" w:cstheme="minorHAnsi"/>
                <w:color w:val="000000"/>
                <w:sz w:val="20"/>
                <w:szCs w:val="20"/>
                <w:lang w:eastAsia="es-MX"/>
              </w:rPr>
            </w:pPr>
            <w:r w:rsidRPr="001E55E3">
              <w:rPr>
                <w:rFonts w:eastAsia="Times New Roman" w:cstheme="minorHAnsi"/>
                <w:color w:val="000000"/>
                <w:sz w:val="20"/>
                <w:szCs w:val="20"/>
                <w:lang w:eastAsia="es-MX"/>
              </w:rPr>
              <w:lastRenderedPageBreak/>
              <w:t>21 y 22</w:t>
            </w:r>
          </w:p>
        </w:tc>
        <w:tc>
          <w:tcPr>
            <w:tcW w:w="1911" w:type="pct"/>
            <w:tcBorders>
              <w:top w:val="nil"/>
              <w:left w:val="nil"/>
              <w:bottom w:val="single" w:sz="4" w:space="0" w:color="auto"/>
              <w:right w:val="single" w:sz="4" w:space="0" w:color="auto"/>
            </w:tcBorders>
            <w:shd w:val="clear" w:color="000000" w:fill="FFFFFF"/>
            <w:vAlign w:val="center"/>
            <w:hideMark/>
          </w:tcPr>
          <w:p w14:paraId="4349DCF3" w14:textId="77777777" w:rsidR="00AC58FC" w:rsidRPr="001E55E3" w:rsidRDefault="00AC58FC" w:rsidP="00AC58FC">
            <w:pPr>
              <w:spacing w:before="0" w:after="0"/>
              <w:rPr>
                <w:rFonts w:eastAsia="Times New Roman" w:cstheme="minorHAnsi"/>
                <w:color w:val="000000"/>
                <w:sz w:val="20"/>
                <w:szCs w:val="20"/>
                <w:lang w:eastAsia="es-MX"/>
              </w:rPr>
            </w:pPr>
            <w:r w:rsidRPr="001E55E3">
              <w:rPr>
                <w:rFonts w:eastAsia="Times New Roman" w:cstheme="minorHAnsi"/>
                <w:color w:val="000000"/>
                <w:sz w:val="20"/>
                <w:szCs w:val="20"/>
                <w:lang w:eastAsia="es-MX"/>
              </w:rPr>
              <w:t>Sin recomendación</w:t>
            </w:r>
          </w:p>
        </w:tc>
      </w:tr>
      <w:tr w:rsidR="0060167E" w:rsidRPr="001E55E3" w14:paraId="60061564" w14:textId="77777777" w:rsidTr="0060167E">
        <w:trPr>
          <w:trHeight w:val="255"/>
        </w:trPr>
        <w:tc>
          <w:tcPr>
            <w:tcW w:w="5000" w:type="pct"/>
            <w:gridSpan w:val="4"/>
            <w:tcBorders>
              <w:top w:val="nil"/>
              <w:left w:val="single" w:sz="4" w:space="0" w:color="auto"/>
              <w:bottom w:val="single" w:sz="4" w:space="0" w:color="auto"/>
              <w:right w:val="single" w:sz="4" w:space="0" w:color="auto"/>
            </w:tcBorders>
            <w:shd w:val="clear" w:color="auto" w:fill="D0CECE" w:themeFill="background2" w:themeFillShade="E6"/>
            <w:vAlign w:val="center"/>
          </w:tcPr>
          <w:p w14:paraId="1B066965" w14:textId="3AB602AE" w:rsidR="0060167E" w:rsidRPr="001E55E3" w:rsidRDefault="0060167E" w:rsidP="0060167E">
            <w:pPr>
              <w:spacing w:before="0" w:after="0"/>
              <w:jc w:val="center"/>
              <w:rPr>
                <w:rFonts w:eastAsia="Times New Roman" w:cstheme="minorHAnsi"/>
                <w:color w:val="000000"/>
                <w:sz w:val="20"/>
                <w:szCs w:val="20"/>
                <w:lang w:eastAsia="es-MX"/>
              </w:rPr>
            </w:pPr>
            <w:r w:rsidRPr="001E55E3">
              <w:rPr>
                <w:rFonts w:eastAsia="Times New Roman" w:cstheme="minorHAnsi"/>
                <w:b/>
                <w:bCs/>
                <w:color w:val="000000"/>
                <w:sz w:val="20"/>
                <w:szCs w:val="20"/>
                <w:lang w:eastAsia="es-MX"/>
              </w:rPr>
              <w:t>Debilidad o Amenaza</w:t>
            </w:r>
          </w:p>
        </w:tc>
      </w:tr>
      <w:tr w:rsidR="0060167E" w:rsidRPr="001E55E3" w14:paraId="01E1F99D" w14:textId="77777777" w:rsidTr="004C2BB8">
        <w:trPr>
          <w:trHeight w:val="765"/>
        </w:trPr>
        <w:tc>
          <w:tcPr>
            <w:tcW w:w="844" w:type="pct"/>
            <w:tcBorders>
              <w:top w:val="nil"/>
              <w:left w:val="single" w:sz="4" w:space="0" w:color="auto"/>
              <w:bottom w:val="single" w:sz="4" w:space="0" w:color="auto"/>
              <w:right w:val="single" w:sz="4" w:space="0" w:color="auto"/>
            </w:tcBorders>
            <w:shd w:val="clear" w:color="000000" w:fill="FFFFFF"/>
            <w:vAlign w:val="center"/>
          </w:tcPr>
          <w:p w14:paraId="4FF8BB06" w14:textId="09753EF5" w:rsidR="0060167E" w:rsidRPr="001E55E3" w:rsidRDefault="0060167E" w:rsidP="0060167E">
            <w:pPr>
              <w:spacing w:before="0" w:after="0"/>
              <w:rPr>
                <w:rFonts w:eastAsia="Times New Roman" w:cstheme="minorHAnsi"/>
                <w:b/>
                <w:bCs/>
                <w:color w:val="000000"/>
                <w:sz w:val="20"/>
                <w:szCs w:val="20"/>
                <w:lang w:eastAsia="es-MX"/>
              </w:rPr>
            </w:pPr>
            <w:r w:rsidRPr="001E55E3">
              <w:rPr>
                <w:rFonts w:eastAsia="Times New Roman" w:cstheme="minorHAnsi"/>
                <w:b/>
                <w:bCs/>
                <w:color w:val="000000"/>
                <w:sz w:val="20"/>
                <w:szCs w:val="20"/>
                <w:lang w:eastAsia="es-MX"/>
              </w:rPr>
              <w:t>Módulo 6. Complementariedades y coincidencias</w:t>
            </w:r>
          </w:p>
        </w:tc>
        <w:tc>
          <w:tcPr>
            <w:tcW w:w="1495" w:type="pct"/>
            <w:tcBorders>
              <w:top w:val="nil"/>
              <w:left w:val="nil"/>
              <w:bottom w:val="single" w:sz="4" w:space="0" w:color="auto"/>
              <w:right w:val="single" w:sz="4" w:space="0" w:color="auto"/>
            </w:tcBorders>
            <w:shd w:val="clear" w:color="000000" w:fill="FFFFFF"/>
            <w:vAlign w:val="center"/>
          </w:tcPr>
          <w:p w14:paraId="142BA73B" w14:textId="51C59777" w:rsidR="0060167E" w:rsidRPr="001E55E3" w:rsidRDefault="0060167E" w:rsidP="0060167E">
            <w:pPr>
              <w:spacing w:before="0" w:after="0"/>
              <w:rPr>
                <w:rFonts w:eastAsia="Times New Roman" w:cstheme="minorHAnsi"/>
                <w:b/>
                <w:bCs/>
                <w:color w:val="000000"/>
                <w:sz w:val="20"/>
                <w:szCs w:val="20"/>
                <w:lang w:eastAsia="es-MX"/>
              </w:rPr>
            </w:pPr>
            <w:r w:rsidRPr="00DB3A87">
              <w:rPr>
                <w:rFonts w:eastAsia="Times New Roman" w:cstheme="minorHAnsi"/>
                <w:color w:val="000000"/>
                <w:sz w:val="20"/>
                <w:szCs w:val="20"/>
                <w:lang w:eastAsia="es-MX"/>
              </w:rPr>
              <w:t>Sin debilidad o amenaza</w:t>
            </w:r>
          </w:p>
        </w:tc>
        <w:tc>
          <w:tcPr>
            <w:tcW w:w="750" w:type="pct"/>
            <w:tcBorders>
              <w:top w:val="nil"/>
              <w:left w:val="nil"/>
              <w:bottom w:val="single" w:sz="4" w:space="0" w:color="auto"/>
              <w:right w:val="single" w:sz="4" w:space="0" w:color="auto"/>
            </w:tcBorders>
            <w:shd w:val="clear" w:color="000000" w:fill="FFFFFF"/>
            <w:vAlign w:val="center"/>
          </w:tcPr>
          <w:p w14:paraId="69BB31F0" w14:textId="24507F95" w:rsidR="0060167E" w:rsidRPr="001E55E3" w:rsidRDefault="0060167E" w:rsidP="0060167E">
            <w:pPr>
              <w:spacing w:before="0" w:after="0"/>
              <w:jc w:val="center"/>
              <w:rPr>
                <w:rFonts w:eastAsia="Times New Roman" w:cstheme="minorHAnsi"/>
                <w:color w:val="000000"/>
                <w:sz w:val="20"/>
                <w:szCs w:val="20"/>
                <w:lang w:eastAsia="es-MX"/>
              </w:rPr>
            </w:pPr>
            <w:r>
              <w:rPr>
                <w:rFonts w:eastAsia="Times New Roman" w:cstheme="minorHAnsi"/>
                <w:b/>
                <w:bCs/>
                <w:color w:val="000000"/>
                <w:sz w:val="20"/>
                <w:szCs w:val="20"/>
                <w:lang w:eastAsia="es-MX"/>
              </w:rPr>
              <w:t>-</w:t>
            </w:r>
          </w:p>
        </w:tc>
        <w:tc>
          <w:tcPr>
            <w:tcW w:w="1911" w:type="pct"/>
            <w:tcBorders>
              <w:top w:val="nil"/>
              <w:left w:val="nil"/>
              <w:bottom w:val="single" w:sz="4" w:space="0" w:color="auto"/>
              <w:right w:val="single" w:sz="4" w:space="0" w:color="auto"/>
            </w:tcBorders>
            <w:shd w:val="clear" w:color="000000" w:fill="FFFFFF"/>
            <w:vAlign w:val="center"/>
          </w:tcPr>
          <w:p w14:paraId="4D77A42C" w14:textId="3F3B3851" w:rsidR="0060167E" w:rsidRPr="001E55E3" w:rsidRDefault="0060167E" w:rsidP="0060167E">
            <w:pPr>
              <w:spacing w:before="0" w:after="0"/>
              <w:rPr>
                <w:rFonts w:eastAsia="Times New Roman" w:cstheme="minorHAnsi"/>
                <w:color w:val="000000"/>
                <w:sz w:val="20"/>
                <w:szCs w:val="20"/>
                <w:lang w:eastAsia="es-MX"/>
              </w:rPr>
            </w:pPr>
            <w:r w:rsidRPr="00DB3A87">
              <w:rPr>
                <w:rFonts w:eastAsia="Times New Roman" w:cstheme="minorHAnsi"/>
                <w:color w:val="000000"/>
                <w:sz w:val="20"/>
                <w:szCs w:val="20"/>
                <w:lang w:eastAsia="es-MX"/>
              </w:rPr>
              <w:t>Sin recomendación</w:t>
            </w:r>
          </w:p>
        </w:tc>
      </w:tr>
      <w:tr w:rsidR="006970E9" w:rsidRPr="001E55E3" w14:paraId="72A56622" w14:textId="77777777" w:rsidTr="006970E9">
        <w:trPr>
          <w:trHeight w:val="765"/>
        </w:trPr>
        <w:tc>
          <w:tcPr>
            <w:tcW w:w="844" w:type="pct"/>
            <w:tcBorders>
              <w:top w:val="nil"/>
              <w:left w:val="single" w:sz="4" w:space="0" w:color="auto"/>
              <w:bottom w:val="single" w:sz="4" w:space="0" w:color="auto"/>
              <w:right w:val="single" w:sz="4" w:space="0" w:color="auto"/>
            </w:tcBorders>
            <w:shd w:val="clear" w:color="auto" w:fill="9CC2E5"/>
            <w:vAlign w:val="center"/>
          </w:tcPr>
          <w:p w14:paraId="36ED8328" w14:textId="473457A1" w:rsidR="006970E9" w:rsidRPr="001E55E3" w:rsidRDefault="006970E9" w:rsidP="006970E9">
            <w:pPr>
              <w:spacing w:before="0" w:after="0"/>
              <w:jc w:val="center"/>
              <w:rPr>
                <w:rFonts w:eastAsia="Times New Roman" w:cstheme="minorHAnsi"/>
                <w:b/>
                <w:bCs/>
                <w:color w:val="000000"/>
                <w:sz w:val="20"/>
                <w:szCs w:val="20"/>
                <w:lang w:eastAsia="es-MX"/>
              </w:rPr>
            </w:pPr>
            <w:r w:rsidRPr="001E55E3">
              <w:rPr>
                <w:rFonts w:eastAsia="Times New Roman" w:cstheme="minorHAnsi"/>
                <w:b/>
                <w:bCs/>
                <w:color w:val="000000"/>
                <w:sz w:val="20"/>
                <w:szCs w:val="20"/>
                <w:lang w:eastAsia="es-MX"/>
              </w:rPr>
              <w:t>Tema de la evaluación</w:t>
            </w:r>
          </w:p>
        </w:tc>
        <w:tc>
          <w:tcPr>
            <w:tcW w:w="1495" w:type="pct"/>
            <w:tcBorders>
              <w:top w:val="nil"/>
              <w:left w:val="nil"/>
              <w:bottom w:val="single" w:sz="4" w:space="0" w:color="auto"/>
              <w:right w:val="single" w:sz="4" w:space="0" w:color="auto"/>
            </w:tcBorders>
            <w:shd w:val="clear" w:color="auto" w:fill="9CC2E5"/>
            <w:vAlign w:val="center"/>
          </w:tcPr>
          <w:p w14:paraId="3E1298D9" w14:textId="77777777" w:rsidR="006970E9" w:rsidRPr="001E55E3" w:rsidRDefault="006970E9" w:rsidP="006970E9">
            <w:pPr>
              <w:spacing w:before="0" w:after="0"/>
              <w:jc w:val="center"/>
              <w:rPr>
                <w:rFonts w:eastAsia="Times New Roman" w:cstheme="minorHAnsi"/>
                <w:b/>
                <w:bCs/>
                <w:color w:val="000000"/>
                <w:sz w:val="20"/>
                <w:szCs w:val="20"/>
                <w:lang w:eastAsia="es-MX"/>
              </w:rPr>
            </w:pPr>
            <w:r w:rsidRPr="001E55E3">
              <w:rPr>
                <w:rFonts w:eastAsia="Times New Roman" w:cstheme="minorHAnsi"/>
                <w:b/>
                <w:bCs/>
                <w:color w:val="000000"/>
                <w:sz w:val="20"/>
                <w:szCs w:val="20"/>
                <w:lang w:eastAsia="es-MX"/>
              </w:rPr>
              <w:t>Fortaleza y Oportunidad/Debilidad</w:t>
            </w:r>
          </w:p>
          <w:p w14:paraId="50CD59CA" w14:textId="6A7EA31B" w:rsidR="006970E9" w:rsidRPr="00DB3A87" w:rsidRDefault="006970E9" w:rsidP="006970E9">
            <w:pPr>
              <w:spacing w:before="0" w:after="0"/>
              <w:jc w:val="center"/>
              <w:rPr>
                <w:rFonts w:eastAsia="Times New Roman" w:cstheme="minorHAnsi"/>
                <w:color w:val="000000"/>
                <w:sz w:val="20"/>
                <w:szCs w:val="20"/>
                <w:lang w:eastAsia="es-MX"/>
              </w:rPr>
            </w:pPr>
            <w:r w:rsidRPr="001E55E3">
              <w:rPr>
                <w:rFonts w:eastAsia="Times New Roman" w:cstheme="minorHAnsi"/>
                <w:b/>
                <w:bCs/>
                <w:color w:val="000000"/>
                <w:sz w:val="20"/>
                <w:szCs w:val="20"/>
                <w:lang w:eastAsia="es-MX"/>
              </w:rPr>
              <w:t>y Amenaza</w:t>
            </w:r>
          </w:p>
        </w:tc>
        <w:tc>
          <w:tcPr>
            <w:tcW w:w="750" w:type="pct"/>
            <w:tcBorders>
              <w:top w:val="nil"/>
              <w:left w:val="nil"/>
              <w:bottom w:val="single" w:sz="4" w:space="0" w:color="auto"/>
              <w:right w:val="single" w:sz="4" w:space="0" w:color="auto"/>
            </w:tcBorders>
            <w:shd w:val="clear" w:color="auto" w:fill="9CC2E5"/>
            <w:vAlign w:val="center"/>
          </w:tcPr>
          <w:p w14:paraId="174440B1" w14:textId="77777777" w:rsidR="006970E9" w:rsidRPr="001E55E3" w:rsidRDefault="006970E9" w:rsidP="006970E9">
            <w:pPr>
              <w:spacing w:before="0" w:after="0"/>
              <w:jc w:val="center"/>
              <w:rPr>
                <w:rFonts w:eastAsia="Times New Roman" w:cstheme="minorHAnsi"/>
                <w:b/>
                <w:bCs/>
                <w:color w:val="000000"/>
                <w:sz w:val="20"/>
                <w:szCs w:val="20"/>
                <w:lang w:eastAsia="es-MX"/>
              </w:rPr>
            </w:pPr>
            <w:r w:rsidRPr="001E55E3">
              <w:rPr>
                <w:rFonts w:eastAsia="Times New Roman" w:cstheme="minorHAnsi"/>
                <w:b/>
                <w:bCs/>
                <w:color w:val="000000"/>
                <w:sz w:val="20"/>
                <w:szCs w:val="20"/>
                <w:lang w:eastAsia="es-MX"/>
              </w:rPr>
              <w:t>Referencia (pregunta</w:t>
            </w:r>
          </w:p>
          <w:p w14:paraId="70FA866D" w14:textId="30727FC6" w:rsidR="006970E9" w:rsidRDefault="006970E9" w:rsidP="006970E9">
            <w:pPr>
              <w:spacing w:before="0" w:after="0"/>
              <w:jc w:val="center"/>
              <w:rPr>
                <w:rFonts w:eastAsia="Times New Roman" w:cstheme="minorHAnsi"/>
                <w:b/>
                <w:bCs/>
                <w:color w:val="000000"/>
                <w:sz w:val="20"/>
                <w:szCs w:val="20"/>
                <w:lang w:eastAsia="es-MX"/>
              </w:rPr>
            </w:pPr>
            <w:r w:rsidRPr="001E55E3">
              <w:rPr>
                <w:rFonts w:eastAsia="Times New Roman" w:cstheme="minorHAnsi"/>
                <w:b/>
                <w:bCs/>
                <w:color w:val="000000"/>
                <w:sz w:val="20"/>
                <w:szCs w:val="20"/>
                <w:lang w:eastAsia="es-MX"/>
              </w:rPr>
              <w:t>específica)</w:t>
            </w:r>
          </w:p>
        </w:tc>
        <w:tc>
          <w:tcPr>
            <w:tcW w:w="1911" w:type="pct"/>
            <w:tcBorders>
              <w:top w:val="nil"/>
              <w:left w:val="nil"/>
              <w:bottom w:val="single" w:sz="4" w:space="0" w:color="auto"/>
              <w:right w:val="single" w:sz="4" w:space="0" w:color="auto"/>
            </w:tcBorders>
            <w:shd w:val="clear" w:color="auto" w:fill="9CC2E5"/>
            <w:vAlign w:val="center"/>
          </w:tcPr>
          <w:p w14:paraId="560400F4" w14:textId="339C8E9F" w:rsidR="006970E9" w:rsidRPr="00DB3A87" w:rsidRDefault="006970E9" w:rsidP="006970E9">
            <w:pPr>
              <w:spacing w:before="0" w:after="0"/>
              <w:jc w:val="center"/>
              <w:rPr>
                <w:rFonts w:eastAsia="Times New Roman" w:cstheme="minorHAnsi"/>
                <w:color w:val="000000"/>
                <w:sz w:val="20"/>
                <w:szCs w:val="20"/>
                <w:lang w:eastAsia="es-MX"/>
              </w:rPr>
            </w:pPr>
            <w:r w:rsidRPr="001E55E3">
              <w:rPr>
                <w:rFonts w:eastAsia="Times New Roman" w:cstheme="minorHAnsi"/>
                <w:b/>
                <w:bCs/>
                <w:color w:val="000000"/>
                <w:sz w:val="20"/>
                <w:szCs w:val="20"/>
                <w:lang w:eastAsia="es-MX"/>
              </w:rPr>
              <w:t>Recomendación concreta</w:t>
            </w:r>
          </w:p>
        </w:tc>
      </w:tr>
      <w:tr w:rsidR="006970E9" w:rsidRPr="001E55E3" w14:paraId="6D3EFA74" w14:textId="77777777" w:rsidTr="004E0127">
        <w:trPr>
          <w:trHeight w:val="300"/>
        </w:trPr>
        <w:tc>
          <w:tcPr>
            <w:tcW w:w="5000" w:type="pct"/>
            <w:gridSpan w:val="4"/>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14:paraId="4B3C8ECC" w14:textId="77777777" w:rsidR="006970E9" w:rsidRPr="001E55E3" w:rsidRDefault="006970E9" w:rsidP="006970E9">
            <w:pPr>
              <w:spacing w:before="0" w:after="0"/>
              <w:jc w:val="center"/>
              <w:rPr>
                <w:rFonts w:eastAsia="Times New Roman" w:cstheme="minorHAnsi"/>
                <w:b/>
                <w:bCs/>
                <w:color w:val="000000"/>
                <w:sz w:val="20"/>
                <w:szCs w:val="20"/>
                <w:lang w:eastAsia="es-MX"/>
              </w:rPr>
            </w:pPr>
            <w:r w:rsidRPr="001E55E3">
              <w:rPr>
                <w:rFonts w:eastAsia="Times New Roman" w:cstheme="minorHAnsi"/>
                <w:b/>
                <w:bCs/>
                <w:color w:val="000000"/>
                <w:sz w:val="20"/>
                <w:szCs w:val="20"/>
                <w:lang w:eastAsia="es-MX"/>
              </w:rPr>
              <w:t>Fortaleza y Oportunidad</w:t>
            </w:r>
          </w:p>
        </w:tc>
      </w:tr>
      <w:tr w:rsidR="006970E9" w:rsidRPr="001E55E3" w14:paraId="0AEFB4BC" w14:textId="77777777" w:rsidTr="004C2BB8">
        <w:trPr>
          <w:trHeight w:val="359"/>
        </w:trPr>
        <w:tc>
          <w:tcPr>
            <w:tcW w:w="844" w:type="pct"/>
            <w:vMerge w:val="restart"/>
            <w:tcBorders>
              <w:top w:val="nil"/>
              <w:left w:val="single" w:sz="4" w:space="0" w:color="auto"/>
              <w:right w:val="single" w:sz="4" w:space="0" w:color="auto"/>
            </w:tcBorders>
            <w:shd w:val="clear" w:color="000000" w:fill="FFFFFF"/>
            <w:vAlign w:val="center"/>
            <w:hideMark/>
          </w:tcPr>
          <w:p w14:paraId="241B25E2" w14:textId="77777777" w:rsidR="006970E9" w:rsidRPr="001E55E3" w:rsidRDefault="006970E9" w:rsidP="006970E9">
            <w:pPr>
              <w:spacing w:before="0" w:after="0"/>
              <w:rPr>
                <w:rFonts w:eastAsia="Times New Roman" w:cstheme="minorHAnsi"/>
                <w:b/>
                <w:bCs/>
                <w:color w:val="000000"/>
                <w:sz w:val="20"/>
                <w:szCs w:val="20"/>
                <w:lang w:eastAsia="es-MX"/>
              </w:rPr>
            </w:pPr>
            <w:r w:rsidRPr="001E55E3">
              <w:rPr>
                <w:rFonts w:eastAsia="Times New Roman" w:cstheme="minorHAnsi"/>
                <w:b/>
                <w:bCs/>
                <w:color w:val="000000"/>
                <w:sz w:val="20"/>
                <w:szCs w:val="20"/>
                <w:lang w:eastAsia="es-MX"/>
              </w:rPr>
              <w:t>Módulo 7. Calidad de la información</w:t>
            </w:r>
          </w:p>
        </w:tc>
        <w:tc>
          <w:tcPr>
            <w:tcW w:w="1495" w:type="pct"/>
            <w:tcBorders>
              <w:top w:val="nil"/>
              <w:left w:val="nil"/>
              <w:bottom w:val="single" w:sz="4" w:space="0" w:color="auto"/>
              <w:right w:val="single" w:sz="4" w:space="0" w:color="auto"/>
            </w:tcBorders>
            <w:shd w:val="clear" w:color="000000" w:fill="FFFFFF"/>
            <w:vAlign w:val="center"/>
            <w:hideMark/>
          </w:tcPr>
          <w:p w14:paraId="40891EC0" w14:textId="50C735AA" w:rsidR="006970E9" w:rsidRPr="001E55E3" w:rsidRDefault="006970E9" w:rsidP="006970E9">
            <w:pPr>
              <w:spacing w:before="0" w:after="0"/>
              <w:rPr>
                <w:rFonts w:eastAsia="Times New Roman" w:cstheme="minorHAnsi"/>
                <w:color w:val="000000"/>
                <w:sz w:val="20"/>
                <w:szCs w:val="20"/>
                <w:lang w:eastAsia="es-MX"/>
              </w:rPr>
            </w:pPr>
            <w:r w:rsidRPr="001E55E3">
              <w:rPr>
                <w:rFonts w:eastAsia="Times New Roman" w:cstheme="minorHAnsi"/>
                <w:b/>
                <w:bCs/>
                <w:color w:val="000000"/>
                <w:sz w:val="20"/>
                <w:szCs w:val="20"/>
                <w:lang w:eastAsia="es-MX"/>
              </w:rPr>
              <w:t>Fortaleza:</w:t>
            </w:r>
            <w:r w:rsidRPr="001E55E3">
              <w:rPr>
                <w:rFonts w:eastAsia="Times New Roman" w:cstheme="minorHAnsi"/>
                <w:color w:val="000000"/>
                <w:sz w:val="20"/>
                <w:szCs w:val="20"/>
                <w:lang w:eastAsia="es-MX"/>
              </w:rPr>
              <w:t xml:space="preserve"> En el </w:t>
            </w:r>
            <w:r w:rsidR="005934C9">
              <w:rPr>
                <w:rFonts w:eastAsia="Times New Roman" w:cstheme="minorHAnsi"/>
                <w:color w:val="000000"/>
                <w:sz w:val="20"/>
                <w:szCs w:val="20"/>
                <w:lang w:eastAsia="es-MX"/>
              </w:rPr>
              <w:t>E</w:t>
            </w:r>
            <w:r w:rsidRPr="001E55E3">
              <w:rPr>
                <w:rFonts w:eastAsia="Times New Roman" w:cstheme="minorHAnsi"/>
                <w:color w:val="000000"/>
                <w:sz w:val="20"/>
                <w:szCs w:val="20"/>
                <w:lang w:eastAsia="es-MX"/>
              </w:rPr>
              <w:t>stado de Hidalgo se cuenta con mecanismos que permite la adecuada transparencia el manejo de los recursos, dado la información sobre el ejercicio de los recursos se reporta tanto por medios federales como estatales y están disponibles para su consulta en la página web de transparencia del gobierno del Estado.</w:t>
            </w:r>
          </w:p>
        </w:tc>
        <w:tc>
          <w:tcPr>
            <w:tcW w:w="750" w:type="pct"/>
            <w:tcBorders>
              <w:top w:val="nil"/>
              <w:left w:val="nil"/>
              <w:bottom w:val="single" w:sz="4" w:space="0" w:color="auto"/>
              <w:right w:val="single" w:sz="4" w:space="0" w:color="auto"/>
            </w:tcBorders>
            <w:shd w:val="clear" w:color="000000" w:fill="FFFFFF"/>
            <w:vAlign w:val="center"/>
            <w:hideMark/>
          </w:tcPr>
          <w:p w14:paraId="676D88CF" w14:textId="77777777" w:rsidR="006970E9" w:rsidRPr="001E55E3" w:rsidRDefault="006970E9" w:rsidP="006970E9">
            <w:pPr>
              <w:spacing w:before="0" w:after="0"/>
              <w:jc w:val="center"/>
              <w:rPr>
                <w:rFonts w:eastAsia="Times New Roman" w:cstheme="minorHAnsi"/>
                <w:color w:val="000000"/>
                <w:sz w:val="20"/>
                <w:szCs w:val="20"/>
                <w:lang w:eastAsia="es-MX"/>
              </w:rPr>
            </w:pPr>
            <w:r w:rsidRPr="001E55E3">
              <w:rPr>
                <w:rFonts w:eastAsia="Times New Roman" w:cstheme="minorHAnsi"/>
                <w:color w:val="000000"/>
                <w:sz w:val="20"/>
                <w:szCs w:val="20"/>
                <w:lang w:eastAsia="es-MX"/>
              </w:rPr>
              <w:t>24</w:t>
            </w:r>
          </w:p>
        </w:tc>
        <w:tc>
          <w:tcPr>
            <w:tcW w:w="1911" w:type="pct"/>
            <w:tcBorders>
              <w:top w:val="nil"/>
              <w:left w:val="nil"/>
              <w:bottom w:val="single" w:sz="4" w:space="0" w:color="auto"/>
              <w:right w:val="single" w:sz="4" w:space="0" w:color="auto"/>
            </w:tcBorders>
            <w:shd w:val="clear" w:color="000000" w:fill="FFFFFF"/>
            <w:vAlign w:val="center"/>
            <w:hideMark/>
          </w:tcPr>
          <w:p w14:paraId="70265DF7" w14:textId="77777777" w:rsidR="006970E9" w:rsidRPr="001E55E3" w:rsidRDefault="006970E9" w:rsidP="006970E9">
            <w:pPr>
              <w:spacing w:before="0" w:after="0"/>
              <w:rPr>
                <w:rFonts w:eastAsia="Times New Roman" w:cstheme="minorHAnsi"/>
                <w:color w:val="000000"/>
                <w:sz w:val="20"/>
                <w:szCs w:val="20"/>
                <w:lang w:eastAsia="es-MX"/>
              </w:rPr>
            </w:pPr>
            <w:r w:rsidRPr="001E55E3">
              <w:rPr>
                <w:rFonts w:eastAsia="Times New Roman" w:cstheme="minorHAnsi"/>
                <w:color w:val="000000"/>
                <w:sz w:val="20"/>
                <w:szCs w:val="20"/>
                <w:lang w:eastAsia="es-MX"/>
              </w:rPr>
              <w:t>Sin recomendación</w:t>
            </w:r>
          </w:p>
        </w:tc>
      </w:tr>
      <w:tr w:rsidR="006970E9" w:rsidRPr="001E55E3" w14:paraId="3847C77D" w14:textId="77777777" w:rsidTr="0060167E">
        <w:trPr>
          <w:trHeight w:val="1317"/>
        </w:trPr>
        <w:tc>
          <w:tcPr>
            <w:tcW w:w="844" w:type="pct"/>
            <w:vMerge/>
            <w:tcBorders>
              <w:left w:val="single" w:sz="4" w:space="0" w:color="auto"/>
              <w:right w:val="single" w:sz="4" w:space="0" w:color="auto"/>
            </w:tcBorders>
            <w:vAlign w:val="center"/>
            <w:hideMark/>
          </w:tcPr>
          <w:p w14:paraId="28F54845" w14:textId="77777777" w:rsidR="006970E9" w:rsidRPr="001E55E3" w:rsidRDefault="006970E9" w:rsidP="006970E9">
            <w:pPr>
              <w:spacing w:before="0" w:after="0"/>
              <w:jc w:val="left"/>
              <w:rPr>
                <w:rFonts w:eastAsia="Times New Roman" w:cstheme="minorHAnsi"/>
                <w:b/>
                <w:bCs/>
                <w:color w:val="000000"/>
                <w:sz w:val="20"/>
                <w:szCs w:val="20"/>
                <w:lang w:eastAsia="es-MX"/>
              </w:rPr>
            </w:pPr>
          </w:p>
        </w:tc>
        <w:tc>
          <w:tcPr>
            <w:tcW w:w="1495" w:type="pct"/>
            <w:tcBorders>
              <w:top w:val="nil"/>
              <w:left w:val="nil"/>
              <w:bottom w:val="single" w:sz="4" w:space="0" w:color="auto"/>
              <w:right w:val="single" w:sz="4" w:space="0" w:color="auto"/>
            </w:tcBorders>
            <w:shd w:val="clear" w:color="000000" w:fill="FFFFFF"/>
            <w:vAlign w:val="center"/>
          </w:tcPr>
          <w:p w14:paraId="64E24CD7" w14:textId="77777777" w:rsidR="006970E9" w:rsidRPr="001E55E3" w:rsidRDefault="006970E9" w:rsidP="006970E9">
            <w:pPr>
              <w:spacing w:before="0" w:after="0"/>
              <w:rPr>
                <w:rFonts w:eastAsia="Times New Roman" w:cstheme="minorHAnsi"/>
                <w:b/>
                <w:bCs/>
                <w:color w:val="000000"/>
                <w:sz w:val="20"/>
                <w:szCs w:val="20"/>
                <w:lang w:eastAsia="es-MX"/>
              </w:rPr>
            </w:pPr>
            <w:r w:rsidRPr="001E55E3">
              <w:rPr>
                <w:rFonts w:eastAsia="Times New Roman" w:cstheme="minorHAnsi"/>
                <w:b/>
                <w:bCs/>
                <w:color w:val="000000"/>
                <w:sz w:val="20"/>
                <w:szCs w:val="20"/>
                <w:lang w:eastAsia="es-MX"/>
              </w:rPr>
              <w:t>Oportunidad</w:t>
            </w:r>
            <w:r w:rsidRPr="001E55E3">
              <w:rPr>
                <w:rFonts w:eastAsia="Times New Roman" w:cstheme="minorHAnsi"/>
                <w:color w:val="000000"/>
                <w:sz w:val="20"/>
                <w:szCs w:val="20"/>
                <w:lang w:eastAsia="es-MX"/>
              </w:rPr>
              <w:t xml:space="preserve">: Los resultados que se miden a través de la MIR estatal del FAFEF no se encuentran publicados en la página web transparencia del gobierno del Estado. </w:t>
            </w:r>
          </w:p>
        </w:tc>
        <w:tc>
          <w:tcPr>
            <w:tcW w:w="750" w:type="pct"/>
            <w:tcBorders>
              <w:top w:val="nil"/>
              <w:left w:val="nil"/>
              <w:bottom w:val="single" w:sz="4" w:space="0" w:color="auto"/>
              <w:right w:val="single" w:sz="4" w:space="0" w:color="auto"/>
            </w:tcBorders>
            <w:shd w:val="clear" w:color="000000" w:fill="FFFFFF"/>
            <w:vAlign w:val="center"/>
            <w:hideMark/>
          </w:tcPr>
          <w:p w14:paraId="58AAC2C6" w14:textId="77777777" w:rsidR="006970E9" w:rsidRPr="001E55E3" w:rsidRDefault="006970E9" w:rsidP="006970E9">
            <w:pPr>
              <w:spacing w:before="0" w:after="0"/>
              <w:jc w:val="center"/>
              <w:rPr>
                <w:rFonts w:eastAsia="Times New Roman" w:cstheme="minorHAnsi"/>
                <w:color w:val="000000"/>
                <w:sz w:val="20"/>
                <w:szCs w:val="20"/>
                <w:lang w:eastAsia="es-MX"/>
              </w:rPr>
            </w:pPr>
            <w:r w:rsidRPr="001E55E3">
              <w:rPr>
                <w:rFonts w:eastAsia="Times New Roman" w:cstheme="minorHAnsi"/>
                <w:color w:val="000000"/>
                <w:sz w:val="20"/>
                <w:szCs w:val="20"/>
                <w:lang w:eastAsia="es-MX"/>
              </w:rPr>
              <w:t>25</w:t>
            </w:r>
          </w:p>
        </w:tc>
        <w:tc>
          <w:tcPr>
            <w:tcW w:w="1911" w:type="pct"/>
            <w:tcBorders>
              <w:top w:val="nil"/>
              <w:left w:val="nil"/>
              <w:bottom w:val="single" w:sz="4" w:space="0" w:color="auto"/>
              <w:right w:val="single" w:sz="4" w:space="0" w:color="auto"/>
            </w:tcBorders>
            <w:shd w:val="clear" w:color="000000" w:fill="FFFFFF"/>
            <w:vAlign w:val="center"/>
            <w:hideMark/>
          </w:tcPr>
          <w:p w14:paraId="29FF0AA3" w14:textId="1A3001F2" w:rsidR="006970E9" w:rsidRPr="001E55E3" w:rsidRDefault="006970E9" w:rsidP="006970E9">
            <w:pPr>
              <w:spacing w:before="0" w:after="0"/>
              <w:rPr>
                <w:rFonts w:eastAsia="Times New Roman" w:cstheme="minorHAnsi"/>
                <w:color w:val="000000"/>
                <w:sz w:val="20"/>
                <w:szCs w:val="20"/>
                <w:lang w:eastAsia="es-MX"/>
              </w:rPr>
            </w:pPr>
            <w:r w:rsidRPr="001E55E3">
              <w:rPr>
                <w:rFonts w:eastAsia="Times New Roman" w:cstheme="minorHAnsi"/>
                <w:color w:val="000000"/>
                <w:sz w:val="20"/>
                <w:szCs w:val="20"/>
                <w:lang w:eastAsia="es-MX"/>
              </w:rPr>
              <w:t>15. Publicar los resultados de la MIR estatal del FAFEF a través de la página de transparencia del gobierno del Estado, puesto que la misma, presenta información de manera más resumida sobre el ejercicio y los resultados alcanzados con la aplicación de los recursos del Fondo. En futuros ejercicios será necesaria la publicación de los resultados que se obtengan a través de la medición de los indicadores de las MIR que se establezcan para el monitoreo del Fondo</w:t>
            </w:r>
          </w:p>
        </w:tc>
      </w:tr>
      <w:tr w:rsidR="006970E9" w:rsidRPr="001E55E3" w14:paraId="7CCE68D3" w14:textId="77777777" w:rsidTr="004C2BB8">
        <w:trPr>
          <w:trHeight w:val="765"/>
        </w:trPr>
        <w:tc>
          <w:tcPr>
            <w:tcW w:w="844" w:type="pct"/>
            <w:vMerge/>
            <w:tcBorders>
              <w:left w:val="single" w:sz="4" w:space="0" w:color="auto"/>
              <w:right w:val="single" w:sz="4" w:space="0" w:color="auto"/>
            </w:tcBorders>
            <w:vAlign w:val="center"/>
            <w:hideMark/>
          </w:tcPr>
          <w:p w14:paraId="7029E56A" w14:textId="77777777" w:rsidR="006970E9" w:rsidRPr="001E55E3" w:rsidRDefault="006970E9" w:rsidP="006970E9">
            <w:pPr>
              <w:spacing w:before="0" w:after="0"/>
              <w:jc w:val="left"/>
              <w:rPr>
                <w:rFonts w:eastAsia="Times New Roman" w:cstheme="minorHAnsi"/>
                <w:b/>
                <w:bCs/>
                <w:color w:val="000000"/>
                <w:sz w:val="20"/>
                <w:szCs w:val="20"/>
                <w:lang w:eastAsia="es-MX"/>
              </w:rPr>
            </w:pPr>
          </w:p>
        </w:tc>
        <w:tc>
          <w:tcPr>
            <w:tcW w:w="1495" w:type="pct"/>
            <w:tcBorders>
              <w:top w:val="single" w:sz="4" w:space="0" w:color="auto"/>
              <w:left w:val="nil"/>
              <w:bottom w:val="single" w:sz="4" w:space="0" w:color="auto"/>
              <w:right w:val="single" w:sz="4" w:space="0" w:color="auto"/>
            </w:tcBorders>
            <w:shd w:val="clear" w:color="000000" w:fill="FFFFFF"/>
            <w:vAlign w:val="center"/>
            <w:hideMark/>
          </w:tcPr>
          <w:p w14:paraId="12530002" w14:textId="77777777" w:rsidR="006970E9" w:rsidRPr="001E55E3" w:rsidRDefault="006970E9" w:rsidP="006970E9">
            <w:pPr>
              <w:spacing w:before="0" w:after="0"/>
              <w:rPr>
                <w:rFonts w:eastAsia="Times New Roman" w:cstheme="minorHAnsi"/>
                <w:color w:val="000000"/>
                <w:sz w:val="20"/>
                <w:szCs w:val="20"/>
                <w:lang w:eastAsia="es-MX"/>
              </w:rPr>
            </w:pPr>
            <w:r w:rsidRPr="001E55E3">
              <w:rPr>
                <w:rFonts w:eastAsia="Times New Roman" w:cstheme="minorHAnsi"/>
                <w:b/>
                <w:bCs/>
                <w:color w:val="000000"/>
                <w:sz w:val="20"/>
                <w:szCs w:val="20"/>
                <w:lang w:eastAsia="es-MX"/>
              </w:rPr>
              <w:t>Fortaleza:</w:t>
            </w:r>
            <w:r w:rsidRPr="001E55E3">
              <w:rPr>
                <w:rFonts w:eastAsia="Times New Roman" w:cstheme="minorHAnsi"/>
                <w:color w:val="000000"/>
                <w:sz w:val="20"/>
                <w:szCs w:val="20"/>
                <w:lang w:eastAsia="es-MX"/>
              </w:rPr>
              <w:t xml:space="preserve"> En el PTFSFP del gobierno del Estado se puede constatar el avance en la consecución de los objetivos planteados por el Fondo tanto en su MIR federal como en las MIR de los Pp a través de los informes de avances y el monitoreo de indicadores, respectivamente. </w:t>
            </w:r>
          </w:p>
        </w:tc>
        <w:tc>
          <w:tcPr>
            <w:tcW w:w="750" w:type="pct"/>
            <w:tcBorders>
              <w:top w:val="single" w:sz="4" w:space="0" w:color="auto"/>
              <w:left w:val="nil"/>
              <w:bottom w:val="single" w:sz="4" w:space="0" w:color="auto"/>
              <w:right w:val="single" w:sz="4" w:space="0" w:color="auto"/>
            </w:tcBorders>
            <w:shd w:val="clear" w:color="000000" w:fill="FFFFFF"/>
            <w:vAlign w:val="center"/>
            <w:hideMark/>
          </w:tcPr>
          <w:p w14:paraId="153400CE" w14:textId="77777777" w:rsidR="006970E9" w:rsidRPr="001E55E3" w:rsidRDefault="006970E9" w:rsidP="006970E9">
            <w:pPr>
              <w:spacing w:before="0" w:after="0"/>
              <w:jc w:val="center"/>
              <w:rPr>
                <w:rFonts w:eastAsia="Times New Roman" w:cstheme="minorHAnsi"/>
                <w:color w:val="000000"/>
                <w:sz w:val="20"/>
                <w:szCs w:val="20"/>
                <w:lang w:eastAsia="es-MX"/>
              </w:rPr>
            </w:pPr>
            <w:r w:rsidRPr="001E55E3">
              <w:rPr>
                <w:rFonts w:eastAsia="Times New Roman" w:cstheme="minorHAnsi"/>
                <w:color w:val="000000"/>
                <w:sz w:val="20"/>
                <w:szCs w:val="20"/>
                <w:lang w:eastAsia="es-MX"/>
              </w:rPr>
              <w:t>27</w:t>
            </w:r>
          </w:p>
        </w:tc>
        <w:tc>
          <w:tcPr>
            <w:tcW w:w="1911" w:type="pct"/>
            <w:tcBorders>
              <w:top w:val="single" w:sz="4" w:space="0" w:color="auto"/>
              <w:left w:val="nil"/>
              <w:bottom w:val="single" w:sz="4" w:space="0" w:color="auto"/>
              <w:right w:val="single" w:sz="4" w:space="0" w:color="auto"/>
            </w:tcBorders>
            <w:shd w:val="clear" w:color="000000" w:fill="FFFFFF"/>
            <w:vAlign w:val="center"/>
            <w:hideMark/>
          </w:tcPr>
          <w:p w14:paraId="070F9B88" w14:textId="77777777" w:rsidR="006970E9" w:rsidRPr="001E55E3" w:rsidRDefault="006970E9" w:rsidP="006970E9">
            <w:pPr>
              <w:spacing w:before="0" w:after="0"/>
              <w:rPr>
                <w:rFonts w:eastAsia="Times New Roman" w:cstheme="minorHAnsi"/>
                <w:color w:val="000000"/>
                <w:sz w:val="20"/>
                <w:szCs w:val="20"/>
                <w:lang w:eastAsia="es-MX"/>
              </w:rPr>
            </w:pPr>
            <w:r w:rsidRPr="001E55E3">
              <w:rPr>
                <w:rFonts w:eastAsia="Times New Roman" w:cstheme="minorHAnsi"/>
                <w:color w:val="000000"/>
                <w:sz w:val="20"/>
                <w:szCs w:val="20"/>
                <w:lang w:eastAsia="es-MX"/>
              </w:rPr>
              <w:t>Sin recomendación</w:t>
            </w:r>
          </w:p>
        </w:tc>
      </w:tr>
      <w:tr w:rsidR="006970E9" w:rsidRPr="001E55E3" w14:paraId="69C1A50E" w14:textId="77777777" w:rsidTr="0060167E">
        <w:trPr>
          <w:trHeight w:val="77"/>
        </w:trPr>
        <w:tc>
          <w:tcPr>
            <w:tcW w:w="844" w:type="pct"/>
            <w:vMerge/>
            <w:tcBorders>
              <w:left w:val="single" w:sz="4" w:space="0" w:color="auto"/>
              <w:right w:val="single" w:sz="4" w:space="0" w:color="auto"/>
            </w:tcBorders>
            <w:vAlign w:val="center"/>
          </w:tcPr>
          <w:p w14:paraId="15985E3E" w14:textId="77777777" w:rsidR="006970E9" w:rsidRPr="001E55E3" w:rsidRDefault="006970E9" w:rsidP="006970E9">
            <w:pPr>
              <w:spacing w:before="0" w:after="0"/>
              <w:jc w:val="left"/>
              <w:rPr>
                <w:rFonts w:eastAsia="Times New Roman" w:cstheme="minorHAnsi"/>
                <w:b/>
                <w:bCs/>
                <w:color w:val="000000"/>
                <w:sz w:val="20"/>
                <w:szCs w:val="20"/>
                <w:lang w:eastAsia="es-MX"/>
              </w:rPr>
            </w:pPr>
          </w:p>
        </w:tc>
        <w:tc>
          <w:tcPr>
            <w:tcW w:w="1495" w:type="pct"/>
            <w:tcBorders>
              <w:top w:val="single" w:sz="4" w:space="0" w:color="auto"/>
              <w:left w:val="nil"/>
              <w:bottom w:val="single" w:sz="4" w:space="0" w:color="auto"/>
              <w:right w:val="single" w:sz="4" w:space="0" w:color="auto"/>
            </w:tcBorders>
            <w:shd w:val="clear" w:color="000000" w:fill="FFFFFF"/>
            <w:vAlign w:val="center"/>
          </w:tcPr>
          <w:p w14:paraId="1164201B" w14:textId="77777777" w:rsidR="006970E9" w:rsidRPr="001E55E3" w:rsidRDefault="006970E9" w:rsidP="006970E9">
            <w:pPr>
              <w:spacing w:before="0" w:after="0"/>
              <w:rPr>
                <w:rFonts w:eastAsia="Times New Roman" w:cstheme="minorHAnsi"/>
                <w:color w:val="000000"/>
                <w:sz w:val="20"/>
                <w:szCs w:val="20"/>
                <w:lang w:eastAsia="es-MX"/>
              </w:rPr>
            </w:pPr>
            <w:r w:rsidRPr="001E55E3">
              <w:rPr>
                <w:rFonts w:eastAsia="Times New Roman" w:cstheme="minorHAnsi"/>
                <w:b/>
                <w:bCs/>
                <w:color w:val="000000"/>
                <w:sz w:val="20"/>
                <w:szCs w:val="20"/>
                <w:lang w:eastAsia="es-MX"/>
              </w:rPr>
              <w:t xml:space="preserve">Fortaleza: </w:t>
            </w:r>
            <w:r w:rsidRPr="001E55E3">
              <w:rPr>
                <w:rFonts w:eastAsia="Times New Roman" w:cstheme="minorHAnsi"/>
                <w:color w:val="000000"/>
                <w:sz w:val="20"/>
                <w:szCs w:val="20"/>
                <w:lang w:eastAsia="es-MX"/>
              </w:rPr>
              <w:t xml:space="preserve">Los resultados de la aplicación de los recursos del FAFEF, medidos a través de los </w:t>
            </w:r>
            <w:r w:rsidRPr="001E55E3">
              <w:rPr>
                <w:rFonts w:eastAsia="Times New Roman" w:cstheme="minorHAnsi"/>
                <w:color w:val="000000"/>
                <w:sz w:val="20"/>
                <w:szCs w:val="20"/>
                <w:lang w:eastAsia="es-MX"/>
              </w:rPr>
              <w:lastRenderedPageBreak/>
              <w:t>indicadores que se reportan al SRFT, reflejan un avance significativo a nivel de Fin y Propósito</w:t>
            </w:r>
          </w:p>
        </w:tc>
        <w:tc>
          <w:tcPr>
            <w:tcW w:w="750" w:type="pct"/>
            <w:tcBorders>
              <w:top w:val="single" w:sz="4" w:space="0" w:color="auto"/>
              <w:left w:val="nil"/>
              <w:bottom w:val="single" w:sz="4" w:space="0" w:color="auto"/>
              <w:right w:val="single" w:sz="4" w:space="0" w:color="auto"/>
            </w:tcBorders>
            <w:shd w:val="clear" w:color="000000" w:fill="FFFFFF"/>
            <w:vAlign w:val="center"/>
          </w:tcPr>
          <w:p w14:paraId="49306C66" w14:textId="77777777" w:rsidR="006970E9" w:rsidRPr="001E55E3" w:rsidRDefault="006970E9" w:rsidP="006970E9">
            <w:pPr>
              <w:spacing w:before="0" w:after="0"/>
              <w:jc w:val="center"/>
              <w:rPr>
                <w:rFonts w:eastAsia="Times New Roman" w:cstheme="minorHAnsi"/>
                <w:color w:val="000000"/>
                <w:sz w:val="20"/>
                <w:szCs w:val="20"/>
                <w:lang w:eastAsia="es-MX"/>
              </w:rPr>
            </w:pPr>
            <w:r w:rsidRPr="001E55E3">
              <w:rPr>
                <w:rFonts w:eastAsia="Times New Roman" w:cstheme="minorHAnsi"/>
                <w:color w:val="000000"/>
                <w:sz w:val="20"/>
                <w:szCs w:val="20"/>
                <w:lang w:eastAsia="es-MX"/>
              </w:rPr>
              <w:lastRenderedPageBreak/>
              <w:t>28</w:t>
            </w:r>
          </w:p>
        </w:tc>
        <w:tc>
          <w:tcPr>
            <w:tcW w:w="1911" w:type="pct"/>
            <w:tcBorders>
              <w:top w:val="single" w:sz="4" w:space="0" w:color="auto"/>
              <w:left w:val="nil"/>
              <w:bottom w:val="single" w:sz="4" w:space="0" w:color="auto"/>
              <w:right w:val="single" w:sz="4" w:space="0" w:color="auto"/>
            </w:tcBorders>
            <w:shd w:val="clear" w:color="000000" w:fill="FFFFFF"/>
            <w:vAlign w:val="center"/>
          </w:tcPr>
          <w:p w14:paraId="61BB4E8F" w14:textId="77777777" w:rsidR="006970E9" w:rsidRPr="001E55E3" w:rsidRDefault="006970E9" w:rsidP="006970E9">
            <w:pPr>
              <w:spacing w:before="0" w:after="0"/>
              <w:rPr>
                <w:rFonts w:eastAsia="Times New Roman" w:cstheme="minorHAnsi"/>
                <w:color w:val="000000"/>
                <w:sz w:val="20"/>
                <w:szCs w:val="20"/>
                <w:lang w:eastAsia="es-MX"/>
              </w:rPr>
            </w:pPr>
            <w:r w:rsidRPr="001E55E3">
              <w:rPr>
                <w:rFonts w:eastAsia="Times New Roman" w:cstheme="minorHAnsi"/>
                <w:color w:val="000000"/>
                <w:sz w:val="20"/>
                <w:szCs w:val="20"/>
                <w:lang w:eastAsia="es-MX"/>
              </w:rPr>
              <w:t>Sin recomendación</w:t>
            </w:r>
          </w:p>
        </w:tc>
      </w:tr>
      <w:tr w:rsidR="006970E9" w:rsidRPr="001E55E3" w14:paraId="6D86BAEF" w14:textId="77777777" w:rsidTr="00AF4C2A">
        <w:trPr>
          <w:trHeight w:val="775"/>
        </w:trPr>
        <w:tc>
          <w:tcPr>
            <w:tcW w:w="844" w:type="pct"/>
            <w:vMerge/>
            <w:tcBorders>
              <w:left w:val="single" w:sz="4" w:space="0" w:color="auto"/>
              <w:bottom w:val="single" w:sz="4" w:space="0" w:color="auto"/>
              <w:right w:val="single" w:sz="4" w:space="0" w:color="auto"/>
            </w:tcBorders>
            <w:vAlign w:val="center"/>
          </w:tcPr>
          <w:p w14:paraId="44E5F383" w14:textId="77777777" w:rsidR="006970E9" w:rsidRPr="001E55E3" w:rsidRDefault="006970E9" w:rsidP="006970E9">
            <w:pPr>
              <w:spacing w:before="0" w:after="0"/>
              <w:jc w:val="center"/>
              <w:rPr>
                <w:rFonts w:eastAsia="Times New Roman" w:cstheme="minorHAnsi"/>
                <w:b/>
                <w:bCs/>
                <w:color w:val="000000"/>
                <w:sz w:val="20"/>
                <w:szCs w:val="20"/>
                <w:lang w:eastAsia="es-MX"/>
              </w:rPr>
            </w:pPr>
          </w:p>
        </w:tc>
        <w:tc>
          <w:tcPr>
            <w:tcW w:w="1495" w:type="pct"/>
            <w:tcBorders>
              <w:top w:val="single" w:sz="4" w:space="0" w:color="auto"/>
              <w:left w:val="single" w:sz="4" w:space="0" w:color="auto"/>
              <w:bottom w:val="single" w:sz="4" w:space="0" w:color="auto"/>
              <w:right w:val="single" w:sz="4" w:space="0" w:color="auto"/>
            </w:tcBorders>
            <w:shd w:val="clear" w:color="000000" w:fill="FFFFFF"/>
            <w:vAlign w:val="center"/>
          </w:tcPr>
          <w:p w14:paraId="44BBB1DF" w14:textId="77777777" w:rsidR="006970E9" w:rsidRPr="001E55E3" w:rsidRDefault="006970E9" w:rsidP="006970E9">
            <w:pPr>
              <w:spacing w:before="0" w:after="0"/>
              <w:rPr>
                <w:rFonts w:eastAsia="Times New Roman" w:cstheme="minorHAnsi"/>
                <w:color w:val="000000"/>
                <w:sz w:val="20"/>
                <w:szCs w:val="20"/>
                <w:lang w:eastAsia="es-MX"/>
              </w:rPr>
            </w:pPr>
            <w:r w:rsidRPr="001E55E3">
              <w:rPr>
                <w:rFonts w:eastAsia="Times New Roman" w:cstheme="minorHAnsi"/>
                <w:b/>
                <w:bCs/>
                <w:color w:val="000000"/>
                <w:sz w:val="20"/>
                <w:szCs w:val="20"/>
                <w:lang w:eastAsia="es-MX"/>
              </w:rPr>
              <w:t>Oportunidad</w:t>
            </w:r>
            <w:r w:rsidRPr="001E55E3">
              <w:rPr>
                <w:rFonts w:eastAsia="Times New Roman" w:cstheme="minorHAnsi"/>
                <w:color w:val="000000"/>
                <w:sz w:val="20"/>
                <w:szCs w:val="20"/>
                <w:lang w:eastAsia="es-MX"/>
              </w:rPr>
              <w:t xml:space="preserve">: No obstante que se han llevado a cabo ejercicios de evaluaciones externas al FAFEF, aún se hace necesario que éstas abunden más en el desempeño y resultados obtenidos por el Fondo. </w:t>
            </w:r>
          </w:p>
        </w:tc>
        <w:tc>
          <w:tcPr>
            <w:tcW w:w="750" w:type="pct"/>
            <w:tcBorders>
              <w:top w:val="single" w:sz="4" w:space="0" w:color="auto"/>
              <w:left w:val="single" w:sz="4" w:space="0" w:color="auto"/>
              <w:bottom w:val="single" w:sz="4" w:space="0" w:color="auto"/>
              <w:right w:val="single" w:sz="4" w:space="0" w:color="auto"/>
            </w:tcBorders>
            <w:shd w:val="clear" w:color="000000" w:fill="FFFFFF"/>
            <w:vAlign w:val="center"/>
          </w:tcPr>
          <w:p w14:paraId="6FA38436" w14:textId="77777777" w:rsidR="006970E9" w:rsidRPr="001E55E3" w:rsidRDefault="006970E9" w:rsidP="006970E9">
            <w:pPr>
              <w:spacing w:before="0" w:after="0"/>
              <w:jc w:val="center"/>
              <w:rPr>
                <w:rFonts w:eastAsia="Times New Roman" w:cstheme="minorHAnsi"/>
                <w:color w:val="000000"/>
                <w:sz w:val="20"/>
                <w:szCs w:val="20"/>
                <w:lang w:eastAsia="es-MX"/>
              </w:rPr>
            </w:pPr>
            <w:r w:rsidRPr="001E55E3">
              <w:rPr>
                <w:rFonts w:eastAsia="Times New Roman" w:cstheme="minorHAnsi"/>
                <w:color w:val="000000"/>
                <w:sz w:val="20"/>
                <w:szCs w:val="20"/>
                <w:lang w:eastAsia="es-MX"/>
              </w:rPr>
              <w:t>29</w:t>
            </w:r>
          </w:p>
        </w:tc>
        <w:tc>
          <w:tcPr>
            <w:tcW w:w="1911" w:type="pct"/>
            <w:tcBorders>
              <w:top w:val="single" w:sz="4" w:space="0" w:color="auto"/>
              <w:left w:val="single" w:sz="4" w:space="0" w:color="auto"/>
              <w:bottom w:val="single" w:sz="4" w:space="0" w:color="auto"/>
              <w:right w:val="single" w:sz="4" w:space="0" w:color="auto"/>
            </w:tcBorders>
            <w:shd w:val="clear" w:color="000000" w:fill="FFFFFF"/>
            <w:vAlign w:val="center"/>
          </w:tcPr>
          <w:p w14:paraId="6F140167" w14:textId="708AEF9C" w:rsidR="006970E9" w:rsidRPr="001E55E3" w:rsidRDefault="006970E9" w:rsidP="006970E9">
            <w:pPr>
              <w:spacing w:before="0" w:after="0"/>
              <w:rPr>
                <w:rFonts w:eastAsia="Times New Roman" w:cstheme="minorHAnsi"/>
                <w:color w:val="000000"/>
                <w:sz w:val="20"/>
                <w:szCs w:val="20"/>
                <w:lang w:eastAsia="es-MX"/>
              </w:rPr>
            </w:pPr>
            <w:r w:rsidRPr="001E55E3">
              <w:rPr>
                <w:rFonts w:eastAsia="Times New Roman" w:cstheme="minorHAnsi"/>
                <w:color w:val="000000"/>
                <w:sz w:val="20"/>
                <w:szCs w:val="20"/>
                <w:lang w:eastAsia="es-MX"/>
              </w:rPr>
              <w:t>1</w:t>
            </w:r>
            <w:r>
              <w:rPr>
                <w:rFonts w:eastAsia="Times New Roman" w:cstheme="minorHAnsi"/>
                <w:color w:val="000000"/>
                <w:sz w:val="20"/>
                <w:szCs w:val="20"/>
                <w:lang w:eastAsia="es-MX"/>
              </w:rPr>
              <w:t>6</w:t>
            </w:r>
            <w:r w:rsidRPr="001E55E3">
              <w:rPr>
                <w:rFonts w:eastAsia="Times New Roman" w:cstheme="minorHAnsi"/>
                <w:color w:val="000000"/>
                <w:sz w:val="20"/>
                <w:szCs w:val="20"/>
                <w:lang w:eastAsia="es-MX"/>
              </w:rPr>
              <w:t xml:space="preserve">. </w:t>
            </w:r>
            <w:bookmarkStart w:id="160" w:name="_Hlk56406657"/>
            <w:r w:rsidRPr="001E55E3">
              <w:rPr>
                <w:rFonts w:eastAsia="Times New Roman" w:cstheme="minorHAnsi"/>
                <w:color w:val="000000"/>
                <w:sz w:val="20"/>
                <w:szCs w:val="20"/>
                <w:lang w:eastAsia="es-MX"/>
              </w:rPr>
              <w:t xml:space="preserve">Realizar ejercicios de evaluación que identifiquen plenamente las fuentes de financiamiento y se valore la pertinencia de los indicadores de su MIR, así como la vinculación de estos indicadores con los objetivos establecidos para el FAFEF en la LCF y en la MIR federal del Fondo; identifique áreas de oportunidad para mejorar los procesos de asignación o reasignación de recursos y se analicen a profundidad los Pp que reciben recursos del FAFEF analizando su cobertura, avance y evolución de sus indicadores y los principales resultados de su operación. </w:t>
            </w:r>
            <w:bookmarkEnd w:id="160"/>
          </w:p>
        </w:tc>
      </w:tr>
      <w:tr w:rsidR="006970E9" w:rsidRPr="001E55E3" w14:paraId="6D424B5B" w14:textId="77777777" w:rsidTr="00850817">
        <w:trPr>
          <w:trHeight w:val="255"/>
        </w:trPr>
        <w:tc>
          <w:tcPr>
            <w:tcW w:w="5000" w:type="pct"/>
            <w:gridSpan w:val="4"/>
            <w:tcBorders>
              <w:top w:val="nil"/>
              <w:left w:val="single" w:sz="4" w:space="0" w:color="auto"/>
              <w:bottom w:val="single" w:sz="4" w:space="0" w:color="auto"/>
              <w:right w:val="single" w:sz="4" w:space="0" w:color="auto"/>
            </w:tcBorders>
            <w:shd w:val="clear" w:color="auto" w:fill="D0CECE" w:themeFill="background2" w:themeFillShade="E6"/>
            <w:vAlign w:val="center"/>
          </w:tcPr>
          <w:p w14:paraId="60CB2B20" w14:textId="77777777" w:rsidR="006970E9" w:rsidRPr="001E55E3" w:rsidRDefault="006970E9" w:rsidP="006970E9">
            <w:pPr>
              <w:spacing w:before="0" w:after="0"/>
              <w:jc w:val="center"/>
              <w:rPr>
                <w:rFonts w:eastAsia="Times New Roman" w:cstheme="minorHAnsi"/>
                <w:color w:val="000000"/>
                <w:sz w:val="20"/>
                <w:szCs w:val="20"/>
                <w:lang w:eastAsia="es-MX"/>
              </w:rPr>
            </w:pPr>
            <w:r w:rsidRPr="001E55E3">
              <w:rPr>
                <w:rFonts w:eastAsia="Times New Roman" w:cstheme="minorHAnsi"/>
                <w:b/>
                <w:bCs/>
                <w:color w:val="000000"/>
                <w:sz w:val="20"/>
                <w:szCs w:val="20"/>
                <w:lang w:eastAsia="es-MX"/>
              </w:rPr>
              <w:t>Debilidad o Amenaza</w:t>
            </w:r>
          </w:p>
        </w:tc>
      </w:tr>
      <w:tr w:rsidR="006970E9" w:rsidRPr="001E55E3" w14:paraId="1802D7C4" w14:textId="77777777" w:rsidTr="00AF4C2A">
        <w:trPr>
          <w:trHeight w:val="775"/>
        </w:trPr>
        <w:tc>
          <w:tcPr>
            <w:tcW w:w="844" w:type="pct"/>
            <w:tcBorders>
              <w:top w:val="single" w:sz="4" w:space="0" w:color="auto"/>
              <w:left w:val="single" w:sz="4" w:space="0" w:color="auto"/>
              <w:bottom w:val="single" w:sz="4" w:space="0" w:color="auto"/>
              <w:right w:val="single" w:sz="4" w:space="0" w:color="auto"/>
            </w:tcBorders>
            <w:vAlign w:val="center"/>
          </w:tcPr>
          <w:p w14:paraId="7EC38483" w14:textId="4C01CC74" w:rsidR="006970E9" w:rsidRPr="001E55E3" w:rsidRDefault="006970E9" w:rsidP="006970E9">
            <w:pPr>
              <w:spacing w:before="0" w:after="0"/>
              <w:rPr>
                <w:rFonts w:eastAsia="Times New Roman" w:cstheme="minorHAnsi"/>
                <w:b/>
                <w:bCs/>
                <w:color w:val="000000"/>
                <w:sz w:val="20"/>
                <w:szCs w:val="20"/>
                <w:lang w:eastAsia="es-MX"/>
              </w:rPr>
            </w:pPr>
            <w:r w:rsidRPr="001E55E3">
              <w:rPr>
                <w:rFonts w:eastAsia="Times New Roman" w:cstheme="minorHAnsi"/>
                <w:b/>
                <w:bCs/>
                <w:color w:val="000000"/>
                <w:sz w:val="20"/>
                <w:szCs w:val="20"/>
                <w:lang w:eastAsia="es-MX"/>
              </w:rPr>
              <w:t>Módulo 7. Calidad de la información</w:t>
            </w:r>
          </w:p>
        </w:tc>
        <w:tc>
          <w:tcPr>
            <w:tcW w:w="1495" w:type="pct"/>
            <w:tcBorders>
              <w:top w:val="single" w:sz="4" w:space="0" w:color="auto"/>
              <w:left w:val="single" w:sz="4" w:space="0" w:color="auto"/>
              <w:bottom w:val="single" w:sz="4" w:space="0" w:color="auto"/>
              <w:right w:val="single" w:sz="4" w:space="0" w:color="auto"/>
            </w:tcBorders>
            <w:shd w:val="clear" w:color="000000" w:fill="FFFFFF"/>
            <w:vAlign w:val="center"/>
          </w:tcPr>
          <w:p w14:paraId="2DBF8310" w14:textId="7E47F8F3" w:rsidR="006970E9" w:rsidRPr="001E55E3" w:rsidRDefault="006970E9" w:rsidP="006970E9">
            <w:pPr>
              <w:spacing w:before="0" w:after="0"/>
              <w:rPr>
                <w:rFonts w:eastAsia="Times New Roman" w:cstheme="minorHAnsi"/>
                <w:b/>
                <w:bCs/>
                <w:color w:val="000000"/>
                <w:sz w:val="20"/>
                <w:szCs w:val="20"/>
                <w:lang w:eastAsia="es-MX"/>
              </w:rPr>
            </w:pPr>
            <w:r w:rsidRPr="00DB3A87">
              <w:rPr>
                <w:rFonts w:eastAsia="Times New Roman" w:cstheme="minorHAnsi"/>
                <w:color w:val="000000"/>
                <w:sz w:val="20"/>
                <w:szCs w:val="20"/>
                <w:lang w:eastAsia="es-MX"/>
              </w:rPr>
              <w:t>Sin debilidad o amenaza</w:t>
            </w:r>
          </w:p>
        </w:tc>
        <w:tc>
          <w:tcPr>
            <w:tcW w:w="750" w:type="pct"/>
            <w:tcBorders>
              <w:top w:val="single" w:sz="4" w:space="0" w:color="auto"/>
              <w:left w:val="single" w:sz="4" w:space="0" w:color="auto"/>
              <w:bottom w:val="single" w:sz="4" w:space="0" w:color="auto"/>
              <w:right w:val="single" w:sz="4" w:space="0" w:color="auto"/>
            </w:tcBorders>
            <w:shd w:val="clear" w:color="000000" w:fill="FFFFFF"/>
            <w:vAlign w:val="center"/>
          </w:tcPr>
          <w:p w14:paraId="2713BED4" w14:textId="2A267897" w:rsidR="006970E9" w:rsidRPr="001E55E3" w:rsidRDefault="006970E9" w:rsidP="006970E9">
            <w:pPr>
              <w:spacing w:before="0" w:after="0"/>
              <w:jc w:val="center"/>
              <w:rPr>
                <w:rFonts w:eastAsia="Times New Roman" w:cstheme="minorHAnsi"/>
                <w:color w:val="000000"/>
                <w:sz w:val="20"/>
                <w:szCs w:val="20"/>
                <w:lang w:eastAsia="es-MX"/>
              </w:rPr>
            </w:pPr>
            <w:r>
              <w:rPr>
                <w:rFonts w:eastAsia="Times New Roman" w:cstheme="minorHAnsi"/>
                <w:b/>
                <w:bCs/>
                <w:color w:val="000000"/>
                <w:sz w:val="20"/>
                <w:szCs w:val="20"/>
                <w:lang w:eastAsia="es-MX"/>
              </w:rPr>
              <w:t>-</w:t>
            </w:r>
          </w:p>
        </w:tc>
        <w:tc>
          <w:tcPr>
            <w:tcW w:w="1911" w:type="pct"/>
            <w:tcBorders>
              <w:top w:val="single" w:sz="4" w:space="0" w:color="auto"/>
              <w:left w:val="single" w:sz="4" w:space="0" w:color="auto"/>
              <w:bottom w:val="single" w:sz="4" w:space="0" w:color="auto"/>
              <w:right w:val="single" w:sz="4" w:space="0" w:color="auto"/>
            </w:tcBorders>
            <w:shd w:val="clear" w:color="000000" w:fill="FFFFFF"/>
            <w:vAlign w:val="center"/>
          </w:tcPr>
          <w:p w14:paraId="3B8C7F77" w14:textId="20ED0B81" w:rsidR="006970E9" w:rsidRPr="001E55E3" w:rsidRDefault="006970E9" w:rsidP="006970E9">
            <w:pPr>
              <w:spacing w:before="0" w:after="0"/>
              <w:rPr>
                <w:rFonts w:eastAsia="Times New Roman" w:cstheme="minorHAnsi"/>
                <w:color w:val="000000"/>
                <w:sz w:val="20"/>
                <w:szCs w:val="20"/>
                <w:lang w:eastAsia="es-MX"/>
              </w:rPr>
            </w:pPr>
            <w:r w:rsidRPr="00DB3A87">
              <w:rPr>
                <w:rFonts w:eastAsia="Times New Roman" w:cstheme="minorHAnsi"/>
                <w:color w:val="000000"/>
                <w:sz w:val="20"/>
                <w:szCs w:val="20"/>
                <w:lang w:eastAsia="es-MX"/>
              </w:rPr>
              <w:t>Sin recomendación</w:t>
            </w:r>
          </w:p>
        </w:tc>
      </w:tr>
    </w:tbl>
    <w:bookmarkEnd w:id="159"/>
    <w:p w14:paraId="1F86854D" w14:textId="77777777" w:rsidR="00CC390E" w:rsidRDefault="00CC390E" w:rsidP="00CC390E">
      <w:pPr>
        <w:spacing w:before="60" w:after="240"/>
        <w:jc w:val="left"/>
        <w:rPr>
          <w:i/>
          <w:iCs/>
          <w:sz w:val="18"/>
          <w:szCs w:val="18"/>
        </w:rPr>
      </w:pPr>
      <w:r w:rsidRPr="005B4515">
        <w:rPr>
          <w:i/>
          <w:iCs/>
          <w:sz w:val="18"/>
          <w:szCs w:val="18"/>
        </w:rPr>
        <w:t>1/Se debe realizar un cuadro por cada uno de los temas de la Evaluación.</w:t>
      </w:r>
    </w:p>
    <w:p w14:paraId="2C4CA1BB" w14:textId="0B275CC2" w:rsidR="00EB1844" w:rsidRPr="00050A8A" w:rsidRDefault="00EB1844" w:rsidP="00EB1844">
      <w:pPr>
        <w:spacing w:after="0"/>
        <w:rPr>
          <w:rFonts w:ascii="Soberana Sans Light" w:hAnsi="Soberana Sans Light" w:cstheme="minorHAnsi"/>
          <w:bCs/>
          <w:sz w:val="24"/>
          <w:szCs w:val="24"/>
        </w:rPr>
      </w:pPr>
      <w:r w:rsidRPr="00050A8A">
        <w:rPr>
          <w:rFonts w:cstheme="minorHAnsi"/>
          <w:bCs/>
        </w:rPr>
        <w:t>Se anexa archivo en Excel.</w:t>
      </w:r>
      <w:r w:rsidRPr="00050A8A">
        <w:rPr>
          <w:rFonts w:ascii="Soberana Sans Light" w:hAnsi="Soberana Sans Light" w:cstheme="minorHAnsi"/>
          <w:bCs/>
          <w:sz w:val="24"/>
          <w:szCs w:val="24"/>
        </w:rPr>
        <w:t xml:space="preserve"> </w:t>
      </w:r>
    </w:p>
    <w:p w14:paraId="3A9716D3" w14:textId="7DC097C6" w:rsidR="00EB1844" w:rsidRPr="00A718D8" w:rsidRDefault="00EB1844" w:rsidP="0065039D">
      <w:pPr>
        <w:rPr>
          <w:rFonts w:ascii="Soberana Sans Light" w:hAnsi="Soberana Sans Light" w:cstheme="minorHAnsi"/>
          <w:sz w:val="24"/>
          <w:szCs w:val="24"/>
        </w:rPr>
        <w:sectPr w:rsidR="00EB1844" w:rsidRPr="00A718D8" w:rsidSect="000975CF">
          <w:headerReference w:type="default" r:id="rId60"/>
          <w:footerReference w:type="default" r:id="rId61"/>
          <w:pgSz w:w="15840" w:h="12240" w:orient="landscape" w:code="1"/>
          <w:pgMar w:top="1134" w:right="1134" w:bottom="1134" w:left="1134" w:header="709" w:footer="709" w:gutter="0"/>
          <w:cols w:space="708"/>
          <w:docGrid w:linePitch="360"/>
        </w:sectPr>
      </w:pPr>
      <w:r>
        <w:rPr>
          <w:rFonts w:ascii="Soberana Sans Light" w:hAnsi="Soberana Sans Light" w:cstheme="minorHAnsi"/>
          <w:sz w:val="24"/>
          <w:szCs w:val="24"/>
        </w:rPr>
        <w:tab/>
      </w:r>
    </w:p>
    <w:p w14:paraId="5153676E" w14:textId="68C7641A" w:rsidR="00EB1844" w:rsidRDefault="00EB1844" w:rsidP="00EB1844">
      <w:pPr>
        <w:pStyle w:val="Anexos"/>
        <w:rPr>
          <w:i w:val="0"/>
          <w:iCs/>
        </w:rPr>
      </w:pPr>
      <w:bookmarkStart w:id="161" w:name="_Toc45480712"/>
      <w:bookmarkStart w:id="162" w:name="_Toc54262980"/>
      <w:bookmarkStart w:id="163" w:name="_Toc55497592"/>
      <w:bookmarkStart w:id="164" w:name="_Toc55542103"/>
      <w:bookmarkStart w:id="165" w:name="_Toc56423513"/>
      <w:bookmarkStart w:id="166" w:name="_Toc56423724"/>
      <w:bookmarkStart w:id="167" w:name="_Toc56449875"/>
      <w:r w:rsidRPr="00A84B30">
        <w:rPr>
          <w:i w:val="0"/>
          <w:iCs/>
        </w:rPr>
        <w:lastRenderedPageBreak/>
        <w:t xml:space="preserve">Anexo 10. Valoración </w:t>
      </w:r>
      <w:r w:rsidR="000457B2">
        <w:rPr>
          <w:i w:val="0"/>
          <w:iCs/>
        </w:rPr>
        <w:t>f</w:t>
      </w:r>
      <w:r w:rsidRPr="00A84B30">
        <w:rPr>
          <w:i w:val="0"/>
          <w:iCs/>
        </w:rPr>
        <w:t>inal del Fondo</w:t>
      </w:r>
      <w:bookmarkEnd w:id="161"/>
      <w:bookmarkEnd w:id="162"/>
      <w:bookmarkEnd w:id="163"/>
      <w:bookmarkEnd w:id="164"/>
      <w:bookmarkEnd w:id="165"/>
      <w:bookmarkEnd w:id="166"/>
      <w:r w:rsidR="002E78F8">
        <w:rPr>
          <w:i w:val="0"/>
          <w:iCs/>
        </w:rPr>
        <w:t xml:space="preserve"> en la Entidad Federativa</w:t>
      </w:r>
      <w:bookmarkEnd w:id="167"/>
    </w:p>
    <w:p w14:paraId="063597AA" w14:textId="77777777" w:rsidR="00BD19CB" w:rsidRPr="00AE66FF" w:rsidRDefault="00BD19CB" w:rsidP="00A26A9C">
      <w:pPr>
        <w:spacing w:before="0" w:after="0"/>
        <w:rPr>
          <w:b/>
          <w:bCs/>
          <w:sz w:val="20"/>
          <w:szCs w:val="20"/>
        </w:rPr>
      </w:pPr>
      <w:r w:rsidRPr="00AE66FF">
        <w:rPr>
          <w:sz w:val="20"/>
          <w:szCs w:val="20"/>
        </w:rPr>
        <w:t xml:space="preserve">Nombre del Fondo: </w:t>
      </w:r>
      <w:r w:rsidRPr="00AE66FF">
        <w:rPr>
          <w:b/>
          <w:bCs/>
          <w:sz w:val="20"/>
          <w:szCs w:val="20"/>
        </w:rPr>
        <w:t>Fondo de Aportaciones para el Fortalecimiento de las Entidades Federativas (FAFEF)</w:t>
      </w:r>
    </w:p>
    <w:p w14:paraId="1705F1AD" w14:textId="77777777" w:rsidR="00AF442D" w:rsidRPr="00AE66FF" w:rsidRDefault="00AF442D" w:rsidP="00A26A9C">
      <w:pPr>
        <w:autoSpaceDE w:val="0"/>
        <w:autoSpaceDN w:val="0"/>
        <w:adjustRightInd w:val="0"/>
        <w:snapToGrid w:val="0"/>
        <w:spacing w:before="0" w:after="0"/>
        <w:rPr>
          <w:rFonts w:cs="Arial"/>
          <w:b/>
          <w:sz w:val="20"/>
          <w:szCs w:val="20"/>
        </w:rPr>
      </w:pPr>
      <w:r w:rsidRPr="00AE66FF">
        <w:rPr>
          <w:rFonts w:cs="Arial"/>
          <w:bCs/>
          <w:sz w:val="20"/>
          <w:szCs w:val="20"/>
        </w:rPr>
        <w:t xml:space="preserve">Modalidad: </w:t>
      </w:r>
      <w:r w:rsidRPr="00AE66FF">
        <w:rPr>
          <w:rFonts w:cs="Arial"/>
          <w:b/>
          <w:sz w:val="20"/>
          <w:szCs w:val="20"/>
        </w:rPr>
        <w:t>I-Gasto federalizado</w:t>
      </w:r>
    </w:p>
    <w:p w14:paraId="51080250" w14:textId="3CD1D54A" w:rsidR="00BD19CB" w:rsidRPr="00AE66FF" w:rsidRDefault="00BD19CB" w:rsidP="00A26A9C">
      <w:pPr>
        <w:spacing w:before="0" w:after="0"/>
        <w:rPr>
          <w:sz w:val="20"/>
          <w:szCs w:val="20"/>
        </w:rPr>
      </w:pPr>
      <w:r w:rsidRPr="00AE66FF">
        <w:rPr>
          <w:sz w:val="20"/>
          <w:szCs w:val="20"/>
        </w:rPr>
        <w:t xml:space="preserve">Clave(s) presupuestaria(s): </w:t>
      </w:r>
      <w:r w:rsidRPr="00AE66FF">
        <w:rPr>
          <w:b/>
          <w:bCs/>
          <w:sz w:val="20"/>
          <w:szCs w:val="20"/>
        </w:rPr>
        <w:t>I012</w:t>
      </w:r>
    </w:p>
    <w:p w14:paraId="3B4DA1B0" w14:textId="77777777" w:rsidR="00BD19CB" w:rsidRPr="00AE66FF" w:rsidRDefault="00BD19CB" w:rsidP="00A26A9C">
      <w:pPr>
        <w:spacing w:before="0" w:after="0"/>
        <w:rPr>
          <w:sz w:val="20"/>
          <w:szCs w:val="20"/>
        </w:rPr>
      </w:pPr>
      <w:r w:rsidRPr="00AE66FF">
        <w:rPr>
          <w:sz w:val="20"/>
          <w:szCs w:val="20"/>
        </w:rPr>
        <w:t xml:space="preserve">Entidad Federativa: </w:t>
      </w:r>
      <w:r w:rsidRPr="00AE66FF">
        <w:rPr>
          <w:b/>
          <w:bCs/>
          <w:sz w:val="20"/>
          <w:szCs w:val="20"/>
        </w:rPr>
        <w:t>Hidalgo</w:t>
      </w:r>
    </w:p>
    <w:p w14:paraId="2C40A29F" w14:textId="77777777" w:rsidR="00BD19CB" w:rsidRPr="00AE66FF" w:rsidRDefault="00BD19CB" w:rsidP="00A26A9C">
      <w:pPr>
        <w:spacing w:before="0" w:after="0"/>
        <w:rPr>
          <w:sz w:val="20"/>
          <w:szCs w:val="20"/>
        </w:rPr>
      </w:pPr>
      <w:r w:rsidRPr="00AE66FF">
        <w:rPr>
          <w:sz w:val="20"/>
          <w:szCs w:val="20"/>
        </w:rPr>
        <w:t xml:space="preserve">Dependencia Coordinadora: </w:t>
      </w:r>
      <w:r w:rsidRPr="00AE66FF">
        <w:rPr>
          <w:b/>
          <w:bCs/>
          <w:sz w:val="20"/>
          <w:szCs w:val="20"/>
        </w:rPr>
        <w:t xml:space="preserve">Dirección General de Programación y Presupuesto “A” </w:t>
      </w:r>
      <w:r w:rsidRPr="00AE66FF">
        <w:rPr>
          <w:rFonts w:cs="Arial"/>
          <w:b/>
          <w:bCs/>
          <w:sz w:val="20"/>
          <w:szCs w:val="20"/>
        </w:rPr>
        <w:t>(DGPyP “A”)</w:t>
      </w:r>
    </w:p>
    <w:p w14:paraId="46AB84C1" w14:textId="2588E868" w:rsidR="00BD19CB" w:rsidRPr="00AE66FF" w:rsidRDefault="00BD19CB" w:rsidP="00A26A9C">
      <w:pPr>
        <w:spacing w:before="0" w:after="0"/>
        <w:rPr>
          <w:sz w:val="20"/>
          <w:szCs w:val="20"/>
        </w:rPr>
      </w:pPr>
      <w:r w:rsidRPr="00AE66FF">
        <w:rPr>
          <w:sz w:val="20"/>
          <w:szCs w:val="20"/>
        </w:rPr>
        <w:t xml:space="preserve">Unidad(es) Responsable(s) o Ejecutora(s): </w:t>
      </w:r>
      <w:r w:rsidRPr="00AE66FF">
        <w:rPr>
          <w:b/>
          <w:bCs/>
          <w:sz w:val="20"/>
          <w:szCs w:val="20"/>
        </w:rPr>
        <w:t>Secretaría de Finanzas Públicas de Hidalgo</w:t>
      </w:r>
    </w:p>
    <w:p w14:paraId="3D10B588" w14:textId="77777777" w:rsidR="00BD19CB" w:rsidRPr="00AE66FF" w:rsidRDefault="00BD19CB" w:rsidP="00A26A9C">
      <w:pPr>
        <w:spacing w:before="0" w:after="0"/>
        <w:rPr>
          <w:b/>
          <w:bCs/>
          <w:sz w:val="20"/>
          <w:szCs w:val="20"/>
        </w:rPr>
      </w:pPr>
      <w:r w:rsidRPr="00AE66FF">
        <w:rPr>
          <w:sz w:val="20"/>
          <w:szCs w:val="20"/>
        </w:rPr>
        <w:t xml:space="preserve">Tipo de Evaluación: </w:t>
      </w:r>
      <w:r w:rsidRPr="00AE66FF">
        <w:rPr>
          <w:b/>
          <w:bCs/>
          <w:sz w:val="20"/>
          <w:szCs w:val="20"/>
        </w:rPr>
        <w:t xml:space="preserve">Estratégica </w:t>
      </w:r>
    </w:p>
    <w:p w14:paraId="4510FEF1" w14:textId="77777777" w:rsidR="00BD19CB" w:rsidRPr="00AE66FF" w:rsidRDefault="00BD19CB" w:rsidP="001527C9">
      <w:pPr>
        <w:spacing w:before="0" w:after="240"/>
        <w:rPr>
          <w:i/>
          <w:sz w:val="20"/>
          <w:szCs w:val="20"/>
        </w:rPr>
      </w:pPr>
      <w:r w:rsidRPr="00AE66FF">
        <w:rPr>
          <w:sz w:val="20"/>
          <w:szCs w:val="20"/>
        </w:rPr>
        <w:t xml:space="preserve">Año de Evaluación: </w:t>
      </w:r>
      <w:r w:rsidRPr="00AE66FF">
        <w:rPr>
          <w:b/>
          <w:bCs/>
          <w:sz w:val="20"/>
          <w:szCs w:val="20"/>
        </w:rPr>
        <w:t>2018</w:t>
      </w:r>
    </w:p>
    <w:tbl>
      <w:tblPr>
        <w:tblW w:w="5000" w:type="pct"/>
        <w:tblBorders>
          <w:top w:val="single" w:sz="8" w:space="0" w:color="1F3864" w:themeColor="accent5" w:themeShade="80"/>
          <w:left w:val="single" w:sz="8" w:space="0" w:color="1F3864" w:themeColor="accent5" w:themeShade="80"/>
          <w:bottom w:val="single" w:sz="8" w:space="0" w:color="1F3864" w:themeColor="accent5" w:themeShade="80"/>
          <w:right w:val="single" w:sz="8" w:space="0" w:color="1F3864" w:themeColor="accent5" w:themeShade="80"/>
          <w:insideH w:val="single" w:sz="8" w:space="0" w:color="1F3864" w:themeColor="accent5" w:themeShade="80"/>
          <w:insideV w:val="single" w:sz="8" w:space="0" w:color="1F3864" w:themeColor="accent5" w:themeShade="80"/>
        </w:tblBorders>
        <w:tblLayout w:type="fixed"/>
        <w:tblCellMar>
          <w:left w:w="70" w:type="dxa"/>
          <w:right w:w="70" w:type="dxa"/>
        </w:tblCellMar>
        <w:tblLook w:val="04A0" w:firstRow="1" w:lastRow="0" w:firstColumn="1" w:lastColumn="0" w:noHBand="0" w:noVBand="1"/>
      </w:tblPr>
      <w:tblGrid>
        <w:gridCol w:w="4101"/>
        <w:gridCol w:w="992"/>
        <w:gridCol w:w="8459"/>
      </w:tblGrid>
      <w:tr w:rsidR="00EB1844" w:rsidRPr="0008415E" w14:paraId="080DD0FB" w14:textId="77777777" w:rsidTr="001E68BE">
        <w:trPr>
          <w:trHeight w:val="161"/>
          <w:tblHeader/>
        </w:trPr>
        <w:tc>
          <w:tcPr>
            <w:tcW w:w="1513" w:type="pct"/>
            <w:shd w:val="clear" w:color="000000" w:fill="9CC2E5"/>
            <w:noWrap/>
            <w:vAlign w:val="center"/>
            <w:hideMark/>
          </w:tcPr>
          <w:p w14:paraId="5560EE71" w14:textId="70062319" w:rsidR="00EB1844" w:rsidRPr="000A32FE" w:rsidRDefault="00EB1844" w:rsidP="00927B4B">
            <w:pPr>
              <w:spacing w:before="0" w:after="0"/>
              <w:jc w:val="center"/>
              <w:rPr>
                <w:rFonts w:eastAsia="Times New Roman" w:cstheme="minorHAnsi"/>
                <w:b/>
                <w:bCs/>
                <w:color w:val="000000"/>
                <w:sz w:val="20"/>
                <w:szCs w:val="20"/>
                <w:lang w:eastAsia="es-MX"/>
              </w:rPr>
            </w:pPr>
            <w:r w:rsidRPr="000A32FE">
              <w:rPr>
                <w:rFonts w:eastAsia="Times New Roman" w:cstheme="minorHAnsi"/>
                <w:b/>
                <w:bCs/>
                <w:color w:val="000000"/>
                <w:sz w:val="20"/>
                <w:szCs w:val="20"/>
                <w:lang w:eastAsia="es-MX"/>
              </w:rPr>
              <w:t>Módulo/</w:t>
            </w:r>
            <w:r w:rsidR="00546234">
              <w:rPr>
                <w:rFonts w:eastAsia="Times New Roman" w:cstheme="minorHAnsi"/>
                <w:b/>
                <w:bCs/>
                <w:color w:val="000000"/>
                <w:sz w:val="20"/>
                <w:szCs w:val="20"/>
                <w:lang w:eastAsia="es-MX"/>
              </w:rPr>
              <w:t>S</w:t>
            </w:r>
            <w:r w:rsidRPr="000A32FE">
              <w:rPr>
                <w:rFonts w:eastAsia="Times New Roman" w:cstheme="minorHAnsi"/>
                <w:b/>
                <w:bCs/>
                <w:color w:val="000000"/>
                <w:sz w:val="20"/>
                <w:szCs w:val="20"/>
                <w:lang w:eastAsia="es-MX"/>
              </w:rPr>
              <w:t>ubmódulo</w:t>
            </w:r>
          </w:p>
        </w:tc>
        <w:tc>
          <w:tcPr>
            <w:tcW w:w="366" w:type="pct"/>
            <w:shd w:val="clear" w:color="000000" w:fill="9CC2E5"/>
            <w:vAlign w:val="center"/>
            <w:hideMark/>
          </w:tcPr>
          <w:p w14:paraId="02A84BDB" w14:textId="77777777" w:rsidR="00EB1844" w:rsidRPr="000A32FE" w:rsidRDefault="00EB1844" w:rsidP="00927B4B">
            <w:pPr>
              <w:spacing w:before="0" w:after="0"/>
              <w:jc w:val="center"/>
              <w:rPr>
                <w:rFonts w:eastAsia="Times New Roman" w:cstheme="minorHAnsi"/>
                <w:b/>
                <w:bCs/>
                <w:color w:val="000000"/>
                <w:sz w:val="20"/>
                <w:szCs w:val="20"/>
                <w:lang w:eastAsia="es-MX"/>
              </w:rPr>
            </w:pPr>
            <w:r w:rsidRPr="000A32FE">
              <w:rPr>
                <w:rFonts w:eastAsia="Times New Roman" w:cstheme="minorHAnsi"/>
                <w:b/>
                <w:bCs/>
                <w:color w:val="000000"/>
                <w:sz w:val="20"/>
                <w:szCs w:val="20"/>
                <w:lang w:eastAsia="es-MX"/>
              </w:rPr>
              <w:t>Nivel promedio</w:t>
            </w:r>
          </w:p>
        </w:tc>
        <w:tc>
          <w:tcPr>
            <w:tcW w:w="3121" w:type="pct"/>
            <w:shd w:val="clear" w:color="000000" w:fill="9CC2E5"/>
            <w:noWrap/>
            <w:vAlign w:val="center"/>
            <w:hideMark/>
          </w:tcPr>
          <w:p w14:paraId="0D72CC21" w14:textId="77777777" w:rsidR="00EB1844" w:rsidRPr="000A32FE" w:rsidRDefault="00EB1844" w:rsidP="00927B4B">
            <w:pPr>
              <w:spacing w:before="0" w:after="0"/>
              <w:jc w:val="center"/>
              <w:rPr>
                <w:rFonts w:eastAsia="Times New Roman" w:cstheme="minorHAnsi"/>
                <w:b/>
                <w:bCs/>
                <w:color w:val="000000"/>
                <w:sz w:val="20"/>
                <w:szCs w:val="20"/>
                <w:lang w:eastAsia="es-MX"/>
              </w:rPr>
            </w:pPr>
            <w:r w:rsidRPr="000A32FE">
              <w:rPr>
                <w:rFonts w:eastAsia="Times New Roman" w:cstheme="minorHAnsi"/>
                <w:b/>
                <w:bCs/>
                <w:color w:val="000000"/>
                <w:sz w:val="20"/>
                <w:szCs w:val="20"/>
                <w:lang w:eastAsia="es-MX"/>
              </w:rPr>
              <w:t>Justificación</w:t>
            </w:r>
          </w:p>
        </w:tc>
      </w:tr>
      <w:tr w:rsidR="00EB1844" w:rsidRPr="0008415E" w14:paraId="5198391E" w14:textId="77777777" w:rsidTr="001E68BE">
        <w:trPr>
          <w:trHeight w:val="873"/>
        </w:trPr>
        <w:tc>
          <w:tcPr>
            <w:tcW w:w="1513" w:type="pct"/>
            <w:shd w:val="clear" w:color="auto" w:fill="auto"/>
            <w:vAlign w:val="center"/>
            <w:hideMark/>
          </w:tcPr>
          <w:p w14:paraId="1516E023" w14:textId="77777777" w:rsidR="00EB1844" w:rsidRPr="000A32FE" w:rsidRDefault="00EB1844" w:rsidP="005F3B3F">
            <w:pPr>
              <w:spacing w:before="0" w:after="0"/>
              <w:rPr>
                <w:rFonts w:eastAsia="Times New Roman" w:cstheme="minorHAnsi"/>
                <w:color w:val="000000"/>
                <w:sz w:val="20"/>
                <w:szCs w:val="20"/>
                <w:lang w:eastAsia="es-MX"/>
              </w:rPr>
            </w:pPr>
            <w:r w:rsidRPr="000A32FE">
              <w:rPr>
                <w:rFonts w:eastAsia="Times New Roman" w:cstheme="minorHAnsi"/>
                <w:color w:val="000000"/>
                <w:sz w:val="20"/>
                <w:szCs w:val="20"/>
                <w:lang w:eastAsia="es-MX"/>
              </w:rPr>
              <w:t>1. Justificación del diseño del Fondo y de su mecanismo de intervención</w:t>
            </w:r>
          </w:p>
          <w:p w14:paraId="29A165F9" w14:textId="0FE85CA7" w:rsidR="00EB1844" w:rsidRPr="0008415E" w:rsidRDefault="001E68BE" w:rsidP="005F3B3F">
            <w:pPr>
              <w:spacing w:before="0" w:after="0"/>
              <w:ind w:left="911" w:hanging="567"/>
              <w:rPr>
                <w:rFonts w:eastAsia="Times New Roman" w:cstheme="minorHAnsi"/>
                <w:color w:val="000000"/>
                <w:sz w:val="20"/>
                <w:szCs w:val="20"/>
                <w:lang w:eastAsia="es-MX"/>
              </w:rPr>
            </w:pPr>
            <w:r>
              <w:rPr>
                <w:rFonts w:eastAsia="Times New Roman" w:cstheme="minorHAnsi"/>
                <w:color w:val="000000"/>
                <w:sz w:val="20"/>
                <w:szCs w:val="20"/>
                <w:lang w:eastAsia="es-MX"/>
              </w:rPr>
              <w:t>-</w:t>
            </w:r>
            <w:r w:rsidR="00EB1844" w:rsidRPr="000A32FE">
              <w:rPr>
                <w:rFonts w:eastAsia="Times New Roman" w:cstheme="minorHAnsi"/>
                <w:color w:val="000000"/>
                <w:sz w:val="20"/>
                <w:szCs w:val="20"/>
                <w:lang w:eastAsia="es-MX"/>
              </w:rPr>
              <w:t xml:space="preserve"> Características del Fondo en </w:t>
            </w:r>
            <w:r w:rsidR="00EB1844">
              <w:rPr>
                <w:rFonts w:eastAsia="Times New Roman" w:cstheme="minorHAnsi"/>
                <w:color w:val="000000"/>
                <w:sz w:val="20"/>
                <w:szCs w:val="20"/>
                <w:lang w:eastAsia="es-MX"/>
              </w:rPr>
              <w:t>Hidalgo</w:t>
            </w:r>
          </w:p>
          <w:p w14:paraId="2FD1D155" w14:textId="6B524DB6" w:rsidR="00EB1844" w:rsidRPr="000A32FE" w:rsidRDefault="001E68BE" w:rsidP="005F3B3F">
            <w:pPr>
              <w:spacing w:before="0" w:after="0"/>
              <w:ind w:left="911" w:hanging="567"/>
              <w:rPr>
                <w:rFonts w:eastAsia="Times New Roman" w:cstheme="minorHAnsi"/>
                <w:color w:val="000000"/>
                <w:sz w:val="20"/>
                <w:szCs w:val="20"/>
                <w:lang w:eastAsia="es-MX"/>
              </w:rPr>
            </w:pPr>
            <w:r>
              <w:rPr>
                <w:rFonts w:eastAsia="Times New Roman" w:cstheme="minorHAnsi"/>
                <w:color w:val="000000"/>
                <w:sz w:val="20"/>
                <w:szCs w:val="20"/>
                <w:lang w:eastAsia="es-MX"/>
              </w:rPr>
              <w:t xml:space="preserve">- </w:t>
            </w:r>
            <w:r w:rsidR="00EB1844" w:rsidRPr="000A32FE">
              <w:rPr>
                <w:rFonts w:eastAsia="Times New Roman" w:cstheme="minorHAnsi"/>
                <w:color w:val="000000"/>
                <w:sz w:val="20"/>
                <w:szCs w:val="20"/>
                <w:lang w:eastAsia="es-MX"/>
              </w:rPr>
              <w:t>Valoración de la contribución del FAFEF a la o las problemáticas de la entidad federativa</w:t>
            </w:r>
          </w:p>
        </w:tc>
        <w:tc>
          <w:tcPr>
            <w:tcW w:w="366" w:type="pct"/>
            <w:shd w:val="clear" w:color="auto" w:fill="auto"/>
            <w:noWrap/>
            <w:vAlign w:val="center"/>
            <w:hideMark/>
          </w:tcPr>
          <w:p w14:paraId="1F58757C" w14:textId="77777777" w:rsidR="00EB1844" w:rsidRPr="000A32FE" w:rsidRDefault="00EB1844" w:rsidP="00927B4B">
            <w:pPr>
              <w:spacing w:before="0" w:after="0"/>
              <w:jc w:val="center"/>
              <w:rPr>
                <w:rFonts w:eastAsia="Times New Roman" w:cstheme="minorHAnsi"/>
                <w:color w:val="000000"/>
                <w:sz w:val="20"/>
                <w:szCs w:val="20"/>
                <w:lang w:eastAsia="es-MX"/>
              </w:rPr>
            </w:pPr>
            <w:r w:rsidRPr="000A32FE">
              <w:rPr>
                <w:rFonts w:eastAsia="Times New Roman" w:cstheme="minorHAnsi"/>
                <w:color w:val="000000"/>
                <w:sz w:val="20"/>
                <w:szCs w:val="20"/>
                <w:lang w:eastAsia="es-MX"/>
              </w:rPr>
              <w:t>0.125</w:t>
            </w:r>
          </w:p>
        </w:tc>
        <w:tc>
          <w:tcPr>
            <w:tcW w:w="3121" w:type="pct"/>
            <w:shd w:val="clear" w:color="auto" w:fill="auto"/>
            <w:vAlign w:val="center"/>
            <w:hideMark/>
          </w:tcPr>
          <w:p w14:paraId="1F9FD417" w14:textId="106FD333" w:rsidR="00EB1844" w:rsidRPr="000A32FE" w:rsidRDefault="00EB1844" w:rsidP="00927B4B">
            <w:pPr>
              <w:rPr>
                <w:rFonts w:eastAsia="Times New Roman" w:cstheme="minorHAnsi"/>
                <w:color w:val="000000"/>
                <w:sz w:val="20"/>
                <w:szCs w:val="20"/>
                <w:lang w:eastAsia="es-MX"/>
              </w:rPr>
            </w:pPr>
            <w:r w:rsidRPr="000A32FE">
              <w:rPr>
                <w:rFonts w:eastAsia="Times New Roman" w:cstheme="minorHAnsi"/>
                <w:color w:val="000000"/>
                <w:sz w:val="20"/>
                <w:szCs w:val="20"/>
                <w:lang w:eastAsia="es-MX"/>
              </w:rPr>
              <w:t xml:space="preserve">La entidad </w:t>
            </w:r>
            <w:r>
              <w:rPr>
                <w:rFonts w:eastAsia="Times New Roman" w:cstheme="minorHAnsi"/>
                <w:color w:val="000000"/>
                <w:sz w:val="20"/>
                <w:szCs w:val="20"/>
                <w:lang w:eastAsia="es-MX"/>
              </w:rPr>
              <w:t xml:space="preserve">federativa </w:t>
            </w:r>
            <w:r w:rsidRPr="000A32FE">
              <w:rPr>
                <w:rFonts w:eastAsia="Times New Roman" w:cstheme="minorHAnsi"/>
                <w:color w:val="000000"/>
                <w:sz w:val="20"/>
                <w:szCs w:val="20"/>
                <w:lang w:eastAsia="es-MX"/>
              </w:rPr>
              <w:t>cuenta con un documento diagnóstico, pero este no profundiza en el análisis de las problemáticas que se atienden con los recursos del Fondo, ni justifica la priorización de los 4 rubros que se han atendido en los últimos 5 ejercicios fiscales. Tampoco se cuenta con un documento de planeación estratégica específico para el Fondo</w:t>
            </w:r>
            <w:r>
              <w:rPr>
                <w:rFonts w:eastAsia="Times New Roman" w:cstheme="minorHAnsi"/>
                <w:color w:val="000000"/>
                <w:sz w:val="20"/>
                <w:szCs w:val="20"/>
                <w:lang w:eastAsia="es-MX"/>
              </w:rPr>
              <w:t xml:space="preserve">. </w:t>
            </w:r>
            <w:r w:rsidRPr="000A32FE">
              <w:rPr>
                <w:rFonts w:eastAsia="Times New Roman" w:cstheme="minorHAnsi"/>
                <w:color w:val="000000"/>
                <w:sz w:val="20"/>
                <w:szCs w:val="20"/>
                <w:lang w:eastAsia="es-MX"/>
              </w:rPr>
              <w:t>El documento rector para el ejercicio de los recursos del F</w:t>
            </w:r>
            <w:r w:rsidR="009E56EF">
              <w:rPr>
                <w:rFonts w:eastAsia="Times New Roman" w:cstheme="minorHAnsi"/>
                <w:color w:val="000000"/>
                <w:sz w:val="20"/>
                <w:szCs w:val="20"/>
                <w:lang w:eastAsia="es-MX"/>
              </w:rPr>
              <w:t>AFEF</w:t>
            </w:r>
            <w:r w:rsidRPr="000A32FE">
              <w:rPr>
                <w:rFonts w:eastAsia="Times New Roman" w:cstheme="minorHAnsi"/>
                <w:color w:val="000000"/>
                <w:sz w:val="20"/>
                <w:szCs w:val="20"/>
                <w:lang w:eastAsia="es-MX"/>
              </w:rPr>
              <w:t xml:space="preserve"> es el PEDH 2016-2022, en este se establecen principios y análisis estratégicos con objetivos y líneas generales y se vincula a indicadores estratégicos con metas para el actual gobierno.</w:t>
            </w:r>
          </w:p>
        </w:tc>
      </w:tr>
      <w:tr w:rsidR="00EB1844" w:rsidRPr="0008415E" w14:paraId="5BAEC7DE" w14:textId="77777777" w:rsidTr="001E68BE">
        <w:trPr>
          <w:trHeight w:val="303"/>
        </w:trPr>
        <w:tc>
          <w:tcPr>
            <w:tcW w:w="1513" w:type="pct"/>
            <w:shd w:val="clear" w:color="auto" w:fill="auto"/>
            <w:vAlign w:val="center"/>
            <w:hideMark/>
          </w:tcPr>
          <w:p w14:paraId="57D407AB" w14:textId="77777777" w:rsidR="00EB1844" w:rsidRPr="000A32FE" w:rsidRDefault="00EB1844" w:rsidP="00927B4B">
            <w:pPr>
              <w:spacing w:before="0" w:after="0"/>
              <w:rPr>
                <w:rFonts w:eastAsia="Times New Roman" w:cstheme="minorHAnsi"/>
                <w:color w:val="000000"/>
                <w:sz w:val="20"/>
                <w:szCs w:val="20"/>
                <w:lang w:eastAsia="es-MX"/>
              </w:rPr>
            </w:pPr>
            <w:r w:rsidRPr="000A32FE">
              <w:rPr>
                <w:rFonts w:eastAsia="Times New Roman" w:cstheme="minorHAnsi"/>
                <w:color w:val="000000"/>
                <w:sz w:val="20"/>
                <w:szCs w:val="20"/>
                <w:lang w:eastAsia="es-MX"/>
              </w:rPr>
              <w:t>2. Matriz de Indicadores para Resultados (MIR)</w:t>
            </w:r>
          </w:p>
        </w:tc>
        <w:tc>
          <w:tcPr>
            <w:tcW w:w="366" w:type="pct"/>
            <w:shd w:val="clear" w:color="auto" w:fill="auto"/>
            <w:noWrap/>
            <w:vAlign w:val="center"/>
            <w:hideMark/>
          </w:tcPr>
          <w:p w14:paraId="7C3707CE" w14:textId="77777777" w:rsidR="00EB1844" w:rsidRPr="000A32FE" w:rsidRDefault="00EB1844" w:rsidP="00927B4B">
            <w:pPr>
              <w:spacing w:before="0" w:after="0"/>
              <w:jc w:val="center"/>
              <w:rPr>
                <w:rFonts w:eastAsia="Times New Roman" w:cstheme="minorHAnsi"/>
                <w:color w:val="000000"/>
                <w:sz w:val="20"/>
                <w:szCs w:val="20"/>
                <w:lang w:eastAsia="es-MX"/>
              </w:rPr>
            </w:pPr>
            <w:r w:rsidRPr="000A32FE">
              <w:rPr>
                <w:rFonts w:eastAsia="Times New Roman" w:cstheme="minorHAnsi"/>
                <w:color w:val="000000"/>
                <w:sz w:val="20"/>
                <w:szCs w:val="20"/>
                <w:lang w:eastAsia="es-MX"/>
              </w:rPr>
              <w:t>0.75</w:t>
            </w:r>
          </w:p>
        </w:tc>
        <w:tc>
          <w:tcPr>
            <w:tcW w:w="3121" w:type="pct"/>
            <w:shd w:val="clear" w:color="auto" w:fill="auto"/>
            <w:noWrap/>
            <w:vAlign w:val="center"/>
            <w:hideMark/>
          </w:tcPr>
          <w:p w14:paraId="66335E1F" w14:textId="77777777" w:rsidR="00EB1844" w:rsidRPr="000A32FE" w:rsidRDefault="00EB1844" w:rsidP="00927B4B">
            <w:pPr>
              <w:spacing w:before="0" w:after="0"/>
              <w:rPr>
                <w:rFonts w:eastAsia="Times New Roman" w:cstheme="minorHAnsi"/>
                <w:color w:val="000000"/>
                <w:sz w:val="20"/>
                <w:szCs w:val="20"/>
                <w:lang w:eastAsia="es-MX"/>
              </w:rPr>
            </w:pPr>
            <w:r w:rsidRPr="000A32FE">
              <w:rPr>
                <w:rFonts w:eastAsia="Times New Roman" w:cstheme="minorHAnsi"/>
                <w:color w:val="000000"/>
                <w:sz w:val="20"/>
                <w:szCs w:val="20"/>
                <w:lang w:eastAsia="es-MX"/>
              </w:rPr>
              <w:t>La entidad federativa documenta el resultado de las aportaciones del FAFEF a través de los indicadores de la MIR federal, informes trimestrales sobre la Situación Económica, las Finanzas Públicas y la Deuda Pública a través del SRFT, a través de las MIR de los Pp, cuyo presupuesto contenga parte o todos sus recursos provenientes del FAFEF, y mediante evaluaciones externas.</w:t>
            </w:r>
          </w:p>
        </w:tc>
      </w:tr>
      <w:tr w:rsidR="00EB1844" w:rsidRPr="0008415E" w14:paraId="621CEA23" w14:textId="77777777" w:rsidTr="001E68BE">
        <w:trPr>
          <w:trHeight w:val="264"/>
        </w:trPr>
        <w:tc>
          <w:tcPr>
            <w:tcW w:w="1513" w:type="pct"/>
            <w:shd w:val="clear" w:color="auto" w:fill="auto"/>
            <w:vAlign w:val="center"/>
            <w:hideMark/>
          </w:tcPr>
          <w:p w14:paraId="5B366C1C" w14:textId="77777777" w:rsidR="00EB1844" w:rsidRPr="000A32FE" w:rsidRDefault="00EB1844" w:rsidP="00927B4B">
            <w:pPr>
              <w:spacing w:before="0" w:after="0"/>
              <w:rPr>
                <w:rFonts w:eastAsia="Times New Roman" w:cstheme="minorHAnsi"/>
                <w:color w:val="000000"/>
                <w:sz w:val="20"/>
                <w:szCs w:val="20"/>
                <w:lang w:eastAsia="es-MX"/>
              </w:rPr>
            </w:pPr>
            <w:r w:rsidRPr="000A32FE">
              <w:rPr>
                <w:rFonts w:eastAsia="Times New Roman" w:cstheme="minorHAnsi"/>
                <w:color w:val="000000"/>
                <w:sz w:val="20"/>
                <w:szCs w:val="20"/>
                <w:lang w:eastAsia="es-MX"/>
              </w:rPr>
              <w:t>3. Consistencia entre los elementos del diseño</w:t>
            </w:r>
          </w:p>
        </w:tc>
        <w:tc>
          <w:tcPr>
            <w:tcW w:w="366" w:type="pct"/>
            <w:shd w:val="clear" w:color="auto" w:fill="auto"/>
            <w:noWrap/>
            <w:vAlign w:val="center"/>
            <w:hideMark/>
          </w:tcPr>
          <w:p w14:paraId="51DE4D8E" w14:textId="77777777" w:rsidR="00EB1844" w:rsidRPr="000A32FE" w:rsidRDefault="00EB1844" w:rsidP="00927B4B">
            <w:pPr>
              <w:spacing w:before="0" w:after="0"/>
              <w:jc w:val="center"/>
              <w:rPr>
                <w:rFonts w:eastAsia="Times New Roman" w:cstheme="minorHAnsi"/>
                <w:color w:val="000000"/>
                <w:sz w:val="20"/>
                <w:szCs w:val="20"/>
                <w:lang w:eastAsia="es-MX"/>
              </w:rPr>
            </w:pPr>
            <w:r w:rsidRPr="000A32FE">
              <w:rPr>
                <w:rFonts w:eastAsia="Times New Roman" w:cstheme="minorHAnsi"/>
                <w:color w:val="000000"/>
                <w:sz w:val="20"/>
                <w:szCs w:val="20"/>
                <w:lang w:eastAsia="es-MX"/>
              </w:rPr>
              <w:t>0.5</w:t>
            </w:r>
          </w:p>
        </w:tc>
        <w:tc>
          <w:tcPr>
            <w:tcW w:w="3121" w:type="pct"/>
            <w:shd w:val="clear" w:color="auto" w:fill="auto"/>
            <w:noWrap/>
            <w:vAlign w:val="center"/>
            <w:hideMark/>
          </w:tcPr>
          <w:p w14:paraId="58522331" w14:textId="77777777" w:rsidR="00EB1844" w:rsidRPr="000A32FE" w:rsidRDefault="00EB1844" w:rsidP="00927B4B">
            <w:pPr>
              <w:spacing w:before="0" w:after="0"/>
              <w:rPr>
                <w:rFonts w:eastAsia="Times New Roman" w:cstheme="minorHAnsi"/>
                <w:color w:val="000000"/>
                <w:sz w:val="20"/>
                <w:szCs w:val="20"/>
                <w:lang w:eastAsia="es-MX"/>
              </w:rPr>
            </w:pPr>
            <w:r w:rsidRPr="000A32FE">
              <w:rPr>
                <w:rFonts w:eastAsia="Times New Roman" w:cstheme="minorHAnsi"/>
                <w:color w:val="000000"/>
                <w:sz w:val="20"/>
                <w:szCs w:val="20"/>
                <w:lang w:eastAsia="es-MX"/>
              </w:rPr>
              <w:t xml:space="preserve">Para la operación del Fondo en </w:t>
            </w:r>
            <w:r>
              <w:rPr>
                <w:rFonts w:eastAsia="Times New Roman" w:cstheme="minorHAnsi"/>
                <w:color w:val="000000"/>
                <w:sz w:val="20"/>
                <w:szCs w:val="20"/>
                <w:lang w:eastAsia="es-MX"/>
              </w:rPr>
              <w:t xml:space="preserve">Hidalgo </w:t>
            </w:r>
            <w:r w:rsidRPr="000A32FE">
              <w:rPr>
                <w:rFonts w:eastAsia="Times New Roman" w:cstheme="minorHAnsi"/>
                <w:color w:val="000000"/>
                <w:sz w:val="20"/>
                <w:szCs w:val="20"/>
                <w:lang w:eastAsia="es-MX"/>
              </w:rPr>
              <w:t>se ha usado información derivada de las evaluaciones específicas de desempeño al FAFEF que se realizaron en los ejercicios fiscales 2014, 2015 y 2018; información del desempeño del Fondo y de los Pp medidos a través de las Fichas Ejecutivas de Desempeño. Sin embargo, la entidad</w:t>
            </w:r>
            <w:r>
              <w:rPr>
                <w:rFonts w:eastAsia="Times New Roman" w:cstheme="minorHAnsi"/>
                <w:color w:val="000000"/>
                <w:sz w:val="20"/>
                <w:szCs w:val="20"/>
                <w:lang w:eastAsia="es-MX"/>
              </w:rPr>
              <w:t xml:space="preserve"> federativa </w:t>
            </w:r>
            <w:r w:rsidRPr="000A32FE">
              <w:rPr>
                <w:rFonts w:eastAsia="Times New Roman" w:cstheme="minorHAnsi"/>
                <w:color w:val="000000"/>
                <w:sz w:val="20"/>
                <w:szCs w:val="20"/>
                <w:lang w:eastAsia="es-MX"/>
              </w:rPr>
              <w:t>no cuenta con un plan estratégico para el Fondo, ni elabora un PAT, así como tampoco tiene identificada ni cuantificada a su población objetivo, y no recolecta información socioeconómica de sus beneficiarios.</w:t>
            </w:r>
          </w:p>
        </w:tc>
      </w:tr>
      <w:tr w:rsidR="00EB1844" w:rsidRPr="0008415E" w14:paraId="26990BF8" w14:textId="77777777" w:rsidTr="001E68BE">
        <w:trPr>
          <w:trHeight w:val="450"/>
        </w:trPr>
        <w:tc>
          <w:tcPr>
            <w:tcW w:w="1513" w:type="pct"/>
            <w:vMerge w:val="restart"/>
            <w:shd w:val="clear" w:color="auto" w:fill="auto"/>
            <w:vAlign w:val="center"/>
            <w:hideMark/>
          </w:tcPr>
          <w:p w14:paraId="0A4F2AAB" w14:textId="77777777" w:rsidR="00EB1844" w:rsidRPr="000A32FE" w:rsidRDefault="00EB1844" w:rsidP="00927B4B">
            <w:pPr>
              <w:spacing w:before="0" w:after="0"/>
              <w:rPr>
                <w:rFonts w:eastAsia="Times New Roman" w:cstheme="minorHAnsi"/>
                <w:color w:val="000000"/>
                <w:sz w:val="20"/>
                <w:szCs w:val="20"/>
                <w:lang w:eastAsia="es-MX"/>
              </w:rPr>
            </w:pPr>
            <w:r w:rsidRPr="000A32FE">
              <w:rPr>
                <w:rFonts w:eastAsia="Times New Roman" w:cstheme="minorHAnsi"/>
                <w:color w:val="000000"/>
                <w:sz w:val="20"/>
                <w:szCs w:val="20"/>
                <w:lang w:eastAsia="es-MX"/>
              </w:rPr>
              <w:t>4. Alineación del Fondo a la Planeación Nacional y a los Objetivos de Desarrollo Sostenible</w:t>
            </w:r>
          </w:p>
        </w:tc>
        <w:tc>
          <w:tcPr>
            <w:tcW w:w="366" w:type="pct"/>
            <w:vMerge w:val="restart"/>
            <w:shd w:val="clear" w:color="auto" w:fill="auto"/>
            <w:noWrap/>
            <w:vAlign w:val="center"/>
            <w:hideMark/>
          </w:tcPr>
          <w:p w14:paraId="1A248F75" w14:textId="77777777" w:rsidR="00EB1844" w:rsidRPr="000A32FE" w:rsidRDefault="00EB1844" w:rsidP="00927B4B">
            <w:pPr>
              <w:spacing w:before="0" w:after="0"/>
              <w:jc w:val="center"/>
              <w:rPr>
                <w:rFonts w:eastAsia="Times New Roman" w:cstheme="minorHAnsi"/>
                <w:color w:val="000000"/>
                <w:sz w:val="20"/>
                <w:szCs w:val="20"/>
                <w:lang w:eastAsia="es-MX"/>
              </w:rPr>
            </w:pPr>
            <w:r w:rsidRPr="000A32FE">
              <w:rPr>
                <w:rFonts w:eastAsia="Times New Roman" w:cstheme="minorHAnsi"/>
                <w:color w:val="000000"/>
                <w:sz w:val="20"/>
                <w:szCs w:val="20"/>
                <w:lang w:eastAsia="es-MX"/>
              </w:rPr>
              <w:t>NPVC*</w:t>
            </w:r>
          </w:p>
        </w:tc>
        <w:tc>
          <w:tcPr>
            <w:tcW w:w="3121" w:type="pct"/>
            <w:vMerge w:val="restart"/>
            <w:shd w:val="clear" w:color="auto" w:fill="auto"/>
            <w:noWrap/>
            <w:vAlign w:val="center"/>
            <w:hideMark/>
          </w:tcPr>
          <w:p w14:paraId="07A02ADD" w14:textId="77777777" w:rsidR="00EB1844" w:rsidRPr="000A32FE" w:rsidRDefault="00EB1844" w:rsidP="00927B4B">
            <w:pPr>
              <w:spacing w:before="0" w:after="0"/>
              <w:rPr>
                <w:rFonts w:eastAsia="Times New Roman" w:cstheme="minorHAnsi"/>
                <w:color w:val="000000"/>
                <w:sz w:val="20"/>
                <w:szCs w:val="20"/>
                <w:lang w:eastAsia="es-MX"/>
              </w:rPr>
            </w:pPr>
            <w:r w:rsidRPr="000A32FE">
              <w:rPr>
                <w:rFonts w:eastAsia="Times New Roman" w:cstheme="minorHAnsi"/>
                <w:color w:val="000000"/>
                <w:sz w:val="20"/>
                <w:szCs w:val="20"/>
                <w:lang w:eastAsia="es-MX"/>
              </w:rPr>
              <w:t> </w:t>
            </w:r>
            <w:r>
              <w:rPr>
                <w:rFonts w:eastAsia="Calibri" w:cstheme="minorHAnsi"/>
                <w:bCs/>
                <w:sz w:val="20"/>
                <w:szCs w:val="20"/>
              </w:rPr>
              <w:t>Las preguntas 13 y 14 referentes al Módulo 4, no se valoran cuantitativamente.</w:t>
            </w:r>
          </w:p>
        </w:tc>
      </w:tr>
      <w:tr w:rsidR="00EB1844" w:rsidRPr="0008415E" w14:paraId="2AC96786" w14:textId="77777777" w:rsidTr="001E68BE">
        <w:trPr>
          <w:trHeight w:val="450"/>
        </w:trPr>
        <w:tc>
          <w:tcPr>
            <w:tcW w:w="1513" w:type="pct"/>
            <w:vMerge/>
            <w:vAlign w:val="center"/>
            <w:hideMark/>
          </w:tcPr>
          <w:p w14:paraId="586CFEF6" w14:textId="77777777" w:rsidR="00EB1844" w:rsidRPr="000A32FE" w:rsidRDefault="00EB1844" w:rsidP="00927B4B">
            <w:pPr>
              <w:spacing w:before="0" w:after="0"/>
              <w:jc w:val="left"/>
              <w:rPr>
                <w:rFonts w:eastAsia="Times New Roman" w:cstheme="minorHAnsi"/>
                <w:color w:val="000000"/>
                <w:sz w:val="20"/>
                <w:szCs w:val="20"/>
                <w:lang w:eastAsia="es-MX"/>
              </w:rPr>
            </w:pPr>
          </w:p>
        </w:tc>
        <w:tc>
          <w:tcPr>
            <w:tcW w:w="366" w:type="pct"/>
            <w:vMerge/>
            <w:vAlign w:val="center"/>
            <w:hideMark/>
          </w:tcPr>
          <w:p w14:paraId="687E0359" w14:textId="77777777" w:rsidR="00EB1844" w:rsidRPr="000A32FE" w:rsidRDefault="00EB1844" w:rsidP="00927B4B">
            <w:pPr>
              <w:spacing w:before="0" w:after="0"/>
              <w:jc w:val="left"/>
              <w:rPr>
                <w:rFonts w:eastAsia="Times New Roman" w:cstheme="minorHAnsi"/>
                <w:color w:val="000000"/>
                <w:sz w:val="20"/>
                <w:szCs w:val="20"/>
                <w:lang w:eastAsia="es-MX"/>
              </w:rPr>
            </w:pPr>
          </w:p>
        </w:tc>
        <w:tc>
          <w:tcPr>
            <w:tcW w:w="3121" w:type="pct"/>
            <w:vMerge/>
            <w:vAlign w:val="center"/>
            <w:hideMark/>
          </w:tcPr>
          <w:p w14:paraId="45536152" w14:textId="77777777" w:rsidR="00EB1844" w:rsidRPr="000A32FE" w:rsidRDefault="00EB1844" w:rsidP="00927B4B">
            <w:pPr>
              <w:spacing w:before="0" w:after="0"/>
              <w:jc w:val="left"/>
              <w:rPr>
                <w:rFonts w:eastAsia="Times New Roman" w:cstheme="minorHAnsi"/>
                <w:color w:val="000000"/>
                <w:sz w:val="20"/>
                <w:szCs w:val="20"/>
                <w:lang w:eastAsia="es-MX"/>
              </w:rPr>
            </w:pPr>
          </w:p>
        </w:tc>
      </w:tr>
      <w:tr w:rsidR="00EB1844" w:rsidRPr="0008415E" w14:paraId="331A5654" w14:textId="77777777" w:rsidTr="001E68BE">
        <w:trPr>
          <w:trHeight w:val="686"/>
        </w:trPr>
        <w:tc>
          <w:tcPr>
            <w:tcW w:w="1513" w:type="pct"/>
            <w:vMerge w:val="restart"/>
            <w:shd w:val="clear" w:color="auto" w:fill="auto"/>
            <w:vAlign w:val="center"/>
            <w:hideMark/>
          </w:tcPr>
          <w:p w14:paraId="0B954644" w14:textId="77777777" w:rsidR="00EB1844" w:rsidRPr="0008415E" w:rsidRDefault="00EB1844" w:rsidP="00927B4B">
            <w:pPr>
              <w:spacing w:before="0" w:after="0"/>
              <w:rPr>
                <w:rFonts w:eastAsia="Times New Roman" w:cstheme="minorHAnsi"/>
                <w:color w:val="000000"/>
                <w:sz w:val="20"/>
                <w:szCs w:val="20"/>
                <w:lang w:eastAsia="es-MX"/>
              </w:rPr>
            </w:pPr>
            <w:r w:rsidRPr="000A32FE">
              <w:rPr>
                <w:rFonts w:eastAsia="Times New Roman" w:cstheme="minorHAnsi"/>
                <w:color w:val="000000"/>
                <w:sz w:val="20"/>
                <w:szCs w:val="20"/>
                <w:lang w:eastAsia="es-MX"/>
              </w:rPr>
              <w:t>5. Mecanismos de coordinación</w:t>
            </w:r>
          </w:p>
          <w:p w14:paraId="78B55639" w14:textId="52A61517" w:rsidR="00EB1844" w:rsidRPr="0008415E" w:rsidRDefault="001E68BE" w:rsidP="00927B4B">
            <w:pPr>
              <w:spacing w:before="0" w:after="0"/>
              <w:ind w:left="344"/>
              <w:jc w:val="left"/>
              <w:rPr>
                <w:rFonts w:eastAsia="Times New Roman" w:cstheme="minorHAnsi"/>
                <w:color w:val="000000"/>
                <w:sz w:val="20"/>
                <w:szCs w:val="20"/>
                <w:lang w:eastAsia="es-MX"/>
              </w:rPr>
            </w:pPr>
            <w:r>
              <w:rPr>
                <w:rFonts w:eastAsia="Times New Roman" w:cstheme="minorHAnsi"/>
                <w:color w:val="000000"/>
                <w:sz w:val="20"/>
                <w:szCs w:val="20"/>
                <w:lang w:eastAsia="es-MX"/>
              </w:rPr>
              <w:t xml:space="preserve">- </w:t>
            </w:r>
            <w:r w:rsidR="00EB1844" w:rsidRPr="000A32FE">
              <w:rPr>
                <w:rFonts w:eastAsia="Times New Roman" w:cstheme="minorHAnsi"/>
                <w:color w:val="000000"/>
                <w:sz w:val="20"/>
                <w:szCs w:val="20"/>
                <w:lang w:eastAsia="es-MX"/>
              </w:rPr>
              <w:t>Gestión, operación y planeación</w:t>
            </w:r>
          </w:p>
          <w:p w14:paraId="5FB9B966" w14:textId="66282E71" w:rsidR="00EB1844" w:rsidRPr="000A32FE" w:rsidRDefault="001E68BE" w:rsidP="00927B4B">
            <w:pPr>
              <w:spacing w:before="0" w:after="0"/>
              <w:ind w:left="911" w:hanging="567"/>
              <w:jc w:val="left"/>
              <w:rPr>
                <w:rFonts w:eastAsia="Times New Roman" w:cstheme="minorHAnsi"/>
                <w:color w:val="000000"/>
                <w:sz w:val="20"/>
                <w:szCs w:val="20"/>
                <w:lang w:eastAsia="es-MX"/>
              </w:rPr>
            </w:pPr>
            <w:r>
              <w:rPr>
                <w:rFonts w:eastAsia="Times New Roman" w:cstheme="minorHAnsi"/>
                <w:color w:val="000000"/>
                <w:sz w:val="20"/>
                <w:szCs w:val="20"/>
                <w:lang w:eastAsia="es-MX"/>
              </w:rPr>
              <w:t>-</w:t>
            </w:r>
            <w:r w:rsidR="00EB1844" w:rsidRPr="000A32FE">
              <w:rPr>
                <w:rFonts w:eastAsia="Times New Roman" w:cstheme="minorHAnsi"/>
                <w:color w:val="000000"/>
                <w:sz w:val="20"/>
                <w:szCs w:val="20"/>
                <w:lang w:eastAsia="es-MX"/>
              </w:rPr>
              <w:t xml:space="preserve"> Obstáculos para la implementación</w:t>
            </w:r>
          </w:p>
        </w:tc>
        <w:tc>
          <w:tcPr>
            <w:tcW w:w="366" w:type="pct"/>
            <w:vMerge w:val="restart"/>
            <w:shd w:val="clear" w:color="auto" w:fill="auto"/>
            <w:noWrap/>
            <w:vAlign w:val="center"/>
            <w:hideMark/>
          </w:tcPr>
          <w:p w14:paraId="730A5F16" w14:textId="77777777" w:rsidR="00EB1844" w:rsidRPr="000A32FE" w:rsidRDefault="00EB1844" w:rsidP="00927B4B">
            <w:pPr>
              <w:spacing w:before="0" w:after="0"/>
              <w:jc w:val="center"/>
              <w:rPr>
                <w:rFonts w:eastAsia="Times New Roman" w:cstheme="minorHAnsi"/>
                <w:color w:val="000000"/>
                <w:sz w:val="20"/>
                <w:szCs w:val="20"/>
                <w:lang w:eastAsia="es-MX"/>
              </w:rPr>
            </w:pPr>
            <w:r w:rsidRPr="000A32FE">
              <w:rPr>
                <w:rFonts w:eastAsia="Times New Roman" w:cstheme="minorHAnsi"/>
                <w:color w:val="000000"/>
                <w:sz w:val="20"/>
                <w:szCs w:val="20"/>
                <w:lang w:eastAsia="es-MX"/>
              </w:rPr>
              <w:t>0</w:t>
            </w:r>
          </w:p>
        </w:tc>
        <w:tc>
          <w:tcPr>
            <w:tcW w:w="3121" w:type="pct"/>
            <w:vMerge w:val="restart"/>
            <w:shd w:val="clear" w:color="auto" w:fill="auto"/>
            <w:vAlign w:val="center"/>
            <w:hideMark/>
          </w:tcPr>
          <w:p w14:paraId="6FEEB172" w14:textId="108D7B54" w:rsidR="00EB1844" w:rsidRPr="000A32FE" w:rsidRDefault="00EB1844" w:rsidP="00927B4B">
            <w:pPr>
              <w:spacing w:before="0" w:after="0"/>
              <w:rPr>
                <w:rFonts w:eastAsia="Times New Roman" w:cstheme="minorHAnsi"/>
                <w:color w:val="000000"/>
                <w:sz w:val="20"/>
                <w:szCs w:val="20"/>
                <w:lang w:eastAsia="es-MX"/>
              </w:rPr>
            </w:pPr>
            <w:r w:rsidRPr="000A32FE">
              <w:rPr>
                <w:rFonts w:eastAsia="Times New Roman" w:cstheme="minorHAnsi"/>
                <w:color w:val="000000"/>
                <w:sz w:val="20"/>
                <w:szCs w:val="20"/>
                <w:lang w:eastAsia="es-MX"/>
              </w:rPr>
              <w:t xml:space="preserve">El </w:t>
            </w:r>
            <w:r w:rsidR="005934C9">
              <w:rPr>
                <w:rFonts w:eastAsia="Times New Roman" w:cstheme="minorHAnsi"/>
                <w:color w:val="000000"/>
                <w:sz w:val="20"/>
                <w:szCs w:val="20"/>
                <w:lang w:eastAsia="es-MX"/>
              </w:rPr>
              <w:t>E</w:t>
            </w:r>
            <w:r w:rsidRPr="000A32FE">
              <w:rPr>
                <w:rFonts w:eastAsia="Times New Roman" w:cstheme="minorHAnsi"/>
                <w:color w:val="000000"/>
                <w:sz w:val="20"/>
                <w:szCs w:val="20"/>
                <w:lang w:eastAsia="es-MX"/>
              </w:rPr>
              <w:t xml:space="preserve">stado de Hidalgo cuenta con un Manual de Normas y Lineamientos </w:t>
            </w:r>
            <w:r>
              <w:rPr>
                <w:rFonts w:eastAsia="Times New Roman" w:cstheme="minorHAnsi"/>
                <w:color w:val="000000"/>
                <w:sz w:val="20"/>
                <w:szCs w:val="20"/>
                <w:lang w:eastAsia="es-MX"/>
              </w:rPr>
              <w:t>p</w:t>
            </w:r>
            <w:r w:rsidRPr="000A32FE">
              <w:rPr>
                <w:rFonts w:eastAsia="Times New Roman" w:cstheme="minorHAnsi"/>
                <w:color w:val="000000"/>
                <w:sz w:val="20"/>
                <w:szCs w:val="20"/>
                <w:lang w:eastAsia="es-MX"/>
              </w:rPr>
              <w:t xml:space="preserve">ara el Ejercicio de los Recursos del </w:t>
            </w:r>
            <w:r w:rsidR="009E56EF">
              <w:rPr>
                <w:rFonts w:eastAsia="Times New Roman" w:cstheme="minorHAnsi"/>
                <w:color w:val="000000"/>
                <w:sz w:val="20"/>
                <w:szCs w:val="20"/>
                <w:lang w:eastAsia="es-MX"/>
              </w:rPr>
              <w:t>P</w:t>
            </w:r>
            <w:r w:rsidRPr="000A32FE">
              <w:rPr>
                <w:rFonts w:eastAsia="Times New Roman" w:cstheme="minorHAnsi"/>
                <w:color w:val="000000"/>
                <w:sz w:val="20"/>
                <w:szCs w:val="20"/>
                <w:lang w:eastAsia="es-MX"/>
              </w:rPr>
              <w:t xml:space="preserve">rograma de </w:t>
            </w:r>
            <w:r w:rsidR="009E56EF">
              <w:rPr>
                <w:rFonts w:eastAsia="Times New Roman" w:cstheme="minorHAnsi"/>
                <w:color w:val="000000"/>
                <w:sz w:val="20"/>
                <w:szCs w:val="20"/>
                <w:lang w:eastAsia="es-MX"/>
              </w:rPr>
              <w:t>I</w:t>
            </w:r>
            <w:r w:rsidRPr="000A32FE">
              <w:rPr>
                <w:rFonts w:eastAsia="Times New Roman" w:cstheme="minorHAnsi"/>
                <w:color w:val="000000"/>
                <w:sz w:val="20"/>
                <w:szCs w:val="20"/>
                <w:lang w:eastAsia="es-MX"/>
              </w:rPr>
              <w:t xml:space="preserve">nversión, sin embargo, no se define con claridad los procesos que se deben seguir para la ejecución de los otros rubros, por lo tanto, los procedimientos para el ejercicio de todos los rubros del FAFEF, no se encuentran homologados. Tampoco se cuenta con un mecanismo o proceso </w:t>
            </w:r>
            <w:r w:rsidRPr="000A32FE">
              <w:rPr>
                <w:rFonts w:eastAsia="Times New Roman" w:cstheme="minorHAnsi"/>
                <w:color w:val="000000"/>
                <w:sz w:val="20"/>
                <w:szCs w:val="20"/>
                <w:lang w:eastAsia="es-MX"/>
              </w:rPr>
              <w:lastRenderedPageBreak/>
              <w:t xml:space="preserve">exclusivo del FAFEF para la generación o administración de información sobre su operación, con la intención de mejorar su desempeño; ni con procesos institucionalizados y estandarizados para supervisar el ejercicio de los recursos del FAFEF de una manera integral. </w:t>
            </w:r>
          </w:p>
        </w:tc>
      </w:tr>
      <w:tr w:rsidR="00EB1844" w:rsidRPr="0008415E" w14:paraId="2D8EBB74" w14:textId="77777777" w:rsidTr="001E68BE">
        <w:trPr>
          <w:trHeight w:val="450"/>
        </w:trPr>
        <w:tc>
          <w:tcPr>
            <w:tcW w:w="1513" w:type="pct"/>
            <w:vMerge/>
            <w:shd w:val="clear" w:color="auto" w:fill="auto"/>
            <w:noWrap/>
            <w:vAlign w:val="center"/>
            <w:hideMark/>
          </w:tcPr>
          <w:p w14:paraId="146EAE5C" w14:textId="77777777" w:rsidR="00EB1844" w:rsidRPr="000A32FE" w:rsidRDefault="00EB1844" w:rsidP="00927B4B">
            <w:pPr>
              <w:spacing w:before="0" w:after="0"/>
              <w:jc w:val="left"/>
              <w:rPr>
                <w:rFonts w:eastAsia="Times New Roman" w:cstheme="minorHAnsi"/>
                <w:color w:val="000000"/>
                <w:sz w:val="20"/>
                <w:szCs w:val="20"/>
                <w:lang w:eastAsia="es-MX"/>
              </w:rPr>
            </w:pPr>
          </w:p>
        </w:tc>
        <w:tc>
          <w:tcPr>
            <w:tcW w:w="366" w:type="pct"/>
            <w:vMerge/>
            <w:vAlign w:val="center"/>
            <w:hideMark/>
          </w:tcPr>
          <w:p w14:paraId="7523AABA" w14:textId="77777777" w:rsidR="00EB1844" w:rsidRPr="000A32FE" w:rsidRDefault="00EB1844" w:rsidP="00927B4B">
            <w:pPr>
              <w:spacing w:before="0" w:after="0"/>
              <w:jc w:val="left"/>
              <w:rPr>
                <w:rFonts w:eastAsia="Times New Roman" w:cstheme="minorHAnsi"/>
                <w:color w:val="000000"/>
                <w:sz w:val="20"/>
                <w:szCs w:val="20"/>
                <w:lang w:eastAsia="es-MX"/>
              </w:rPr>
            </w:pPr>
          </w:p>
        </w:tc>
        <w:tc>
          <w:tcPr>
            <w:tcW w:w="3121" w:type="pct"/>
            <w:vMerge/>
            <w:vAlign w:val="center"/>
            <w:hideMark/>
          </w:tcPr>
          <w:p w14:paraId="7459A152" w14:textId="77777777" w:rsidR="00EB1844" w:rsidRPr="000A32FE" w:rsidRDefault="00EB1844" w:rsidP="00927B4B">
            <w:pPr>
              <w:spacing w:before="0" w:after="0"/>
              <w:jc w:val="left"/>
              <w:rPr>
                <w:rFonts w:eastAsia="Times New Roman" w:cstheme="minorHAnsi"/>
                <w:color w:val="000000"/>
                <w:sz w:val="20"/>
                <w:szCs w:val="20"/>
                <w:lang w:eastAsia="es-MX"/>
              </w:rPr>
            </w:pPr>
          </w:p>
        </w:tc>
      </w:tr>
      <w:tr w:rsidR="00EB1844" w:rsidRPr="0008415E" w14:paraId="793FB770" w14:textId="77777777" w:rsidTr="001E68BE">
        <w:trPr>
          <w:trHeight w:val="450"/>
        </w:trPr>
        <w:tc>
          <w:tcPr>
            <w:tcW w:w="1513" w:type="pct"/>
            <w:vMerge/>
            <w:shd w:val="clear" w:color="auto" w:fill="auto"/>
            <w:noWrap/>
            <w:vAlign w:val="center"/>
            <w:hideMark/>
          </w:tcPr>
          <w:p w14:paraId="57BA23EF" w14:textId="77777777" w:rsidR="00EB1844" w:rsidRPr="000A32FE" w:rsidRDefault="00EB1844" w:rsidP="00927B4B">
            <w:pPr>
              <w:spacing w:before="0" w:after="0"/>
              <w:jc w:val="left"/>
              <w:rPr>
                <w:rFonts w:eastAsia="Times New Roman" w:cstheme="minorHAnsi"/>
                <w:color w:val="000000"/>
                <w:sz w:val="20"/>
                <w:szCs w:val="20"/>
                <w:lang w:eastAsia="es-MX"/>
              </w:rPr>
            </w:pPr>
          </w:p>
        </w:tc>
        <w:tc>
          <w:tcPr>
            <w:tcW w:w="366" w:type="pct"/>
            <w:vMerge/>
            <w:vAlign w:val="center"/>
            <w:hideMark/>
          </w:tcPr>
          <w:p w14:paraId="1B017D04" w14:textId="77777777" w:rsidR="00EB1844" w:rsidRPr="000A32FE" w:rsidRDefault="00EB1844" w:rsidP="00927B4B">
            <w:pPr>
              <w:spacing w:before="0" w:after="0"/>
              <w:jc w:val="left"/>
              <w:rPr>
                <w:rFonts w:eastAsia="Times New Roman" w:cstheme="minorHAnsi"/>
                <w:color w:val="000000"/>
                <w:sz w:val="20"/>
                <w:szCs w:val="20"/>
                <w:lang w:eastAsia="es-MX"/>
              </w:rPr>
            </w:pPr>
          </w:p>
        </w:tc>
        <w:tc>
          <w:tcPr>
            <w:tcW w:w="3121" w:type="pct"/>
            <w:vMerge/>
            <w:vAlign w:val="center"/>
            <w:hideMark/>
          </w:tcPr>
          <w:p w14:paraId="2325B93A" w14:textId="77777777" w:rsidR="00EB1844" w:rsidRPr="000A32FE" w:rsidRDefault="00EB1844" w:rsidP="00927B4B">
            <w:pPr>
              <w:spacing w:before="0" w:after="0"/>
              <w:jc w:val="left"/>
              <w:rPr>
                <w:rFonts w:eastAsia="Times New Roman" w:cstheme="minorHAnsi"/>
                <w:color w:val="000000"/>
                <w:sz w:val="20"/>
                <w:szCs w:val="20"/>
                <w:lang w:eastAsia="es-MX"/>
              </w:rPr>
            </w:pPr>
          </w:p>
        </w:tc>
      </w:tr>
      <w:tr w:rsidR="00EB1844" w:rsidRPr="0008415E" w14:paraId="0E7E141E" w14:textId="77777777" w:rsidTr="001E68BE">
        <w:trPr>
          <w:trHeight w:val="450"/>
        </w:trPr>
        <w:tc>
          <w:tcPr>
            <w:tcW w:w="1513" w:type="pct"/>
            <w:vMerge w:val="restart"/>
            <w:shd w:val="clear" w:color="auto" w:fill="auto"/>
            <w:vAlign w:val="center"/>
            <w:hideMark/>
          </w:tcPr>
          <w:p w14:paraId="1C6D4DEF" w14:textId="77777777" w:rsidR="00EB1844" w:rsidRPr="000A32FE" w:rsidRDefault="00EB1844" w:rsidP="00927B4B">
            <w:pPr>
              <w:spacing w:before="0" w:after="0"/>
              <w:rPr>
                <w:rFonts w:eastAsia="Times New Roman" w:cstheme="minorHAnsi"/>
                <w:color w:val="000000"/>
                <w:sz w:val="20"/>
                <w:szCs w:val="20"/>
                <w:lang w:eastAsia="es-MX"/>
              </w:rPr>
            </w:pPr>
            <w:r w:rsidRPr="000A32FE">
              <w:rPr>
                <w:rFonts w:eastAsia="Times New Roman" w:cstheme="minorHAnsi"/>
                <w:color w:val="000000"/>
                <w:sz w:val="20"/>
                <w:szCs w:val="20"/>
                <w:lang w:eastAsia="es-MX"/>
              </w:rPr>
              <w:t>6. Complementariedades y coincidencias.</w:t>
            </w:r>
          </w:p>
        </w:tc>
        <w:tc>
          <w:tcPr>
            <w:tcW w:w="366" w:type="pct"/>
            <w:vMerge w:val="restart"/>
            <w:shd w:val="clear" w:color="auto" w:fill="auto"/>
            <w:noWrap/>
            <w:vAlign w:val="center"/>
            <w:hideMark/>
          </w:tcPr>
          <w:p w14:paraId="2853823F" w14:textId="77777777" w:rsidR="00EB1844" w:rsidRPr="000A32FE" w:rsidRDefault="00EB1844" w:rsidP="00927B4B">
            <w:pPr>
              <w:spacing w:before="0" w:after="0"/>
              <w:jc w:val="center"/>
              <w:rPr>
                <w:rFonts w:eastAsia="Times New Roman" w:cstheme="minorHAnsi"/>
                <w:color w:val="000000"/>
                <w:sz w:val="20"/>
                <w:szCs w:val="20"/>
                <w:lang w:eastAsia="es-MX"/>
              </w:rPr>
            </w:pPr>
            <w:r w:rsidRPr="000A32FE">
              <w:rPr>
                <w:rFonts w:eastAsia="Times New Roman" w:cstheme="minorHAnsi"/>
                <w:color w:val="000000"/>
                <w:sz w:val="20"/>
                <w:szCs w:val="20"/>
                <w:lang w:eastAsia="es-MX"/>
              </w:rPr>
              <w:t>NPVC</w:t>
            </w:r>
          </w:p>
        </w:tc>
        <w:tc>
          <w:tcPr>
            <w:tcW w:w="3121" w:type="pct"/>
            <w:vMerge w:val="restart"/>
            <w:shd w:val="clear" w:color="auto" w:fill="auto"/>
            <w:noWrap/>
            <w:vAlign w:val="center"/>
            <w:hideMark/>
          </w:tcPr>
          <w:p w14:paraId="26B87C1C" w14:textId="6AF6D4BF" w:rsidR="00EB1844" w:rsidRPr="000A32FE" w:rsidRDefault="00EB1844" w:rsidP="00927B4B">
            <w:pPr>
              <w:spacing w:before="0" w:after="0"/>
              <w:jc w:val="left"/>
              <w:rPr>
                <w:rFonts w:eastAsia="Times New Roman" w:cstheme="minorHAnsi"/>
                <w:color w:val="000000"/>
                <w:sz w:val="20"/>
                <w:szCs w:val="20"/>
                <w:lang w:eastAsia="es-MX"/>
              </w:rPr>
            </w:pPr>
            <w:r w:rsidRPr="000A32FE">
              <w:rPr>
                <w:rFonts w:eastAsia="Times New Roman" w:cstheme="minorHAnsi"/>
                <w:color w:val="000000"/>
                <w:sz w:val="20"/>
                <w:szCs w:val="20"/>
                <w:lang w:eastAsia="es-MX"/>
              </w:rPr>
              <w:t> </w:t>
            </w:r>
            <w:r>
              <w:rPr>
                <w:rFonts w:eastAsia="Times New Roman" w:cstheme="minorHAnsi"/>
                <w:color w:val="000000"/>
                <w:sz w:val="20"/>
                <w:szCs w:val="20"/>
                <w:lang w:eastAsia="es-MX"/>
              </w:rPr>
              <w:t xml:space="preserve">Las preguntas 21 y 22 </w:t>
            </w:r>
            <w:r w:rsidR="007C6C5E">
              <w:rPr>
                <w:rFonts w:eastAsia="Times New Roman" w:cstheme="minorHAnsi"/>
                <w:color w:val="000000"/>
                <w:sz w:val="20"/>
                <w:szCs w:val="20"/>
                <w:lang w:eastAsia="es-MX"/>
              </w:rPr>
              <w:t>referentes</w:t>
            </w:r>
            <w:r>
              <w:rPr>
                <w:rFonts w:eastAsia="Times New Roman" w:cstheme="minorHAnsi"/>
                <w:color w:val="000000"/>
                <w:sz w:val="20"/>
                <w:szCs w:val="20"/>
                <w:lang w:eastAsia="es-MX"/>
              </w:rPr>
              <w:t xml:space="preserve"> al Módulo 6, no se valoran cuantitativamente.</w:t>
            </w:r>
          </w:p>
        </w:tc>
      </w:tr>
      <w:tr w:rsidR="00EB1844" w:rsidRPr="0008415E" w14:paraId="22235EF6" w14:textId="77777777" w:rsidTr="001E68BE">
        <w:trPr>
          <w:trHeight w:val="450"/>
        </w:trPr>
        <w:tc>
          <w:tcPr>
            <w:tcW w:w="1513" w:type="pct"/>
            <w:vMerge/>
            <w:shd w:val="clear" w:color="auto" w:fill="auto"/>
            <w:vAlign w:val="center"/>
            <w:hideMark/>
          </w:tcPr>
          <w:p w14:paraId="15D6837D" w14:textId="77777777" w:rsidR="00EB1844" w:rsidRPr="000A32FE" w:rsidRDefault="00EB1844" w:rsidP="00927B4B">
            <w:pPr>
              <w:spacing w:before="0" w:after="0"/>
              <w:rPr>
                <w:rFonts w:eastAsia="Times New Roman" w:cstheme="minorHAnsi"/>
                <w:color w:val="000000"/>
                <w:sz w:val="20"/>
                <w:szCs w:val="20"/>
                <w:lang w:eastAsia="es-MX"/>
              </w:rPr>
            </w:pPr>
          </w:p>
        </w:tc>
        <w:tc>
          <w:tcPr>
            <w:tcW w:w="366" w:type="pct"/>
            <w:vMerge/>
            <w:vAlign w:val="center"/>
            <w:hideMark/>
          </w:tcPr>
          <w:p w14:paraId="617F1BEA" w14:textId="77777777" w:rsidR="00EB1844" w:rsidRPr="000A32FE" w:rsidRDefault="00EB1844" w:rsidP="00927B4B">
            <w:pPr>
              <w:spacing w:before="0" w:after="0"/>
              <w:jc w:val="left"/>
              <w:rPr>
                <w:rFonts w:eastAsia="Times New Roman" w:cstheme="minorHAnsi"/>
                <w:color w:val="000000"/>
                <w:sz w:val="20"/>
                <w:szCs w:val="20"/>
                <w:lang w:eastAsia="es-MX"/>
              </w:rPr>
            </w:pPr>
          </w:p>
        </w:tc>
        <w:tc>
          <w:tcPr>
            <w:tcW w:w="3121" w:type="pct"/>
            <w:vMerge/>
            <w:vAlign w:val="center"/>
            <w:hideMark/>
          </w:tcPr>
          <w:p w14:paraId="645EC11D" w14:textId="77777777" w:rsidR="00EB1844" w:rsidRPr="000A32FE" w:rsidRDefault="00EB1844" w:rsidP="00927B4B">
            <w:pPr>
              <w:spacing w:before="0" w:after="0"/>
              <w:jc w:val="left"/>
              <w:rPr>
                <w:rFonts w:eastAsia="Times New Roman" w:cstheme="minorHAnsi"/>
                <w:color w:val="000000"/>
                <w:sz w:val="20"/>
                <w:szCs w:val="20"/>
                <w:lang w:eastAsia="es-MX"/>
              </w:rPr>
            </w:pPr>
          </w:p>
        </w:tc>
      </w:tr>
      <w:tr w:rsidR="00EB1844" w:rsidRPr="0008415E" w14:paraId="0CAD4D6C" w14:textId="77777777" w:rsidTr="001E68BE">
        <w:trPr>
          <w:trHeight w:val="450"/>
        </w:trPr>
        <w:tc>
          <w:tcPr>
            <w:tcW w:w="1513" w:type="pct"/>
            <w:vMerge w:val="restart"/>
            <w:shd w:val="clear" w:color="auto" w:fill="auto"/>
            <w:vAlign w:val="center"/>
            <w:hideMark/>
          </w:tcPr>
          <w:p w14:paraId="41FECCA6" w14:textId="77777777" w:rsidR="00EB1844" w:rsidRPr="0008415E" w:rsidRDefault="00EB1844" w:rsidP="00927B4B">
            <w:pPr>
              <w:spacing w:before="0" w:after="0"/>
              <w:rPr>
                <w:rFonts w:eastAsia="Times New Roman" w:cstheme="minorHAnsi"/>
                <w:color w:val="000000"/>
                <w:sz w:val="20"/>
                <w:szCs w:val="20"/>
                <w:lang w:eastAsia="es-MX"/>
              </w:rPr>
            </w:pPr>
            <w:r w:rsidRPr="000A32FE">
              <w:rPr>
                <w:rFonts w:eastAsia="Times New Roman" w:cstheme="minorHAnsi"/>
                <w:color w:val="000000"/>
                <w:sz w:val="20"/>
                <w:szCs w:val="20"/>
                <w:lang w:eastAsia="es-MX"/>
              </w:rPr>
              <w:t>7. Calidad de la información</w:t>
            </w:r>
          </w:p>
          <w:p w14:paraId="66FDC881" w14:textId="4C7C1E84" w:rsidR="00EB1844" w:rsidRPr="000A32FE" w:rsidRDefault="001E68BE" w:rsidP="001E68BE">
            <w:pPr>
              <w:spacing w:before="0" w:after="0"/>
              <w:ind w:left="342" w:firstLine="2"/>
              <w:rPr>
                <w:rFonts w:eastAsia="Times New Roman" w:cstheme="minorHAnsi"/>
                <w:color w:val="000000"/>
                <w:sz w:val="20"/>
                <w:szCs w:val="20"/>
                <w:lang w:eastAsia="es-MX"/>
              </w:rPr>
            </w:pPr>
            <w:r>
              <w:rPr>
                <w:rFonts w:eastAsia="Times New Roman" w:cstheme="minorHAnsi"/>
                <w:color w:val="000000"/>
                <w:sz w:val="20"/>
                <w:szCs w:val="20"/>
                <w:lang w:eastAsia="es-MX"/>
              </w:rPr>
              <w:t xml:space="preserve">- </w:t>
            </w:r>
            <w:r w:rsidR="00EB1844" w:rsidRPr="000A32FE">
              <w:rPr>
                <w:rFonts w:eastAsia="Times New Roman" w:cstheme="minorHAnsi"/>
                <w:color w:val="000000"/>
                <w:sz w:val="20"/>
                <w:szCs w:val="20"/>
                <w:lang w:eastAsia="es-MX"/>
              </w:rPr>
              <w:t>Generación de información, rendición de cuentas y medición de resultados. </w:t>
            </w:r>
          </w:p>
        </w:tc>
        <w:tc>
          <w:tcPr>
            <w:tcW w:w="366" w:type="pct"/>
            <w:vMerge w:val="restart"/>
            <w:shd w:val="clear" w:color="auto" w:fill="auto"/>
            <w:noWrap/>
            <w:vAlign w:val="center"/>
            <w:hideMark/>
          </w:tcPr>
          <w:p w14:paraId="3101F2A7" w14:textId="1EC0F2B3" w:rsidR="00EB1844" w:rsidRPr="000A32FE" w:rsidRDefault="00EB1844" w:rsidP="00927B4B">
            <w:pPr>
              <w:spacing w:before="0" w:after="0"/>
              <w:jc w:val="center"/>
              <w:rPr>
                <w:rFonts w:eastAsia="Times New Roman" w:cstheme="minorHAnsi"/>
                <w:color w:val="000000"/>
                <w:sz w:val="20"/>
                <w:szCs w:val="20"/>
                <w:lang w:eastAsia="es-MX"/>
              </w:rPr>
            </w:pPr>
            <w:r w:rsidRPr="000A32FE">
              <w:rPr>
                <w:rFonts w:eastAsia="Times New Roman" w:cstheme="minorHAnsi"/>
                <w:color w:val="000000"/>
                <w:sz w:val="20"/>
                <w:szCs w:val="20"/>
                <w:lang w:eastAsia="es-MX"/>
              </w:rPr>
              <w:t>0.</w:t>
            </w:r>
            <w:r w:rsidR="00E07BEF">
              <w:rPr>
                <w:rFonts w:eastAsia="Times New Roman" w:cstheme="minorHAnsi"/>
                <w:color w:val="000000"/>
                <w:sz w:val="20"/>
                <w:szCs w:val="20"/>
                <w:lang w:eastAsia="es-MX"/>
              </w:rPr>
              <w:t>42</w:t>
            </w:r>
          </w:p>
        </w:tc>
        <w:tc>
          <w:tcPr>
            <w:tcW w:w="3121" w:type="pct"/>
            <w:vMerge w:val="restart"/>
            <w:shd w:val="clear" w:color="auto" w:fill="auto"/>
            <w:noWrap/>
            <w:vAlign w:val="center"/>
            <w:hideMark/>
          </w:tcPr>
          <w:p w14:paraId="32C6B8D3" w14:textId="02055E2A" w:rsidR="00EB1844" w:rsidRPr="000A32FE" w:rsidRDefault="00EB1844" w:rsidP="00927B4B">
            <w:pPr>
              <w:spacing w:before="0" w:after="0"/>
              <w:rPr>
                <w:rFonts w:eastAsia="Times New Roman" w:cstheme="minorHAnsi"/>
                <w:color w:val="000000"/>
                <w:sz w:val="20"/>
                <w:szCs w:val="20"/>
                <w:lang w:eastAsia="es-MX"/>
              </w:rPr>
            </w:pPr>
            <w:r w:rsidRPr="000A32FE">
              <w:rPr>
                <w:rFonts w:eastAsia="Times New Roman" w:cstheme="minorHAnsi"/>
                <w:color w:val="000000"/>
                <w:sz w:val="20"/>
                <w:szCs w:val="20"/>
                <w:lang w:eastAsia="es-MX"/>
              </w:rPr>
              <w:t>El Estado cuenta con mecanismos de transparencia y rendición de cuentas como el portal de transparencia presupuestaria, un mecanismo para el seguimiento de ASM derivados de evaluaciones externas, y un sistema Integrador de Ingresos Programación y Presupuesto (SIIPPED)</w:t>
            </w:r>
            <w:r w:rsidR="009E56EF">
              <w:rPr>
                <w:rFonts w:eastAsia="Times New Roman" w:cstheme="minorHAnsi"/>
                <w:color w:val="000000"/>
                <w:sz w:val="20"/>
                <w:szCs w:val="20"/>
                <w:lang w:eastAsia="es-MX"/>
              </w:rPr>
              <w:t xml:space="preserve"> e</w:t>
            </w:r>
            <w:r w:rsidRPr="000A32FE">
              <w:rPr>
                <w:rFonts w:eastAsia="Times New Roman" w:cstheme="minorHAnsi"/>
                <w:color w:val="000000"/>
                <w:sz w:val="20"/>
                <w:szCs w:val="20"/>
                <w:lang w:eastAsia="es-MX"/>
              </w:rPr>
              <w:t xml:space="preserve"> informe</w:t>
            </w:r>
            <w:r w:rsidR="009E56EF">
              <w:rPr>
                <w:rFonts w:eastAsia="Times New Roman" w:cstheme="minorHAnsi"/>
                <w:color w:val="000000"/>
                <w:sz w:val="20"/>
                <w:szCs w:val="20"/>
                <w:lang w:eastAsia="es-MX"/>
              </w:rPr>
              <w:t>s</w:t>
            </w:r>
            <w:r w:rsidRPr="000A32FE">
              <w:rPr>
                <w:rFonts w:eastAsia="Times New Roman" w:cstheme="minorHAnsi"/>
                <w:color w:val="000000"/>
                <w:sz w:val="20"/>
                <w:szCs w:val="20"/>
                <w:lang w:eastAsia="es-MX"/>
              </w:rPr>
              <w:t xml:space="preserve"> de resultado</w:t>
            </w:r>
            <w:r w:rsidR="009E56EF">
              <w:rPr>
                <w:rFonts w:eastAsia="Times New Roman" w:cstheme="minorHAnsi"/>
                <w:color w:val="000000"/>
                <w:sz w:val="20"/>
                <w:szCs w:val="20"/>
                <w:lang w:eastAsia="es-MX"/>
              </w:rPr>
              <w:t>s</w:t>
            </w:r>
            <w:r w:rsidRPr="000A32FE">
              <w:rPr>
                <w:rFonts w:eastAsia="Times New Roman" w:cstheme="minorHAnsi"/>
                <w:color w:val="000000"/>
                <w:sz w:val="20"/>
                <w:szCs w:val="20"/>
                <w:lang w:eastAsia="es-MX"/>
              </w:rPr>
              <w:t xml:space="preserve"> del monitoreo de indicadores del desempeño del Gobierno del Estado de Hidalgo. A nivel estatal el FAFEF cuenta con una MIR que presenta de manera resumida la información sobre la aplicación de los recursos del Fondo, sin embargo, los resultados de esta no se encuentran publicados en el portal de transparencia.</w:t>
            </w:r>
          </w:p>
        </w:tc>
      </w:tr>
      <w:tr w:rsidR="00EB1844" w:rsidRPr="0008415E" w14:paraId="44333970" w14:textId="77777777" w:rsidTr="001E68BE">
        <w:trPr>
          <w:trHeight w:val="630"/>
        </w:trPr>
        <w:tc>
          <w:tcPr>
            <w:tcW w:w="1513" w:type="pct"/>
            <w:vMerge/>
            <w:shd w:val="clear" w:color="auto" w:fill="auto"/>
            <w:noWrap/>
            <w:vAlign w:val="center"/>
            <w:hideMark/>
          </w:tcPr>
          <w:p w14:paraId="6F7FE8BF" w14:textId="77777777" w:rsidR="00EB1844" w:rsidRPr="000A32FE" w:rsidRDefault="00EB1844" w:rsidP="00927B4B">
            <w:pPr>
              <w:spacing w:before="0" w:after="0"/>
              <w:jc w:val="left"/>
              <w:rPr>
                <w:rFonts w:eastAsia="Times New Roman" w:cstheme="minorHAnsi"/>
                <w:color w:val="000000"/>
                <w:sz w:val="20"/>
                <w:szCs w:val="20"/>
                <w:lang w:eastAsia="es-MX"/>
              </w:rPr>
            </w:pPr>
          </w:p>
        </w:tc>
        <w:tc>
          <w:tcPr>
            <w:tcW w:w="366" w:type="pct"/>
            <w:vMerge/>
            <w:vAlign w:val="center"/>
            <w:hideMark/>
          </w:tcPr>
          <w:p w14:paraId="1910D04A" w14:textId="77777777" w:rsidR="00EB1844" w:rsidRPr="000A32FE" w:rsidRDefault="00EB1844" w:rsidP="00927B4B">
            <w:pPr>
              <w:spacing w:before="0" w:after="0"/>
              <w:jc w:val="left"/>
              <w:rPr>
                <w:rFonts w:eastAsia="Times New Roman" w:cstheme="minorHAnsi"/>
                <w:color w:val="000000"/>
                <w:sz w:val="20"/>
                <w:szCs w:val="20"/>
                <w:lang w:eastAsia="es-MX"/>
              </w:rPr>
            </w:pPr>
          </w:p>
        </w:tc>
        <w:tc>
          <w:tcPr>
            <w:tcW w:w="3121" w:type="pct"/>
            <w:vMerge/>
            <w:vAlign w:val="center"/>
            <w:hideMark/>
          </w:tcPr>
          <w:p w14:paraId="351365C0" w14:textId="77777777" w:rsidR="00EB1844" w:rsidRPr="000A32FE" w:rsidRDefault="00EB1844" w:rsidP="00927B4B">
            <w:pPr>
              <w:spacing w:before="0" w:after="0"/>
              <w:jc w:val="left"/>
              <w:rPr>
                <w:rFonts w:eastAsia="Times New Roman" w:cstheme="minorHAnsi"/>
                <w:color w:val="000000"/>
                <w:sz w:val="20"/>
                <w:szCs w:val="20"/>
                <w:lang w:eastAsia="es-MX"/>
              </w:rPr>
            </w:pPr>
          </w:p>
        </w:tc>
      </w:tr>
      <w:tr w:rsidR="00EB1844" w:rsidRPr="0008415E" w14:paraId="79E1E5F4" w14:textId="77777777" w:rsidTr="001E68BE">
        <w:trPr>
          <w:trHeight w:val="244"/>
        </w:trPr>
        <w:tc>
          <w:tcPr>
            <w:tcW w:w="1513" w:type="pct"/>
            <w:vMerge/>
            <w:shd w:val="clear" w:color="auto" w:fill="auto"/>
            <w:noWrap/>
            <w:vAlign w:val="center"/>
          </w:tcPr>
          <w:p w14:paraId="7C2F4A7C" w14:textId="77777777" w:rsidR="00EB1844" w:rsidRPr="000A32FE" w:rsidRDefault="00EB1844" w:rsidP="00927B4B">
            <w:pPr>
              <w:spacing w:before="0" w:after="0"/>
              <w:jc w:val="left"/>
              <w:rPr>
                <w:rFonts w:eastAsia="Times New Roman" w:cstheme="minorHAnsi"/>
                <w:color w:val="000000"/>
                <w:sz w:val="20"/>
                <w:szCs w:val="20"/>
                <w:lang w:eastAsia="es-MX"/>
              </w:rPr>
            </w:pPr>
          </w:p>
        </w:tc>
        <w:tc>
          <w:tcPr>
            <w:tcW w:w="366" w:type="pct"/>
            <w:vMerge/>
            <w:vAlign w:val="center"/>
            <w:hideMark/>
          </w:tcPr>
          <w:p w14:paraId="3D497E38" w14:textId="77777777" w:rsidR="00EB1844" w:rsidRPr="000A32FE" w:rsidRDefault="00EB1844" w:rsidP="00927B4B">
            <w:pPr>
              <w:spacing w:before="0" w:after="0"/>
              <w:jc w:val="left"/>
              <w:rPr>
                <w:rFonts w:eastAsia="Times New Roman" w:cstheme="minorHAnsi"/>
                <w:color w:val="000000"/>
                <w:sz w:val="20"/>
                <w:szCs w:val="20"/>
                <w:lang w:eastAsia="es-MX"/>
              </w:rPr>
            </w:pPr>
          </w:p>
        </w:tc>
        <w:tc>
          <w:tcPr>
            <w:tcW w:w="3121" w:type="pct"/>
            <w:vMerge/>
            <w:vAlign w:val="center"/>
            <w:hideMark/>
          </w:tcPr>
          <w:p w14:paraId="477BF7E5" w14:textId="77777777" w:rsidR="00EB1844" w:rsidRPr="000A32FE" w:rsidRDefault="00EB1844" w:rsidP="00927B4B">
            <w:pPr>
              <w:spacing w:before="0" w:after="0"/>
              <w:jc w:val="left"/>
              <w:rPr>
                <w:rFonts w:eastAsia="Times New Roman" w:cstheme="minorHAnsi"/>
                <w:color w:val="000000"/>
                <w:sz w:val="20"/>
                <w:szCs w:val="20"/>
                <w:lang w:eastAsia="es-MX"/>
              </w:rPr>
            </w:pPr>
          </w:p>
        </w:tc>
      </w:tr>
      <w:tr w:rsidR="00EB1844" w:rsidRPr="0008415E" w14:paraId="71F3E5BF" w14:textId="77777777" w:rsidTr="001E68BE">
        <w:trPr>
          <w:trHeight w:val="96"/>
        </w:trPr>
        <w:tc>
          <w:tcPr>
            <w:tcW w:w="1513" w:type="pct"/>
            <w:shd w:val="clear" w:color="auto" w:fill="auto"/>
            <w:noWrap/>
            <w:vAlign w:val="center"/>
          </w:tcPr>
          <w:p w14:paraId="6A3FB2B5" w14:textId="77777777" w:rsidR="00EB1844" w:rsidRPr="00E07C6D" w:rsidRDefault="00EB1844" w:rsidP="00927B4B">
            <w:pPr>
              <w:spacing w:before="0" w:after="0"/>
              <w:jc w:val="left"/>
              <w:rPr>
                <w:rFonts w:eastAsia="Times New Roman" w:cstheme="minorHAnsi"/>
                <w:color w:val="000000"/>
                <w:sz w:val="20"/>
                <w:szCs w:val="20"/>
                <w:lang w:eastAsia="es-MX"/>
              </w:rPr>
            </w:pPr>
            <w:r w:rsidRPr="00E07C6D">
              <w:rPr>
                <w:rFonts w:eastAsia="Times New Roman" w:cstheme="minorHAnsi"/>
                <w:color w:val="000000"/>
                <w:sz w:val="20"/>
                <w:szCs w:val="20"/>
                <w:lang w:eastAsia="es-MX"/>
              </w:rPr>
              <w:t>Elementos adiciones (en su caso)</w:t>
            </w:r>
          </w:p>
        </w:tc>
        <w:tc>
          <w:tcPr>
            <w:tcW w:w="366" w:type="pct"/>
            <w:shd w:val="clear" w:color="auto" w:fill="auto"/>
            <w:noWrap/>
            <w:vAlign w:val="center"/>
          </w:tcPr>
          <w:p w14:paraId="28B7A757" w14:textId="77777777" w:rsidR="00EB1844" w:rsidRPr="00E07C6D" w:rsidRDefault="00EB1844" w:rsidP="00927B4B">
            <w:pPr>
              <w:spacing w:before="0" w:after="0"/>
              <w:jc w:val="center"/>
              <w:rPr>
                <w:rFonts w:eastAsia="Times New Roman" w:cstheme="minorHAnsi"/>
                <w:b/>
                <w:bCs/>
                <w:color w:val="000000"/>
                <w:sz w:val="20"/>
                <w:szCs w:val="20"/>
                <w:lang w:eastAsia="es-MX"/>
              </w:rPr>
            </w:pPr>
            <w:r w:rsidRPr="00E07C6D">
              <w:rPr>
                <w:rFonts w:eastAsia="Times New Roman" w:cstheme="minorHAnsi"/>
                <w:b/>
                <w:bCs/>
                <w:color w:val="000000"/>
                <w:sz w:val="20"/>
                <w:szCs w:val="20"/>
                <w:lang w:eastAsia="es-MX"/>
              </w:rPr>
              <w:t>-</w:t>
            </w:r>
          </w:p>
        </w:tc>
        <w:tc>
          <w:tcPr>
            <w:tcW w:w="3121" w:type="pct"/>
            <w:shd w:val="clear" w:color="auto" w:fill="auto"/>
            <w:noWrap/>
            <w:vAlign w:val="center"/>
          </w:tcPr>
          <w:p w14:paraId="289B896D" w14:textId="3AB59D6F" w:rsidR="00EB1844" w:rsidRPr="00E07C6D" w:rsidRDefault="00EB1844" w:rsidP="00927B4B">
            <w:pPr>
              <w:spacing w:before="0" w:after="0"/>
              <w:jc w:val="center"/>
              <w:rPr>
                <w:rFonts w:eastAsia="Times New Roman" w:cstheme="minorHAnsi"/>
                <w:b/>
                <w:bCs/>
                <w:color w:val="000000"/>
                <w:sz w:val="20"/>
                <w:szCs w:val="20"/>
                <w:lang w:eastAsia="es-MX"/>
              </w:rPr>
            </w:pPr>
            <w:r w:rsidRPr="00E07C6D">
              <w:rPr>
                <w:rFonts w:eastAsia="Times New Roman" w:cstheme="minorHAnsi"/>
                <w:b/>
                <w:bCs/>
                <w:color w:val="000000"/>
                <w:sz w:val="20"/>
                <w:szCs w:val="20"/>
                <w:lang w:eastAsia="es-MX"/>
              </w:rPr>
              <w:t>-</w:t>
            </w:r>
          </w:p>
        </w:tc>
      </w:tr>
      <w:tr w:rsidR="00EB1844" w:rsidRPr="0008415E" w14:paraId="5F3FDD98" w14:textId="77777777" w:rsidTr="001E68BE">
        <w:trPr>
          <w:trHeight w:val="96"/>
        </w:trPr>
        <w:tc>
          <w:tcPr>
            <w:tcW w:w="1513" w:type="pct"/>
            <w:shd w:val="clear" w:color="auto" w:fill="auto"/>
            <w:noWrap/>
            <w:vAlign w:val="center"/>
            <w:hideMark/>
          </w:tcPr>
          <w:p w14:paraId="34C1D7B5" w14:textId="4DF2A18F" w:rsidR="00EB1844" w:rsidRPr="000A32FE" w:rsidRDefault="00EB1844" w:rsidP="00927B4B">
            <w:pPr>
              <w:spacing w:before="0" w:after="0"/>
              <w:jc w:val="left"/>
              <w:rPr>
                <w:rFonts w:eastAsia="Times New Roman" w:cstheme="minorHAnsi"/>
                <w:b/>
                <w:bCs/>
                <w:color w:val="000000"/>
                <w:sz w:val="20"/>
                <w:szCs w:val="20"/>
                <w:lang w:eastAsia="es-MX"/>
              </w:rPr>
            </w:pPr>
            <w:r w:rsidRPr="000A32FE">
              <w:rPr>
                <w:rFonts w:eastAsia="Times New Roman" w:cstheme="minorHAnsi"/>
                <w:b/>
                <w:bCs/>
                <w:color w:val="000000"/>
                <w:sz w:val="20"/>
                <w:szCs w:val="20"/>
                <w:lang w:eastAsia="es-MX"/>
              </w:rPr>
              <w:t xml:space="preserve">Valoración </w:t>
            </w:r>
            <w:r w:rsidR="001142AD" w:rsidRPr="000A32FE">
              <w:rPr>
                <w:rFonts w:eastAsia="Times New Roman" w:cstheme="minorHAnsi"/>
                <w:b/>
                <w:bCs/>
                <w:color w:val="000000"/>
                <w:sz w:val="20"/>
                <w:szCs w:val="20"/>
                <w:lang w:eastAsia="es-MX"/>
              </w:rPr>
              <w:t>Final</w:t>
            </w:r>
          </w:p>
        </w:tc>
        <w:tc>
          <w:tcPr>
            <w:tcW w:w="366" w:type="pct"/>
            <w:shd w:val="clear" w:color="auto" w:fill="auto"/>
            <w:noWrap/>
            <w:vAlign w:val="center"/>
            <w:hideMark/>
          </w:tcPr>
          <w:p w14:paraId="0B7D1665" w14:textId="6B2B84CE" w:rsidR="00EB1844" w:rsidRPr="000A32FE" w:rsidRDefault="00EB1844" w:rsidP="00927B4B">
            <w:pPr>
              <w:spacing w:before="0" w:after="0"/>
              <w:jc w:val="center"/>
              <w:rPr>
                <w:rFonts w:eastAsia="Times New Roman" w:cstheme="minorHAnsi"/>
                <w:b/>
                <w:bCs/>
                <w:color w:val="000000"/>
                <w:sz w:val="20"/>
                <w:szCs w:val="20"/>
                <w:lang w:eastAsia="es-MX"/>
              </w:rPr>
            </w:pPr>
            <w:r w:rsidRPr="000A32FE">
              <w:rPr>
                <w:rFonts w:eastAsia="Times New Roman" w:cstheme="minorHAnsi"/>
                <w:b/>
                <w:bCs/>
                <w:color w:val="000000"/>
                <w:sz w:val="20"/>
                <w:szCs w:val="20"/>
                <w:lang w:eastAsia="es-MX"/>
              </w:rPr>
              <w:t>0.</w:t>
            </w:r>
            <w:r w:rsidR="009B5F77">
              <w:rPr>
                <w:rFonts w:eastAsia="Times New Roman" w:cstheme="minorHAnsi"/>
                <w:b/>
                <w:bCs/>
                <w:color w:val="000000"/>
                <w:sz w:val="20"/>
                <w:szCs w:val="20"/>
                <w:lang w:eastAsia="es-MX"/>
              </w:rPr>
              <w:t>3</w:t>
            </w:r>
            <w:r w:rsidR="00E07BEF">
              <w:rPr>
                <w:rFonts w:eastAsia="Times New Roman" w:cstheme="minorHAnsi"/>
                <w:b/>
                <w:bCs/>
                <w:color w:val="000000"/>
                <w:sz w:val="20"/>
                <w:szCs w:val="20"/>
                <w:lang w:eastAsia="es-MX"/>
              </w:rPr>
              <w:t>8</w:t>
            </w:r>
          </w:p>
        </w:tc>
        <w:tc>
          <w:tcPr>
            <w:tcW w:w="3121" w:type="pct"/>
            <w:shd w:val="clear" w:color="auto" w:fill="auto"/>
            <w:noWrap/>
            <w:vAlign w:val="center"/>
            <w:hideMark/>
          </w:tcPr>
          <w:p w14:paraId="58D0D9C9" w14:textId="77777777" w:rsidR="00EB1844" w:rsidRPr="000A32FE" w:rsidRDefault="00EB1844" w:rsidP="00927B4B">
            <w:pPr>
              <w:spacing w:before="0" w:after="0"/>
              <w:rPr>
                <w:rFonts w:eastAsia="Times New Roman" w:cstheme="minorHAnsi"/>
                <w:color w:val="000000"/>
                <w:sz w:val="20"/>
                <w:szCs w:val="20"/>
                <w:lang w:eastAsia="es-MX"/>
              </w:rPr>
            </w:pPr>
            <w:r w:rsidRPr="000A32FE">
              <w:rPr>
                <w:rFonts w:eastAsia="Times New Roman" w:cstheme="minorHAnsi"/>
                <w:color w:val="000000"/>
                <w:sz w:val="20"/>
                <w:szCs w:val="20"/>
                <w:lang w:eastAsia="es-MX"/>
              </w:rPr>
              <w:t> </w:t>
            </w:r>
          </w:p>
        </w:tc>
      </w:tr>
    </w:tbl>
    <w:p w14:paraId="4F399EA8" w14:textId="77777777" w:rsidR="00A56B6F" w:rsidRPr="001865F5" w:rsidRDefault="00A56B6F" w:rsidP="00A56B6F">
      <w:pPr>
        <w:tabs>
          <w:tab w:val="left" w:pos="5571"/>
        </w:tabs>
        <w:autoSpaceDE w:val="0"/>
        <w:autoSpaceDN w:val="0"/>
        <w:adjustRightInd w:val="0"/>
        <w:snapToGrid w:val="0"/>
        <w:spacing w:before="60" w:after="240"/>
        <w:rPr>
          <w:rFonts w:cs="Arial"/>
          <w:sz w:val="18"/>
          <w:szCs w:val="18"/>
        </w:rPr>
      </w:pPr>
      <w:r w:rsidRPr="001865F5">
        <w:rPr>
          <w:rFonts w:cs="Arial"/>
          <w:sz w:val="18"/>
          <w:szCs w:val="18"/>
        </w:rPr>
        <w:t>Nota: *NPVC: No Procede Valoración Cuantitativa</w:t>
      </w:r>
      <w:r>
        <w:rPr>
          <w:rFonts w:cs="Arial"/>
          <w:sz w:val="18"/>
          <w:szCs w:val="18"/>
        </w:rPr>
        <w:t>.</w:t>
      </w:r>
    </w:p>
    <w:p w14:paraId="12CF77A7" w14:textId="77777777" w:rsidR="00EB1844" w:rsidRDefault="00EB1844" w:rsidP="00EB1844">
      <w:pPr>
        <w:sectPr w:rsidR="00EB1844" w:rsidSect="000C0DDE">
          <w:headerReference w:type="default" r:id="rId62"/>
          <w:footerReference w:type="default" r:id="rId63"/>
          <w:pgSz w:w="15840" w:h="12240" w:orient="landscape" w:code="1"/>
          <w:pgMar w:top="1134" w:right="1134" w:bottom="1134" w:left="1134" w:header="709" w:footer="709" w:gutter="0"/>
          <w:cols w:space="708"/>
          <w:docGrid w:linePitch="360"/>
        </w:sectPr>
      </w:pPr>
      <w:r w:rsidRPr="00E65CEC">
        <w:rPr>
          <w:rFonts w:cs="Arial"/>
        </w:rPr>
        <w:t>Se anexa archivo en Excel</w:t>
      </w:r>
      <w:r>
        <w:rPr>
          <w:rFonts w:cs="Arial"/>
        </w:rPr>
        <w:t>.</w:t>
      </w:r>
    </w:p>
    <w:p w14:paraId="3C2DEB7B" w14:textId="16619B9B" w:rsidR="00EB1844" w:rsidRDefault="00A83DA1" w:rsidP="00EB1844">
      <w:pPr>
        <w:pStyle w:val="Figura"/>
        <w:spacing w:after="360"/>
      </w:pPr>
      <w:bookmarkStart w:id="168" w:name="_Toc42577610"/>
      <w:bookmarkStart w:id="169" w:name="_Toc47435944"/>
      <w:r>
        <w:lastRenderedPageBreak/>
        <w:t>Gráfica</w:t>
      </w:r>
      <w:r w:rsidR="00EB1844">
        <w:t xml:space="preserve">. Valoración </w:t>
      </w:r>
      <w:bookmarkEnd w:id="168"/>
      <w:r>
        <w:t xml:space="preserve">final </w:t>
      </w:r>
      <w:r w:rsidR="00EB1844">
        <w:t xml:space="preserve">cuantitativa </w:t>
      </w:r>
      <w:bookmarkEnd w:id="169"/>
      <w:r>
        <w:t>de</w:t>
      </w:r>
      <w:r w:rsidR="004E6E7C">
        <w:t>l</w:t>
      </w:r>
      <w:r>
        <w:t xml:space="preserve"> F</w:t>
      </w:r>
      <w:r w:rsidR="004E6E7C">
        <w:t>ondo</w:t>
      </w:r>
    </w:p>
    <w:p w14:paraId="399B46D3" w14:textId="4C59BF41" w:rsidR="00E07BEF" w:rsidRDefault="00146088" w:rsidP="00EB1844">
      <w:pPr>
        <w:pStyle w:val="Figura"/>
        <w:spacing w:after="360"/>
      </w:pPr>
      <w:r>
        <w:rPr>
          <w:noProof/>
          <w:lang w:eastAsia="es-MX"/>
        </w:rPr>
        <w:drawing>
          <wp:inline distT="0" distB="0" distL="0" distR="0" wp14:anchorId="2A0AFCA0" wp14:editId="66F333F4">
            <wp:extent cx="6286500" cy="4640580"/>
            <wp:effectExtent l="0" t="0" r="0" b="7620"/>
            <wp:docPr id="1" name="Gráfico 1">
              <a:extLst xmlns:a="http://schemas.openxmlformats.org/drawingml/2006/main">
                <a:ext uri="{FF2B5EF4-FFF2-40B4-BE49-F238E27FC236}">
                  <a16:creationId xmlns:a16="http://schemas.microsoft.com/office/drawing/2014/main" id="{13AC64A1-2F6C-4B4A-8098-BAE07F5ABB1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64"/>
              </a:graphicData>
            </a:graphic>
          </wp:inline>
        </w:drawing>
      </w:r>
    </w:p>
    <w:p w14:paraId="1205FC08" w14:textId="15E85DB7" w:rsidR="00EB1844" w:rsidRDefault="00EB1844" w:rsidP="00EB1844">
      <w:pPr>
        <w:spacing w:after="360" w:line="259" w:lineRule="auto"/>
        <w:jc w:val="center"/>
        <w:rPr>
          <w:rFonts w:ascii="Calibri" w:eastAsia="Times New Roman" w:hAnsi="Calibri"/>
          <w:b/>
          <w:bCs/>
          <w:color w:val="000000"/>
          <w:lang w:eastAsia="es-MX"/>
        </w:rPr>
      </w:pPr>
      <w:r w:rsidRPr="005D2642">
        <w:rPr>
          <w:rFonts w:ascii="Calibri" w:eastAsia="Times New Roman" w:hAnsi="Calibri"/>
          <w:b/>
          <w:bCs/>
          <w:color w:val="000000"/>
          <w:lang w:eastAsia="es-MX"/>
        </w:rPr>
        <w:t>Valoración final</w:t>
      </w:r>
      <w:r>
        <w:rPr>
          <w:rFonts w:ascii="Calibri" w:eastAsia="Times New Roman" w:hAnsi="Calibri"/>
          <w:b/>
          <w:bCs/>
          <w:color w:val="000000"/>
          <w:lang w:eastAsia="es-MX"/>
        </w:rPr>
        <w:t>: 0.</w:t>
      </w:r>
      <w:r w:rsidR="009934AE">
        <w:rPr>
          <w:rFonts w:ascii="Calibri" w:eastAsia="Times New Roman" w:hAnsi="Calibri"/>
          <w:b/>
          <w:bCs/>
          <w:color w:val="000000"/>
          <w:lang w:eastAsia="es-MX"/>
        </w:rPr>
        <w:t>3</w:t>
      </w:r>
      <w:r w:rsidR="00E07BEF">
        <w:rPr>
          <w:rFonts w:ascii="Calibri" w:eastAsia="Times New Roman" w:hAnsi="Calibri"/>
          <w:b/>
          <w:bCs/>
          <w:color w:val="000000"/>
          <w:lang w:eastAsia="es-MX"/>
        </w:rPr>
        <w:t>8</w:t>
      </w:r>
    </w:p>
    <w:p w14:paraId="0AA2832B" w14:textId="77777777" w:rsidR="00EB1844" w:rsidRPr="00653716" w:rsidRDefault="00EB1844" w:rsidP="00EB1844">
      <w:pPr>
        <w:spacing w:after="0"/>
        <w:rPr>
          <w:rFonts w:ascii="Calibri" w:eastAsia="Calibri" w:hAnsi="Calibri" w:cs="Calibri"/>
          <w:bCs/>
          <w:iCs/>
          <w:sz w:val="18"/>
          <w:szCs w:val="18"/>
        </w:rPr>
      </w:pPr>
      <w:r w:rsidRPr="00653716">
        <w:rPr>
          <w:rFonts w:ascii="Calibri" w:eastAsia="Calibri" w:hAnsi="Calibri" w:cs="Times New Roman"/>
          <w:bCs/>
          <w:iCs/>
          <w:sz w:val="18"/>
          <w:szCs w:val="18"/>
        </w:rPr>
        <w:t xml:space="preserve">Nota: </w:t>
      </w:r>
      <w:r w:rsidRPr="00653716">
        <w:rPr>
          <w:rFonts w:ascii="Calibri" w:eastAsia="Calibri" w:hAnsi="Calibri" w:cs="Calibri"/>
          <w:bCs/>
          <w:iCs/>
          <w:sz w:val="18"/>
          <w:szCs w:val="18"/>
        </w:rPr>
        <w:t xml:space="preserve">De acuerdo con el Modelo de Términos de Referencia para la Evaluación Estratégica al FAFEF, ámbito estatal 2018, no procede la valoración cuantitativa en los Módulos 4. </w:t>
      </w:r>
      <w:r w:rsidRPr="00653716">
        <w:rPr>
          <w:rFonts w:ascii="Calibri" w:eastAsia="Calibri" w:hAnsi="Calibri" w:cs="Times New Roman"/>
          <w:iCs/>
          <w:sz w:val="18"/>
          <w:szCs w:val="18"/>
        </w:rPr>
        <w:t>Alineación del Fondo a la Planeación Nacional y a los Objetivos de Desarrollo Sostenible</w:t>
      </w:r>
      <w:r w:rsidRPr="00653716">
        <w:rPr>
          <w:rFonts w:ascii="Calibri" w:eastAsia="Calibri" w:hAnsi="Calibri" w:cs="Calibri"/>
          <w:bCs/>
          <w:iCs/>
          <w:sz w:val="18"/>
          <w:szCs w:val="18"/>
        </w:rPr>
        <w:t xml:space="preserve"> (Preguntas 13 y 14) y 6. Complementariedades y coincidencias (Preguntas 21 y 22).</w:t>
      </w:r>
    </w:p>
    <w:p w14:paraId="5C8D5D54" w14:textId="77777777" w:rsidR="00EB1844" w:rsidRDefault="00EB1844" w:rsidP="00EB1844">
      <w:pPr>
        <w:spacing w:before="0" w:after="160" w:line="259" w:lineRule="auto"/>
        <w:jc w:val="left"/>
        <w:rPr>
          <w:rFonts w:ascii="Calibri" w:eastAsia="Times New Roman" w:hAnsi="Calibri"/>
          <w:color w:val="000000"/>
          <w:lang w:eastAsia="es-MX"/>
        </w:rPr>
      </w:pPr>
      <w:r>
        <w:rPr>
          <w:rFonts w:ascii="Calibri" w:eastAsia="Times New Roman" w:hAnsi="Calibri"/>
          <w:color w:val="000000"/>
          <w:lang w:eastAsia="es-MX"/>
        </w:rPr>
        <w:br w:type="page"/>
      </w:r>
    </w:p>
    <w:p w14:paraId="364234EF" w14:textId="6C2EA7CD" w:rsidR="00EB1844" w:rsidRPr="00265236" w:rsidRDefault="00EB1844" w:rsidP="00EB1844">
      <w:pPr>
        <w:pStyle w:val="Anexos"/>
        <w:rPr>
          <w:i w:val="0"/>
          <w:iCs/>
        </w:rPr>
      </w:pPr>
      <w:bookmarkStart w:id="170" w:name="_Toc45480713"/>
      <w:bookmarkStart w:id="171" w:name="_Toc54262981"/>
      <w:bookmarkStart w:id="172" w:name="_Toc55497593"/>
      <w:bookmarkStart w:id="173" w:name="_Toc55542104"/>
      <w:bookmarkStart w:id="174" w:name="_Toc56423514"/>
      <w:bookmarkStart w:id="175" w:name="_Toc56423725"/>
      <w:bookmarkStart w:id="176" w:name="_Toc56449876"/>
      <w:r w:rsidRPr="00265236">
        <w:rPr>
          <w:i w:val="0"/>
          <w:iCs/>
        </w:rPr>
        <w:lastRenderedPageBreak/>
        <w:t xml:space="preserve">Anexo 11. Ficha </w:t>
      </w:r>
      <w:r w:rsidR="00695A2B">
        <w:rPr>
          <w:i w:val="0"/>
          <w:iCs/>
        </w:rPr>
        <w:t>T</w:t>
      </w:r>
      <w:r w:rsidR="00695A2B" w:rsidRPr="00265236">
        <w:rPr>
          <w:i w:val="0"/>
          <w:iCs/>
        </w:rPr>
        <w:t xml:space="preserve">écnica </w:t>
      </w:r>
      <w:r w:rsidRPr="00265236">
        <w:rPr>
          <w:i w:val="0"/>
          <w:iCs/>
        </w:rPr>
        <w:t>con los datos generales de la evaluación</w:t>
      </w:r>
      <w:bookmarkEnd w:id="170"/>
      <w:bookmarkEnd w:id="171"/>
      <w:bookmarkEnd w:id="172"/>
      <w:bookmarkEnd w:id="173"/>
      <w:bookmarkEnd w:id="174"/>
      <w:bookmarkEnd w:id="175"/>
      <w:bookmarkEnd w:id="17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A0" w:firstRow="1" w:lastRow="0" w:firstColumn="1" w:lastColumn="0" w:noHBand="1" w:noVBand="1"/>
      </w:tblPr>
      <w:tblGrid>
        <w:gridCol w:w="4381"/>
        <w:gridCol w:w="5581"/>
      </w:tblGrid>
      <w:tr w:rsidR="00EB1844" w:rsidRPr="000F3CCE" w14:paraId="69B1F669" w14:textId="77777777" w:rsidTr="00F32C95">
        <w:trPr>
          <w:trHeight w:val="725"/>
          <w:jc w:val="center"/>
        </w:trPr>
        <w:tc>
          <w:tcPr>
            <w:tcW w:w="2199" w:type="pct"/>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24F5915D" w14:textId="77777777" w:rsidR="00EB1844" w:rsidRPr="000F3CCE" w:rsidRDefault="00EB1844" w:rsidP="00927B4B">
            <w:pPr>
              <w:spacing w:before="0" w:after="0"/>
              <w:rPr>
                <w:rFonts w:cstheme="minorHAnsi"/>
                <w:b/>
                <w:bCs/>
                <w:sz w:val="20"/>
                <w:szCs w:val="20"/>
                <w:lang w:eastAsia="es-MX"/>
              </w:rPr>
            </w:pPr>
            <w:bookmarkStart w:id="177" w:name="_Toc429986362"/>
            <w:bookmarkStart w:id="178" w:name="_Toc430123704"/>
            <w:bookmarkStart w:id="179" w:name="_Toc490179733"/>
            <w:bookmarkEnd w:id="177"/>
            <w:bookmarkEnd w:id="178"/>
            <w:r w:rsidRPr="000F3CCE">
              <w:rPr>
                <w:rFonts w:cstheme="minorHAnsi"/>
                <w:b/>
                <w:bCs/>
                <w:sz w:val="20"/>
                <w:szCs w:val="20"/>
                <w:lang w:eastAsia="es-MX"/>
              </w:rPr>
              <w:t>Nombre o denominación de la evaluación</w:t>
            </w:r>
          </w:p>
        </w:tc>
        <w:tc>
          <w:tcPr>
            <w:tcW w:w="2801" w:type="pct"/>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7BD65CC5" w14:textId="6E8E44F3" w:rsidR="00EB1844" w:rsidRPr="000F3CCE" w:rsidRDefault="00EB1844" w:rsidP="00927B4B">
            <w:pPr>
              <w:tabs>
                <w:tab w:val="left" w:pos="2268"/>
              </w:tabs>
              <w:spacing w:before="0" w:after="0"/>
              <w:rPr>
                <w:rFonts w:cstheme="minorHAnsi"/>
                <w:bCs/>
                <w:sz w:val="20"/>
                <w:szCs w:val="20"/>
              </w:rPr>
            </w:pPr>
            <w:r w:rsidRPr="000F3CCE">
              <w:rPr>
                <w:rFonts w:cstheme="minorHAnsi"/>
                <w:bCs/>
                <w:sz w:val="20"/>
                <w:szCs w:val="20"/>
              </w:rPr>
              <w:t>Evaluación Estratégica al Fondo de Aportaciones para el Fortalecimiento de las Entidades Federativas (FAFEF) en el ámbito estatal para Hidalgo, en el marco del PAE 2018</w:t>
            </w:r>
          </w:p>
        </w:tc>
      </w:tr>
      <w:tr w:rsidR="00EB1844" w:rsidRPr="000F3CCE" w14:paraId="27A9B2E9" w14:textId="77777777" w:rsidTr="00F32C95">
        <w:trPr>
          <w:trHeight w:val="300"/>
          <w:jc w:val="center"/>
        </w:trPr>
        <w:tc>
          <w:tcPr>
            <w:tcW w:w="2199" w:type="pct"/>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6B471C4B" w14:textId="77777777" w:rsidR="00EB1844" w:rsidRPr="000F3CCE" w:rsidRDefault="00EB1844" w:rsidP="00927B4B">
            <w:pPr>
              <w:spacing w:before="0" w:after="0"/>
              <w:rPr>
                <w:rFonts w:cstheme="minorHAnsi"/>
                <w:b/>
                <w:bCs/>
                <w:sz w:val="20"/>
                <w:szCs w:val="20"/>
                <w:lang w:eastAsia="es-MX"/>
              </w:rPr>
            </w:pPr>
            <w:r w:rsidRPr="000F3CCE">
              <w:rPr>
                <w:rFonts w:cstheme="minorHAnsi"/>
                <w:b/>
                <w:bCs/>
                <w:sz w:val="20"/>
                <w:szCs w:val="20"/>
                <w:lang w:eastAsia="es-MX"/>
              </w:rPr>
              <w:t xml:space="preserve">Nombre o denominación del Fondo </w:t>
            </w:r>
          </w:p>
        </w:tc>
        <w:tc>
          <w:tcPr>
            <w:tcW w:w="2801" w:type="pct"/>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221556A5" w14:textId="77777777" w:rsidR="00EB1844" w:rsidRPr="000F3CCE" w:rsidRDefault="00EB1844" w:rsidP="00927B4B">
            <w:pPr>
              <w:tabs>
                <w:tab w:val="left" w:pos="2268"/>
              </w:tabs>
              <w:spacing w:before="0" w:after="0"/>
              <w:rPr>
                <w:rFonts w:cstheme="minorHAnsi"/>
                <w:bCs/>
                <w:sz w:val="20"/>
                <w:szCs w:val="20"/>
              </w:rPr>
            </w:pPr>
            <w:r w:rsidRPr="000F3CCE">
              <w:rPr>
                <w:rFonts w:cstheme="minorHAnsi"/>
                <w:bCs/>
                <w:sz w:val="20"/>
                <w:szCs w:val="20"/>
              </w:rPr>
              <w:t>Ramo 33, modalidad I-Gasto federalizado y Clave Presupuestaria I012 Fondo de Aportaciones para el Fortalecimiento de las Entidades Federativas (FAFEF)</w:t>
            </w:r>
          </w:p>
        </w:tc>
      </w:tr>
      <w:tr w:rsidR="00EB1844" w:rsidRPr="000F3CCE" w14:paraId="416980F8" w14:textId="77777777" w:rsidTr="00F32C95">
        <w:trPr>
          <w:trHeight w:val="236"/>
          <w:jc w:val="center"/>
        </w:trPr>
        <w:tc>
          <w:tcPr>
            <w:tcW w:w="2199" w:type="pct"/>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34416C9D" w14:textId="77777777" w:rsidR="00EB1844" w:rsidRPr="000F3CCE" w:rsidRDefault="00EB1844" w:rsidP="00927B4B">
            <w:pPr>
              <w:spacing w:before="0" w:after="0"/>
              <w:rPr>
                <w:rFonts w:cstheme="minorHAnsi"/>
                <w:b/>
                <w:bCs/>
                <w:sz w:val="20"/>
                <w:szCs w:val="20"/>
                <w:lang w:eastAsia="es-MX"/>
              </w:rPr>
            </w:pPr>
            <w:r w:rsidRPr="000F3CCE">
              <w:rPr>
                <w:rFonts w:cstheme="minorHAnsi"/>
                <w:b/>
                <w:bCs/>
                <w:sz w:val="20"/>
                <w:szCs w:val="20"/>
                <w:lang w:eastAsia="es-MX"/>
              </w:rPr>
              <w:t>Dependencia Coordinadora del Fondo</w:t>
            </w:r>
          </w:p>
        </w:tc>
        <w:tc>
          <w:tcPr>
            <w:tcW w:w="2801" w:type="pct"/>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4CF07FF4" w14:textId="77777777" w:rsidR="00EB1844" w:rsidRPr="000F3CCE" w:rsidRDefault="00EB1844" w:rsidP="00927B4B">
            <w:pPr>
              <w:autoSpaceDE w:val="0"/>
              <w:autoSpaceDN w:val="0"/>
              <w:adjustRightInd w:val="0"/>
              <w:snapToGrid w:val="0"/>
              <w:spacing w:before="0" w:after="0"/>
              <w:rPr>
                <w:rFonts w:cstheme="minorHAnsi"/>
                <w:bCs/>
                <w:sz w:val="20"/>
                <w:szCs w:val="20"/>
              </w:rPr>
            </w:pPr>
            <w:r w:rsidRPr="000F3CCE">
              <w:rPr>
                <w:rFonts w:cstheme="minorHAnsi"/>
                <w:bCs/>
                <w:sz w:val="20"/>
                <w:szCs w:val="20"/>
              </w:rPr>
              <w:t xml:space="preserve">Secretaría de Hacienda y Crédito Público (SHCP) </w:t>
            </w:r>
          </w:p>
        </w:tc>
      </w:tr>
      <w:tr w:rsidR="00EB1844" w:rsidRPr="000F3CCE" w14:paraId="4D5DC524" w14:textId="77777777" w:rsidTr="00F32C95">
        <w:trPr>
          <w:trHeight w:val="537"/>
          <w:jc w:val="center"/>
        </w:trPr>
        <w:tc>
          <w:tcPr>
            <w:tcW w:w="2199" w:type="pct"/>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07856EF5" w14:textId="77777777" w:rsidR="00EB1844" w:rsidRPr="000F3CCE" w:rsidRDefault="00EB1844" w:rsidP="00927B4B">
            <w:pPr>
              <w:shd w:val="clear" w:color="auto" w:fill="FFFFFF"/>
              <w:spacing w:before="0" w:after="0"/>
              <w:textAlignment w:val="center"/>
              <w:rPr>
                <w:rFonts w:cstheme="minorHAnsi"/>
                <w:b/>
                <w:bCs/>
                <w:sz w:val="20"/>
                <w:szCs w:val="20"/>
                <w:lang w:eastAsia="es-MX"/>
              </w:rPr>
            </w:pPr>
            <w:r w:rsidRPr="000F3CCE">
              <w:rPr>
                <w:rFonts w:cstheme="minorHAnsi"/>
                <w:b/>
                <w:bCs/>
                <w:sz w:val="20"/>
                <w:szCs w:val="20"/>
                <w:lang w:eastAsia="es-MX"/>
              </w:rPr>
              <w:t xml:space="preserve">Unidad(es) Responsable(s) de la coordinación del Fondo </w:t>
            </w:r>
          </w:p>
        </w:tc>
        <w:tc>
          <w:tcPr>
            <w:tcW w:w="2801" w:type="pct"/>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24FE5DB6" w14:textId="77777777" w:rsidR="00EB1844" w:rsidRPr="000F3CCE" w:rsidRDefault="00EB1844" w:rsidP="00927B4B">
            <w:pPr>
              <w:shd w:val="clear" w:color="auto" w:fill="FFFFFF"/>
              <w:spacing w:before="0" w:after="0"/>
              <w:textAlignment w:val="center"/>
              <w:rPr>
                <w:rFonts w:cstheme="minorHAnsi"/>
                <w:i/>
                <w:iCs/>
                <w:sz w:val="20"/>
                <w:szCs w:val="20"/>
                <w:shd w:val="clear" w:color="auto" w:fill="F2F2F2"/>
                <w:lang w:val="es-ES"/>
              </w:rPr>
            </w:pPr>
            <w:r w:rsidRPr="000F3CCE">
              <w:rPr>
                <w:rFonts w:cstheme="minorHAnsi"/>
                <w:bCs/>
                <w:sz w:val="20"/>
                <w:szCs w:val="20"/>
              </w:rPr>
              <w:t>Dirección General de Programación y Presupuesto “A” (DGPYP “A”)</w:t>
            </w:r>
          </w:p>
        </w:tc>
      </w:tr>
      <w:tr w:rsidR="00EB1844" w:rsidRPr="000F3CCE" w14:paraId="4387EF56" w14:textId="77777777" w:rsidTr="00F32C95">
        <w:trPr>
          <w:trHeight w:val="300"/>
          <w:jc w:val="center"/>
        </w:trPr>
        <w:tc>
          <w:tcPr>
            <w:tcW w:w="2199" w:type="pct"/>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2160CE7F" w14:textId="77777777" w:rsidR="00EB1844" w:rsidRPr="000F3CCE" w:rsidRDefault="00EB1844" w:rsidP="00927B4B">
            <w:pPr>
              <w:shd w:val="clear" w:color="auto" w:fill="FFFFFF"/>
              <w:spacing w:before="0" w:after="0"/>
              <w:textAlignment w:val="center"/>
              <w:rPr>
                <w:rFonts w:cstheme="minorHAnsi"/>
                <w:b/>
                <w:bCs/>
                <w:sz w:val="20"/>
                <w:szCs w:val="20"/>
                <w:lang w:eastAsia="es-MX"/>
              </w:rPr>
            </w:pPr>
            <w:r w:rsidRPr="000F3CCE">
              <w:rPr>
                <w:rFonts w:cstheme="minorHAnsi"/>
                <w:b/>
                <w:bCs/>
                <w:sz w:val="20"/>
                <w:szCs w:val="20"/>
                <w:lang w:eastAsia="es-MX"/>
              </w:rPr>
              <w:t>Titular(es) de la(s) unidad(es) responsable(s) de la coordinación del Fondo</w:t>
            </w:r>
          </w:p>
        </w:tc>
        <w:tc>
          <w:tcPr>
            <w:tcW w:w="2801" w:type="pct"/>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19DE9E81" w14:textId="77777777" w:rsidR="00EB1844" w:rsidRPr="000F3CCE" w:rsidRDefault="00EB1844" w:rsidP="00927B4B">
            <w:pPr>
              <w:shd w:val="clear" w:color="auto" w:fill="FFFFFF"/>
              <w:spacing w:before="0" w:after="0"/>
              <w:textAlignment w:val="center"/>
              <w:rPr>
                <w:rFonts w:cstheme="minorHAnsi"/>
                <w:bCs/>
                <w:sz w:val="20"/>
                <w:szCs w:val="20"/>
              </w:rPr>
            </w:pPr>
            <w:r w:rsidRPr="000F3CCE">
              <w:rPr>
                <w:rFonts w:cstheme="minorHAnsi"/>
                <w:bCs/>
                <w:sz w:val="20"/>
                <w:szCs w:val="20"/>
              </w:rPr>
              <w:t>Omar Antonio Nicolás Tovar Ornelas</w:t>
            </w:r>
          </w:p>
          <w:p w14:paraId="0C736F77" w14:textId="77777777" w:rsidR="00EB1844" w:rsidRPr="000F3CCE" w:rsidRDefault="00EB1844" w:rsidP="00927B4B">
            <w:pPr>
              <w:shd w:val="clear" w:color="auto" w:fill="FFFFFF"/>
              <w:spacing w:before="0" w:after="0"/>
              <w:textAlignment w:val="center"/>
              <w:rPr>
                <w:rFonts w:cstheme="minorHAnsi"/>
                <w:sz w:val="20"/>
                <w:szCs w:val="20"/>
                <w:shd w:val="clear" w:color="auto" w:fill="F2F2F2"/>
                <w:lang w:val="es-ES"/>
              </w:rPr>
            </w:pPr>
            <w:r w:rsidRPr="000F3CCE">
              <w:rPr>
                <w:rFonts w:cstheme="minorHAnsi"/>
                <w:bCs/>
                <w:sz w:val="20"/>
                <w:szCs w:val="20"/>
              </w:rPr>
              <w:t>Titular de la Dirección General de Programación y Presupuesto “A” (DGPYP “A”)</w:t>
            </w:r>
          </w:p>
        </w:tc>
      </w:tr>
      <w:tr w:rsidR="00EB1844" w:rsidRPr="000F3CCE" w14:paraId="3DC30343" w14:textId="77777777" w:rsidTr="00F32C95">
        <w:trPr>
          <w:trHeight w:val="542"/>
          <w:jc w:val="center"/>
        </w:trPr>
        <w:tc>
          <w:tcPr>
            <w:tcW w:w="2199" w:type="pct"/>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50F59E8B" w14:textId="77777777" w:rsidR="00EB1844" w:rsidRPr="000F3CCE" w:rsidRDefault="00EB1844" w:rsidP="00927B4B">
            <w:pPr>
              <w:shd w:val="clear" w:color="auto" w:fill="FFFFFF"/>
              <w:spacing w:before="0" w:after="0"/>
              <w:textAlignment w:val="center"/>
              <w:rPr>
                <w:rFonts w:cstheme="minorHAnsi"/>
                <w:b/>
                <w:bCs/>
                <w:sz w:val="20"/>
                <w:szCs w:val="20"/>
                <w:lang w:eastAsia="es-MX"/>
              </w:rPr>
            </w:pPr>
            <w:r w:rsidRPr="000F3CCE">
              <w:rPr>
                <w:rFonts w:cstheme="minorHAnsi"/>
                <w:b/>
                <w:bCs/>
                <w:sz w:val="20"/>
                <w:szCs w:val="20"/>
                <w:lang w:eastAsia="es-MX"/>
              </w:rPr>
              <w:t>Año del Programa Anual de Evaluación (PAE) en que fue considerada la evaluación</w:t>
            </w:r>
          </w:p>
        </w:tc>
        <w:tc>
          <w:tcPr>
            <w:tcW w:w="2801" w:type="pct"/>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79D00E56" w14:textId="3C44FCC1" w:rsidR="00EB1844" w:rsidRPr="000F3CCE" w:rsidRDefault="006C1F50" w:rsidP="0076744F">
            <w:pPr>
              <w:shd w:val="clear" w:color="auto" w:fill="FFFFFF"/>
              <w:spacing w:before="0" w:after="0"/>
              <w:textAlignment w:val="center"/>
              <w:rPr>
                <w:rFonts w:cstheme="minorHAnsi"/>
                <w:sz w:val="20"/>
                <w:szCs w:val="20"/>
                <w:shd w:val="clear" w:color="auto" w:fill="F2F2F2"/>
                <w:lang w:val="es-ES"/>
              </w:rPr>
            </w:pPr>
            <w:r w:rsidRPr="006C1F50">
              <w:rPr>
                <w:rFonts w:ascii="Calibri" w:hAnsi="Calibri" w:cstheme="minorHAnsi"/>
                <w:sz w:val="20"/>
                <w:szCs w:val="20"/>
              </w:rPr>
              <w:t>PAE 2018</w:t>
            </w:r>
          </w:p>
        </w:tc>
      </w:tr>
      <w:tr w:rsidR="00EB1844" w:rsidRPr="000F3CCE" w14:paraId="5B6D0952" w14:textId="77777777" w:rsidTr="00F32C95">
        <w:trPr>
          <w:trHeight w:val="408"/>
          <w:jc w:val="center"/>
        </w:trPr>
        <w:tc>
          <w:tcPr>
            <w:tcW w:w="2199" w:type="pct"/>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7D60EB4A" w14:textId="77777777" w:rsidR="00EB1844" w:rsidRPr="000F3CCE" w:rsidRDefault="00EB1844" w:rsidP="00927B4B">
            <w:pPr>
              <w:shd w:val="clear" w:color="auto" w:fill="FFFFFF"/>
              <w:spacing w:before="0" w:after="0"/>
              <w:textAlignment w:val="center"/>
              <w:rPr>
                <w:rFonts w:cstheme="minorHAnsi"/>
                <w:b/>
                <w:bCs/>
                <w:sz w:val="20"/>
                <w:szCs w:val="20"/>
                <w:lang w:eastAsia="es-MX"/>
              </w:rPr>
            </w:pPr>
            <w:r w:rsidRPr="000F3CCE">
              <w:rPr>
                <w:rFonts w:cstheme="minorHAnsi"/>
                <w:b/>
                <w:bCs/>
                <w:sz w:val="20"/>
                <w:szCs w:val="20"/>
                <w:lang w:eastAsia="es-MX"/>
              </w:rPr>
              <w:t>Instancia de Coordinación de la evaluación</w:t>
            </w:r>
          </w:p>
        </w:tc>
        <w:tc>
          <w:tcPr>
            <w:tcW w:w="2801" w:type="pct"/>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0A2F80CE" w14:textId="77777777" w:rsidR="00EB1844" w:rsidRPr="000F3CCE" w:rsidRDefault="00EB1844" w:rsidP="00927B4B">
            <w:pPr>
              <w:shd w:val="clear" w:color="auto" w:fill="FFFFFF"/>
              <w:spacing w:before="0" w:after="0"/>
              <w:textAlignment w:val="center"/>
              <w:rPr>
                <w:rFonts w:cstheme="minorHAnsi"/>
                <w:i/>
                <w:iCs/>
                <w:sz w:val="20"/>
                <w:szCs w:val="20"/>
                <w:shd w:val="clear" w:color="auto" w:fill="F2F2F2"/>
                <w:lang w:val="es-ES"/>
              </w:rPr>
            </w:pPr>
            <w:r w:rsidRPr="000F3CCE">
              <w:rPr>
                <w:rFonts w:cstheme="minorHAnsi"/>
                <w:bCs/>
                <w:sz w:val="20"/>
                <w:szCs w:val="20"/>
              </w:rPr>
              <w:t>Secretaría de Hacienda y Crédito Público a través de la Unidad de Evaluación del Desempeño.</w:t>
            </w:r>
          </w:p>
        </w:tc>
      </w:tr>
      <w:tr w:rsidR="00EB1844" w:rsidRPr="000F3CCE" w14:paraId="21C77ED6" w14:textId="77777777" w:rsidTr="00F32C95">
        <w:trPr>
          <w:trHeight w:val="187"/>
          <w:jc w:val="center"/>
        </w:trPr>
        <w:tc>
          <w:tcPr>
            <w:tcW w:w="2199" w:type="pct"/>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010B6842" w14:textId="77777777" w:rsidR="00EB1844" w:rsidRPr="000F3CCE" w:rsidRDefault="00EB1844" w:rsidP="00927B4B">
            <w:pPr>
              <w:shd w:val="clear" w:color="auto" w:fill="FFFFFF"/>
              <w:spacing w:before="0" w:after="0"/>
              <w:textAlignment w:val="center"/>
              <w:rPr>
                <w:rFonts w:cstheme="minorHAnsi"/>
                <w:b/>
                <w:bCs/>
                <w:sz w:val="20"/>
                <w:szCs w:val="20"/>
                <w:lang w:eastAsia="es-MX"/>
              </w:rPr>
            </w:pPr>
            <w:r w:rsidRPr="000F3CCE">
              <w:rPr>
                <w:rFonts w:cstheme="minorHAnsi"/>
                <w:b/>
                <w:bCs/>
                <w:sz w:val="20"/>
                <w:szCs w:val="20"/>
                <w:lang w:eastAsia="es-MX"/>
              </w:rPr>
              <w:t>Año de conclusión y entrega de la evaluación</w:t>
            </w:r>
          </w:p>
        </w:tc>
        <w:tc>
          <w:tcPr>
            <w:tcW w:w="2801" w:type="pct"/>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2DAB5ACF" w14:textId="77777777" w:rsidR="00EB1844" w:rsidRPr="000F3CCE" w:rsidRDefault="00EB1844" w:rsidP="00927B4B">
            <w:pPr>
              <w:shd w:val="clear" w:color="auto" w:fill="FFFFFF"/>
              <w:spacing w:before="0" w:after="0"/>
              <w:textAlignment w:val="center"/>
              <w:rPr>
                <w:rFonts w:cstheme="minorHAnsi"/>
                <w:i/>
                <w:iCs/>
                <w:sz w:val="20"/>
                <w:szCs w:val="20"/>
                <w:shd w:val="clear" w:color="auto" w:fill="F2F2F2"/>
                <w:lang w:val="es-ES"/>
              </w:rPr>
            </w:pPr>
            <w:r w:rsidRPr="000F3CCE">
              <w:rPr>
                <w:rFonts w:cstheme="minorHAnsi"/>
                <w:bCs/>
                <w:sz w:val="20"/>
                <w:szCs w:val="20"/>
              </w:rPr>
              <w:t>2020</w:t>
            </w:r>
          </w:p>
        </w:tc>
      </w:tr>
      <w:tr w:rsidR="00EB1844" w:rsidRPr="000F3CCE" w14:paraId="69693DC6" w14:textId="77777777" w:rsidTr="00F32C95">
        <w:trPr>
          <w:trHeight w:val="220"/>
          <w:jc w:val="center"/>
        </w:trPr>
        <w:tc>
          <w:tcPr>
            <w:tcW w:w="2199" w:type="pct"/>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7D59893B" w14:textId="77777777" w:rsidR="00EB1844" w:rsidRPr="000F3CCE" w:rsidRDefault="00EB1844" w:rsidP="00927B4B">
            <w:pPr>
              <w:shd w:val="clear" w:color="auto" w:fill="FFFFFF"/>
              <w:spacing w:before="0" w:after="0"/>
              <w:textAlignment w:val="center"/>
              <w:rPr>
                <w:rFonts w:cstheme="minorHAnsi"/>
                <w:b/>
                <w:bCs/>
                <w:sz w:val="20"/>
                <w:szCs w:val="20"/>
                <w:lang w:eastAsia="es-MX"/>
              </w:rPr>
            </w:pPr>
            <w:r w:rsidRPr="000F3CCE">
              <w:rPr>
                <w:rFonts w:cstheme="minorHAnsi"/>
                <w:b/>
                <w:bCs/>
                <w:sz w:val="20"/>
                <w:szCs w:val="20"/>
                <w:lang w:eastAsia="es-MX"/>
              </w:rPr>
              <w:t>Tipo de evaluación</w:t>
            </w:r>
          </w:p>
        </w:tc>
        <w:tc>
          <w:tcPr>
            <w:tcW w:w="2801" w:type="pct"/>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6EF28871" w14:textId="77777777" w:rsidR="00EB1844" w:rsidRPr="000F3CCE" w:rsidRDefault="00EB1844" w:rsidP="00927B4B">
            <w:pPr>
              <w:shd w:val="clear" w:color="auto" w:fill="FFFFFF"/>
              <w:spacing w:before="0" w:after="0"/>
              <w:textAlignment w:val="center"/>
              <w:rPr>
                <w:rFonts w:cstheme="minorHAnsi"/>
                <w:i/>
                <w:iCs/>
                <w:sz w:val="20"/>
                <w:szCs w:val="20"/>
                <w:shd w:val="clear" w:color="auto" w:fill="F2F2F2"/>
                <w:lang w:val="es-ES"/>
              </w:rPr>
            </w:pPr>
            <w:r w:rsidRPr="000F3CCE">
              <w:rPr>
                <w:rFonts w:cstheme="minorHAnsi"/>
                <w:bCs/>
                <w:sz w:val="20"/>
                <w:szCs w:val="20"/>
              </w:rPr>
              <w:t>Evaluación Estratégica</w:t>
            </w:r>
          </w:p>
        </w:tc>
      </w:tr>
      <w:tr w:rsidR="00EB1844" w:rsidRPr="000F3CCE" w14:paraId="34E59CD2" w14:textId="77777777" w:rsidTr="00F32C95">
        <w:trPr>
          <w:trHeight w:val="251"/>
          <w:jc w:val="center"/>
        </w:trPr>
        <w:tc>
          <w:tcPr>
            <w:tcW w:w="2199" w:type="pct"/>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0573D656" w14:textId="77777777" w:rsidR="00EB1844" w:rsidRPr="000F3CCE" w:rsidRDefault="00EB1844" w:rsidP="00927B4B">
            <w:pPr>
              <w:shd w:val="clear" w:color="auto" w:fill="FFFFFF"/>
              <w:spacing w:before="0" w:after="0"/>
              <w:textAlignment w:val="center"/>
              <w:rPr>
                <w:rFonts w:cstheme="minorHAnsi"/>
                <w:b/>
                <w:bCs/>
                <w:sz w:val="20"/>
                <w:szCs w:val="20"/>
                <w:lang w:eastAsia="es-MX"/>
              </w:rPr>
            </w:pPr>
            <w:r w:rsidRPr="000F3CCE">
              <w:rPr>
                <w:rFonts w:cstheme="minorHAnsi"/>
                <w:b/>
                <w:bCs/>
                <w:sz w:val="20"/>
                <w:szCs w:val="20"/>
                <w:lang w:eastAsia="es-MX"/>
              </w:rPr>
              <w:t>Nombre de la instancia evaluadora</w:t>
            </w:r>
          </w:p>
        </w:tc>
        <w:tc>
          <w:tcPr>
            <w:tcW w:w="2801" w:type="pct"/>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47F248F4" w14:textId="77777777" w:rsidR="00EB1844" w:rsidRPr="000F3CCE" w:rsidRDefault="00EB1844" w:rsidP="00927B4B">
            <w:pPr>
              <w:spacing w:before="0" w:after="0"/>
              <w:rPr>
                <w:rFonts w:cstheme="minorHAnsi"/>
                <w:sz w:val="20"/>
                <w:szCs w:val="20"/>
                <w:lang w:eastAsia="es-MX"/>
              </w:rPr>
            </w:pPr>
            <w:r w:rsidRPr="000F3CCE">
              <w:rPr>
                <w:rFonts w:cstheme="minorHAnsi"/>
                <w:sz w:val="20"/>
                <w:szCs w:val="20"/>
                <w:lang w:eastAsia="es-MX"/>
              </w:rPr>
              <w:t>Servicios Profesionales para el Desarrollo Económico, S.C</w:t>
            </w:r>
          </w:p>
        </w:tc>
      </w:tr>
      <w:tr w:rsidR="00EB1844" w:rsidRPr="000F3CCE" w14:paraId="7F9D6BFB" w14:textId="77777777" w:rsidTr="00F32C95">
        <w:trPr>
          <w:trHeight w:val="411"/>
          <w:jc w:val="center"/>
        </w:trPr>
        <w:tc>
          <w:tcPr>
            <w:tcW w:w="2199" w:type="pct"/>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67BDF882" w14:textId="77777777" w:rsidR="00EB1844" w:rsidRPr="000F3CCE" w:rsidRDefault="00EB1844" w:rsidP="00927B4B">
            <w:pPr>
              <w:shd w:val="clear" w:color="auto" w:fill="FFFFFF"/>
              <w:spacing w:before="0" w:after="0"/>
              <w:textAlignment w:val="center"/>
              <w:rPr>
                <w:rFonts w:cstheme="minorHAnsi"/>
                <w:b/>
                <w:bCs/>
                <w:sz w:val="20"/>
                <w:szCs w:val="20"/>
                <w:lang w:eastAsia="es-MX"/>
              </w:rPr>
            </w:pPr>
            <w:r w:rsidRPr="000F3CCE">
              <w:rPr>
                <w:rFonts w:cstheme="minorHAnsi"/>
                <w:b/>
                <w:bCs/>
                <w:sz w:val="20"/>
                <w:szCs w:val="20"/>
                <w:lang w:eastAsia="es-MX"/>
              </w:rPr>
              <w:t>Nombre del(a) coordinador(a) externo(a) de la evaluación</w:t>
            </w:r>
          </w:p>
        </w:tc>
        <w:tc>
          <w:tcPr>
            <w:tcW w:w="2801" w:type="pct"/>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7DF3735B" w14:textId="77777777" w:rsidR="00EB1844" w:rsidRPr="000F3CCE" w:rsidRDefault="00EB1844" w:rsidP="00927B4B">
            <w:pPr>
              <w:shd w:val="clear" w:color="auto" w:fill="FFFFFF"/>
              <w:spacing w:before="0" w:after="0"/>
              <w:textAlignment w:val="center"/>
              <w:rPr>
                <w:rFonts w:cstheme="minorHAnsi"/>
                <w:sz w:val="20"/>
                <w:szCs w:val="20"/>
                <w:shd w:val="clear" w:color="auto" w:fill="F2F2F2"/>
                <w:lang w:val="es-ES"/>
              </w:rPr>
            </w:pPr>
            <w:r w:rsidRPr="000F3CCE">
              <w:rPr>
                <w:rFonts w:cstheme="minorHAnsi"/>
                <w:bCs/>
                <w:sz w:val="20"/>
                <w:szCs w:val="20"/>
              </w:rPr>
              <w:t>Noé Hernández Quijada</w:t>
            </w:r>
          </w:p>
        </w:tc>
      </w:tr>
      <w:tr w:rsidR="00EB1844" w:rsidRPr="000F3CCE" w14:paraId="47A27986" w14:textId="77777777" w:rsidTr="00F32C95">
        <w:trPr>
          <w:trHeight w:val="489"/>
          <w:jc w:val="center"/>
        </w:trPr>
        <w:tc>
          <w:tcPr>
            <w:tcW w:w="2199" w:type="pct"/>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55447B30" w14:textId="77777777" w:rsidR="00EB1844" w:rsidRPr="000F3CCE" w:rsidRDefault="00EB1844" w:rsidP="00927B4B">
            <w:pPr>
              <w:shd w:val="clear" w:color="auto" w:fill="FFFFFF"/>
              <w:spacing w:before="0" w:after="0"/>
              <w:textAlignment w:val="center"/>
              <w:rPr>
                <w:rFonts w:cstheme="minorHAnsi"/>
                <w:b/>
                <w:bCs/>
                <w:sz w:val="20"/>
                <w:szCs w:val="20"/>
                <w:lang w:eastAsia="es-MX"/>
              </w:rPr>
            </w:pPr>
            <w:r w:rsidRPr="000F3CCE">
              <w:rPr>
                <w:rFonts w:cstheme="minorHAnsi"/>
                <w:b/>
                <w:bCs/>
                <w:sz w:val="20"/>
                <w:szCs w:val="20"/>
                <w:lang w:eastAsia="es-MX"/>
              </w:rPr>
              <w:t>Nombre de los(as) principales colaboradores(as) del(a) coordinador(a) de la evaluación</w:t>
            </w:r>
          </w:p>
        </w:tc>
        <w:tc>
          <w:tcPr>
            <w:tcW w:w="2801" w:type="pct"/>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3F36B5C8" w14:textId="77777777" w:rsidR="00EB1844" w:rsidRDefault="00EB1844" w:rsidP="00927B4B">
            <w:pPr>
              <w:shd w:val="clear" w:color="auto" w:fill="FFFFFF"/>
              <w:spacing w:before="0" w:after="0"/>
              <w:textAlignment w:val="center"/>
              <w:rPr>
                <w:rFonts w:cstheme="minorHAnsi"/>
                <w:bCs/>
                <w:sz w:val="20"/>
                <w:szCs w:val="20"/>
              </w:rPr>
            </w:pPr>
            <w:r w:rsidRPr="00B205C4">
              <w:rPr>
                <w:rFonts w:cstheme="minorHAnsi"/>
                <w:bCs/>
                <w:sz w:val="20"/>
                <w:szCs w:val="20"/>
              </w:rPr>
              <w:t>Efraín Sánchez Ramírez</w:t>
            </w:r>
          </w:p>
          <w:p w14:paraId="30E88F3A" w14:textId="77777777" w:rsidR="00EB1844" w:rsidRPr="00213B8D" w:rsidRDefault="00EB1844" w:rsidP="00927B4B">
            <w:pPr>
              <w:shd w:val="clear" w:color="auto" w:fill="FFFFFF"/>
              <w:spacing w:before="0" w:after="0"/>
              <w:textAlignment w:val="center"/>
              <w:rPr>
                <w:rFonts w:cstheme="minorHAnsi"/>
                <w:bCs/>
                <w:sz w:val="20"/>
                <w:szCs w:val="20"/>
              </w:rPr>
            </w:pPr>
            <w:r w:rsidRPr="00213B8D">
              <w:rPr>
                <w:rFonts w:cstheme="minorHAnsi"/>
                <w:bCs/>
                <w:sz w:val="20"/>
                <w:szCs w:val="20"/>
              </w:rPr>
              <w:t>Roberto Osvaldo Ramos Cortés</w:t>
            </w:r>
          </w:p>
          <w:p w14:paraId="6A688AD2" w14:textId="72DB7A55" w:rsidR="00EB1844" w:rsidRPr="000F3CCE" w:rsidRDefault="00EB1844" w:rsidP="006C1F50">
            <w:pPr>
              <w:shd w:val="clear" w:color="auto" w:fill="FFFFFF"/>
              <w:spacing w:before="0" w:after="0"/>
              <w:textAlignment w:val="center"/>
              <w:rPr>
                <w:rFonts w:cstheme="minorHAnsi"/>
                <w:sz w:val="20"/>
                <w:szCs w:val="20"/>
                <w:shd w:val="clear" w:color="auto" w:fill="F2F2F2"/>
                <w:lang w:val="es-ES"/>
              </w:rPr>
            </w:pPr>
            <w:r w:rsidRPr="002716A2">
              <w:rPr>
                <w:rFonts w:cstheme="minorHAnsi"/>
                <w:bCs/>
                <w:sz w:val="20"/>
                <w:szCs w:val="20"/>
              </w:rPr>
              <w:t>Luis Ángel Ortiz Herrera</w:t>
            </w:r>
          </w:p>
        </w:tc>
      </w:tr>
      <w:tr w:rsidR="00EB1844" w:rsidRPr="000F3CCE" w14:paraId="028AF736" w14:textId="77777777" w:rsidTr="00F32C95">
        <w:trPr>
          <w:trHeight w:val="412"/>
          <w:jc w:val="center"/>
        </w:trPr>
        <w:tc>
          <w:tcPr>
            <w:tcW w:w="2199" w:type="pct"/>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3F1CDE59" w14:textId="77777777" w:rsidR="00EB1844" w:rsidRPr="000F3CCE" w:rsidRDefault="00EB1844" w:rsidP="00927B4B">
            <w:pPr>
              <w:shd w:val="clear" w:color="auto" w:fill="FFFFFF"/>
              <w:spacing w:before="0" w:after="0"/>
              <w:textAlignment w:val="center"/>
              <w:rPr>
                <w:rFonts w:cstheme="minorHAnsi"/>
                <w:b/>
                <w:bCs/>
                <w:sz w:val="20"/>
                <w:szCs w:val="20"/>
                <w:lang w:eastAsia="es-MX"/>
              </w:rPr>
            </w:pPr>
            <w:r w:rsidRPr="000F3CCE">
              <w:rPr>
                <w:rFonts w:cstheme="minorHAnsi"/>
                <w:b/>
                <w:bCs/>
                <w:sz w:val="20"/>
                <w:szCs w:val="20"/>
                <w:lang w:eastAsia="es-MX"/>
              </w:rPr>
              <w:t>Nombre de la Unidad Administrativa Responsable de dar seguimiento a la evaluación (Área de Evaluación)</w:t>
            </w:r>
          </w:p>
        </w:tc>
        <w:tc>
          <w:tcPr>
            <w:tcW w:w="2801" w:type="pct"/>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57BCD6D8" w14:textId="05B46D7A" w:rsidR="00EB1844" w:rsidRPr="00591996" w:rsidRDefault="006C1F50" w:rsidP="006C1F50">
            <w:pPr>
              <w:shd w:val="clear" w:color="auto" w:fill="FFFFFF"/>
              <w:spacing w:before="0" w:after="0"/>
              <w:textAlignment w:val="center"/>
              <w:rPr>
                <w:rFonts w:cstheme="minorHAnsi"/>
                <w:bCs/>
                <w:sz w:val="20"/>
                <w:szCs w:val="20"/>
              </w:rPr>
            </w:pPr>
            <w:r w:rsidRPr="006C1F50">
              <w:rPr>
                <w:rFonts w:cstheme="minorHAnsi"/>
                <w:bCs/>
                <w:sz w:val="20"/>
                <w:szCs w:val="20"/>
              </w:rPr>
              <w:t>Subsecretaria de Programación</w:t>
            </w:r>
            <w:r w:rsidR="00591996">
              <w:rPr>
                <w:rFonts w:cstheme="minorHAnsi"/>
                <w:bCs/>
                <w:sz w:val="20"/>
                <w:szCs w:val="20"/>
              </w:rPr>
              <w:t xml:space="preserve"> de la </w:t>
            </w:r>
            <w:r w:rsidRPr="006C1F50">
              <w:rPr>
                <w:rFonts w:cstheme="minorHAnsi"/>
                <w:bCs/>
                <w:sz w:val="20"/>
                <w:szCs w:val="20"/>
              </w:rPr>
              <w:t>Secretaría de Finanzas Públicas de Hidalgo</w:t>
            </w:r>
          </w:p>
        </w:tc>
      </w:tr>
      <w:tr w:rsidR="00EB1844" w:rsidRPr="003B0BBE" w14:paraId="780D760F" w14:textId="77777777" w:rsidTr="00F32C95">
        <w:trPr>
          <w:trHeight w:val="978"/>
          <w:jc w:val="center"/>
        </w:trPr>
        <w:tc>
          <w:tcPr>
            <w:tcW w:w="2199" w:type="pct"/>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283A84D2" w14:textId="77777777" w:rsidR="00EB1844" w:rsidRPr="00D55CEF" w:rsidRDefault="00EB1844" w:rsidP="00927B4B">
            <w:pPr>
              <w:shd w:val="clear" w:color="auto" w:fill="FFFFFF"/>
              <w:spacing w:before="0" w:after="0"/>
              <w:textAlignment w:val="center"/>
              <w:rPr>
                <w:rFonts w:cstheme="minorHAnsi"/>
                <w:b/>
                <w:bCs/>
                <w:sz w:val="20"/>
                <w:szCs w:val="20"/>
                <w:lang w:eastAsia="es-MX"/>
              </w:rPr>
            </w:pPr>
            <w:r w:rsidRPr="00D55CEF">
              <w:rPr>
                <w:rFonts w:cstheme="minorHAnsi"/>
                <w:b/>
                <w:bCs/>
                <w:sz w:val="20"/>
                <w:szCs w:val="20"/>
                <w:lang w:eastAsia="es-MX"/>
              </w:rPr>
              <w:t>Nombre del(a) Titular de la unidad administrativa responsable de dar seguimiento a la evaluación (Área de Evaluación)</w:t>
            </w:r>
          </w:p>
        </w:tc>
        <w:tc>
          <w:tcPr>
            <w:tcW w:w="2801" w:type="pct"/>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68063A97" w14:textId="10F965F9" w:rsidR="00EB1844" w:rsidRPr="00D55CEF" w:rsidRDefault="00EB1844" w:rsidP="00D55CEF">
            <w:pPr>
              <w:spacing w:before="0" w:after="0"/>
              <w:rPr>
                <w:rFonts w:cstheme="minorHAnsi"/>
                <w:bCs/>
                <w:sz w:val="20"/>
                <w:szCs w:val="20"/>
              </w:rPr>
            </w:pPr>
            <w:r w:rsidRPr="00D55CEF">
              <w:rPr>
                <w:rFonts w:cstheme="minorHAnsi"/>
                <w:bCs/>
                <w:sz w:val="20"/>
                <w:szCs w:val="20"/>
              </w:rPr>
              <w:t>MCA. Velia Asiain Díaz de León</w:t>
            </w:r>
          </w:p>
          <w:p w14:paraId="52029C94" w14:textId="77777777" w:rsidR="00EB1844" w:rsidRPr="00D55CEF" w:rsidRDefault="00EB1844" w:rsidP="00D55CEF">
            <w:pPr>
              <w:spacing w:before="0" w:after="0"/>
              <w:rPr>
                <w:rFonts w:cstheme="minorHAnsi"/>
                <w:bCs/>
                <w:sz w:val="20"/>
                <w:szCs w:val="20"/>
              </w:rPr>
            </w:pPr>
            <w:r w:rsidRPr="00D55CEF">
              <w:rPr>
                <w:rFonts w:cstheme="minorHAnsi"/>
                <w:bCs/>
                <w:sz w:val="20"/>
                <w:szCs w:val="20"/>
              </w:rPr>
              <w:t>Subsecretaria de Programación de la SFP</w:t>
            </w:r>
          </w:p>
          <w:p w14:paraId="493DBEEB" w14:textId="43700692" w:rsidR="00EB1844" w:rsidRPr="00591996" w:rsidRDefault="00EB1844" w:rsidP="00D55CEF">
            <w:pPr>
              <w:spacing w:before="0" w:after="0"/>
              <w:rPr>
                <w:rFonts w:cstheme="minorHAnsi"/>
                <w:bCs/>
                <w:color w:val="0563C1"/>
                <w:sz w:val="20"/>
                <w:szCs w:val="20"/>
                <w:u w:val="single"/>
                <w:lang w:val="en-US"/>
              </w:rPr>
            </w:pPr>
            <w:r w:rsidRPr="00591996">
              <w:rPr>
                <w:rFonts w:cstheme="minorHAnsi"/>
                <w:bCs/>
                <w:color w:val="0563C1"/>
                <w:sz w:val="20"/>
                <w:szCs w:val="20"/>
                <w:u w:val="single"/>
                <w:lang w:val="en-US"/>
              </w:rPr>
              <w:t>veliaadl@hidalgo.gob.mx</w:t>
            </w:r>
          </w:p>
          <w:p w14:paraId="60D21F73" w14:textId="632DD9DA" w:rsidR="00EB1844" w:rsidRPr="005E1463" w:rsidRDefault="00EB1844" w:rsidP="00D55CEF">
            <w:pPr>
              <w:spacing w:before="0" w:after="0"/>
              <w:rPr>
                <w:rFonts w:cstheme="minorHAnsi"/>
                <w:bCs/>
                <w:sz w:val="20"/>
                <w:szCs w:val="20"/>
                <w:lang w:val="en-US"/>
              </w:rPr>
            </w:pPr>
            <w:r w:rsidRPr="005E1463">
              <w:rPr>
                <w:rFonts w:cstheme="minorHAnsi"/>
                <w:bCs/>
                <w:sz w:val="20"/>
                <w:szCs w:val="20"/>
                <w:lang w:val="en-US"/>
              </w:rPr>
              <w:t>(771) 717 60 00 ext. 6270</w:t>
            </w:r>
          </w:p>
        </w:tc>
      </w:tr>
      <w:tr w:rsidR="00EB1844" w:rsidRPr="003B0BBE" w14:paraId="053FB788" w14:textId="77777777" w:rsidTr="00F32C95">
        <w:trPr>
          <w:trHeight w:val="600"/>
          <w:jc w:val="center"/>
        </w:trPr>
        <w:tc>
          <w:tcPr>
            <w:tcW w:w="2199" w:type="pct"/>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3777243F" w14:textId="77777777" w:rsidR="00EB1844" w:rsidRPr="000F3CCE" w:rsidRDefault="00EB1844" w:rsidP="00927B4B">
            <w:pPr>
              <w:shd w:val="clear" w:color="auto" w:fill="FFFFFF"/>
              <w:spacing w:before="0" w:after="0"/>
              <w:textAlignment w:val="center"/>
              <w:rPr>
                <w:rFonts w:cstheme="minorHAnsi"/>
                <w:b/>
                <w:bCs/>
                <w:sz w:val="20"/>
                <w:szCs w:val="20"/>
                <w:lang w:eastAsia="es-MX"/>
              </w:rPr>
            </w:pPr>
            <w:r w:rsidRPr="000F3CCE">
              <w:rPr>
                <w:rFonts w:cstheme="minorHAnsi"/>
                <w:b/>
                <w:bCs/>
                <w:sz w:val="20"/>
                <w:szCs w:val="20"/>
                <w:lang w:eastAsia="es-MX"/>
              </w:rPr>
              <w:t xml:space="preserve">Nombres de los(as) servidores(as) públicos(as), adscritos(as) a la unidad administrativa responsable de dar seguimiento a la evaluación, que coadyuvaron con la revisión técnica de la evaluación </w:t>
            </w:r>
          </w:p>
        </w:tc>
        <w:tc>
          <w:tcPr>
            <w:tcW w:w="2801" w:type="pct"/>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tcPr>
          <w:p w14:paraId="70B65608" w14:textId="6018E86F" w:rsidR="00EB1844" w:rsidRPr="000F3CCE" w:rsidRDefault="00EB1844" w:rsidP="00927B4B">
            <w:pPr>
              <w:spacing w:before="0" w:after="0"/>
              <w:rPr>
                <w:rFonts w:cstheme="minorHAnsi"/>
                <w:bCs/>
                <w:sz w:val="20"/>
                <w:szCs w:val="20"/>
              </w:rPr>
            </w:pPr>
            <w:r w:rsidRPr="000F3CCE">
              <w:rPr>
                <w:rFonts w:cstheme="minorHAnsi"/>
                <w:bCs/>
                <w:sz w:val="20"/>
                <w:szCs w:val="20"/>
              </w:rPr>
              <w:t>MGPA. Luis Roberto Cerón Trejo</w:t>
            </w:r>
          </w:p>
          <w:p w14:paraId="1E0F663F" w14:textId="77777777" w:rsidR="00EB1844" w:rsidRDefault="00EB1844" w:rsidP="00927B4B">
            <w:pPr>
              <w:spacing w:before="0" w:after="0"/>
              <w:rPr>
                <w:rFonts w:cstheme="minorHAnsi"/>
                <w:bCs/>
                <w:sz w:val="20"/>
                <w:szCs w:val="20"/>
              </w:rPr>
            </w:pPr>
            <w:r>
              <w:rPr>
                <w:rFonts w:cstheme="minorHAnsi"/>
                <w:bCs/>
                <w:sz w:val="20"/>
                <w:szCs w:val="20"/>
              </w:rPr>
              <w:t>Titular</w:t>
            </w:r>
            <w:r w:rsidRPr="000F3CCE">
              <w:rPr>
                <w:rFonts w:cstheme="minorHAnsi"/>
                <w:bCs/>
                <w:sz w:val="20"/>
                <w:szCs w:val="20"/>
              </w:rPr>
              <w:t xml:space="preserve"> de la Unidad Técnica de Evaluación del Desempeño</w:t>
            </w:r>
          </w:p>
          <w:p w14:paraId="4FD243BF" w14:textId="3699D28D" w:rsidR="00EB1844" w:rsidRPr="00E8341C" w:rsidRDefault="00EB1844" w:rsidP="00927B4B">
            <w:pPr>
              <w:spacing w:before="0" w:after="0"/>
              <w:rPr>
                <w:rFonts w:cstheme="minorHAnsi"/>
                <w:bCs/>
                <w:color w:val="0563C1"/>
                <w:sz w:val="20"/>
                <w:szCs w:val="20"/>
                <w:u w:val="single"/>
                <w:lang w:val="en-US"/>
              </w:rPr>
            </w:pPr>
            <w:r w:rsidRPr="00E8341C">
              <w:rPr>
                <w:rFonts w:cstheme="minorHAnsi"/>
                <w:bCs/>
                <w:color w:val="0563C1"/>
                <w:sz w:val="20"/>
                <w:szCs w:val="20"/>
                <w:u w:val="single"/>
                <w:lang w:val="en-US"/>
              </w:rPr>
              <w:t>luis.ceron@hidalgo.gob.mx</w:t>
            </w:r>
          </w:p>
          <w:p w14:paraId="507DCD74" w14:textId="2849075A" w:rsidR="00EB1844" w:rsidRPr="00F32C95" w:rsidRDefault="00EB1844" w:rsidP="00927B4B">
            <w:pPr>
              <w:spacing w:before="0" w:after="0"/>
              <w:rPr>
                <w:rFonts w:cstheme="minorHAnsi"/>
                <w:bCs/>
                <w:sz w:val="20"/>
                <w:szCs w:val="20"/>
                <w:lang w:val="en-US"/>
              </w:rPr>
            </w:pPr>
            <w:r w:rsidRPr="00F32C95">
              <w:rPr>
                <w:rFonts w:cstheme="minorHAnsi"/>
                <w:bCs/>
                <w:sz w:val="20"/>
                <w:szCs w:val="20"/>
                <w:lang w:val="en-US"/>
              </w:rPr>
              <w:t>(771) 717 60 00 ext. 2125</w:t>
            </w:r>
          </w:p>
        </w:tc>
      </w:tr>
      <w:tr w:rsidR="00EB1844" w:rsidRPr="000F3CCE" w14:paraId="14D38379" w14:textId="77777777" w:rsidTr="00F32C95">
        <w:trPr>
          <w:trHeight w:val="202"/>
          <w:jc w:val="center"/>
        </w:trPr>
        <w:tc>
          <w:tcPr>
            <w:tcW w:w="2199" w:type="pct"/>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78708E75" w14:textId="77777777" w:rsidR="00EB1844" w:rsidRPr="000F3CCE" w:rsidRDefault="00EB1844" w:rsidP="00927B4B">
            <w:pPr>
              <w:shd w:val="clear" w:color="auto" w:fill="FFFFFF"/>
              <w:spacing w:before="0" w:after="0"/>
              <w:textAlignment w:val="center"/>
              <w:rPr>
                <w:rFonts w:cstheme="minorHAnsi"/>
                <w:b/>
                <w:bCs/>
                <w:sz w:val="20"/>
                <w:szCs w:val="20"/>
                <w:lang w:eastAsia="es-MX"/>
              </w:rPr>
            </w:pPr>
            <w:r w:rsidRPr="000F3CCE">
              <w:rPr>
                <w:rFonts w:cstheme="minorHAnsi"/>
                <w:b/>
                <w:bCs/>
                <w:sz w:val="20"/>
                <w:szCs w:val="20"/>
                <w:lang w:eastAsia="es-MX"/>
              </w:rPr>
              <w:t>Forma de contratación de la instancia evaluadora</w:t>
            </w:r>
          </w:p>
        </w:tc>
        <w:tc>
          <w:tcPr>
            <w:tcW w:w="2801" w:type="pct"/>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1116053C" w14:textId="77777777" w:rsidR="00EB1844" w:rsidRPr="000F3CCE" w:rsidRDefault="00EB1844" w:rsidP="00927B4B">
            <w:pPr>
              <w:shd w:val="clear" w:color="auto" w:fill="FFFFFF"/>
              <w:spacing w:before="0" w:after="0"/>
              <w:textAlignment w:val="center"/>
              <w:rPr>
                <w:rFonts w:cstheme="minorHAnsi"/>
                <w:sz w:val="20"/>
                <w:szCs w:val="20"/>
                <w:shd w:val="clear" w:color="auto" w:fill="F2F2F2"/>
                <w:lang w:val="es-ES"/>
              </w:rPr>
            </w:pPr>
            <w:r w:rsidRPr="000F3CCE">
              <w:rPr>
                <w:rFonts w:cstheme="minorHAnsi"/>
                <w:bCs/>
                <w:sz w:val="20"/>
                <w:szCs w:val="20"/>
              </w:rPr>
              <w:t xml:space="preserve">Licitación </w:t>
            </w:r>
            <w:r>
              <w:rPr>
                <w:rFonts w:cstheme="minorHAnsi"/>
                <w:bCs/>
                <w:sz w:val="20"/>
                <w:szCs w:val="20"/>
              </w:rPr>
              <w:t>Pública</w:t>
            </w:r>
          </w:p>
        </w:tc>
      </w:tr>
      <w:tr w:rsidR="00EB1844" w:rsidRPr="000F3CCE" w14:paraId="588C7A36" w14:textId="77777777" w:rsidTr="00F32C95">
        <w:trPr>
          <w:trHeight w:val="248"/>
          <w:jc w:val="center"/>
        </w:trPr>
        <w:tc>
          <w:tcPr>
            <w:tcW w:w="2199" w:type="pct"/>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11678709" w14:textId="77777777" w:rsidR="00EB1844" w:rsidRPr="000F3CCE" w:rsidRDefault="00EB1844" w:rsidP="00927B4B">
            <w:pPr>
              <w:shd w:val="clear" w:color="auto" w:fill="FFFFFF"/>
              <w:spacing w:before="0" w:after="0"/>
              <w:textAlignment w:val="center"/>
              <w:rPr>
                <w:rFonts w:cstheme="minorHAnsi"/>
                <w:b/>
                <w:bCs/>
                <w:sz w:val="20"/>
                <w:szCs w:val="20"/>
                <w:lang w:eastAsia="es-MX"/>
              </w:rPr>
            </w:pPr>
            <w:r w:rsidRPr="000F3CCE">
              <w:rPr>
                <w:rFonts w:cstheme="minorHAnsi"/>
                <w:b/>
                <w:bCs/>
                <w:sz w:val="20"/>
                <w:szCs w:val="20"/>
                <w:lang w:eastAsia="es-MX"/>
              </w:rPr>
              <w:t>Costo total de la evaluación con IVA incluido</w:t>
            </w:r>
          </w:p>
        </w:tc>
        <w:tc>
          <w:tcPr>
            <w:tcW w:w="2801" w:type="pct"/>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4BB42216" w14:textId="77777777" w:rsidR="00EB1844" w:rsidRPr="000F3CCE" w:rsidRDefault="00EB1844" w:rsidP="00927B4B">
            <w:pPr>
              <w:shd w:val="clear" w:color="auto" w:fill="FFFFFF"/>
              <w:spacing w:before="0" w:after="0"/>
              <w:textAlignment w:val="center"/>
              <w:rPr>
                <w:rFonts w:eastAsia="Times New Roman" w:cstheme="minorHAnsi"/>
                <w:sz w:val="20"/>
                <w:szCs w:val="20"/>
                <w:shd w:val="clear" w:color="auto" w:fill="F2F2F2"/>
                <w:lang w:val="es-ES" w:eastAsia="es-ES"/>
              </w:rPr>
            </w:pPr>
            <w:r w:rsidRPr="000F3CCE">
              <w:rPr>
                <w:rFonts w:cstheme="minorHAnsi"/>
                <w:bCs/>
                <w:sz w:val="20"/>
                <w:szCs w:val="20"/>
              </w:rPr>
              <w:t>$198,360.00 (Ciento noventa y ocho mil trescientos sesenta pesos 00/100 M.N</w:t>
            </w:r>
            <w:r>
              <w:rPr>
                <w:rFonts w:cstheme="minorHAnsi"/>
                <w:bCs/>
                <w:sz w:val="20"/>
                <w:szCs w:val="20"/>
              </w:rPr>
              <w:t>.</w:t>
            </w:r>
            <w:r w:rsidRPr="000F3CCE">
              <w:rPr>
                <w:rFonts w:cstheme="minorHAnsi"/>
                <w:bCs/>
                <w:sz w:val="20"/>
                <w:szCs w:val="20"/>
              </w:rPr>
              <w:t>)</w:t>
            </w:r>
            <w:r w:rsidRPr="000F3CCE">
              <w:rPr>
                <w:rFonts w:cstheme="minorHAnsi"/>
                <w:bCs/>
                <w:i/>
                <w:iCs/>
                <w:sz w:val="20"/>
                <w:szCs w:val="20"/>
              </w:rPr>
              <w:t xml:space="preserve"> </w:t>
            </w:r>
            <w:r w:rsidRPr="000F3CCE">
              <w:rPr>
                <w:rFonts w:cstheme="minorHAnsi"/>
                <w:bCs/>
                <w:sz w:val="20"/>
                <w:szCs w:val="20"/>
              </w:rPr>
              <w:t>IVA incluido</w:t>
            </w:r>
          </w:p>
        </w:tc>
      </w:tr>
      <w:tr w:rsidR="00EB1844" w:rsidRPr="000F3CCE" w14:paraId="35FDA38E" w14:textId="77777777" w:rsidTr="00F32C95">
        <w:trPr>
          <w:trHeight w:val="124"/>
          <w:jc w:val="center"/>
        </w:trPr>
        <w:tc>
          <w:tcPr>
            <w:tcW w:w="2199" w:type="pct"/>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203949C1" w14:textId="77777777" w:rsidR="00EB1844" w:rsidRPr="000F3CCE" w:rsidRDefault="00EB1844" w:rsidP="00927B4B">
            <w:pPr>
              <w:shd w:val="clear" w:color="auto" w:fill="FFFFFF"/>
              <w:spacing w:before="0" w:after="0"/>
              <w:textAlignment w:val="center"/>
              <w:rPr>
                <w:rFonts w:cstheme="minorHAnsi"/>
                <w:b/>
                <w:bCs/>
                <w:sz w:val="20"/>
                <w:szCs w:val="20"/>
                <w:lang w:eastAsia="es-MX"/>
              </w:rPr>
            </w:pPr>
            <w:r w:rsidRPr="000F3CCE">
              <w:rPr>
                <w:rFonts w:cstheme="minorHAnsi"/>
                <w:b/>
                <w:bCs/>
                <w:sz w:val="20"/>
                <w:szCs w:val="20"/>
                <w:lang w:eastAsia="es-MX"/>
              </w:rPr>
              <w:t>Fuente de financiamiento</w:t>
            </w:r>
          </w:p>
        </w:tc>
        <w:tc>
          <w:tcPr>
            <w:tcW w:w="2801" w:type="pct"/>
            <w:tcBorders>
              <w:top w:val="single" w:sz="4" w:space="0" w:color="auto"/>
              <w:left w:val="single" w:sz="4" w:space="0" w:color="auto"/>
              <w:bottom w:val="single" w:sz="4" w:space="0" w:color="auto"/>
              <w:right w:val="single" w:sz="4" w:space="0" w:color="auto"/>
            </w:tcBorders>
            <w:shd w:val="clear" w:color="auto" w:fill="auto"/>
            <w:tcMar>
              <w:top w:w="0" w:type="dxa"/>
              <w:left w:w="70" w:type="dxa"/>
              <w:bottom w:w="0" w:type="dxa"/>
              <w:right w:w="70" w:type="dxa"/>
            </w:tcMar>
            <w:vAlign w:val="center"/>
            <w:hideMark/>
          </w:tcPr>
          <w:p w14:paraId="50CF2650" w14:textId="77777777" w:rsidR="00EB1844" w:rsidRPr="000F3CCE" w:rsidRDefault="00EB1844" w:rsidP="00927B4B">
            <w:pPr>
              <w:shd w:val="clear" w:color="auto" w:fill="FFFFFF"/>
              <w:spacing w:before="0" w:after="0"/>
              <w:textAlignment w:val="center"/>
              <w:rPr>
                <w:rFonts w:cstheme="minorHAnsi"/>
                <w:bCs/>
                <w:sz w:val="20"/>
                <w:szCs w:val="20"/>
              </w:rPr>
            </w:pPr>
            <w:r w:rsidRPr="000F3CCE">
              <w:rPr>
                <w:rFonts w:cstheme="minorHAnsi"/>
                <w:bCs/>
                <w:sz w:val="20"/>
                <w:szCs w:val="20"/>
              </w:rPr>
              <w:t>Recursos Fiscales</w:t>
            </w:r>
          </w:p>
        </w:tc>
      </w:tr>
      <w:bookmarkEnd w:id="179"/>
    </w:tbl>
    <w:p w14:paraId="76E74767" w14:textId="77777777" w:rsidR="00863E40" w:rsidRDefault="00863E40" w:rsidP="006C1F50">
      <w:pPr>
        <w:spacing w:before="0" w:after="160" w:line="259" w:lineRule="auto"/>
        <w:jc w:val="left"/>
        <w:rPr>
          <w:rFonts w:ascii="Calibri" w:hAnsi="Calibri" w:cstheme="minorHAnsi"/>
        </w:rPr>
      </w:pPr>
    </w:p>
    <w:p w14:paraId="7B95BE57" w14:textId="079EEC98" w:rsidR="006C1F50" w:rsidRDefault="006C1F50" w:rsidP="006C1F50">
      <w:pPr>
        <w:spacing w:before="0" w:after="160" w:line="259" w:lineRule="auto"/>
        <w:jc w:val="left"/>
        <w:rPr>
          <w:rFonts w:ascii="Calibri" w:hAnsi="Calibri" w:cstheme="minorHAnsi"/>
        </w:rPr>
      </w:pPr>
    </w:p>
    <w:sectPr w:rsidR="006C1F50" w:rsidSect="00EB1844">
      <w:headerReference w:type="default" r:id="rId65"/>
      <w:pgSz w:w="12240" w:h="15840" w:code="1"/>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25189D" w14:textId="77777777" w:rsidR="00BC7FA4" w:rsidRDefault="00BC7FA4" w:rsidP="0026073C">
      <w:r>
        <w:separator/>
      </w:r>
    </w:p>
  </w:endnote>
  <w:endnote w:type="continuationSeparator" w:id="0">
    <w:p w14:paraId="7149065A" w14:textId="77777777" w:rsidR="00BC7FA4" w:rsidRDefault="00BC7FA4" w:rsidP="00260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Arial"/>
    <w:panose1 w:val="00000000000000000000"/>
    <w:charset w:val="00"/>
    <w:family w:val="roman"/>
    <w:notTrueType/>
    <w:pitch w:val="default"/>
    <w:sig w:usb0="00000003" w:usb1="00000000" w:usb2="00000000" w:usb3="00000000" w:csb0="00000001" w:csb1="00000000"/>
  </w:font>
  <w:font w:name="Soberana Sans Light">
    <w:altName w:val="Calibri"/>
    <w:panose1 w:val="00000000000000000000"/>
    <w:charset w:val="00"/>
    <w:family w:val="modern"/>
    <w:notTrueType/>
    <w:pitch w:val="variable"/>
    <w:sig w:usb0="800000AF" w:usb1="4000204B" w:usb2="00000000" w:usb3="00000000" w:csb0="00000001" w:csb1="00000000"/>
  </w:font>
  <w:font w:name="LiberationSans">
    <w:altName w:val="Yu Gothic"/>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ABEF89" w14:textId="77777777" w:rsidR="00BC7FA4" w:rsidRPr="0026073C" w:rsidRDefault="00BC7FA4" w:rsidP="009428F0">
    <w:pPr>
      <w:pStyle w:val="Piedepgina"/>
      <w:tabs>
        <w:tab w:val="clear" w:pos="4419"/>
        <w:tab w:val="center" w:pos="5670"/>
      </w:tabs>
      <w:spacing w:before="0"/>
      <w:jc w:val="right"/>
      <w:rPr>
        <w:b/>
      </w:rPr>
    </w:pPr>
    <w:r>
      <w:rPr>
        <w:b/>
        <w:noProof/>
        <w:lang w:eastAsia="es-MX"/>
      </w:rPr>
      <mc:AlternateContent>
        <mc:Choice Requires="wps">
          <w:drawing>
            <wp:anchor distT="0" distB="0" distL="114300" distR="114300" simplePos="0" relativeHeight="251655168" behindDoc="0" locked="0" layoutInCell="1" allowOverlap="1" wp14:anchorId="1619965D" wp14:editId="6EAA1F29">
              <wp:simplePos x="0" y="0"/>
              <wp:positionH relativeFrom="margin">
                <wp:align>right</wp:align>
              </wp:positionH>
              <wp:positionV relativeFrom="paragraph">
                <wp:posOffset>-295275</wp:posOffset>
              </wp:positionV>
              <wp:extent cx="5600700" cy="19050"/>
              <wp:effectExtent l="0" t="0" r="0" b="0"/>
              <wp:wrapNone/>
              <wp:docPr id="3"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600700" cy="19050"/>
                      </a:xfrm>
                      <a:prstGeom prst="line">
                        <a:avLst/>
                      </a:prstGeom>
                      <a:ln w="12700">
                        <a:solidFill>
                          <a:schemeClr val="accent5">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F154A4F" id="Conector recto 2" o:spid="_x0000_s1026" style="position:absolute;flip:y;z-index:25165516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89.8pt,-23.25pt" to="830.8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gMj/wEAAFsEAAAOAAAAZHJzL2Uyb0RvYy54bWysVMFy0zAQvTPDP2h0J3bCpIAnTg/plEuB&#10;DC3cVVmKNUhajaTGzt+zkhynBS4w+CB7tbtv9z2tvLkejSZH4YMC29LloqZEWA6dsoeWfnu4ffOe&#10;khCZ7ZgGK1p6EoFeb1+/2gyuESvoQXfCEwSxoRlcS/sYXVNVgffCsLAAJyw6JXjDIpr+UHWeDYhu&#10;dLWq66tqAN85D1yEgLs3xUm3GV9KweMXKYOIRLcUe4t59Xl9TGu13bDm4JnrFZ/aYP/QhWHKYtEZ&#10;6oZFRp68+g3KKO4hgIwLDqYCKRUXmQOyWda/sLnvmROZC4oT3CxT+H+w/PNx74nqWvqWEssMHtEO&#10;D4pH8MSnF1kljQYXGgzd2b1PLPlo790d8B8BfdULZzKCK2Gj9IZIrdx3HI0sDxImY1b/NKsvxkg4&#10;bq6v6vpdjYfE0bf8UK/z6VSsSTCpqvMhfhRgSPpoqVY2icMadrwLMTVyCUnb2pIBgVYJM9kBtOpu&#10;ldbZSAMmdtqTI8PRYJwLG9c5Tj+ZT9CV/XWNTxIAsfNMppRiXdDQp+2kQ6GeRYgnLUofX4VEiZFi&#10;EWEGel57OVXRFqNTmsRO58SJwZ+aPidO8SlV5MH/m+Q5I1cGG+dkoyz4ot/L6nGcK5f4swKFd5Lg&#10;EbrT3p9HBCc4KzfdtnRFnts5/fJP2P4EAAD//wMAUEsDBBQABgAIAAAAIQAJikwU3gAAAAgBAAAP&#10;AAAAZHJzL2Rvd25yZXYueG1sTI/BTsMwEETvSPyDtUjcWodCQxTiVECFOFYNHOC2jRcnIl5HsZum&#10;/XrcUznuzGj2TbGabCdGGnzrWMHdPAFBXDvdslHw+fE2y0D4gKyxc0wKjuRhVV5fFZhrd+AtjVUw&#10;Ipawz1FBE0KfS+nrhiz6ueuJo/fjBoshnoOResBDLLedXCRJKi22HD802NNrQ/VvtbcKqo1OvzeP&#10;X6d3HO3WrE9H87KulLq9mZ6fQASawiUMZ/yIDmVk2rk9ay86BXFIUDB7SJcgop1li6jszsr9EmRZ&#10;yP8Dyj8AAAD//wMAUEsBAi0AFAAGAAgAAAAhALaDOJL+AAAA4QEAABMAAAAAAAAAAAAAAAAAAAAA&#10;AFtDb250ZW50X1R5cGVzXS54bWxQSwECLQAUAAYACAAAACEAOP0h/9YAAACUAQAACwAAAAAAAAAA&#10;AAAAAAAvAQAAX3JlbHMvLnJlbHNQSwECLQAUAAYACAAAACEAbu4DI/8BAABbBAAADgAAAAAAAAAA&#10;AAAAAAAuAgAAZHJzL2Uyb0RvYy54bWxQSwECLQAUAAYACAAAACEACYpMFN4AAAAIAQAADwAAAAAA&#10;AAAAAAAAAABZBAAAZHJzL2Rvd25yZXYueG1sUEsFBgAAAAAEAAQA8wAAAGQFAAAAAA==&#10;" strokecolor="#1f3763 [1608]" strokeweight="1pt">
              <v:stroke joinstyle="miter"/>
              <o:lock v:ext="edit" shapetype="f"/>
              <w10:wrap anchorx="margin"/>
            </v:line>
          </w:pict>
        </mc:Fallback>
      </mc:AlternateContent>
    </w:r>
    <w:r>
      <w:rPr>
        <w:b/>
      </w:rPr>
      <w:tab/>
    </w:r>
    <w:sdt>
      <w:sdtPr>
        <w:rPr>
          <w:b/>
        </w:rPr>
        <w:id w:val="96985267"/>
        <w:docPartObj>
          <w:docPartGallery w:val="Page Numbers (Bottom of Page)"/>
          <w:docPartUnique/>
        </w:docPartObj>
      </w:sdtPr>
      <w:sdtEndPr/>
      <w:sdtContent>
        <w:r w:rsidRPr="0026073C">
          <w:rPr>
            <w:b/>
          </w:rPr>
          <w:fldChar w:fldCharType="begin"/>
        </w:r>
        <w:r w:rsidRPr="0026073C">
          <w:rPr>
            <w:b/>
          </w:rPr>
          <w:instrText>PAGE   \* MERGEFORMAT</w:instrText>
        </w:r>
        <w:r w:rsidRPr="0026073C">
          <w:rPr>
            <w:b/>
          </w:rPr>
          <w:fldChar w:fldCharType="separate"/>
        </w:r>
        <w:r w:rsidRPr="00A0499E">
          <w:rPr>
            <w:b/>
            <w:noProof/>
            <w:lang w:val="es-ES"/>
          </w:rPr>
          <w:t>2</w:t>
        </w:r>
        <w:r w:rsidRPr="0026073C">
          <w:rPr>
            <w:b/>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A4645B" w14:textId="69B4CAFA" w:rsidR="00BC7FA4" w:rsidRPr="0026073C" w:rsidRDefault="00BC7FA4" w:rsidP="00E271E4">
    <w:pPr>
      <w:pStyle w:val="Piedepgina"/>
      <w:pBdr>
        <w:top w:val="single" w:sz="8" w:space="1" w:color="1F3864" w:themeColor="accent5" w:themeShade="80"/>
      </w:pBdr>
      <w:tabs>
        <w:tab w:val="clear" w:pos="4419"/>
        <w:tab w:val="center" w:pos="5670"/>
      </w:tabs>
      <w:spacing w:before="0"/>
      <w:jc w:val="right"/>
      <w:rPr>
        <w:b/>
      </w:rPr>
    </w:pPr>
    <w:r>
      <w:rPr>
        <w:b/>
      </w:rPr>
      <w:tab/>
    </w:r>
    <w:sdt>
      <w:sdtPr>
        <w:rPr>
          <w:b/>
        </w:rPr>
        <w:id w:val="2017722125"/>
        <w:docPartObj>
          <w:docPartGallery w:val="Page Numbers (Bottom of Page)"/>
          <w:docPartUnique/>
        </w:docPartObj>
      </w:sdtPr>
      <w:sdtEndPr/>
      <w:sdtContent>
        <w:r w:rsidRPr="0026073C">
          <w:rPr>
            <w:b/>
          </w:rPr>
          <w:fldChar w:fldCharType="begin"/>
        </w:r>
        <w:r w:rsidRPr="0026073C">
          <w:rPr>
            <w:b/>
          </w:rPr>
          <w:instrText>PAGE   \* MERGEFORMAT</w:instrText>
        </w:r>
        <w:r w:rsidRPr="0026073C">
          <w:rPr>
            <w:b/>
          </w:rPr>
          <w:fldChar w:fldCharType="separate"/>
        </w:r>
        <w:r w:rsidRPr="00B74B08">
          <w:rPr>
            <w:b/>
            <w:noProof/>
            <w:lang w:val="es-ES"/>
          </w:rPr>
          <w:t>74</w:t>
        </w:r>
        <w:r w:rsidRPr="0026073C">
          <w:rPr>
            <w:b/>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94D446" w14:textId="77777777" w:rsidR="00BC7FA4" w:rsidRPr="0026073C" w:rsidRDefault="00BC7FA4" w:rsidP="009428F0">
    <w:pPr>
      <w:pStyle w:val="Piedepgina"/>
      <w:tabs>
        <w:tab w:val="clear" w:pos="4419"/>
        <w:tab w:val="center" w:pos="5670"/>
      </w:tabs>
      <w:spacing w:before="0"/>
      <w:jc w:val="right"/>
      <w:rPr>
        <w:b/>
      </w:rPr>
    </w:pPr>
    <w:r>
      <w:rPr>
        <w:b/>
        <w:noProof/>
        <w:lang w:eastAsia="es-MX"/>
      </w:rPr>
      <mc:AlternateContent>
        <mc:Choice Requires="wps">
          <w:drawing>
            <wp:anchor distT="4294967293" distB="4294967293" distL="114300" distR="114300" simplePos="0" relativeHeight="251692032" behindDoc="0" locked="0" layoutInCell="1" allowOverlap="1" wp14:anchorId="615E15AB" wp14:editId="71721FAE">
              <wp:simplePos x="0" y="0"/>
              <wp:positionH relativeFrom="margin">
                <wp:posOffset>-11909</wp:posOffset>
              </wp:positionH>
              <wp:positionV relativeFrom="paragraph">
                <wp:posOffset>51687</wp:posOffset>
              </wp:positionV>
              <wp:extent cx="8324490" cy="0"/>
              <wp:effectExtent l="0" t="0" r="0" b="0"/>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8324490" cy="0"/>
                      </a:xfrm>
                      <a:prstGeom prst="line">
                        <a:avLst/>
                      </a:prstGeom>
                      <a:noFill/>
                      <a:ln w="12700" cap="flat" cmpd="sng" algn="ctr">
                        <a:solidFill>
                          <a:srgbClr val="4472C4">
                            <a:lumMod val="50000"/>
                          </a:srgb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69567E39" id="Conector recto 18" o:spid="_x0000_s1026" style="position:absolute;flip:y;z-index:251692032;visibility:visible;mso-wrap-style:square;mso-width-percent:0;mso-height-percent:0;mso-wrap-distance-left:9pt;mso-wrap-distance-top:-8e-5mm;mso-wrap-distance-right:9pt;mso-wrap-distance-bottom:-8e-5mm;mso-position-horizontal:absolute;mso-position-horizontal-relative:margin;mso-position-vertical:absolute;mso-position-vertical-relative:text;mso-width-percent:0;mso-height-percent:0;mso-width-relative:margin;mso-height-relative:margin" from="-.95pt,4.05pt" to="654.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Ke5gEAALsDAAAOAAAAZHJzL2Uyb0RvYy54bWysU01v2zAMvQ/YfxB0X+xm2doZcXpI0F26&#10;LUC73RVZsoXpC6QaJ/9+lJyk2XYb5oNMidQj+fi0vD84y/YK0ATf8ptZzZnyMnTG9y3//vzw7o4z&#10;TMJ3wgavWn5UyO9Xb98sx9ioeRiC7RQwAvHYjLHlQ0qxqSqUg3ICZyEqT04dwIlEW+irDsRI6M5W&#10;87r+WI0BughBKkQ63UxOvir4WiuZvmmNKjHbcqotlRXKustrtVqKpgcRByNPZYh/qMIJ4ynpBWoj&#10;kmAvYP6CckZCwKDTTAZXBa2NVKUH6uam/qObp0FEVXohcjBeaML/Byu/7rfATEezo0l54WhGa5qU&#10;TAEY5B8jB7E0RmwoeO23kPuUB/8UH4P8ieSrfnPmDcYp7KDBMW1N/EEJCkHUMjsU/o8X/tUhMUmH&#10;d+/ni8UnGpM8+yrRZIicMQKmzyo4lo2WW+MzNaIR+0dMuYjXkHzsw4OxtozXejZS+vltnaEFqUxb&#10;kch0kfpG33MmbE/ylQkKJAZrunw9AyH0u7UFthckocXidr5elCD74r6Ebjr+UNOXWaIiTvGTfQ2U&#10;694IHKYrJcckP2cSvQFrHDGQgc5I1uf8qqj41OMrt9nahe64hfMASCEl6UnNWYLXe7Kv39zqFwAA&#10;AP//AwBQSwMEFAAGAAgAAAAhAAYMWEXcAAAABwEAAA8AAABkcnMvZG93bnJldi54bWxMj8FOwzAQ&#10;RO9I/IO1SNxaJyChNsSpKqT2wAGJlgs3N97GofY6st00/D1bLnCcndHM23o1eSdGjKkPpKCcFyCQ&#10;2mB66hR87DezBYiUNRntAqGCb0ywam5val2ZcKF3HHe5E1xCqdIKbM5DJWVqLXqd5mFAYu8YoteZ&#10;ZeykifrC5d7Jh6J4kl73xAtWD/hisT3tzl7BuO32r5/xDbfmFNujXW++BuuUur+b1s8gMk75LwxX&#10;fEaHhpkO4UwmCadgVi45qWBRgrjaj8WSfzv8HmRTy//8zQ8AAAD//wMAUEsBAi0AFAAGAAgAAAAh&#10;ALaDOJL+AAAA4QEAABMAAAAAAAAAAAAAAAAAAAAAAFtDb250ZW50X1R5cGVzXS54bWxQSwECLQAU&#10;AAYACAAAACEAOP0h/9YAAACUAQAACwAAAAAAAAAAAAAAAAAvAQAAX3JlbHMvLnJlbHNQSwECLQAU&#10;AAYACAAAACEAVv4inuYBAAC7AwAADgAAAAAAAAAAAAAAAAAuAgAAZHJzL2Uyb0RvYy54bWxQSwEC&#10;LQAUAAYACAAAACEABgxYRdwAAAAHAQAADwAAAAAAAAAAAAAAAABABAAAZHJzL2Rvd25yZXYueG1s&#10;UEsFBgAAAAAEAAQA8wAAAEkFAAAAAA==&#10;" strokecolor="#203864" strokeweight="1pt">
              <v:stroke joinstyle="miter"/>
              <o:lock v:ext="edit" shapetype="f"/>
              <w10:wrap anchorx="margin"/>
            </v:line>
          </w:pict>
        </mc:Fallback>
      </mc:AlternateContent>
    </w:r>
    <w:r>
      <w:rPr>
        <w:b/>
      </w:rPr>
      <w:tab/>
    </w:r>
    <w:sdt>
      <w:sdtPr>
        <w:rPr>
          <w:b/>
        </w:rPr>
        <w:id w:val="470104136"/>
        <w:docPartObj>
          <w:docPartGallery w:val="Page Numbers (Bottom of Page)"/>
          <w:docPartUnique/>
        </w:docPartObj>
      </w:sdtPr>
      <w:sdtEndPr/>
      <w:sdtContent>
        <w:r w:rsidRPr="0026073C">
          <w:rPr>
            <w:b/>
          </w:rPr>
          <w:fldChar w:fldCharType="begin"/>
        </w:r>
        <w:r w:rsidRPr="0026073C">
          <w:rPr>
            <w:b/>
          </w:rPr>
          <w:instrText>PAGE   \* MERGEFORMAT</w:instrText>
        </w:r>
        <w:r w:rsidRPr="0026073C">
          <w:rPr>
            <w:b/>
          </w:rPr>
          <w:fldChar w:fldCharType="separate"/>
        </w:r>
        <w:r w:rsidRPr="00B74B08">
          <w:rPr>
            <w:b/>
            <w:noProof/>
            <w:lang w:val="es-ES"/>
          </w:rPr>
          <w:t>84</w:t>
        </w:r>
        <w:r w:rsidRPr="0026073C">
          <w:rPr>
            <w:b/>
          </w:rPr>
          <w:fldChar w:fldCharType="end"/>
        </w:r>
      </w:sdtContent>
    </w:sdt>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3280D6" w14:textId="77777777" w:rsidR="00BC7FA4" w:rsidRPr="0026073C" w:rsidRDefault="00BC7FA4" w:rsidP="00F702F9">
    <w:pPr>
      <w:pStyle w:val="Piedepgina"/>
      <w:pBdr>
        <w:top w:val="single" w:sz="8" w:space="1" w:color="1F3864" w:themeColor="accent5" w:themeShade="80"/>
      </w:pBdr>
      <w:tabs>
        <w:tab w:val="clear" w:pos="4419"/>
        <w:tab w:val="center" w:pos="5670"/>
      </w:tabs>
      <w:spacing w:before="0"/>
      <w:jc w:val="right"/>
      <w:rPr>
        <w:b/>
      </w:rPr>
    </w:pPr>
    <w:r w:rsidRPr="0026073C">
      <w:rPr>
        <w:b/>
      </w:rPr>
      <w:fldChar w:fldCharType="begin"/>
    </w:r>
    <w:r w:rsidRPr="0026073C">
      <w:rPr>
        <w:b/>
      </w:rPr>
      <w:instrText>PAGE   \* MERGEFORMAT</w:instrText>
    </w:r>
    <w:r w:rsidRPr="0026073C">
      <w:rPr>
        <w:b/>
      </w:rPr>
      <w:fldChar w:fldCharType="separate"/>
    </w:r>
    <w:r w:rsidRPr="008128BC">
      <w:rPr>
        <w:b/>
        <w:noProof/>
        <w:lang w:val="es-ES"/>
      </w:rPr>
      <w:t>87</w:t>
    </w:r>
    <w:r w:rsidRPr="0026073C">
      <w:rPr>
        <w:b/>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65FD8D" w14:textId="77777777" w:rsidR="00BC7FA4" w:rsidRPr="0026073C" w:rsidRDefault="00BC7FA4" w:rsidP="00BA4D0C">
    <w:pPr>
      <w:pStyle w:val="Piedepgina"/>
      <w:pBdr>
        <w:top w:val="single" w:sz="8" w:space="1" w:color="1F3864" w:themeColor="accent5" w:themeShade="80"/>
      </w:pBdr>
      <w:tabs>
        <w:tab w:val="clear" w:pos="4419"/>
        <w:tab w:val="center" w:pos="5670"/>
      </w:tabs>
      <w:spacing w:before="0"/>
      <w:jc w:val="right"/>
      <w:rPr>
        <w:b/>
      </w:rPr>
    </w:pPr>
    <w:r w:rsidRPr="0026073C">
      <w:rPr>
        <w:b/>
      </w:rPr>
      <w:fldChar w:fldCharType="begin"/>
    </w:r>
    <w:r w:rsidRPr="0026073C">
      <w:rPr>
        <w:b/>
      </w:rPr>
      <w:instrText>PAGE   \* MERGEFORMAT</w:instrText>
    </w:r>
    <w:r w:rsidRPr="0026073C">
      <w:rPr>
        <w:b/>
      </w:rPr>
      <w:fldChar w:fldCharType="separate"/>
    </w:r>
    <w:r w:rsidRPr="00B74B08">
      <w:rPr>
        <w:b/>
        <w:noProof/>
        <w:lang w:val="es-ES"/>
      </w:rPr>
      <w:t>104</w:t>
    </w:r>
    <w:r w:rsidRPr="0026073C">
      <w:rPr>
        <w:b/>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F48215" w14:textId="77777777" w:rsidR="00BC7FA4" w:rsidRPr="0026073C" w:rsidRDefault="00BC7FA4" w:rsidP="00BA4D0C">
    <w:pPr>
      <w:pStyle w:val="Piedepgina"/>
      <w:pBdr>
        <w:top w:val="single" w:sz="8" w:space="1" w:color="1F3864" w:themeColor="accent5" w:themeShade="80"/>
      </w:pBdr>
      <w:tabs>
        <w:tab w:val="clear" w:pos="4419"/>
        <w:tab w:val="center" w:pos="5670"/>
      </w:tabs>
      <w:spacing w:before="0"/>
      <w:jc w:val="right"/>
      <w:rPr>
        <w:b/>
      </w:rPr>
    </w:pPr>
    <w:r w:rsidRPr="0026073C">
      <w:rPr>
        <w:b/>
      </w:rPr>
      <w:fldChar w:fldCharType="begin"/>
    </w:r>
    <w:r w:rsidRPr="0026073C">
      <w:rPr>
        <w:b/>
      </w:rPr>
      <w:instrText>PAGE   \* MERGEFORMAT</w:instrText>
    </w:r>
    <w:r w:rsidRPr="0026073C">
      <w:rPr>
        <w:b/>
      </w:rPr>
      <w:fldChar w:fldCharType="separate"/>
    </w:r>
    <w:r w:rsidRPr="00B74B08">
      <w:rPr>
        <w:b/>
        <w:noProof/>
        <w:lang w:val="es-ES"/>
      </w:rPr>
      <w:t>112</w:t>
    </w:r>
    <w:r w:rsidRPr="0026073C">
      <w:rPr>
        <w:b/>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2D60C4" w14:textId="77777777" w:rsidR="00BC7FA4" w:rsidRPr="0026073C" w:rsidRDefault="00BC7FA4" w:rsidP="002D495F">
    <w:pPr>
      <w:pStyle w:val="Piedepgina"/>
      <w:pBdr>
        <w:top w:val="single" w:sz="8" w:space="1" w:color="1F3864" w:themeColor="accent5" w:themeShade="80"/>
      </w:pBdr>
      <w:tabs>
        <w:tab w:val="clear" w:pos="4419"/>
        <w:tab w:val="center" w:pos="5670"/>
      </w:tabs>
      <w:spacing w:before="0"/>
      <w:jc w:val="right"/>
      <w:rPr>
        <w:b/>
      </w:rPr>
    </w:pPr>
    <w:r w:rsidRPr="0026073C">
      <w:rPr>
        <w:b/>
      </w:rPr>
      <w:fldChar w:fldCharType="begin"/>
    </w:r>
    <w:r w:rsidRPr="0026073C">
      <w:rPr>
        <w:b/>
      </w:rPr>
      <w:instrText>PAGE   \* MERGEFORMAT</w:instrText>
    </w:r>
    <w:r w:rsidRPr="0026073C">
      <w:rPr>
        <w:b/>
      </w:rPr>
      <w:fldChar w:fldCharType="separate"/>
    </w:r>
    <w:r w:rsidRPr="00B74B08">
      <w:rPr>
        <w:b/>
        <w:noProof/>
        <w:lang w:val="es-ES"/>
      </w:rPr>
      <w:t>115</w:t>
    </w:r>
    <w:r w:rsidRPr="0026073C">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45EA57" w14:textId="77777777" w:rsidR="00BC7FA4" w:rsidRDefault="00BC7FA4" w:rsidP="0026073C">
      <w:bookmarkStart w:id="0" w:name="_Hlk35605700"/>
      <w:bookmarkEnd w:id="0"/>
      <w:r>
        <w:separator/>
      </w:r>
    </w:p>
  </w:footnote>
  <w:footnote w:type="continuationSeparator" w:id="0">
    <w:p w14:paraId="5131CB5B" w14:textId="77777777" w:rsidR="00BC7FA4" w:rsidRDefault="00BC7FA4" w:rsidP="0026073C">
      <w:r>
        <w:continuationSeparator/>
      </w:r>
    </w:p>
  </w:footnote>
  <w:footnote w:id="1">
    <w:p w14:paraId="3B6EF9C9" w14:textId="77777777" w:rsidR="00BC7FA4" w:rsidRPr="0051546D" w:rsidRDefault="00BC7FA4" w:rsidP="0051546D">
      <w:pPr>
        <w:spacing w:before="0" w:after="0"/>
        <w:rPr>
          <w:sz w:val="18"/>
          <w:szCs w:val="18"/>
        </w:rPr>
      </w:pPr>
      <w:r w:rsidRPr="000000E9">
        <w:rPr>
          <w:vertAlign w:val="superscript"/>
        </w:rPr>
        <w:footnoteRef/>
      </w:r>
      <w:r w:rsidRPr="0051546D">
        <w:rPr>
          <w:sz w:val="18"/>
          <w:szCs w:val="18"/>
        </w:rPr>
        <w:t>Manual para la construcción de indicadores de Desempeño, disponible en:</w:t>
      </w:r>
    </w:p>
    <w:p w14:paraId="2B715F66" w14:textId="080E6111" w:rsidR="00BC7FA4" w:rsidRPr="008A2C84" w:rsidRDefault="00552215" w:rsidP="0051546D">
      <w:pPr>
        <w:spacing w:before="0" w:after="0"/>
      </w:pPr>
      <w:hyperlink r:id="rId1" w:history="1">
        <w:r w:rsidR="00BC7FA4" w:rsidRPr="0051546D">
          <w:rPr>
            <w:rFonts w:eastAsia="Calibri" w:cs="Calibri"/>
            <w:color w:val="0563C1"/>
            <w:sz w:val="18"/>
            <w:szCs w:val="18"/>
            <w:u w:val="single"/>
          </w:rPr>
          <w:t>https://s-finanzas.hidalgo.gob.mx/descargables/uted/Manual_Construccion_Indicadores.pdf</w:t>
        </w:r>
      </w:hyperlink>
      <w:r w:rsidR="00BC7FA4">
        <w:rPr>
          <w:rFonts w:ascii="Calibri" w:hAnsi="Calibri"/>
          <w:sz w:val="18"/>
          <w:szCs w:val="18"/>
        </w:rPr>
        <w:t xml:space="preserve"> </w:t>
      </w:r>
    </w:p>
  </w:footnote>
  <w:footnote w:id="2">
    <w:p w14:paraId="21C3CBEC" w14:textId="77777777" w:rsidR="00BC7FA4" w:rsidRPr="00617F25" w:rsidRDefault="00BC7FA4" w:rsidP="009F7329">
      <w:pPr>
        <w:pStyle w:val="Textonotapie"/>
        <w:rPr>
          <w:szCs w:val="18"/>
        </w:rPr>
      </w:pPr>
      <w:r w:rsidRPr="00617F25">
        <w:rPr>
          <w:rStyle w:val="Refdenotaalpie"/>
          <w:szCs w:val="18"/>
        </w:rPr>
        <w:footnoteRef/>
      </w:r>
      <w:r w:rsidRPr="00617F25">
        <w:rPr>
          <w:szCs w:val="18"/>
        </w:rPr>
        <w:t xml:space="preserve"> Artículo 46 de la LCF.</w:t>
      </w:r>
    </w:p>
  </w:footnote>
  <w:footnote w:id="3">
    <w:p w14:paraId="6F72F1C7" w14:textId="77777777" w:rsidR="00BC7FA4" w:rsidRDefault="00BC7FA4" w:rsidP="009F7329">
      <w:pPr>
        <w:pStyle w:val="Textonotapie"/>
      </w:pPr>
      <w:r>
        <w:rPr>
          <w:rStyle w:val="Refdenotaalpie"/>
        </w:rPr>
        <w:footnoteRef/>
      </w:r>
      <w:r>
        <w:t xml:space="preserve"> </w:t>
      </w:r>
      <w:r w:rsidRPr="00816154">
        <w:rPr>
          <w:rFonts w:cstheme="minorHAnsi"/>
          <w:szCs w:val="18"/>
        </w:rPr>
        <w:t xml:space="preserve">De acuerdo con lo establecido en los </w:t>
      </w:r>
      <w:r w:rsidRPr="00816154">
        <w:rPr>
          <w:rFonts w:cs="Times New Roman"/>
          <w:i/>
          <w:szCs w:val="18"/>
        </w:rPr>
        <w:t>Lineamientos para informar sobre los recursos federales transferidos a las entidades federativas, municipios y demarcaciones territoriales del Distrito Federal, y de operación de los recursos del Ramo General 33</w:t>
      </w:r>
      <w:r w:rsidRPr="00816154">
        <w:rPr>
          <w:rFonts w:cstheme="minorHAnsi"/>
          <w:szCs w:val="18"/>
        </w:rPr>
        <w:t>.</w:t>
      </w:r>
    </w:p>
  </w:footnote>
  <w:footnote w:id="4">
    <w:p w14:paraId="5A161F47" w14:textId="77777777" w:rsidR="00BC7FA4" w:rsidRDefault="00BC7FA4" w:rsidP="009F7329">
      <w:pPr>
        <w:pStyle w:val="Textonotapie"/>
      </w:pPr>
      <w:r>
        <w:rPr>
          <w:rStyle w:val="Refdenotaalpie"/>
        </w:rPr>
        <w:footnoteRef/>
      </w:r>
      <w:r>
        <w:t xml:space="preserve"> </w:t>
      </w:r>
      <w:r>
        <w:rPr>
          <w:szCs w:val="18"/>
        </w:rPr>
        <w:t>Ley de Coordinación Fiscal. Última Reforma DOF 30-01-2018.</w:t>
      </w:r>
      <w:hyperlink r:id="rId2" w:history="1">
        <w:r w:rsidRPr="00DF448B">
          <w:rPr>
            <w:rStyle w:val="Hipervnculo"/>
            <w:szCs w:val="18"/>
          </w:rPr>
          <w:t>http://www.diputados.gob.mx/LeyesBiblio/pdf/31_300118.pdf</w:t>
        </w:r>
      </w:hyperlink>
    </w:p>
  </w:footnote>
  <w:footnote w:id="5">
    <w:p w14:paraId="51F4CAEF" w14:textId="77777777" w:rsidR="00BC7FA4" w:rsidRPr="005A4800" w:rsidRDefault="00BC7FA4" w:rsidP="00337C60">
      <w:pPr>
        <w:pStyle w:val="Textonotapie"/>
        <w:rPr>
          <w:rStyle w:val="Refdenotaalpie"/>
        </w:rPr>
      </w:pPr>
      <w:r w:rsidRPr="005A4800">
        <w:rPr>
          <w:rStyle w:val="Refdenotaalpie"/>
        </w:rPr>
        <w:footnoteRef/>
      </w:r>
      <w:r w:rsidRPr="005A4800">
        <w:rPr>
          <w:rStyle w:val="Refdenotaalpie"/>
        </w:rPr>
        <w:t xml:space="preserve"> </w:t>
      </w:r>
      <w:r w:rsidRPr="005A4800">
        <w:rPr>
          <w:rStyle w:val="Referenciasutil"/>
        </w:rPr>
        <w:t>Artículo 47 de la Ley de Coordinación Fiscal.</w:t>
      </w:r>
    </w:p>
  </w:footnote>
  <w:footnote w:id="6">
    <w:p w14:paraId="37569418" w14:textId="635DD421" w:rsidR="00BC7FA4" w:rsidRDefault="00BC7FA4" w:rsidP="004028FC">
      <w:pPr>
        <w:pStyle w:val="Textonotapie"/>
      </w:pPr>
      <w:r>
        <w:rPr>
          <w:rStyle w:val="Refdenotaalpie"/>
        </w:rPr>
        <w:footnoteRef/>
      </w:r>
      <w:r>
        <w:t xml:space="preserve"> </w:t>
      </w:r>
      <w:r w:rsidRPr="004028FC">
        <w:t>Matrices de Indicadores 2018</w:t>
      </w:r>
      <w:r>
        <w:t xml:space="preserve">: </w:t>
      </w:r>
      <w:hyperlink r:id="rId3" w:history="1">
        <w:r w:rsidRPr="0075225D">
          <w:rPr>
            <w:rStyle w:val="Hipervnculo"/>
          </w:rPr>
          <w:t>https://s-finanzas.hidalgo.gob.mx/presupuesto/matricesIndicadores2018.html</w:t>
        </w:r>
      </w:hyperlink>
      <w:r>
        <w:t xml:space="preserve"> </w:t>
      </w:r>
    </w:p>
  </w:footnote>
  <w:footnote w:id="7">
    <w:p w14:paraId="441E3438" w14:textId="240AAB32" w:rsidR="00BC7FA4" w:rsidRPr="00BF5E9B" w:rsidRDefault="00BC7FA4" w:rsidP="004447F6">
      <w:pPr>
        <w:pStyle w:val="Ttulo1"/>
        <w:shd w:val="clear" w:color="auto" w:fill="FFFFFF"/>
        <w:spacing w:after="0"/>
        <w:jc w:val="both"/>
        <w:rPr>
          <w:rStyle w:val="Referenciasutil"/>
          <w:b w:val="0"/>
          <w:bCs/>
        </w:rPr>
      </w:pPr>
      <w:r w:rsidRPr="005A4800">
        <w:rPr>
          <w:rStyle w:val="Referenciasutil"/>
          <w:b w:val="0"/>
          <w:bCs/>
          <w:vertAlign w:val="superscript"/>
        </w:rPr>
        <w:footnoteRef/>
      </w:r>
      <w:r w:rsidRPr="005A4800">
        <w:rPr>
          <w:rStyle w:val="Referenciasutil"/>
          <w:b w:val="0"/>
          <w:bCs/>
          <w:vertAlign w:val="superscript"/>
        </w:rPr>
        <w:t xml:space="preserve"> </w:t>
      </w:r>
      <w:r w:rsidRPr="00BF5E9B">
        <w:rPr>
          <w:rStyle w:val="Referenciasutil"/>
          <w:b w:val="0"/>
          <w:bCs/>
        </w:rPr>
        <w:t>ACUERDO por el que se da a conocer a los gobiernos de las entidades federativas la distribución y calendarización para la ministración durante el ejercicio fiscal 20</w:t>
      </w:r>
      <w:r>
        <w:rPr>
          <w:rStyle w:val="Referenciasutil"/>
          <w:b w:val="0"/>
          <w:bCs/>
        </w:rPr>
        <w:t>18</w:t>
      </w:r>
      <w:r w:rsidRPr="00BF5E9B">
        <w:rPr>
          <w:rStyle w:val="Referenciasutil"/>
          <w:b w:val="0"/>
          <w:bCs/>
        </w:rPr>
        <w:t>, de los recursos correspondientes a los Ramos Generales 28 Participaciones a Entidades Federativas y Municipios, y 33 Aportaciones Federales para Entidades Federativas y Municipios.</w:t>
      </w:r>
    </w:p>
    <w:p w14:paraId="55C62BC6" w14:textId="77777777" w:rsidR="00BC7FA4" w:rsidRPr="005A4800" w:rsidRDefault="00BC7FA4" w:rsidP="004447F6">
      <w:pPr>
        <w:pStyle w:val="Textonotapie"/>
        <w:rPr>
          <w:vertAlign w:val="superscript"/>
        </w:rPr>
      </w:pPr>
    </w:p>
  </w:footnote>
  <w:footnote w:id="8">
    <w:p w14:paraId="2E8A2632" w14:textId="3078FCEC" w:rsidR="00BC7FA4" w:rsidRPr="00BF5E9B" w:rsidRDefault="00BC7FA4" w:rsidP="004447F6">
      <w:pPr>
        <w:pStyle w:val="Textonotapie"/>
        <w:rPr>
          <w:rStyle w:val="Referenciasutil"/>
        </w:rPr>
      </w:pPr>
      <w:r w:rsidRPr="005A4800">
        <w:rPr>
          <w:rStyle w:val="Referenciasutil"/>
          <w:vertAlign w:val="superscript"/>
        </w:rPr>
        <w:footnoteRef/>
      </w:r>
      <w:r w:rsidRPr="00BF5E9B">
        <w:rPr>
          <w:rStyle w:val="Referenciasutil"/>
        </w:rPr>
        <w:t xml:space="preserve"> </w:t>
      </w:r>
      <w:r>
        <w:rPr>
          <w:rStyle w:val="Referenciasutil"/>
        </w:rPr>
        <w:t>Ibídem</w:t>
      </w:r>
      <w:r w:rsidRPr="00BF5E9B">
        <w:rPr>
          <w:rStyle w:val="Referenciasutil"/>
        </w:rPr>
        <w:t>.</w:t>
      </w:r>
      <w:r>
        <w:rPr>
          <w:rStyle w:val="Referenciasutil"/>
        </w:rPr>
        <w:t xml:space="preserve"> Para los ejercicios 2014-2020.</w:t>
      </w:r>
    </w:p>
  </w:footnote>
  <w:footnote w:id="9">
    <w:p w14:paraId="6F1D9307" w14:textId="2D82A173" w:rsidR="00BC7FA4" w:rsidRDefault="00BC7FA4">
      <w:pPr>
        <w:pStyle w:val="Textonotapie"/>
      </w:pPr>
    </w:p>
  </w:footnote>
  <w:footnote w:id="10">
    <w:p w14:paraId="1FB3E6C6" w14:textId="0BC1F3FA" w:rsidR="00BC7FA4" w:rsidRDefault="00BC7FA4" w:rsidP="00104F90">
      <w:pPr>
        <w:pStyle w:val="Textonotapie"/>
      </w:pPr>
      <w:r>
        <w:rPr>
          <w:rStyle w:val="Refdenotaalpie"/>
        </w:rPr>
        <w:footnoteRef/>
      </w:r>
      <w:r>
        <w:t xml:space="preserve"> </w:t>
      </w:r>
      <w:bookmarkStart w:id="24" w:name="_Hlk54265378"/>
      <w:r w:rsidRPr="002618B9">
        <w:rPr>
          <w:rStyle w:val="Referenciasutil"/>
        </w:rPr>
        <w:t xml:space="preserve">Secretaría de Finanzas </w:t>
      </w:r>
      <w:r>
        <w:rPr>
          <w:rStyle w:val="Referenciasutil"/>
        </w:rPr>
        <w:t>Públicas</w:t>
      </w:r>
      <w:r w:rsidRPr="002618B9">
        <w:rPr>
          <w:rStyle w:val="Referenciasutil"/>
        </w:rPr>
        <w:t>. Evaluación específica de desempeño del Fondo de Aportaciones para el Fortalecimiento de las Entidades Federativas (FAFEF). Ramo General 33. Ejercicio</w:t>
      </w:r>
      <w:r>
        <w:rPr>
          <w:rStyle w:val="Referenciasutil"/>
        </w:rPr>
        <w:t>s</w:t>
      </w:r>
      <w:r w:rsidRPr="002618B9">
        <w:rPr>
          <w:rStyle w:val="Referenciasutil"/>
        </w:rPr>
        <w:t xml:space="preserve"> Fiscal</w:t>
      </w:r>
      <w:r>
        <w:rPr>
          <w:rStyle w:val="Referenciasutil"/>
        </w:rPr>
        <w:t>es</w:t>
      </w:r>
      <w:r w:rsidRPr="002618B9">
        <w:rPr>
          <w:rStyle w:val="Referenciasutil"/>
        </w:rPr>
        <w:t xml:space="preserve"> </w:t>
      </w:r>
      <w:r>
        <w:rPr>
          <w:rStyle w:val="Referenciasutil"/>
        </w:rPr>
        <w:t xml:space="preserve">2014, 2015 y </w:t>
      </w:r>
      <w:r w:rsidRPr="002618B9">
        <w:rPr>
          <w:rStyle w:val="Referenciasutil"/>
        </w:rPr>
        <w:t>201</w:t>
      </w:r>
      <w:r>
        <w:rPr>
          <w:rStyle w:val="Referenciasutil"/>
        </w:rPr>
        <w:t>8</w:t>
      </w:r>
      <w:r w:rsidRPr="002618B9">
        <w:rPr>
          <w:rStyle w:val="Referenciasutil"/>
        </w:rPr>
        <w:t>.</w:t>
      </w:r>
    </w:p>
    <w:bookmarkEnd w:id="24"/>
  </w:footnote>
  <w:footnote w:id="11">
    <w:p w14:paraId="23A4EC90" w14:textId="4F382391" w:rsidR="00BC7FA4" w:rsidRDefault="00BC7FA4" w:rsidP="00FB38B8">
      <w:pPr>
        <w:pStyle w:val="Textonotapie"/>
        <w:jc w:val="left"/>
      </w:pPr>
      <w:r>
        <w:rPr>
          <w:rStyle w:val="Refdenotaalpie"/>
        </w:rPr>
        <w:footnoteRef/>
      </w:r>
      <w:r>
        <w:t xml:space="preserve"> </w:t>
      </w:r>
      <w:bookmarkStart w:id="26" w:name="_Hlk54265655"/>
      <w:r>
        <w:t xml:space="preserve">Aspectos a considerar para la elaboración del diagnóstico, disponible en: </w:t>
      </w:r>
      <w:hyperlink r:id="rId4" w:history="1">
        <w:r w:rsidRPr="00271E20">
          <w:rPr>
            <w:rStyle w:val="Hipervnculo"/>
          </w:rPr>
          <w:t>https://www.gob.mx/cms/uploads/attachment/file/541072/Oficio_No._419-A-19-0788_VQZ.SE.164.19.pdf</w:t>
        </w:r>
      </w:hyperlink>
      <w:bookmarkEnd w:id="26"/>
      <w:r>
        <w:t xml:space="preserve"> </w:t>
      </w:r>
    </w:p>
  </w:footnote>
  <w:footnote w:id="12">
    <w:p w14:paraId="1D8B86A4" w14:textId="1F27CEE4" w:rsidR="00BC7FA4" w:rsidRDefault="00BC7FA4" w:rsidP="005977CB">
      <w:pPr>
        <w:pStyle w:val="Textonotapie"/>
      </w:pPr>
      <w:r>
        <w:rPr>
          <w:rStyle w:val="Refdenotaalpie"/>
        </w:rPr>
        <w:footnoteRef/>
      </w:r>
      <w:r>
        <w:t xml:space="preserve"> </w:t>
      </w:r>
      <w:hyperlink r:id="rId5" w:history="1">
        <w:r w:rsidRPr="00271E20">
          <w:rPr>
            <w:rStyle w:val="Hipervnculo"/>
          </w:rPr>
          <w:t>https://s-finanzas.hidalgo.gob.mx/servicios/informacinFinancieraSRFT.html</w:t>
        </w:r>
      </w:hyperlink>
      <w:r>
        <w:t xml:space="preserve"> </w:t>
      </w:r>
    </w:p>
  </w:footnote>
  <w:footnote w:id="13">
    <w:p w14:paraId="3339ED9F" w14:textId="7A9481E2" w:rsidR="00BC7FA4" w:rsidRPr="00106D47" w:rsidRDefault="00BC7FA4" w:rsidP="009A1A69">
      <w:pPr>
        <w:pStyle w:val="Textonotapie"/>
        <w:rPr>
          <w:rStyle w:val="Referenciasutil1"/>
        </w:rPr>
      </w:pPr>
      <w:r w:rsidRPr="00106D47">
        <w:rPr>
          <w:rStyle w:val="Referenciasutil1"/>
          <w:vertAlign w:val="superscript"/>
        </w:rPr>
        <w:footnoteRef/>
      </w:r>
      <w:r w:rsidRPr="00106D47">
        <w:rPr>
          <w:rStyle w:val="Referenciasutil1"/>
        </w:rPr>
        <w:t xml:space="preserve"> </w:t>
      </w:r>
      <w:r>
        <w:rPr>
          <w:rStyle w:val="Referenciasutil1"/>
        </w:rPr>
        <w:t xml:space="preserve">Lineamientos. </w:t>
      </w:r>
      <w:r w:rsidRPr="00106D47">
        <w:rPr>
          <w:rStyle w:val="Referenciasutil1"/>
        </w:rPr>
        <w:t xml:space="preserve">Diario Oficial de la Federación. 25 de abril del 2013. </w:t>
      </w:r>
    </w:p>
  </w:footnote>
  <w:footnote w:id="14">
    <w:p w14:paraId="2DE08037" w14:textId="1989AA7D" w:rsidR="00BC7FA4" w:rsidRDefault="00BC7FA4">
      <w:pPr>
        <w:pStyle w:val="Textonotapie"/>
      </w:pPr>
      <w:r>
        <w:rPr>
          <w:rStyle w:val="Refdenotaalpie"/>
        </w:rPr>
        <w:footnoteRef/>
      </w:r>
      <w:r>
        <w:t xml:space="preserve">  </w:t>
      </w:r>
      <w:r w:rsidRPr="00411A64">
        <w:t xml:space="preserve">(Para su consulta en el apartado “Monitoreo/2018” de la siguiente liga: </w:t>
      </w:r>
      <w:hyperlink r:id="rId6" w:history="1">
        <w:r w:rsidRPr="00271E20">
          <w:rPr>
            <w:rStyle w:val="Hipervnculo"/>
          </w:rPr>
          <w:t>http://s─finanzas.hidalgo.gob.mx/pag/presupuestoBasadoResultados.html</w:t>
        </w:r>
      </w:hyperlink>
      <w:r w:rsidRPr="00411A64">
        <w:t>)</w:t>
      </w:r>
      <w:r>
        <w:t xml:space="preserve"> </w:t>
      </w:r>
    </w:p>
  </w:footnote>
  <w:footnote w:id="15">
    <w:p w14:paraId="5200256C" w14:textId="77777777" w:rsidR="00BC7FA4" w:rsidRDefault="00BC7FA4" w:rsidP="00D8792E">
      <w:pPr>
        <w:pStyle w:val="Textonotapie"/>
        <w:rPr>
          <w:rStyle w:val="Referenciasutil"/>
        </w:rPr>
      </w:pPr>
      <w:r w:rsidRPr="008A2C84">
        <w:rPr>
          <w:rStyle w:val="Referenciasutil"/>
        </w:rPr>
        <w:footnoteRef/>
      </w:r>
      <w:bookmarkStart w:id="32" w:name="_Hlk54265848"/>
      <w:r>
        <w:rPr>
          <w:rStyle w:val="Referenciasutil"/>
        </w:rPr>
        <w:t>Manual para la construcción de indicadores de Desempeño, disponible en:</w:t>
      </w:r>
    </w:p>
    <w:p w14:paraId="6AA87979" w14:textId="77777777" w:rsidR="00BC7FA4" w:rsidRPr="008A2C84" w:rsidRDefault="00552215" w:rsidP="00D8792E">
      <w:pPr>
        <w:pStyle w:val="Textonotapie"/>
        <w:rPr>
          <w:rStyle w:val="Referenciasutil"/>
        </w:rPr>
      </w:pPr>
      <w:hyperlink r:id="rId7" w:history="1">
        <w:r w:rsidR="00BC7FA4" w:rsidRPr="00271E20">
          <w:rPr>
            <w:rStyle w:val="Hipervnculo"/>
            <w:rFonts w:ascii="Calibri" w:hAnsi="Calibri"/>
          </w:rPr>
          <w:t>https://s-finanzas.hidalgo.gob.mx/descargables/uted/Manual_Construccion_Indicadores.pdf</w:t>
        </w:r>
      </w:hyperlink>
      <w:r w:rsidR="00BC7FA4">
        <w:rPr>
          <w:rStyle w:val="Referenciasutil"/>
        </w:rPr>
        <w:t xml:space="preserve"> </w:t>
      </w:r>
      <w:bookmarkEnd w:id="32"/>
    </w:p>
  </w:footnote>
  <w:footnote w:id="16">
    <w:p w14:paraId="4DF675A4" w14:textId="17E84A7B" w:rsidR="00BC7FA4" w:rsidRDefault="00BC7FA4">
      <w:pPr>
        <w:pStyle w:val="Textonotapie"/>
      </w:pPr>
      <w:r>
        <w:rPr>
          <w:rStyle w:val="Refdenotaalpie"/>
        </w:rPr>
        <w:footnoteRef/>
      </w:r>
      <w:r>
        <w:t xml:space="preserve"> Guía para el ingreso y reporte de metas de indicadores de desempeño, disponible en: </w:t>
      </w:r>
      <w:hyperlink r:id="rId8" w:history="1">
        <w:r w:rsidRPr="0075225D">
          <w:rPr>
            <w:rStyle w:val="Hipervnculo"/>
          </w:rPr>
          <w:t>https://s-finanzas.hidalgo.gob.mx/descargables/uted/2019/matrices/GUIA%20PARA%20EL%20INGRESO%20DE%20METAS%20DE%20INDICADORES%20DE%20DESEMPE%C3%91O%20Y%20REPORTE%20DE%20AVANCE%202019.pdf</w:t>
        </w:r>
      </w:hyperlink>
    </w:p>
    <w:p w14:paraId="28DE47B8" w14:textId="77777777" w:rsidR="00BC7FA4" w:rsidRDefault="00BC7FA4">
      <w:pPr>
        <w:pStyle w:val="Textonotapie"/>
      </w:pPr>
    </w:p>
  </w:footnote>
  <w:footnote w:id="17">
    <w:p w14:paraId="633556CF" w14:textId="397216E7" w:rsidR="00BC7FA4" w:rsidRDefault="00BC7FA4" w:rsidP="00CA65A5">
      <w:pPr>
        <w:pStyle w:val="Textonotapie"/>
        <w:jc w:val="left"/>
      </w:pPr>
      <w:r>
        <w:rPr>
          <w:rStyle w:val="Refdenotaalpie"/>
        </w:rPr>
        <w:footnoteRef/>
      </w:r>
      <w:r>
        <w:t xml:space="preserve"> Aspectos a considerar para la elaboración del diagnóstico, disponible en: </w:t>
      </w:r>
      <w:hyperlink r:id="rId9" w:history="1">
        <w:r w:rsidRPr="0031153E">
          <w:rPr>
            <w:rStyle w:val="Hipervnculo"/>
          </w:rPr>
          <w:t>https://www.gob.mx/cms/uploads/attachment/file/541072/Oficio_No._419-A-19-0788_VQZ.SE.164.19.pdf</w:t>
        </w:r>
      </w:hyperlink>
      <w:r>
        <w:t>.</w:t>
      </w:r>
    </w:p>
    <w:p w14:paraId="3A0207B7" w14:textId="10503279" w:rsidR="00BC7FA4" w:rsidRDefault="00BC7FA4" w:rsidP="00927662">
      <w:pPr>
        <w:pStyle w:val="Textonotapie"/>
      </w:pPr>
    </w:p>
  </w:footnote>
  <w:footnote w:id="18">
    <w:p w14:paraId="6CFD4535" w14:textId="25D31B77" w:rsidR="00BC7FA4" w:rsidRDefault="00BC7FA4" w:rsidP="003457C5">
      <w:pPr>
        <w:pStyle w:val="Textonotapie"/>
        <w:jc w:val="left"/>
      </w:pPr>
      <w:r>
        <w:rPr>
          <w:rStyle w:val="Refdenotaalpie"/>
        </w:rPr>
        <w:footnoteRef/>
      </w:r>
      <w:r>
        <w:t xml:space="preserve"> POA de la Secretaría de Obras Públicas y Ordenamiento Territorial  2018:  </w:t>
      </w:r>
      <w:hyperlink r:id="rId10" w:history="1">
        <w:r w:rsidRPr="00DE3F69">
          <w:rPr>
            <w:rStyle w:val="Hipervnculo"/>
          </w:rPr>
          <w:t>http://transparencia.hidalgo.gob.mx/descargables/dependencias/obrasp/48%20Fracciones/4%20POA/2018/f2_POA%202018.pdf</w:t>
        </w:r>
      </w:hyperlink>
      <w:r>
        <w:t xml:space="preserve"> </w:t>
      </w:r>
    </w:p>
  </w:footnote>
  <w:footnote w:id="19">
    <w:p w14:paraId="0C5FFF08" w14:textId="320176B3" w:rsidR="00BC7FA4" w:rsidRDefault="00BC7FA4">
      <w:pPr>
        <w:pStyle w:val="Textonotapie"/>
      </w:pPr>
      <w:r>
        <w:rPr>
          <w:rStyle w:val="Refdenotaalpie"/>
        </w:rPr>
        <w:footnoteRef/>
      </w:r>
      <w:r>
        <w:t xml:space="preserve"> Manual de Normas y Lineamientos para el Ejercicio de los Recursos del Programa de Inversión 2018:  </w:t>
      </w:r>
      <w:hyperlink r:id="rId11" w:history="1">
        <w:r w:rsidRPr="0075225D">
          <w:rPr>
            <w:rStyle w:val="Hipervnculo"/>
          </w:rPr>
          <w:t>https://s-finanzas.hidalgo.gob.mx/descargables/2018/Ejercicio%20del%20Ppto%202018/Manual%20de%20Normas%20y%20Lineamientos%20para%20el%20Ejercicio%20de%20los%20Recursos%20del%20Programa%20de%20Inversion%202018.pdf</w:t>
        </w:r>
      </w:hyperlink>
    </w:p>
  </w:footnote>
  <w:footnote w:id="20">
    <w:p w14:paraId="46DDACC1" w14:textId="0986CADE" w:rsidR="00BC7FA4" w:rsidRDefault="00BC7FA4">
      <w:pPr>
        <w:pStyle w:val="Textonotapie"/>
      </w:pPr>
      <w:r>
        <w:rPr>
          <w:rStyle w:val="Refdenotaalpie"/>
        </w:rPr>
        <w:footnoteRef/>
      </w:r>
      <w:r>
        <w:t xml:space="preserve"> </w:t>
      </w:r>
      <w:bookmarkStart w:id="64" w:name="_Hlk54266028"/>
      <w:r>
        <w:t>Decreto número 90.- Que autoriza en todas y cada una de sus partes del Presupuesto de Egresos del Estado de Hidalgo</w:t>
      </w:r>
      <w:bookmarkEnd w:id="64"/>
      <w:r>
        <w:t>.</w:t>
      </w:r>
    </w:p>
    <w:bookmarkStart w:id="65" w:name="_Hlk54266054"/>
    <w:p w14:paraId="42C5DBA4" w14:textId="5FFF634F" w:rsidR="00BC7FA4" w:rsidRDefault="00BC7FA4">
      <w:pPr>
        <w:pStyle w:val="Textonotapie"/>
      </w:pPr>
      <w:r>
        <w:fldChar w:fldCharType="begin"/>
      </w:r>
      <w:r>
        <w:instrText xml:space="preserve"> HYPERLINK "</w:instrText>
      </w:r>
      <w:r w:rsidRPr="00975DD8">
        <w:instrText>http://h-periodico.hidalgo.gob.mx/pod/services/visualiza.php?doc=2018_dic_31_alc0_53&amp;format=pdf&amp;subfolder=&amp;page=[*,0</w:instrText>
      </w:r>
      <w:r>
        <w:instrText xml:space="preserve">" </w:instrText>
      </w:r>
      <w:r>
        <w:fldChar w:fldCharType="separate"/>
      </w:r>
      <w:r w:rsidRPr="00271E20">
        <w:rPr>
          <w:rStyle w:val="Hipervnculo"/>
        </w:rPr>
        <w:t>http://h-periodico.hidalgo.gob.mx/pod/services/visualiza.php?doc=2018_dic_31_alc0_53&amp;format=pdf&amp;subfolder=&amp;page=[*,0</w:t>
      </w:r>
      <w:r>
        <w:fldChar w:fldCharType="end"/>
      </w:r>
      <w:r w:rsidRPr="00975DD8">
        <w:t>]</w:t>
      </w:r>
      <w:bookmarkEnd w:id="65"/>
      <w:r>
        <w:t xml:space="preserve"> </w:t>
      </w:r>
    </w:p>
  </w:footnote>
  <w:footnote w:id="21">
    <w:p w14:paraId="757EF1A4" w14:textId="3D0CFC33" w:rsidR="00BC7FA4" w:rsidRDefault="00BC7FA4">
      <w:pPr>
        <w:pStyle w:val="Textonotapie"/>
      </w:pPr>
      <w:r>
        <w:rPr>
          <w:rStyle w:val="Refdenotaalpie"/>
        </w:rPr>
        <w:footnoteRef/>
      </w:r>
      <w:bookmarkStart w:id="66" w:name="_Hlk56328637"/>
      <w:r>
        <w:t xml:space="preserve">Manual de Normas y Lineamientos para el Ejercicio de los Recursos del Programa de Inversión 2018:  </w:t>
      </w:r>
      <w:hyperlink r:id="rId12" w:history="1">
        <w:r w:rsidRPr="0075225D">
          <w:rPr>
            <w:rStyle w:val="Hipervnculo"/>
          </w:rPr>
          <w:t>https://s-finanzas.hidalgo.gob.mx/descargables/2018/Ejercicio%20del%20Ppto%202018/Manual%20de%20Normas%20y%20Lineamientos%20para%20el%20Ejercicio%20de%20los%20Recursos%20del%20Programa%20de%20Inversion%202018.pdf</w:t>
        </w:r>
      </w:hyperlink>
    </w:p>
    <w:p w14:paraId="02C0A613" w14:textId="77777777" w:rsidR="00BC7FA4" w:rsidRDefault="00BC7FA4">
      <w:pPr>
        <w:pStyle w:val="Textonotapie"/>
      </w:pPr>
    </w:p>
    <w:bookmarkEnd w:id="66"/>
  </w:footnote>
  <w:footnote w:id="22">
    <w:p w14:paraId="6B2A31D2" w14:textId="77777777" w:rsidR="00BC7FA4" w:rsidRDefault="00BC7FA4">
      <w:pPr>
        <w:pStyle w:val="Textonotapie"/>
      </w:pPr>
      <w:r>
        <w:rPr>
          <w:rStyle w:val="Refdenotaalpie"/>
        </w:rPr>
        <w:footnoteRef/>
      </w:r>
      <w:r>
        <w:t xml:space="preserve"> </w:t>
      </w:r>
      <w:bookmarkStart w:id="68" w:name="_Hlk54266184"/>
      <w:r>
        <w:t>Ley de Deuda Pública para el Estado de Hidalgo.</w:t>
      </w:r>
      <w:bookmarkEnd w:id="68"/>
    </w:p>
    <w:p w14:paraId="7E93683C" w14:textId="08B96C3D" w:rsidR="00BC7FA4" w:rsidRDefault="00552215">
      <w:pPr>
        <w:pStyle w:val="Textonotapie"/>
      </w:pPr>
      <w:hyperlink r:id="rId13" w:history="1">
        <w:r w:rsidR="00BC7FA4" w:rsidRPr="00271E20">
          <w:rPr>
            <w:rStyle w:val="Hipervnculo"/>
          </w:rPr>
          <w:t>http://www.congreso</w:t>
        </w:r>
        <w:r w:rsidR="00BC7FA4" w:rsidRPr="00271E20">
          <w:rPr>
            <w:rStyle w:val="Hipervnculo"/>
            <w:rFonts w:cstheme="minorHAnsi"/>
          </w:rPr>
          <w:t>─</w:t>
        </w:r>
        <w:r w:rsidR="00BC7FA4" w:rsidRPr="00271E20">
          <w:rPr>
            <w:rStyle w:val="Hipervnculo"/>
          </w:rPr>
          <w:t>hidalgo.gob.mx/biblioteca_legislativa/Leyes/35Ley%20de%20Deuda%20Publica%20del%20Estado%20de%20Hidalgo.pdf</w:t>
        </w:r>
      </w:hyperlink>
      <w:r w:rsidR="00BC7FA4">
        <w:t xml:space="preserve"> </w:t>
      </w:r>
    </w:p>
  </w:footnote>
  <w:footnote w:id="23">
    <w:p w14:paraId="7EA181D2" w14:textId="798136AF" w:rsidR="00BC7FA4" w:rsidRDefault="00BC7FA4">
      <w:pPr>
        <w:pStyle w:val="Textonotapie"/>
      </w:pPr>
      <w:r>
        <w:rPr>
          <w:rStyle w:val="Refdenotaalpie"/>
        </w:rPr>
        <w:footnoteRef/>
      </w:r>
      <w:r>
        <w:t xml:space="preserve"> Lineamientos disponibles en: </w:t>
      </w:r>
      <w:hyperlink r:id="rId14" w:history="1">
        <w:r w:rsidRPr="00540419">
          <w:rPr>
            <w:rStyle w:val="Hipervnculo"/>
          </w:rPr>
          <w:t>http://transparencia.hidalgo.gob.mx/TRANSCENTRAL/TRANSPFINANCIERA/Lineamientos1</w:t>
        </w:r>
      </w:hyperlink>
      <w:r>
        <w:t xml:space="preserve"> </w:t>
      </w:r>
    </w:p>
  </w:footnote>
  <w:footnote w:id="24">
    <w:p w14:paraId="6530476D" w14:textId="77777777" w:rsidR="00BC7FA4" w:rsidRDefault="00BC7FA4" w:rsidP="00EB1844">
      <w:pPr>
        <w:pStyle w:val="Textonotapie"/>
      </w:pPr>
      <w:r>
        <w:rPr>
          <w:rStyle w:val="Refdenotaalpie"/>
        </w:rPr>
        <w:footnoteRef/>
      </w:r>
      <w:r>
        <w:t xml:space="preserve"> </w:t>
      </w:r>
      <w:bookmarkStart w:id="71" w:name="_Hlk54266359"/>
      <w:r>
        <w:t>Criterios para el registro y validación de la MIR</w:t>
      </w:r>
      <w:bookmarkEnd w:id="71"/>
      <w:r>
        <w:t>.</w:t>
      </w:r>
    </w:p>
    <w:bookmarkStart w:id="72" w:name="_Hlk54266377"/>
    <w:p w14:paraId="083118F0" w14:textId="77777777" w:rsidR="00BC7FA4" w:rsidRDefault="00BC7FA4" w:rsidP="00EB1844">
      <w:pPr>
        <w:pStyle w:val="Textonotapie"/>
      </w:pPr>
      <w:r>
        <w:fldChar w:fldCharType="begin"/>
      </w:r>
      <w:r>
        <w:instrText xml:space="preserve"> HYPERLINK "</w:instrText>
      </w:r>
      <w:r w:rsidRPr="008007EB">
        <w:instrText>https://s-finanzas.hidalgo.gob.mx/descargables/uted/Criterios%20para%20el%20Registro%20y%20Validacion%20MIR%202019.pdf</w:instrText>
      </w:r>
      <w:r>
        <w:instrText xml:space="preserve">" </w:instrText>
      </w:r>
      <w:r>
        <w:fldChar w:fldCharType="separate"/>
      </w:r>
      <w:r w:rsidRPr="00271E20">
        <w:rPr>
          <w:rStyle w:val="Hipervnculo"/>
        </w:rPr>
        <w:t>https://s-finanzas.hidalgo.gob.mx/descargables/uted/Criterios%20para%20el%20Registro%20y%20Validacion%20MIR%202019.pdf</w:t>
      </w:r>
      <w:r>
        <w:fldChar w:fldCharType="end"/>
      </w:r>
      <w:r>
        <w:t xml:space="preserve"> </w:t>
      </w:r>
    </w:p>
    <w:bookmarkEnd w:id="72"/>
  </w:footnote>
  <w:footnote w:id="25">
    <w:p w14:paraId="5E9657B9" w14:textId="77777777" w:rsidR="00BC7FA4" w:rsidRDefault="00BC7FA4" w:rsidP="00EB1844">
      <w:pPr>
        <w:pStyle w:val="Textonotapie"/>
      </w:pPr>
      <w:r>
        <w:rPr>
          <w:rStyle w:val="Refdenotaalpie"/>
        </w:rPr>
        <w:footnoteRef/>
      </w:r>
      <w:r>
        <w:t xml:space="preserve"> </w:t>
      </w:r>
      <w:r w:rsidRPr="00FC0BA1">
        <w:rPr>
          <w:rFonts w:cstheme="minorHAnsi"/>
          <w:bCs/>
          <w:color w:val="000000" w:themeColor="text1"/>
        </w:rPr>
        <w:t xml:space="preserve">(Para su consulta en el apartado “Monitoreo/2018” de la siguiente liga: </w:t>
      </w:r>
      <w:hyperlink r:id="rId15" w:history="1">
        <w:r w:rsidRPr="00FC0BA1">
          <w:rPr>
            <w:rStyle w:val="Hipervnculo"/>
            <w:rFonts w:cs="LiberationSans"/>
          </w:rPr>
          <w:t>http://s</w:t>
        </w:r>
        <w:r>
          <w:rPr>
            <w:rStyle w:val="Hipervnculo"/>
            <w:rFonts w:cstheme="minorHAnsi"/>
          </w:rPr>
          <w:t>─</w:t>
        </w:r>
        <w:r w:rsidRPr="00FC0BA1">
          <w:rPr>
            <w:rStyle w:val="Hipervnculo"/>
            <w:rFonts w:cs="LiberationSans"/>
          </w:rPr>
          <w:t>finanzas.hidalgo.gob.mx/pag/presupuestoBasadoResultados.html</w:t>
        </w:r>
      </w:hyperlink>
      <w:r w:rsidRPr="00FC0BA1">
        <w:rPr>
          <w:rFonts w:ascii="LiberationSans" w:hAnsi="LiberationSans" w:cs="LiberationSans"/>
          <w:color w:val="333E48"/>
          <w:sz w:val="19"/>
          <w:szCs w:val="19"/>
        </w:rPr>
        <w:t>)</w:t>
      </w:r>
    </w:p>
  </w:footnote>
  <w:footnote w:id="26">
    <w:p w14:paraId="48B03850" w14:textId="77777777" w:rsidR="00BC7FA4" w:rsidRPr="00204DD2" w:rsidRDefault="00BC7FA4" w:rsidP="00EB1844">
      <w:pPr>
        <w:pStyle w:val="Textonotapie"/>
        <w:rPr>
          <w:rStyle w:val="Referenciasutil"/>
        </w:rPr>
      </w:pPr>
      <w:r w:rsidRPr="00FB7D62">
        <w:rPr>
          <w:rStyle w:val="Referenciasutil"/>
          <w:vertAlign w:val="superscript"/>
        </w:rPr>
        <w:footnoteRef/>
      </w:r>
      <w:r w:rsidRPr="00204DD2">
        <w:rPr>
          <w:rStyle w:val="Referenciasutil"/>
        </w:rPr>
        <w:t xml:space="preserve"> </w:t>
      </w:r>
      <w:hyperlink r:id="rId16" w:history="1">
        <w:r w:rsidRPr="00271E20">
          <w:rPr>
            <w:rStyle w:val="Hipervnculo"/>
            <w:rFonts w:ascii="Calibri" w:hAnsi="Calibri"/>
          </w:rPr>
          <w:t>https://www.coneval.org.mx/Evaluacion/Paginas/Glosario-EVALUACION.aspx</w:t>
        </w:r>
      </w:hyperlink>
      <w:r>
        <w:rPr>
          <w:rStyle w:val="Referenciasutil"/>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93870C" w14:textId="37024F06" w:rsidR="00BC7FA4" w:rsidRDefault="00BC7FA4" w:rsidP="00E271E4">
    <w:pPr>
      <w:pStyle w:val="Encabezado"/>
      <w:pBdr>
        <w:bottom w:val="single" w:sz="8" w:space="1" w:color="1F3864" w:themeColor="accent5" w:themeShade="80"/>
      </w:pBdr>
      <w:spacing w:before="0"/>
      <w:jc w:val="center"/>
      <w:rPr>
        <w:b/>
      </w:rPr>
    </w:pPr>
    <w:r w:rsidRPr="001564DA">
      <w:rPr>
        <w:b/>
      </w:rPr>
      <w:t xml:space="preserve">Evaluación Estratégica al Fondo de Aportaciones para el Fortalecimiento de las Entidades Federativas (FAFEF) </w:t>
    </w:r>
    <w:r>
      <w:rPr>
        <w:b/>
      </w:rPr>
      <w:t>en el ámbito estatal para Hidalgo</w:t>
    </w:r>
  </w:p>
  <w:p w14:paraId="2BFA3A8C" w14:textId="68699D3E" w:rsidR="00BC7FA4" w:rsidRPr="00693039" w:rsidRDefault="00BC7FA4" w:rsidP="0026073C">
    <w:pPr>
      <w:pStyle w:val="Encabezado"/>
      <w:spacing w:before="0"/>
      <w:jc w:val="center"/>
      <w:rPr>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1FC8C5" w14:textId="2B2467F5" w:rsidR="00BC7FA4" w:rsidRDefault="00BC7FA4" w:rsidP="00E01B94">
    <w:pPr>
      <w:pStyle w:val="Encabezado"/>
      <w:tabs>
        <w:tab w:val="clear" w:pos="4419"/>
        <w:tab w:val="center" w:pos="4820"/>
      </w:tabs>
      <w:jc w:val="left"/>
    </w:pPr>
    <w:r>
      <w:rPr>
        <w:b/>
        <w:noProof/>
        <w:sz w:val="40"/>
        <w:szCs w:val="40"/>
        <w:lang w:eastAsia="es-MX"/>
      </w:rPr>
      <w:drawing>
        <wp:anchor distT="0" distB="0" distL="114300" distR="114300" simplePos="0" relativeHeight="251689984" behindDoc="0" locked="0" layoutInCell="1" allowOverlap="1" wp14:anchorId="5404955F" wp14:editId="478313E7">
          <wp:simplePos x="0" y="0"/>
          <wp:positionH relativeFrom="margin">
            <wp:align>left</wp:align>
          </wp:positionH>
          <wp:positionV relativeFrom="paragraph">
            <wp:posOffset>148590</wp:posOffset>
          </wp:positionV>
          <wp:extent cx="2199600" cy="507600"/>
          <wp:effectExtent l="0" t="0" r="0" b="6985"/>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99600" cy="507600"/>
                  </a:xfrm>
                  <a:prstGeom prst="rect">
                    <a:avLst/>
                  </a:prstGeom>
                  <a:noFill/>
                </pic:spPr>
              </pic:pic>
            </a:graphicData>
          </a:graphic>
          <wp14:sizeRelH relativeFrom="margin">
            <wp14:pctWidth>0</wp14:pctWidth>
          </wp14:sizeRelH>
          <wp14:sizeRelV relativeFrom="margin">
            <wp14:pctHeight>0</wp14:pctHeight>
          </wp14:sizeRelV>
        </wp:anchor>
      </w:drawing>
    </w:r>
    <w:r>
      <w:rPr>
        <w:b/>
        <w:noProof/>
        <w:sz w:val="40"/>
        <w:szCs w:val="40"/>
        <w:lang w:eastAsia="es-MX"/>
      </w:rPr>
      <w:drawing>
        <wp:anchor distT="0" distB="0" distL="114300" distR="114300" simplePos="0" relativeHeight="251688960" behindDoc="0" locked="0" layoutInCell="1" allowOverlap="1" wp14:anchorId="79B35143" wp14:editId="3779EA3C">
          <wp:simplePos x="0" y="0"/>
          <wp:positionH relativeFrom="column">
            <wp:posOffset>2868930</wp:posOffset>
          </wp:positionH>
          <wp:positionV relativeFrom="paragraph">
            <wp:posOffset>-255270</wp:posOffset>
          </wp:positionV>
          <wp:extent cx="1188720" cy="1089660"/>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88720" cy="10896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2170D">
      <w:rPr>
        <w:b/>
        <w:noProof/>
        <w:sz w:val="40"/>
        <w:szCs w:val="40"/>
        <w:lang w:eastAsia="es-MX"/>
      </w:rPr>
      <w:drawing>
        <wp:anchor distT="0" distB="0" distL="114300" distR="114300" simplePos="0" relativeHeight="251683840" behindDoc="0" locked="0" layoutInCell="1" allowOverlap="1" wp14:anchorId="39DB8797" wp14:editId="1E3071AB">
          <wp:simplePos x="0" y="0"/>
          <wp:positionH relativeFrom="margin">
            <wp:align>right</wp:align>
          </wp:positionH>
          <wp:positionV relativeFrom="paragraph">
            <wp:posOffset>74930</wp:posOffset>
          </wp:positionV>
          <wp:extent cx="1468800" cy="604800"/>
          <wp:effectExtent l="0" t="0" r="0" b="0"/>
          <wp:wrapNone/>
          <wp:docPr id="12" name="Imagen 12" descr="C:\Users\Vision\Documents\SERpro\Imágen Serpro\Nueva imágen\logo_serpr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ision\Documents\SERpro\Imágen Serpro\Nueva imágen\logo_serpro.pn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468800" cy="6048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29344C" w14:textId="45624544" w:rsidR="00BC7FA4" w:rsidRDefault="00BC7FA4" w:rsidP="00A9484F">
    <w:pPr>
      <w:pStyle w:val="Encabezado"/>
      <w:spacing w:before="0"/>
      <w:jc w:val="center"/>
      <w:rPr>
        <w:b/>
      </w:rPr>
    </w:pPr>
    <w:r w:rsidRPr="001564DA">
      <w:rPr>
        <w:b/>
      </w:rPr>
      <w:t xml:space="preserve">Evaluación Estratégica al Fondo de Aportaciones para el Fortalecimiento de las Entidades Federativas (FAFEF) </w:t>
    </w:r>
    <w:r>
      <w:rPr>
        <w:b/>
      </w:rPr>
      <w:t>en el ámbito estatal para Hidalgo</w:t>
    </w:r>
  </w:p>
  <w:p w14:paraId="44C81C94" w14:textId="5581B110" w:rsidR="00BC7FA4" w:rsidRPr="00693039" w:rsidRDefault="00BC7FA4" w:rsidP="00DC689F">
    <w:pPr>
      <w:pStyle w:val="Encabezado"/>
      <w:tabs>
        <w:tab w:val="clear" w:pos="8838"/>
        <w:tab w:val="left" w:pos="7608"/>
      </w:tabs>
      <w:spacing w:before="0"/>
      <w:jc w:val="center"/>
      <w:rPr>
        <w:bCs/>
      </w:rPr>
    </w:pPr>
    <w:r>
      <w:rPr>
        <w:b/>
        <w:noProof/>
        <w:sz w:val="20"/>
        <w:szCs w:val="20"/>
        <w:lang w:eastAsia="es-MX"/>
      </w:rPr>
      <mc:AlternateContent>
        <mc:Choice Requires="wps">
          <w:drawing>
            <wp:anchor distT="4294967293" distB="4294967293" distL="114300" distR="114300" simplePos="0" relativeHeight="251694080" behindDoc="0" locked="0" layoutInCell="1" allowOverlap="1" wp14:anchorId="0C58210E" wp14:editId="02F289DB">
              <wp:simplePos x="0" y="0"/>
              <wp:positionH relativeFrom="margin">
                <wp:posOffset>140970</wp:posOffset>
              </wp:positionH>
              <wp:positionV relativeFrom="paragraph">
                <wp:posOffset>61433</wp:posOffset>
              </wp:positionV>
              <wp:extent cx="8458200" cy="7620"/>
              <wp:effectExtent l="0" t="0" r="19050" b="30480"/>
              <wp:wrapNone/>
              <wp:docPr id="5" name="Conector recto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8458200" cy="7620"/>
                      </a:xfrm>
                      <a:prstGeom prst="line">
                        <a:avLst/>
                      </a:prstGeom>
                      <a:noFill/>
                      <a:ln w="12700" cap="flat" cmpd="sng" algn="ctr">
                        <a:solidFill>
                          <a:srgbClr val="4472C4">
                            <a:lumMod val="50000"/>
                          </a:srgb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CEBC5D9" id="Conector recto 13" o:spid="_x0000_s1026" style="position:absolute;flip:y;z-index:251694080;visibility:visible;mso-wrap-style:square;mso-width-percent:0;mso-height-percent:0;mso-wrap-distance-left:9pt;mso-wrap-distance-top:-8e-5mm;mso-wrap-distance-right:9pt;mso-wrap-distance-bottom:-8e-5mm;mso-position-horizontal:absolute;mso-position-horizontal-relative:margin;mso-position-vertical:absolute;mso-position-vertical-relative:text;mso-width-percent:0;mso-height-percent:0;mso-width-relative:margin;mso-height-relative:margin" from="11.1pt,4.85pt" to="677.1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76G6gEAAL0DAAAOAAAAZHJzL2Uyb0RvYy54bWysU01v2zAMvQ/YfxB0X5xkSRsYcXpI0F26&#10;LUC33RVZsoXpC6QaJ/9+lJym2XYb5oNMidQj+fi0fjg5y44K0ATf8NlkypnyMrTGdw3//u3xw4oz&#10;TMK3wgavGn5WyB8279+th1ireeiDbRUwAvFYD7HhfUqxriqUvXICJyEqT04dwIlEW+iqFsRA6M5W&#10;8+n0rhoCtBGCVIh0uhudfFPwtVYyfdUaVWK24VRbKiuU9ZDXarMWdQci9kZeyhD/UIUTxlPSK9RO&#10;JMFewPwF5YyEgEGniQyuClobqUoP1M1s+kc3z72IqvRC5GC80oT/D1Z+Oe6BmbbhS868cDSiLQ1K&#10;pgAM8o/NPmaShog1xW79HnKb8uSf41OQP5F81W/OvME4hp00OKatiT9IG4Uf6pidCv3nK/3qlJik&#10;w9ViuaKZcibJd383L9OpRJ1RctIImD6p4Fg2Gm6Nz+SIWhyfMOU63kLysQ+PxtoyYOvZQBXM7wu6&#10;IJ1pKxIlcpE6R99xJmxHApYJCiQGa9p8PQMhdIetBXYUJKLF4n6+XZQg++I+h3Y8Xk7py0RREZf4&#10;0b4FynXvBPbjlZJjFKAziV6BNY5IyECvSNbn/Kro+NLjG73ZOoT2vIfXGZBGStKLnrMIb/dk3766&#10;zS8AAAD//wMAUEsDBBQABgAIAAAAIQDoi/6c3QAAAAgBAAAPAAAAZHJzL2Rvd25yZXYueG1sTI/N&#10;TsMwEITvSLyDtUjcqEP4bYhTVUjtgQMSLRdubryNQ+11ZLtpeHu2J7jt7oxmv6kXk3dixJj6QApu&#10;ZwUIpDaYnjoFn9vVzTOIlDUZ7QKhgh9MsGguL2pdmXCiDxw3uRMcQqnSCmzOQyVlai16nWZhQGJt&#10;H6LXmdfYSRP1icO9k2VRPEqve+IPVg/4arE9bI5ewbjutm9f8R3X5hDbvV2uvgfrlLq+mpYvIDJO&#10;+c8MZ3xGh4aZduFIJgmnoCxLdiqYP4E4y3cP93zY8VTMQTa1/F+g+QUAAP//AwBQSwECLQAUAAYA&#10;CAAAACEAtoM4kv4AAADhAQAAEwAAAAAAAAAAAAAAAAAAAAAAW0NvbnRlbnRfVHlwZXNdLnhtbFBL&#10;AQItABQABgAIAAAAIQA4/SH/1gAAAJQBAAALAAAAAAAAAAAAAAAAAC8BAABfcmVscy8ucmVsc1BL&#10;AQItABQABgAIAAAAIQCBU76G6gEAAL0DAAAOAAAAAAAAAAAAAAAAAC4CAABkcnMvZTJvRG9jLnht&#10;bFBLAQItABQABgAIAAAAIQDoi/6c3QAAAAgBAAAPAAAAAAAAAAAAAAAAAEQEAABkcnMvZG93bnJl&#10;di54bWxQSwUGAAAAAAQABADzAAAATgUAAAAA&#10;" strokecolor="#203864" strokeweight="1pt">
              <v:stroke joinstyle="miter"/>
              <o:lock v:ext="edit" shapetype="f"/>
              <w10:wrap anchorx="margin"/>
            </v:lin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8E430" w14:textId="42DAB805" w:rsidR="00BC7FA4" w:rsidRDefault="00BC7FA4" w:rsidP="005465BE">
    <w:pPr>
      <w:pStyle w:val="Encabezado"/>
      <w:spacing w:before="0"/>
      <w:jc w:val="center"/>
      <w:rPr>
        <w:b/>
      </w:rPr>
    </w:pPr>
    <w:r w:rsidRPr="001564DA">
      <w:rPr>
        <w:b/>
      </w:rPr>
      <w:t xml:space="preserve">Evaluación Estratégica al Fondo de Aportaciones para el Fortalecimiento de las Entidades Federativas (FAFEF) </w:t>
    </w:r>
    <w:r>
      <w:rPr>
        <w:b/>
      </w:rPr>
      <w:t>en el ámbito estatal para Hidalgo</w:t>
    </w:r>
  </w:p>
  <w:p w14:paraId="5BD26B0F" w14:textId="4FCEBEBF" w:rsidR="00BC7FA4" w:rsidRPr="005465BE" w:rsidRDefault="00BC7FA4" w:rsidP="005465BE">
    <w:pPr>
      <w:pStyle w:val="Encabezado"/>
      <w:spacing w:before="0"/>
      <w:jc w:val="center"/>
      <w:rPr>
        <w:b/>
      </w:rPr>
    </w:pPr>
    <w:r>
      <w:rPr>
        <w:b/>
        <w:noProof/>
        <w:sz w:val="20"/>
        <w:szCs w:val="20"/>
        <w:lang w:eastAsia="es-MX"/>
      </w:rPr>
      <mc:AlternateContent>
        <mc:Choice Requires="wps">
          <w:drawing>
            <wp:anchor distT="4294967293" distB="4294967293" distL="114300" distR="114300" simplePos="0" relativeHeight="251696128" behindDoc="0" locked="0" layoutInCell="1" allowOverlap="1" wp14:anchorId="49787E2D" wp14:editId="62444C97">
              <wp:simplePos x="0" y="0"/>
              <wp:positionH relativeFrom="margin">
                <wp:posOffset>194310</wp:posOffset>
              </wp:positionH>
              <wp:positionV relativeFrom="paragraph">
                <wp:posOffset>67074</wp:posOffset>
              </wp:positionV>
              <wp:extent cx="8282763" cy="0"/>
              <wp:effectExtent l="0" t="0" r="0" b="0"/>
              <wp:wrapNone/>
              <wp:docPr id="6" name="Conector recto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8282763" cy="0"/>
                      </a:xfrm>
                      <a:prstGeom prst="line">
                        <a:avLst/>
                      </a:prstGeom>
                      <a:noFill/>
                      <a:ln w="12700" cap="flat" cmpd="sng" algn="ctr">
                        <a:solidFill>
                          <a:srgbClr val="4472C4">
                            <a:lumMod val="50000"/>
                          </a:srgb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3AEB3A4" id="Conector recto 13" o:spid="_x0000_s1026" style="position:absolute;flip:y;z-index:251696128;visibility:visible;mso-wrap-style:square;mso-width-percent:0;mso-height-percent:0;mso-wrap-distance-left:9pt;mso-wrap-distance-top:-8e-5mm;mso-wrap-distance-right:9pt;mso-wrap-distance-bottom:-8e-5mm;mso-position-horizontal:absolute;mso-position-horizontal-relative:margin;mso-position-vertical:absolute;mso-position-vertical-relative:text;mso-width-percent:0;mso-height-percent:0;mso-width-relative:margin;mso-height-relative:margin" from="15.3pt,5.3pt" to="667.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Zlhx5wEAALoDAAAOAAAAZHJzL2Uyb0RvYy54bWysU02P2jAQvVfqf7B8LwlZCigi7AG0vWxb&#10;pG17N46dWPWXxl4S/n3HDrC0vVXNwRnPjN/MPD9vHkejyUlAUM42dD4rKRGWu1bZrqHfvz19WFMS&#10;IrMt086Khp5FoI/b9+82g69F5XqnWwEEQWyoB9/QPkZfF0XgvTAszJwXFoPSgWERt9AVLbAB0Y0u&#10;qrJcFoOD1oPjIgT07qcg3WZ8KQWPX6UMIhLdUOwt5hXyekxrsd2wugPme8UvbbB/6MIwZbHoDWrP&#10;IiOvoP6CMoqDC07GGXemcFIqLvIMOM28/GOal555kWdBcoK/0RT+Hyz/cjoAUW1Dl5RYZvCKdnhR&#10;PDogkH5k/pBIGnyoMXdnD5DG5KN98c+O/wwYK34Lpk3wU9oowRCplf+B2sj84MRkzPSfb/SLMRKO&#10;znW1rlbLB0r4NVawOkGkih5C/CScIcloqFY2McNqdnoOMTXxlpLc1j0prfPtaksGLF+tShQAZygy&#10;qVlE03gcO9iOEqY7VC+PkCGD06pNxxNQgO6400BODBW0WKyq3SIn6Vfz2bWT+2OJX2IJm7jkT/Y9&#10;UOp7z0I/Hck1JvUZFfEJaGWQgQR0RdI21RdZxJcZ37hN1tG15wNcLwAFkotexJwUeL9H+/7JbX8B&#10;AAD//wMAUEsDBBQABgAIAAAAIQBMl4vR2gAAAAkBAAAPAAAAZHJzL2Rvd25yZXYueG1sTE89T8Mw&#10;EN2R+A/WIbFRByIqFOJUFVI7MCDRsrC58TUOtc+R7abh33MRA0yn96F379WryTsxYkx9IAX3iwIE&#10;UhtMT52Cj/3m7glEypqMdoFQwTcmWDXXV7WuTLjQO4673AkOoVRpBTbnoZIytRa9ToswILF2DNHr&#10;zDB20kR94XDv5ENRLKXXPfEHqwd8sdiedmevYNx2+9fP+IZbc4rt0a43X4N1St3eTOtnEBmn/GeG&#10;uT5Xh4Y7HcKZTBJOQVks2cn8fGe9LB953OGXkU0t/y9ofgAAAP//AwBQSwECLQAUAAYACAAAACEA&#10;toM4kv4AAADhAQAAEwAAAAAAAAAAAAAAAAAAAAAAW0NvbnRlbnRfVHlwZXNdLnhtbFBLAQItABQA&#10;BgAIAAAAIQA4/SH/1gAAAJQBAAALAAAAAAAAAAAAAAAAAC8BAABfcmVscy8ucmVsc1BLAQItABQA&#10;BgAIAAAAIQC9Zlhx5wEAALoDAAAOAAAAAAAAAAAAAAAAAC4CAABkcnMvZTJvRG9jLnhtbFBLAQIt&#10;ABQABgAIAAAAIQBMl4vR2gAAAAkBAAAPAAAAAAAAAAAAAAAAAEEEAABkcnMvZG93bnJldi54bWxQ&#10;SwUGAAAAAAQABADzAAAASAUAAAAA&#10;" strokecolor="#203864" strokeweight="1pt">
              <v:stroke joinstyle="miter"/>
              <o:lock v:ext="edit" shapetype="f"/>
              <w10:wrap anchorx="margin"/>
            </v:lin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801C59" w14:textId="2783E20F" w:rsidR="00BC7FA4" w:rsidRDefault="00BC7FA4" w:rsidP="009C36EB">
    <w:pPr>
      <w:pStyle w:val="Encabezado"/>
      <w:spacing w:before="0"/>
      <w:jc w:val="center"/>
      <w:rPr>
        <w:b/>
      </w:rPr>
    </w:pPr>
    <w:r w:rsidRPr="00794C97">
      <w:rPr>
        <w:b/>
        <w:sz w:val="20"/>
        <w:szCs w:val="20"/>
      </w:rPr>
      <w:t xml:space="preserve"> </w:t>
    </w:r>
    <w:r w:rsidRPr="001564DA">
      <w:rPr>
        <w:b/>
      </w:rPr>
      <w:t xml:space="preserve">Evaluación Estratégica al Fondo de Aportaciones para el Fortalecimiento de las Entidades Federativas (FAFEF) </w:t>
    </w:r>
    <w:r>
      <w:rPr>
        <w:b/>
      </w:rPr>
      <w:t>en el ámbito estatal para Hidalgo</w:t>
    </w:r>
  </w:p>
  <w:p w14:paraId="75CC6C94" w14:textId="0984328B" w:rsidR="00BC7FA4" w:rsidRPr="00C94072" w:rsidRDefault="00BC7FA4" w:rsidP="008E3E43">
    <w:pPr>
      <w:pStyle w:val="Encabezado"/>
      <w:spacing w:before="0"/>
      <w:jc w:val="center"/>
    </w:pPr>
    <w:r>
      <w:rPr>
        <w:b/>
        <w:noProof/>
        <w:sz w:val="20"/>
        <w:szCs w:val="20"/>
        <w:lang w:eastAsia="es-MX"/>
      </w:rPr>
      <mc:AlternateContent>
        <mc:Choice Requires="wps">
          <w:drawing>
            <wp:anchor distT="4294967293" distB="4294967293" distL="114300" distR="114300" simplePos="0" relativeHeight="251698176" behindDoc="0" locked="0" layoutInCell="1" allowOverlap="1" wp14:anchorId="416D4298" wp14:editId="42122F62">
              <wp:simplePos x="0" y="0"/>
              <wp:positionH relativeFrom="margin">
                <wp:posOffset>172720</wp:posOffset>
              </wp:positionH>
              <wp:positionV relativeFrom="paragraph">
                <wp:posOffset>56988</wp:posOffset>
              </wp:positionV>
              <wp:extent cx="8288020" cy="0"/>
              <wp:effectExtent l="0" t="0" r="0" b="0"/>
              <wp:wrapNone/>
              <wp:docPr id="10" name="Conector recto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8288020" cy="0"/>
                      </a:xfrm>
                      <a:prstGeom prst="line">
                        <a:avLst/>
                      </a:prstGeom>
                      <a:noFill/>
                      <a:ln w="12700" cap="flat" cmpd="sng" algn="ctr">
                        <a:solidFill>
                          <a:srgbClr val="4472C4">
                            <a:lumMod val="50000"/>
                          </a:srgb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52A11A9" id="Conector recto 13" o:spid="_x0000_s1026" style="position:absolute;flip:y;z-index:251698176;visibility:visible;mso-wrap-style:square;mso-width-percent:0;mso-height-percent:0;mso-wrap-distance-left:9pt;mso-wrap-distance-top:-8e-5mm;mso-wrap-distance-right:9pt;mso-wrap-distance-bottom:-8e-5mm;mso-position-horizontal:absolute;mso-position-horizontal-relative:margin;mso-position-vertical:absolute;mso-position-vertical-relative:text;mso-width-percent:0;mso-height-percent:0;mso-width-relative:margin;mso-height-relative:margin" from="13.6pt,4.5pt" to="666.2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21/65QEAALsDAAAOAAAAZHJzL2Uyb0RvYy54bWysU01v2zAMvQ/YfxB8X+x42RoYcXpI0F26&#10;LUC33RlZsoXpC6IaJ/9+lJyk2XYr6oNMidQj+fi0uj8azQ4ioHK2LeazqmDCctcp27fFzx8PH5YF&#10;wwi2A+2saIuTwOJ+/f7davSNqN3gdCcCIxCLzejbYojRN2WJfBAGcOa8sOSULhiItA192QUYCd3o&#10;sq6qz+XoQueD4wKRTreTs1hnfCkFj9+lRBGZbguqLeY15HWf1nK9gqYP4AfFz2XAK6owoCwlvUJt&#10;IQJ7Duo/KKN4cOhknHFnSiel4iL3QN3Mq3+6eRrAi9wLkYP+ShO+HSz/dtgFpjqaHdFjwdCMNjQp&#10;Hl1gIf3Y/GNiafTYUPDG7kLqkx/tk390/DeSr/zLmTbop7CjDIZJrfwvSpAJopbZMfN/uvIvjpFx&#10;OlzWy2VVUx384iuhSRApow8YvwhnWDLaQiubqIEGDo8YUxEvIenYugeldR6vtmyk9PVdlaCBVCY1&#10;RDKNp77R9gUD3ZN8eQwZEp1WXbqegDD0+40O7AAkocXirt4scpB+Nl9dNx1/quhLLFER5/jJvgVK&#10;dW8Bh+lKzjHJz6hIb0ArQwwkoAuStim/yCo+9/jCbbL2rjvtwmUApJCc9KzmJMHbPdm3b279BwAA&#10;//8DAFBLAwQUAAYACAAAACEA9w7jItwAAAAHAQAADwAAAGRycy9kb3ducmV2LnhtbEyPzU7DMBCE&#10;70i8g7VI3KhDivgJcaoKqT1wQKLlwm0bb+NQex3ZbhreHpcLHGdnNPNtvZicFSOF2HtWcDsrQBC3&#10;XvfcKfjYrm4eQcSErNF6JgXfFGHRXF7UWGl/4ncaN6kTuYRjhQpMSkMlZWwNOYwzPxBnb++Dw5Rl&#10;6KQOeMrlzsqyKO6lw57zgsGBXgy1h83RKRjX3fb1M7zRWh9CuzfL1ddgrFLXV9PyGUSiKf2F4Yyf&#10;0aHJTDt/ZB2FVVA+lDmp4Cl/dLbn8/IOxO73IJta/udvfgAAAP//AwBQSwECLQAUAAYACAAAACEA&#10;toM4kv4AAADhAQAAEwAAAAAAAAAAAAAAAAAAAAAAW0NvbnRlbnRfVHlwZXNdLnhtbFBLAQItABQA&#10;BgAIAAAAIQA4/SH/1gAAAJQBAAALAAAAAAAAAAAAAAAAAC8BAABfcmVscy8ucmVsc1BLAQItABQA&#10;BgAIAAAAIQBF21/65QEAALsDAAAOAAAAAAAAAAAAAAAAAC4CAABkcnMvZTJvRG9jLnhtbFBLAQIt&#10;ABQABgAIAAAAIQD3DuMi3AAAAAcBAAAPAAAAAAAAAAAAAAAAAD8EAABkcnMvZG93bnJldi54bWxQ&#10;SwUGAAAAAAQABADzAAAASAUAAAAA&#10;" strokecolor="#203864" strokeweight="1pt">
              <v:stroke joinstyle="miter"/>
              <o:lock v:ext="edit" shapetype="f"/>
              <w10:wrap anchorx="margin"/>
            </v:lin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9FEA52" w14:textId="66E1338A" w:rsidR="00BC7FA4" w:rsidRDefault="00BC7FA4" w:rsidP="000975CF">
    <w:pPr>
      <w:pStyle w:val="Encabezado"/>
      <w:spacing w:before="0"/>
      <w:jc w:val="center"/>
      <w:rPr>
        <w:b/>
      </w:rPr>
    </w:pPr>
    <w:r w:rsidRPr="001564DA">
      <w:rPr>
        <w:b/>
      </w:rPr>
      <w:t xml:space="preserve">Evaluación Estratégica al Fondo de Aportaciones para el Fortalecimiento de las Entidades Federativas (FAFEF) </w:t>
    </w:r>
    <w:r>
      <w:rPr>
        <w:b/>
      </w:rPr>
      <w:t>en el ámbito estatal para Hidalgo</w:t>
    </w:r>
  </w:p>
  <w:p w14:paraId="43ED2674" w14:textId="213D3DA7" w:rsidR="00BC7FA4" w:rsidRPr="00C94072" w:rsidRDefault="00BC7FA4" w:rsidP="004E293B">
    <w:pPr>
      <w:pStyle w:val="Encabezado"/>
      <w:spacing w:before="0"/>
      <w:jc w:val="center"/>
    </w:pPr>
    <w:r>
      <w:rPr>
        <w:b/>
        <w:noProof/>
        <w:sz w:val="20"/>
        <w:szCs w:val="20"/>
        <w:lang w:eastAsia="es-MX"/>
      </w:rPr>
      <mc:AlternateContent>
        <mc:Choice Requires="wps">
          <w:drawing>
            <wp:anchor distT="4294967293" distB="4294967293" distL="114300" distR="114300" simplePos="0" relativeHeight="251700224" behindDoc="0" locked="0" layoutInCell="1" allowOverlap="1" wp14:anchorId="44BC5155" wp14:editId="38A82FBB">
              <wp:simplePos x="0" y="0"/>
              <wp:positionH relativeFrom="margin">
                <wp:posOffset>162560</wp:posOffset>
              </wp:positionH>
              <wp:positionV relativeFrom="paragraph">
                <wp:posOffset>60798</wp:posOffset>
              </wp:positionV>
              <wp:extent cx="8288020" cy="0"/>
              <wp:effectExtent l="0" t="0" r="0" b="0"/>
              <wp:wrapNone/>
              <wp:docPr id="11" name="Conector recto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8288020" cy="0"/>
                      </a:xfrm>
                      <a:prstGeom prst="line">
                        <a:avLst/>
                      </a:prstGeom>
                      <a:noFill/>
                      <a:ln w="12700" cap="flat" cmpd="sng" algn="ctr">
                        <a:solidFill>
                          <a:srgbClr val="4472C4">
                            <a:lumMod val="50000"/>
                          </a:srgb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1B7320DB" id="Conector recto 13" o:spid="_x0000_s1026" style="position:absolute;flip:y;z-index:251700224;visibility:visible;mso-wrap-style:square;mso-width-percent:0;mso-height-percent:0;mso-wrap-distance-left:9pt;mso-wrap-distance-top:-8e-5mm;mso-wrap-distance-right:9pt;mso-wrap-distance-bottom:-8e-5mm;mso-position-horizontal:absolute;mso-position-horizontal-relative:margin;mso-position-vertical:absolute;mso-position-vertical-relative:text;mso-width-percent:0;mso-height-percent:0;mso-width-relative:margin;mso-height-relative:margin" from="12.8pt,4.8pt" to="665.4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68N35gEAALsDAAAOAAAAZHJzL2Uyb0RvYy54bWysU01v2zAMvQ/YfxB0X+x42RoYcXpI0F26&#10;LUC33RVZtoXpC6QaJ/9+lJyk2XYr6oNMidQj+fi0uj9aww4KUHvX8Pms5Ew56Vvt+ob//PHwYckZ&#10;RuFaYbxTDT8p5Pfr9+9WY6hV5QdvWgWMQBzWY2j4EGOoiwLloKzAmQ/KkbPzYEWkLfRFC2IkdGuK&#10;qiw/F6OHNoCXCpFOt5OTrzN+1ykZv3cdqshMw6m2mFfI6z6txXol6h5EGLQ8lyFeUYUV2lHSK9RW&#10;RMGeQf8HZbUEj76LM+lt4btOS5V7oG7m5T/dPA0iqNwLkYPhShO+Haz8dtgB0y3Nbs6ZE5ZmtKFJ&#10;yeiBQfqx+cfE0hiwpuCN20HqUx7dU3j08jeSr/jLmTYYprBjB5Z1RodflCATRC2zY+b/dOVfHSOT&#10;dLislsuyojHJi68QdYJIGQNg/KK8ZclouNEuUSNqcXjEmIp4CUnHzj9oY/J4jWMjpa/uygQtSGWd&#10;EZFMG6hvdD1nwvQkXxkhQ6I3uk3XExBCv98YYAdBElos7qrNIgeZZ/vVt9Pxp5K+xBIVcY6f7Fug&#10;VPdW4DBdyTkm+Vkd6Q0YbYmBBHRBMi7lV1nF5x5fuE3W3renHVwGQArJSc9qThK83ZN9++bWfwAA&#10;AP//AwBQSwMEFAAGAAgAAAAhAJHSNEfcAAAABwEAAA8AAABkcnMvZG93bnJldi54bWxMjzFPwzAQ&#10;hXck/oN1SGzUoVUrCHGqCqkdGJDasrC58TUOtc+R7abh33Nlgel0957efa9ajt6JAWPqAil4nBQg&#10;kJpgOmoVfOzXD08gUtZktAuECr4xwbK+val0acKFtjjscis4hFKpFdic+1LK1Fj0Ok1Cj8TaMUSv&#10;M6+xlSbqC4d7J6dFsZBed8QfrO7x1WJz2p29gmHT7t8+4ztuzCk2R7taf/XWKXV/N65eQGQc858Z&#10;rviMDjUzHcKZTBJOwXS+YKeCZx5XeTYruMrh9yDrSv7nr38AAAD//wMAUEsBAi0AFAAGAAgAAAAh&#10;ALaDOJL+AAAA4QEAABMAAAAAAAAAAAAAAAAAAAAAAFtDb250ZW50X1R5cGVzXS54bWxQSwECLQAU&#10;AAYACAAAACEAOP0h/9YAAACUAQAACwAAAAAAAAAAAAAAAAAvAQAAX3JlbHMvLnJlbHNQSwECLQAU&#10;AAYACAAAACEApuvDd+YBAAC7AwAADgAAAAAAAAAAAAAAAAAuAgAAZHJzL2Uyb0RvYy54bWxQSwEC&#10;LQAUAAYACAAAACEAkdI0R9wAAAAHAQAADwAAAAAAAAAAAAAAAABABAAAZHJzL2Rvd25yZXYueG1s&#10;UEsFBgAAAAAEAAQA8wAAAEkFAAAAAA==&#10;" strokecolor="#203864" strokeweight="1pt">
              <v:stroke joinstyle="miter"/>
              <o:lock v:ext="edit" shapetype="f"/>
              <w10:wrap anchorx="margin"/>
            </v:lin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9D0F32" w14:textId="6CE82961" w:rsidR="00BC7FA4" w:rsidRDefault="00BC7FA4" w:rsidP="000C0DDE">
    <w:pPr>
      <w:pStyle w:val="Encabezado"/>
      <w:spacing w:before="0"/>
      <w:jc w:val="center"/>
      <w:rPr>
        <w:b/>
      </w:rPr>
    </w:pPr>
    <w:r w:rsidRPr="001564DA">
      <w:rPr>
        <w:b/>
      </w:rPr>
      <w:t xml:space="preserve">Evaluación Estratégica al Fondo de Aportaciones para el Fortalecimiento de las Entidades Federativas (FAFEF) </w:t>
    </w:r>
    <w:r>
      <w:rPr>
        <w:b/>
      </w:rPr>
      <w:t>en el ámbito estatal para Hidalgo</w:t>
    </w:r>
  </w:p>
  <w:p w14:paraId="785CE706" w14:textId="21886527" w:rsidR="00BC7FA4" w:rsidRPr="00C94072" w:rsidRDefault="00BC7FA4" w:rsidP="000C0DDE">
    <w:pPr>
      <w:pStyle w:val="Encabezado"/>
      <w:spacing w:before="0"/>
      <w:jc w:val="center"/>
    </w:pPr>
    <w:r>
      <w:rPr>
        <w:b/>
        <w:noProof/>
        <w:sz w:val="20"/>
        <w:szCs w:val="20"/>
        <w:lang w:eastAsia="es-MX"/>
      </w:rPr>
      <mc:AlternateContent>
        <mc:Choice Requires="wps">
          <w:drawing>
            <wp:anchor distT="4294967293" distB="4294967293" distL="114300" distR="114300" simplePos="0" relativeHeight="251704320" behindDoc="0" locked="0" layoutInCell="1" allowOverlap="1" wp14:anchorId="56C645E1" wp14:editId="439301FB">
              <wp:simplePos x="0" y="0"/>
              <wp:positionH relativeFrom="margin">
                <wp:posOffset>165100</wp:posOffset>
              </wp:positionH>
              <wp:positionV relativeFrom="paragraph">
                <wp:posOffset>69377</wp:posOffset>
              </wp:positionV>
              <wp:extent cx="8288020" cy="0"/>
              <wp:effectExtent l="0" t="0" r="0" b="0"/>
              <wp:wrapNone/>
              <wp:docPr id="14" name="Conector recto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8288020" cy="0"/>
                      </a:xfrm>
                      <a:prstGeom prst="line">
                        <a:avLst/>
                      </a:prstGeom>
                      <a:noFill/>
                      <a:ln w="12700" cap="flat" cmpd="sng" algn="ctr">
                        <a:solidFill>
                          <a:srgbClr val="4472C4">
                            <a:lumMod val="50000"/>
                          </a:srgb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99723AF" id="Conector recto 13" o:spid="_x0000_s1026" style="position:absolute;flip:y;z-index:251704320;visibility:visible;mso-wrap-style:square;mso-width-percent:0;mso-height-percent:0;mso-wrap-distance-left:9pt;mso-wrap-distance-top:-8e-5mm;mso-wrap-distance-right:9pt;mso-wrap-distance-bottom:-8e-5mm;mso-position-horizontal:absolute;mso-position-horizontal-relative:margin;mso-position-vertical:absolute;mso-position-vertical-relative:text;mso-width-percent:0;mso-height-percent:0;mso-width-relative:margin;mso-height-relative:margin" from="13pt,5.45pt" to="665.6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ryh5gEAALsDAAAOAAAAZHJzL2Uyb0RvYy54bWysU01v2zAMvQ/YfxB0X+x42RoYcXpI0F26&#10;LUC33RVZtoXpC6QaJ/9+lJyk2XYr6oNMidQj+fi0uj9aww4KUHvX8Pms5Ew56Vvt+ob//PHwYckZ&#10;RuFaYbxTDT8p5Pfr9+9WY6hV5QdvWgWMQBzWY2j4EGOoiwLloKzAmQ/KkbPzYEWkLfRFC2IkdGuK&#10;qiw/F6OHNoCXCpFOt5OTrzN+1ykZv3cdqshMw6m2mFfI6z6txXol6h5EGLQ8lyFeUYUV2lHSK9RW&#10;RMGeQf8HZbUEj76LM+lt4btOS5V7oG7m5T/dPA0iqNwLkYPhShO+Haz8dtgB0y3NbsGZE5ZmtKFJ&#10;yeiBQfqx+cfE0hiwpuCN20HqUx7dU3j08jeSr/jLmTYYprBjB5Z1RodflCATRC2zY+b/dOVfHSOT&#10;dLislsuyojHJi68QdYJIGQNg/KK8ZclouNEuUSNqcXjEmIp4CUnHzj9oY/J4jWMjpa/uygQtSGWd&#10;EZFMG6hvdD1nwvQkXxkhQ6I3uk3XExBCv98YYAdBElos7qrNIgeZZ/vVt9Pxp5K+xBIVcY6f7Fug&#10;VPdW4DBdyTkm+Vkd6Q0YbYmBBHRBMi7lV1nF5x5fuE3W3renHVwGQArJSc9qThK83ZN9++bWfwAA&#10;AP//AwBQSwMEFAAGAAgAAAAhALGuZGzdAAAACQEAAA8AAABkcnMvZG93bnJldi54bWxMj8FOwzAQ&#10;RO9I/IO1SNyo01SqIMSpKqT2wAGJlgu3bbyNQ+11ZLtp+HtccYDjzoxm39SryVkxUoi9ZwXzWQGC&#10;uPW6507Bx37z8AgiJmSN1jMp+KYIq+b2psZK+wu/07hLncglHCtUYFIaKilja8hhnPmBOHtHHxym&#10;fIZO6oCXXO6sLItiKR32nD8YHOjFUHvanZ2CcdvtXz/DG231KbRHs958DcYqdX83rZ9BJJrSXxiu&#10;+Bkdmsx08GfWUVgF5TJPSVkvnkBc/cViXoI4/CqyqeX/Bc0PAAAA//8DAFBLAQItABQABgAIAAAA&#10;IQC2gziS/gAAAOEBAAATAAAAAAAAAAAAAAAAAAAAAABbQ29udGVudF9UeXBlc10ueG1sUEsBAi0A&#10;FAAGAAgAAAAhADj9If/WAAAAlAEAAAsAAAAAAAAAAAAAAAAALwEAAF9yZWxzLy5yZWxzUEsBAi0A&#10;FAAGAAgAAAAhAAoSvKHmAQAAuwMAAA4AAAAAAAAAAAAAAAAALgIAAGRycy9lMm9Eb2MueG1sUEsB&#10;Ai0AFAAGAAgAAAAhALGuZGzdAAAACQEAAA8AAAAAAAAAAAAAAAAAQAQAAGRycy9kb3ducmV2Lnht&#10;bFBLBQYAAAAABAAEAPMAAABKBQAAAAA=&#10;" strokecolor="#203864" strokeweight="1pt">
              <v:stroke joinstyle="miter"/>
              <o:lock v:ext="edit" shapetype="f"/>
              <w10:wrap anchorx="margin"/>
            </v:lin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8289E6" w14:textId="77777777" w:rsidR="00BC7FA4" w:rsidRDefault="00BC7FA4" w:rsidP="000C0DDE">
    <w:pPr>
      <w:pStyle w:val="Encabezado"/>
      <w:spacing w:before="0"/>
      <w:jc w:val="center"/>
      <w:rPr>
        <w:b/>
      </w:rPr>
    </w:pPr>
    <w:r w:rsidRPr="001564DA">
      <w:rPr>
        <w:b/>
      </w:rPr>
      <w:t xml:space="preserve">Evaluación Estratégica al Fondo de Aportaciones para el Fortalecimiento de las Entidades Federativas (FAFEF) </w:t>
    </w:r>
    <w:r>
      <w:rPr>
        <w:b/>
      </w:rPr>
      <w:t>en el ámbito estatal para Hidalgo</w:t>
    </w:r>
  </w:p>
  <w:p w14:paraId="6DF11258" w14:textId="77777777" w:rsidR="00BC7FA4" w:rsidRPr="00C94072" w:rsidRDefault="00BC7FA4" w:rsidP="000C0DDE">
    <w:pPr>
      <w:pStyle w:val="Encabezado"/>
      <w:spacing w:before="0"/>
      <w:jc w:val="center"/>
    </w:pPr>
    <w:r>
      <w:rPr>
        <w:b/>
        <w:noProof/>
        <w:sz w:val="20"/>
        <w:szCs w:val="20"/>
        <w:lang w:eastAsia="es-MX"/>
      </w:rPr>
      <mc:AlternateContent>
        <mc:Choice Requires="wps">
          <w:drawing>
            <wp:anchor distT="4294967293" distB="4294967293" distL="114300" distR="114300" simplePos="0" relativeHeight="251706368" behindDoc="0" locked="0" layoutInCell="1" allowOverlap="1" wp14:anchorId="5459B959" wp14:editId="1631E461">
              <wp:simplePos x="0" y="0"/>
              <wp:positionH relativeFrom="margin">
                <wp:posOffset>26670</wp:posOffset>
              </wp:positionH>
              <wp:positionV relativeFrom="paragraph">
                <wp:posOffset>37938</wp:posOffset>
              </wp:positionV>
              <wp:extent cx="6283812" cy="10633"/>
              <wp:effectExtent l="0" t="0" r="22225" b="27940"/>
              <wp:wrapNone/>
              <wp:docPr id="15" name="Conector recto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283812" cy="10633"/>
                      </a:xfrm>
                      <a:prstGeom prst="line">
                        <a:avLst/>
                      </a:prstGeom>
                      <a:noFill/>
                      <a:ln w="12700" cap="flat" cmpd="sng" algn="ctr">
                        <a:solidFill>
                          <a:srgbClr val="4472C4">
                            <a:lumMod val="50000"/>
                          </a:srgb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AD6B8D6" id="Conector recto 13" o:spid="_x0000_s1026" style="position:absolute;flip:y;z-index:251706368;visibility:visible;mso-wrap-style:square;mso-width-percent:0;mso-height-percent:0;mso-wrap-distance-left:9pt;mso-wrap-distance-top:-8e-5mm;mso-wrap-distance-right:9pt;mso-wrap-distance-bottom:-8e-5mm;mso-position-horizontal:absolute;mso-position-horizontal-relative:margin;mso-position-vertical:absolute;mso-position-vertical-relative:text;mso-width-percent:0;mso-height-percent:0;mso-width-relative:margin;mso-height-relative:margin" from="2.1pt,3pt" to="496.9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BMv7QEAAL8DAAAOAAAAZHJzL2Uyb0RvYy54bWysU01v2zAMvQ/YfxB0X/yRNA2MOD0k6C7d&#10;FqDd7oos2cL0BVGNk38/Sk7TbLsN80GmROqRfHxaP5yMJkcRQDnb0mpWUiIsd52yfUu/vzx+WlEC&#10;kdmOaWdFS88C6MPm44f16BtRu8HpTgSCIBaa0bd0iNE3RQF8EIbBzHlh0SldMCziNvRFF9iI6EYX&#10;dVkui9GFzgfHBQCe7iYn3WR8KQWP36QEEYluKdYW8xryekhrsVmzpg/MD4pfymD/UIVhymLSK9SO&#10;RUZeg/oLyigeHDgZZ9yZwkmpuMg9YDdV+Uc3zwPzIveC5IC/0gT/D5Z/Pe4DUR3O7o4SywzOaIuT&#10;4tEFEtKPVPPE0uihweCt3YfUJz/ZZ//k+E9AX/GbM23AT2EnGQyRWvkfmCAThC2TU+b/fOVfnCLh&#10;eLisV/NVVVPC0VeVy3nOXLAmwaSsPkD8LJwhyWipVjbRwxp2fIKYCnkPScfWPSqt84i1JSNi1vcl&#10;qoAzVJrULKJpPPYOtqeE6R4lzGPIkOC06tL1BAShP2x1IEeGMlos7uvtIgfpV/PFddPxXYlfYgqL&#10;uMRP9i1QqnvHYJiu5ByTBI2K+A60Mi1dJaA3JG1TfpGVfOnxnd9kHVx33oe3IaBKctKLopMMb/do&#10;3767zS8AAAD//wMAUEsDBBQABgAIAAAAIQAPxg1b2wAAAAUBAAAPAAAAZHJzL2Rvd25yZXYueG1s&#10;TI9PT8JAFMTvJn6HzTPxJlvRgJS+EmICBw8mghdvS/fRLeyfZncp9dv7POlxMpOZ31Sr0VkxUExd&#10;8AiPkwIE+SbozrcIn/vNwwuIlJXXygZPCN+UYFXf3lSq1OHqP2jY5VZwiU+lQjA596WUqTHkVJqE&#10;njx7xxCdyixjK3VUVy53Vk6LYiad6jwvGNXTq6HmvLs4hGHb7t++4jtt9Tk2R7PenHpjEe/vxvUS&#10;RKYx/4XhF5/RoWamQ7h4nYRFeJ5yEGHGh9hdLJ74yAFhPgdZV/I/ff0DAAD//wMAUEsBAi0AFAAG&#10;AAgAAAAhALaDOJL+AAAA4QEAABMAAAAAAAAAAAAAAAAAAAAAAFtDb250ZW50X1R5cGVzXS54bWxQ&#10;SwECLQAUAAYACAAAACEAOP0h/9YAAACUAQAACwAAAAAAAAAAAAAAAAAvAQAAX3JlbHMvLnJlbHNQ&#10;SwECLQAUAAYACAAAACEA3AgTL+0BAAC/AwAADgAAAAAAAAAAAAAAAAAuAgAAZHJzL2Uyb0RvYy54&#10;bWxQSwECLQAUAAYACAAAACEAD8YNW9sAAAAFAQAADwAAAAAAAAAAAAAAAABHBAAAZHJzL2Rvd25y&#10;ZXYueG1sUEsFBgAAAAAEAAQA8wAAAE8FAAAAAA==&#10;" strokecolor="#203864" strokeweight="1pt">
              <v:stroke joinstyle="miter"/>
              <o:lock v:ext="edit" shapetype="f"/>
              <w10:wrap anchorx="marg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623B3"/>
    <w:multiLevelType w:val="hybridMultilevel"/>
    <w:tmpl w:val="A6941D8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2B22720"/>
    <w:multiLevelType w:val="hybridMultilevel"/>
    <w:tmpl w:val="55842BF0"/>
    <w:lvl w:ilvl="0" w:tplc="080A0001">
      <w:start w:val="1"/>
      <w:numFmt w:val="bullet"/>
      <w:lvlText w:val=""/>
      <w:lvlJc w:val="left"/>
      <w:pPr>
        <w:ind w:left="3337" w:hanging="360"/>
      </w:pPr>
      <w:rPr>
        <w:rFonts w:ascii="Symbol" w:hAnsi="Symbol" w:hint="default"/>
      </w:rPr>
    </w:lvl>
    <w:lvl w:ilvl="1" w:tplc="080A0003" w:tentative="1">
      <w:start w:val="1"/>
      <w:numFmt w:val="bullet"/>
      <w:lvlText w:val="o"/>
      <w:lvlJc w:val="left"/>
      <w:pPr>
        <w:ind w:left="4057" w:hanging="360"/>
      </w:pPr>
      <w:rPr>
        <w:rFonts w:ascii="Courier New" w:hAnsi="Courier New" w:cs="Courier New" w:hint="default"/>
      </w:rPr>
    </w:lvl>
    <w:lvl w:ilvl="2" w:tplc="080A0005" w:tentative="1">
      <w:start w:val="1"/>
      <w:numFmt w:val="bullet"/>
      <w:lvlText w:val=""/>
      <w:lvlJc w:val="left"/>
      <w:pPr>
        <w:ind w:left="4777" w:hanging="360"/>
      </w:pPr>
      <w:rPr>
        <w:rFonts w:ascii="Wingdings" w:hAnsi="Wingdings" w:hint="default"/>
      </w:rPr>
    </w:lvl>
    <w:lvl w:ilvl="3" w:tplc="080A0001" w:tentative="1">
      <w:start w:val="1"/>
      <w:numFmt w:val="bullet"/>
      <w:lvlText w:val=""/>
      <w:lvlJc w:val="left"/>
      <w:pPr>
        <w:ind w:left="5497" w:hanging="360"/>
      </w:pPr>
      <w:rPr>
        <w:rFonts w:ascii="Symbol" w:hAnsi="Symbol" w:hint="default"/>
      </w:rPr>
    </w:lvl>
    <w:lvl w:ilvl="4" w:tplc="080A0003" w:tentative="1">
      <w:start w:val="1"/>
      <w:numFmt w:val="bullet"/>
      <w:lvlText w:val="o"/>
      <w:lvlJc w:val="left"/>
      <w:pPr>
        <w:ind w:left="6217" w:hanging="360"/>
      </w:pPr>
      <w:rPr>
        <w:rFonts w:ascii="Courier New" w:hAnsi="Courier New" w:cs="Courier New" w:hint="default"/>
      </w:rPr>
    </w:lvl>
    <w:lvl w:ilvl="5" w:tplc="080A0005" w:tentative="1">
      <w:start w:val="1"/>
      <w:numFmt w:val="bullet"/>
      <w:lvlText w:val=""/>
      <w:lvlJc w:val="left"/>
      <w:pPr>
        <w:ind w:left="6937" w:hanging="360"/>
      </w:pPr>
      <w:rPr>
        <w:rFonts w:ascii="Wingdings" w:hAnsi="Wingdings" w:hint="default"/>
      </w:rPr>
    </w:lvl>
    <w:lvl w:ilvl="6" w:tplc="080A0001" w:tentative="1">
      <w:start w:val="1"/>
      <w:numFmt w:val="bullet"/>
      <w:lvlText w:val=""/>
      <w:lvlJc w:val="left"/>
      <w:pPr>
        <w:ind w:left="7657" w:hanging="360"/>
      </w:pPr>
      <w:rPr>
        <w:rFonts w:ascii="Symbol" w:hAnsi="Symbol" w:hint="default"/>
      </w:rPr>
    </w:lvl>
    <w:lvl w:ilvl="7" w:tplc="080A0003" w:tentative="1">
      <w:start w:val="1"/>
      <w:numFmt w:val="bullet"/>
      <w:lvlText w:val="o"/>
      <w:lvlJc w:val="left"/>
      <w:pPr>
        <w:ind w:left="8377" w:hanging="360"/>
      </w:pPr>
      <w:rPr>
        <w:rFonts w:ascii="Courier New" w:hAnsi="Courier New" w:cs="Courier New" w:hint="default"/>
      </w:rPr>
    </w:lvl>
    <w:lvl w:ilvl="8" w:tplc="080A0005" w:tentative="1">
      <w:start w:val="1"/>
      <w:numFmt w:val="bullet"/>
      <w:lvlText w:val=""/>
      <w:lvlJc w:val="left"/>
      <w:pPr>
        <w:ind w:left="9097" w:hanging="360"/>
      </w:pPr>
      <w:rPr>
        <w:rFonts w:ascii="Wingdings" w:hAnsi="Wingdings" w:hint="default"/>
      </w:rPr>
    </w:lvl>
  </w:abstractNum>
  <w:abstractNum w:abstractNumId="2" w15:restartNumberingAfterBreak="0">
    <w:nsid w:val="05542571"/>
    <w:multiLevelType w:val="hybridMultilevel"/>
    <w:tmpl w:val="C900B36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06715EEE"/>
    <w:multiLevelType w:val="hybridMultilevel"/>
    <w:tmpl w:val="E98AF134"/>
    <w:lvl w:ilvl="0" w:tplc="080A000F">
      <w:start w:val="1"/>
      <w:numFmt w:val="decimal"/>
      <w:lvlText w:val="%1."/>
      <w:lvlJc w:val="left"/>
      <w:pPr>
        <w:ind w:left="720" w:hanging="360"/>
      </w:pPr>
      <w:rPr>
        <w:rFonts w:hint="default"/>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088C1229"/>
    <w:multiLevelType w:val="hybridMultilevel"/>
    <w:tmpl w:val="C3D6865E"/>
    <w:lvl w:ilvl="0" w:tplc="2B582F26">
      <w:start w:val="4"/>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09360865"/>
    <w:multiLevelType w:val="hybridMultilevel"/>
    <w:tmpl w:val="DE7487EE"/>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09635943"/>
    <w:multiLevelType w:val="hybridMultilevel"/>
    <w:tmpl w:val="C900B36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0B032429"/>
    <w:multiLevelType w:val="hybridMultilevel"/>
    <w:tmpl w:val="86AE2ADC"/>
    <w:lvl w:ilvl="0" w:tplc="080A0001">
      <w:start w:val="1"/>
      <w:numFmt w:val="bullet"/>
      <w:lvlText w:val=""/>
      <w:lvlJc w:val="left"/>
      <w:pPr>
        <w:ind w:left="786" w:hanging="360"/>
      </w:pPr>
      <w:rPr>
        <w:rFonts w:ascii="Symbol" w:hAnsi="Symbol" w:hint="default"/>
      </w:rPr>
    </w:lvl>
    <w:lvl w:ilvl="1" w:tplc="080A0019" w:tentative="1">
      <w:start w:val="1"/>
      <w:numFmt w:val="lowerLetter"/>
      <w:lvlText w:val="%2."/>
      <w:lvlJc w:val="left"/>
      <w:pPr>
        <w:ind w:left="1120" w:hanging="360"/>
      </w:pPr>
    </w:lvl>
    <w:lvl w:ilvl="2" w:tplc="080A001B" w:tentative="1">
      <w:start w:val="1"/>
      <w:numFmt w:val="lowerRoman"/>
      <w:lvlText w:val="%3."/>
      <w:lvlJc w:val="right"/>
      <w:pPr>
        <w:ind w:left="1840" w:hanging="180"/>
      </w:pPr>
    </w:lvl>
    <w:lvl w:ilvl="3" w:tplc="080A000F" w:tentative="1">
      <w:start w:val="1"/>
      <w:numFmt w:val="decimal"/>
      <w:lvlText w:val="%4."/>
      <w:lvlJc w:val="left"/>
      <w:pPr>
        <w:ind w:left="2560" w:hanging="360"/>
      </w:pPr>
    </w:lvl>
    <w:lvl w:ilvl="4" w:tplc="080A0019" w:tentative="1">
      <w:start w:val="1"/>
      <w:numFmt w:val="lowerLetter"/>
      <w:lvlText w:val="%5."/>
      <w:lvlJc w:val="left"/>
      <w:pPr>
        <w:ind w:left="3280" w:hanging="360"/>
      </w:pPr>
    </w:lvl>
    <w:lvl w:ilvl="5" w:tplc="080A001B" w:tentative="1">
      <w:start w:val="1"/>
      <w:numFmt w:val="lowerRoman"/>
      <w:lvlText w:val="%6."/>
      <w:lvlJc w:val="right"/>
      <w:pPr>
        <w:ind w:left="4000" w:hanging="180"/>
      </w:pPr>
    </w:lvl>
    <w:lvl w:ilvl="6" w:tplc="080A000F" w:tentative="1">
      <w:start w:val="1"/>
      <w:numFmt w:val="decimal"/>
      <w:lvlText w:val="%7."/>
      <w:lvlJc w:val="left"/>
      <w:pPr>
        <w:ind w:left="4720" w:hanging="360"/>
      </w:pPr>
    </w:lvl>
    <w:lvl w:ilvl="7" w:tplc="080A0019" w:tentative="1">
      <w:start w:val="1"/>
      <w:numFmt w:val="lowerLetter"/>
      <w:lvlText w:val="%8."/>
      <w:lvlJc w:val="left"/>
      <w:pPr>
        <w:ind w:left="5440" w:hanging="360"/>
      </w:pPr>
    </w:lvl>
    <w:lvl w:ilvl="8" w:tplc="080A001B" w:tentative="1">
      <w:start w:val="1"/>
      <w:numFmt w:val="lowerRoman"/>
      <w:lvlText w:val="%9."/>
      <w:lvlJc w:val="right"/>
      <w:pPr>
        <w:ind w:left="6160" w:hanging="180"/>
      </w:pPr>
    </w:lvl>
  </w:abstractNum>
  <w:abstractNum w:abstractNumId="8" w15:restartNumberingAfterBreak="0">
    <w:nsid w:val="0C084146"/>
    <w:multiLevelType w:val="hybridMultilevel"/>
    <w:tmpl w:val="AFD02C20"/>
    <w:lvl w:ilvl="0" w:tplc="080A0001">
      <w:start w:val="1"/>
      <w:numFmt w:val="bullet"/>
      <w:lvlText w:val=""/>
      <w:lvlJc w:val="left"/>
      <w:pPr>
        <w:ind w:left="760" w:hanging="360"/>
      </w:pPr>
      <w:rPr>
        <w:rFonts w:ascii="Symbol" w:hAnsi="Symbol" w:hint="default"/>
      </w:rPr>
    </w:lvl>
    <w:lvl w:ilvl="1" w:tplc="080A0003" w:tentative="1">
      <w:start w:val="1"/>
      <w:numFmt w:val="bullet"/>
      <w:lvlText w:val="o"/>
      <w:lvlJc w:val="left"/>
      <w:pPr>
        <w:ind w:left="1480" w:hanging="360"/>
      </w:pPr>
      <w:rPr>
        <w:rFonts w:ascii="Courier New" w:hAnsi="Courier New" w:cs="Courier New" w:hint="default"/>
      </w:rPr>
    </w:lvl>
    <w:lvl w:ilvl="2" w:tplc="080A0005" w:tentative="1">
      <w:start w:val="1"/>
      <w:numFmt w:val="bullet"/>
      <w:lvlText w:val=""/>
      <w:lvlJc w:val="left"/>
      <w:pPr>
        <w:ind w:left="2200" w:hanging="360"/>
      </w:pPr>
      <w:rPr>
        <w:rFonts w:ascii="Wingdings" w:hAnsi="Wingdings" w:hint="default"/>
      </w:rPr>
    </w:lvl>
    <w:lvl w:ilvl="3" w:tplc="080A0001" w:tentative="1">
      <w:start w:val="1"/>
      <w:numFmt w:val="bullet"/>
      <w:lvlText w:val=""/>
      <w:lvlJc w:val="left"/>
      <w:pPr>
        <w:ind w:left="2920" w:hanging="360"/>
      </w:pPr>
      <w:rPr>
        <w:rFonts w:ascii="Symbol" w:hAnsi="Symbol" w:hint="default"/>
      </w:rPr>
    </w:lvl>
    <w:lvl w:ilvl="4" w:tplc="080A0003" w:tentative="1">
      <w:start w:val="1"/>
      <w:numFmt w:val="bullet"/>
      <w:lvlText w:val="o"/>
      <w:lvlJc w:val="left"/>
      <w:pPr>
        <w:ind w:left="3640" w:hanging="360"/>
      </w:pPr>
      <w:rPr>
        <w:rFonts w:ascii="Courier New" w:hAnsi="Courier New" w:cs="Courier New" w:hint="default"/>
      </w:rPr>
    </w:lvl>
    <w:lvl w:ilvl="5" w:tplc="080A0005" w:tentative="1">
      <w:start w:val="1"/>
      <w:numFmt w:val="bullet"/>
      <w:lvlText w:val=""/>
      <w:lvlJc w:val="left"/>
      <w:pPr>
        <w:ind w:left="4360" w:hanging="360"/>
      </w:pPr>
      <w:rPr>
        <w:rFonts w:ascii="Wingdings" w:hAnsi="Wingdings" w:hint="default"/>
      </w:rPr>
    </w:lvl>
    <w:lvl w:ilvl="6" w:tplc="080A0001" w:tentative="1">
      <w:start w:val="1"/>
      <w:numFmt w:val="bullet"/>
      <w:lvlText w:val=""/>
      <w:lvlJc w:val="left"/>
      <w:pPr>
        <w:ind w:left="5080" w:hanging="360"/>
      </w:pPr>
      <w:rPr>
        <w:rFonts w:ascii="Symbol" w:hAnsi="Symbol" w:hint="default"/>
      </w:rPr>
    </w:lvl>
    <w:lvl w:ilvl="7" w:tplc="080A0003" w:tentative="1">
      <w:start w:val="1"/>
      <w:numFmt w:val="bullet"/>
      <w:lvlText w:val="o"/>
      <w:lvlJc w:val="left"/>
      <w:pPr>
        <w:ind w:left="5800" w:hanging="360"/>
      </w:pPr>
      <w:rPr>
        <w:rFonts w:ascii="Courier New" w:hAnsi="Courier New" w:cs="Courier New" w:hint="default"/>
      </w:rPr>
    </w:lvl>
    <w:lvl w:ilvl="8" w:tplc="080A0005" w:tentative="1">
      <w:start w:val="1"/>
      <w:numFmt w:val="bullet"/>
      <w:lvlText w:val=""/>
      <w:lvlJc w:val="left"/>
      <w:pPr>
        <w:ind w:left="6520" w:hanging="360"/>
      </w:pPr>
      <w:rPr>
        <w:rFonts w:ascii="Wingdings" w:hAnsi="Wingdings" w:hint="default"/>
      </w:rPr>
    </w:lvl>
  </w:abstractNum>
  <w:abstractNum w:abstractNumId="9" w15:restartNumberingAfterBreak="0">
    <w:nsid w:val="0DA356EE"/>
    <w:multiLevelType w:val="hybridMultilevel"/>
    <w:tmpl w:val="422627E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0DC02288"/>
    <w:multiLevelType w:val="hybridMultilevel"/>
    <w:tmpl w:val="C900B36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108B630C"/>
    <w:multiLevelType w:val="hybridMultilevel"/>
    <w:tmpl w:val="24B22164"/>
    <w:lvl w:ilvl="0" w:tplc="080A0001">
      <w:start w:val="1"/>
      <w:numFmt w:val="bullet"/>
      <w:lvlText w:val=""/>
      <w:lvlJc w:val="left"/>
      <w:pPr>
        <w:ind w:left="958" w:hanging="360"/>
      </w:pPr>
      <w:rPr>
        <w:rFonts w:ascii="Symbol" w:hAnsi="Symbol" w:hint="default"/>
      </w:rPr>
    </w:lvl>
    <w:lvl w:ilvl="1" w:tplc="080A0019" w:tentative="1">
      <w:start w:val="1"/>
      <w:numFmt w:val="lowerLetter"/>
      <w:lvlText w:val="%2."/>
      <w:lvlJc w:val="left"/>
      <w:pPr>
        <w:ind w:left="1678" w:hanging="360"/>
      </w:pPr>
    </w:lvl>
    <w:lvl w:ilvl="2" w:tplc="080A001B" w:tentative="1">
      <w:start w:val="1"/>
      <w:numFmt w:val="lowerRoman"/>
      <w:lvlText w:val="%3."/>
      <w:lvlJc w:val="right"/>
      <w:pPr>
        <w:ind w:left="2398" w:hanging="180"/>
      </w:pPr>
    </w:lvl>
    <w:lvl w:ilvl="3" w:tplc="080A000F" w:tentative="1">
      <w:start w:val="1"/>
      <w:numFmt w:val="decimal"/>
      <w:lvlText w:val="%4."/>
      <w:lvlJc w:val="left"/>
      <w:pPr>
        <w:ind w:left="3118" w:hanging="360"/>
      </w:pPr>
    </w:lvl>
    <w:lvl w:ilvl="4" w:tplc="080A0019" w:tentative="1">
      <w:start w:val="1"/>
      <w:numFmt w:val="lowerLetter"/>
      <w:lvlText w:val="%5."/>
      <w:lvlJc w:val="left"/>
      <w:pPr>
        <w:ind w:left="3838" w:hanging="360"/>
      </w:pPr>
    </w:lvl>
    <w:lvl w:ilvl="5" w:tplc="080A001B" w:tentative="1">
      <w:start w:val="1"/>
      <w:numFmt w:val="lowerRoman"/>
      <w:lvlText w:val="%6."/>
      <w:lvlJc w:val="right"/>
      <w:pPr>
        <w:ind w:left="4558" w:hanging="180"/>
      </w:pPr>
    </w:lvl>
    <w:lvl w:ilvl="6" w:tplc="080A000F" w:tentative="1">
      <w:start w:val="1"/>
      <w:numFmt w:val="decimal"/>
      <w:lvlText w:val="%7."/>
      <w:lvlJc w:val="left"/>
      <w:pPr>
        <w:ind w:left="5278" w:hanging="360"/>
      </w:pPr>
    </w:lvl>
    <w:lvl w:ilvl="7" w:tplc="080A0019" w:tentative="1">
      <w:start w:val="1"/>
      <w:numFmt w:val="lowerLetter"/>
      <w:lvlText w:val="%8."/>
      <w:lvlJc w:val="left"/>
      <w:pPr>
        <w:ind w:left="5998" w:hanging="360"/>
      </w:pPr>
    </w:lvl>
    <w:lvl w:ilvl="8" w:tplc="080A001B" w:tentative="1">
      <w:start w:val="1"/>
      <w:numFmt w:val="lowerRoman"/>
      <w:lvlText w:val="%9."/>
      <w:lvlJc w:val="right"/>
      <w:pPr>
        <w:ind w:left="6718" w:hanging="180"/>
      </w:pPr>
    </w:lvl>
  </w:abstractNum>
  <w:abstractNum w:abstractNumId="12" w15:restartNumberingAfterBreak="0">
    <w:nsid w:val="12FE53F6"/>
    <w:multiLevelType w:val="hybridMultilevel"/>
    <w:tmpl w:val="C67C083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15:restartNumberingAfterBreak="0">
    <w:nsid w:val="16527B32"/>
    <w:multiLevelType w:val="hybridMultilevel"/>
    <w:tmpl w:val="C900B36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17EE3027"/>
    <w:multiLevelType w:val="hybridMultilevel"/>
    <w:tmpl w:val="F950092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184A7997"/>
    <w:multiLevelType w:val="hybridMultilevel"/>
    <w:tmpl w:val="228E1276"/>
    <w:lvl w:ilvl="0" w:tplc="AF54AC80">
      <w:start w:val="1"/>
      <w:numFmt w:val="decimal"/>
      <w:lvlText w:val="%1."/>
      <w:lvlJc w:val="left"/>
      <w:pPr>
        <w:ind w:left="720" w:hanging="360"/>
      </w:pPr>
      <w:rPr>
        <w:b w:val="0"/>
        <w:bCs/>
        <w:sz w:val="22"/>
        <w:szCs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18BE781B"/>
    <w:multiLevelType w:val="hybridMultilevel"/>
    <w:tmpl w:val="7320F378"/>
    <w:lvl w:ilvl="0" w:tplc="14381290">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1B2D3B3E"/>
    <w:multiLevelType w:val="hybridMultilevel"/>
    <w:tmpl w:val="0D2E068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15:restartNumberingAfterBreak="0">
    <w:nsid w:val="1C5A5129"/>
    <w:multiLevelType w:val="hybridMultilevel"/>
    <w:tmpl w:val="930A56FC"/>
    <w:lvl w:ilvl="0" w:tplc="080A0017">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9" w15:restartNumberingAfterBreak="0">
    <w:nsid w:val="1D207954"/>
    <w:multiLevelType w:val="hybridMultilevel"/>
    <w:tmpl w:val="8732257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1E205676"/>
    <w:multiLevelType w:val="hybridMultilevel"/>
    <w:tmpl w:val="780AA04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1EDC2708"/>
    <w:multiLevelType w:val="hybridMultilevel"/>
    <w:tmpl w:val="4C48CD22"/>
    <w:lvl w:ilvl="0" w:tplc="080A000F">
      <w:start w:val="1"/>
      <w:numFmt w:val="decimal"/>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2" w15:restartNumberingAfterBreak="0">
    <w:nsid w:val="1EF41C0D"/>
    <w:multiLevelType w:val="hybridMultilevel"/>
    <w:tmpl w:val="C900B36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22AC4BD5"/>
    <w:multiLevelType w:val="hybridMultilevel"/>
    <w:tmpl w:val="F31E5EF6"/>
    <w:lvl w:ilvl="0" w:tplc="8494C0AA">
      <w:start w:val="1"/>
      <w:numFmt w:val="bullet"/>
      <w:lvlText w:val="•"/>
      <w:lvlJc w:val="left"/>
      <w:pPr>
        <w:tabs>
          <w:tab w:val="num" w:pos="720"/>
        </w:tabs>
        <w:ind w:left="720" w:hanging="360"/>
      </w:pPr>
      <w:rPr>
        <w:rFonts w:ascii="Arial" w:hAnsi="Arial" w:hint="default"/>
      </w:rPr>
    </w:lvl>
    <w:lvl w:ilvl="1" w:tplc="BF5CD19E" w:tentative="1">
      <w:start w:val="1"/>
      <w:numFmt w:val="bullet"/>
      <w:lvlText w:val="•"/>
      <w:lvlJc w:val="left"/>
      <w:pPr>
        <w:tabs>
          <w:tab w:val="num" w:pos="1440"/>
        </w:tabs>
        <w:ind w:left="1440" w:hanging="360"/>
      </w:pPr>
      <w:rPr>
        <w:rFonts w:ascii="Arial" w:hAnsi="Arial" w:hint="default"/>
      </w:rPr>
    </w:lvl>
    <w:lvl w:ilvl="2" w:tplc="4DF40D66" w:tentative="1">
      <w:start w:val="1"/>
      <w:numFmt w:val="bullet"/>
      <w:lvlText w:val="•"/>
      <w:lvlJc w:val="left"/>
      <w:pPr>
        <w:tabs>
          <w:tab w:val="num" w:pos="2160"/>
        </w:tabs>
        <w:ind w:left="2160" w:hanging="360"/>
      </w:pPr>
      <w:rPr>
        <w:rFonts w:ascii="Arial" w:hAnsi="Arial" w:hint="default"/>
      </w:rPr>
    </w:lvl>
    <w:lvl w:ilvl="3" w:tplc="78109FD4" w:tentative="1">
      <w:start w:val="1"/>
      <w:numFmt w:val="bullet"/>
      <w:lvlText w:val="•"/>
      <w:lvlJc w:val="left"/>
      <w:pPr>
        <w:tabs>
          <w:tab w:val="num" w:pos="2880"/>
        </w:tabs>
        <w:ind w:left="2880" w:hanging="360"/>
      </w:pPr>
      <w:rPr>
        <w:rFonts w:ascii="Arial" w:hAnsi="Arial" w:hint="default"/>
      </w:rPr>
    </w:lvl>
    <w:lvl w:ilvl="4" w:tplc="215ADC74" w:tentative="1">
      <w:start w:val="1"/>
      <w:numFmt w:val="bullet"/>
      <w:lvlText w:val="•"/>
      <w:lvlJc w:val="left"/>
      <w:pPr>
        <w:tabs>
          <w:tab w:val="num" w:pos="3600"/>
        </w:tabs>
        <w:ind w:left="3600" w:hanging="360"/>
      </w:pPr>
      <w:rPr>
        <w:rFonts w:ascii="Arial" w:hAnsi="Arial" w:hint="default"/>
      </w:rPr>
    </w:lvl>
    <w:lvl w:ilvl="5" w:tplc="F8847C50" w:tentative="1">
      <w:start w:val="1"/>
      <w:numFmt w:val="bullet"/>
      <w:lvlText w:val="•"/>
      <w:lvlJc w:val="left"/>
      <w:pPr>
        <w:tabs>
          <w:tab w:val="num" w:pos="4320"/>
        </w:tabs>
        <w:ind w:left="4320" w:hanging="360"/>
      </w:pPr>
      <w:rPr>
        <w:rFonts w:ascii="Arial" w:hAnsi="Arial" w:hint="default"/>
      </w:rPr>
    </w:lvl>
    <w:lvl w:ilvl="6" w:tplc="6B3C51BA" w:tentative="1">
      <w:start w:val="1"/>
      <w:numFmt w:val="bullet"/>
      <w:lvlText w:val="•"/>
      <w:lvlJc w:val="left"/>
      <w:pPr>
        <w:tabs>
          <w:tab w:val="num" w:pos="5040"/>
        </w:tabs>
        <w:ind w:left="5040" w:hanging="360"/>
      </w:pPr>
      <w:rPr>
        <w:rFonts w:ascii="Arial" w:hAnsi="Arial" w:hint="default"/>
      </w:rPr>
    </w:lvl>
    <w:lvl w:ilvl="7" w:tplc="D7D0D270" w:tentative="1">
      <w:start w:val="1"/>
      <w:numFmt w:val="bullet"/>
      <w:lvlText w:val="•"/>
      <w:lvlJc w:val="left"/>
      <w:pPr>
        <w:tabs>
          <w:tab w:val="num" w:pos="5760"/>
        </w:tabs>
        <w:ind w:left="5760" w:hanging="360"/>
      </w:pPr>
      <w:rPr>
        <w:rFonts w:ascii="Arial" w:hAnsi="Arial" w:hint="default"/>
      </w:rPr>
    </w:lvl>
    <w:lvl w:ilvl="8" w:tplc="D1D20AE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46B6747"/>
    <w:multiLevelType w:val="hybridMultilevel"/>
    <w:tmpl w:val="935CB82A"/>
    <w:lvl w:ilvl="0" w:tplc="DA044944">
      <w:start w:val="3"/>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0">
    <w:nsid w:val="263C1437"/>
    <w:multiLevelType w:val="hybridMultilevel"/>
    <w:tmpl w:val="5F281CC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15:restartNumberingAfterBreak="0">
    <w:nsid w:val="29933458"/>
    <w:multiLevelType w:val="hybridMultilevel"/>
    <w:tmpl w:val="C900B36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15:restartNumberingAfterBreak="0">
    <w:nsid w:val="2A6762EC"/>
    <w:multiLevelType w:val="hybridMultilevel"/>
    <w:tmpl w:val="71264C7A"/>
    <w:lvl w:ilvl="0" w:tplc="314A5A16">
      <w:start w:val="4"/>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15:restartNumberingAfterBreak="0">
    <w:nsid w:val="2A762D3C"/>
    <w:multiLevelType w:val="hybridMultilevel"/>
    <w:tmpl w:val="BA5E48E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15:restartNumberingAfterBreak="0">
    <w:nsid w:val="2B0C16C8"/>
    <w:multiLevelType w:val="hybridMultilevel"/>
    <w:tmpl w:val="C900B36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15:restartNumberingAfterBreak="0">
    <w:nsid w:val="2C155E36"/>
    <w:multiLevelType w:val="hybridMultilevel"/>
    <w:tmpl w:val="C900B36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15:restartNumberingAfterBreak="0">
    <w:nsid w:val="301379C7"/>
    <w:multiLevelType w:val="hybridMultilevel"/>
    <w:tmpl w:val="BAA0045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2" w15:restartNumberingAfterBreak="0">
    <w:nsid w:val="315950D1"/>
    <w:multiLevelType w:val="hybridMultilevel"/>
    <w:tmpl w:val="685626FC"/>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33" w15:restartNumberingAfterBreak="0">
    <w:nsid w:val="349A2A96"/>
    <w:multiLevelType w:val="hybridMultilevel"/>
    <w:tmpl w:val="20DA986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15:restartNumberingAfterBreak="0">
    <w:nsid w:val="38A01D44"/>
    <w:multiLevelType w:val="hybridMultilevel"/>
    <w:tmpl w:val="66869E64"/>
    <w:lvl w:ilvl="0" w:tplc="9E1E5856">
      <w:start w:val="1"/>
      <w:numFmt w:val="lowerLetter"/>
      <w:lvlText w:val="%1)"/>
      <w:lvlJc w:val="left"/>
      <w:pPr>
        <w:ind w:left="720" w:hanging="360"/>
      </w:pPr>
      <w:rPr>
        <w:rFonts w:ascii="Calibri" w:eastAsia="Calibri" w:hAnsi="Calibri" w:cs="Calibri"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15:restartNumberingAfterBreak="0">
    <w:nsid w:val="3CCA4958"/>
    <w:multiLevelType w:val="hybridMultilevel"/>
    <w:tmpl w:val="0B644CAA"/>
    <w:lvl w:ilvl="0" w:tplc="5282A69A">
      <w:start w:val="1"/>
      <w:numFmt w:val="decimal"/>
      <w:lvlText w:val="%1)"/>
      <w:lvlJc w:val="left"/>
      <w:pPr>
        <w:ind w:left="786" w:hanging="360"/>
      </w:pPr>
      <w:rPr>
        <w:rFonts w:hint="default"/>
      </w:rPr>
    </w:lvl>
    <w:lvl w:ilvl="1" w:tplc="080A0019" w:tentative="1">
      <w:start w:val="1"/>
      <w:numFmt w:val="lowerLetter"/>
      <w:lvlText w:val="%2."/>
      <w:lvlJc w:val="left"/>
      <w:pPr>
        <w:ind w:left="1506" w:hanging="360"/>
      </w:pPr>
    </w:lvl>
    <w:lvl w:ilvl="2" w:tplc="080A001B" w:tentative="1">
      <w:start w:val="1"/>
      <w:numFmt w:val="lowerRoman"/>
      <w:lvlText w:val="%3."/>
      <w:lvlJc w:val="right"/>
      <w:pPr>
        <w:ind w:left="2226" w:hanging="180"/>
      </w:pPr>
    </w:lvl>
    <w:lvl w:ilvl="3" w:tplc="080A000F" w:tentative="1">
      <w:start w:val="1"/>
      <w:numFmt w:val="decimal"/>
      <w:lvlText w:val="%4."/>
      <w:lvlJc w:val="left"/>
      <w:pPr>
        <w:ind w:left="2946" w:hanging="360"/>
      </w:pPr>
    </w:lvl>
    <w:lvl w:ilvl="4" w:tplc="080A0019" w:tentative="1">
      <w:start w:val="1"/>
      <w:numFmt w:val="lowerLetter"/>
      <w:lvlText w:val="%5."/>
      <w:lvlJc w:val="left"/>
      <w:pPr>
        <w:ind w:left="3666" w:hanging="360"/>
      </w:pPr>
    </w:lvl>
    <w:lvl w:ilvl="5" w:tplc="080A001B" w:tentative="1">
      <w:start w:val="1"/>
      <w:numFmt w:val="lowerRoman"/>
      <w:lvlText w:val="%6."/>
      <w:lvlJc w:val="right"/>
      <w:pPr>
        <w:ind w:left="4386" w:hanging="180"/>
      </w:pPr>
    </w:lvl>
    <w:lvl w:ilvl="6" w:tplc="080A000F" w:tentative="1">
      <w:start w:val="1"/>
      <w:numFmt w:val="decimal"/>
      <w:lvlText w:val="%7."/>
      <w:lvlJc w:val="left"/>
      <w:pPr>
        <w:ind w:left="5106" w:hanging="360"/>
      </w:pPr>
    </w:lvl>
    <w:lvl w:ilvl="7" w:tplc="080A0019" w:tentative="1">
      <w:start w:val="1"/>
      <w:numFmt w:val="lowerLetter"/>
      <w:lvlText w:val="%8."/>
      <w:lvlJc w:val="left"/>
      <w:pPr>
        <w:ind w:left="5826" w:hanging="360"/>
      </w:pPr>
    </w:lvl>
    <w:lvl w:ilvl="8" w:tplc="080A001B" w:tentative="1">
      <w:start w:val="1"/>
      <w:numFmt w:val="lowerRoman"/>
      <w:lvlText w:val="%9."/>
      <w:lvlJc w:val="right"/>
      <w:pPr>
        <w:ind w:left="6546" w:hanging="180"/>
      </w:pPr>
    </w:lvl>
  </w:abstractNum>
  <w:abstractNum w:abstractNumId="36" w15:restartNumberingAfterBreak="0">
    <w:nsid w:val="3EDC2EBE"/>
    <w:multiLevelType w:val="hybridMultilevel"/>
    <w:tmpl w:val="B144FF6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15:restartNumberingAfterBreak="0">
    <w:nsid w:val="3F35239B"/>
    <w:multiLevelType w:val="hybridMultilevel"/>
    <w:tmpl w:val="76562B0E"/>
    <w:lvl w:ilvl="0" w:tplc="080A0011">
      <w:start w:val="1"/>
      <w:numFmt w:val="decimal"/>
      <w:lvlText w:val="%1)"/>
      <w:lvlJc w:val="left"/>
      <w:pPr>
        <w:ind w:left="720" w:hanging="360"/>
      </w:pPr>
      <w:rPr>
        <w:rFonts w:hint="default"/>
        <w:color w:val="auto"/>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8" w15:restartNumberingAfterBreak="0">
    <w:nsid w:val="3F4905CE"/>
    <w:multiLevelType w:val="hybridMultilevel"/>
    <w:tmpl w:val="FB06A69A"/>
    <w:lvl w:ilvl="0" w:tplc="0FF21DCE">
      <w:start w:val="8"/>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9" w15:restartNumberingAfterBreak="0">
    <w:nsid w:val="3F8C0F1C"/>
    <w:multiLevelType w:val="hybridMultilevel"/>
    <w:tmpl w:val="A3B6251C"/>
    <w:lvl w:ilvl="0" w:tplc="B6427442">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0" w15:restartNumberingAfterBreak="0">
    <w:nsid w:val="41094513"/>
    <w:multiLevelType w:val="hybridMultilevel"/>
    <w:tmpl w:val="C900B36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1" w15:restartNumberingAfterBreak="0">
    <w:nsid w:val="4248733E"/>
    <w:multiLevelType w:val="hybridMultilevel"/>
    <w:tmpl w:val="C0843D36"/>
    <w:lvl w:ilvl="0" w:tplc="085E4F1E">
      <w:start w:val="4"/>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2" w15:restartNumberingAfterBreak="0">
    <w:nsid w:val="42F31A77"/>
    <w:multiLevelType w:val="hybridMultilevel"/>
    <w:tmpl w:val="5F92E42A"/>
    <w:lvl w:ilvl="0" w:tplc="BC8AA74A">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3" w15:restartNumberingAfterBreak="0">
    <w:nsid w:val="477647AB"/>
    <w:multiLevelType w:val="hybridMultilevel"/>
    <w:tmpl w:val="20DA986A"/>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4" w15:restartNumberingAfterBreak="0">
    <w:nsid w:val="49701BAD"/>
    <w:multiLevelType w:val="hybridMultilevel"/>
    <w:tmpl w:val="C900B36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5" w15:restartNumberingAfterBreak="0">
    <w:nsid w:val="5072729B"/>
    <w:multiLevelType w:val="hybridMultilevel"/>
    <w:tmpl w:val="C900B36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6" w15:restartNumberingAfterBreak="0">
    <w:nsid w:val="516F5673"/>
    <w:multiLevelType w:val="hybridMultilevel"/>
    <w:tmpl w:val="C900B36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7" w15:restartNumberingAfterBreak="0">
    <w:nsid w:val="553F1C7C"/>
    <w:multiLevelType w:val="hybridMultilevel"/>
    <w:tmpl w:val="1246525C"/>
    <w:lvl w:ilvl="0" w:tplc="0FF21DCE">
      <w:start w:val="4"/>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8" w15:restartNumberingAfterBreak="0">
    <w:nsid w:val="55C5419E"/>
    <w:multiLevelType w:val="hybridMultilevel"/>
    <w:tmpl w:val="21D6841E"/>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9" w15:restartNumberingAfterBreak="0">
    <w:nsid w:val="575F2072"/>
    <w:multiLevelType w:val="hybridMultilevel"/>
    <w:tmpl w:val="C900B36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0" w15:restartNumberingAfterBreak="0">
    <w:nsid w:val="57DC6302"/>
    <w:multiLevelType w:val="hybridMultilevel"/>
    <w:tmpl w:val="569C04E0"/>
    <w:lvl w:ilvl="0" w:tplc="453A19F4">
      <w:start w:val="1"/>
      <w:numFmt w:val="lowerLetter"/>
      <w:lvlText w:val="%1)"/>
      <w:lvlJc w:val="left"/>
      <w:pPr>
        <w:ind w:left="720" w:hanging="360"/>
      </w:pPr>
      <w:rPr>
        <w:rFonts w:hint="default"/>
        <w:color w:val="000000" w:themeColor="text1"/>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1" w15:restartNumberingAfterBreak="0">
    <w:nsid w:val="58020DE9"/>
    <w:multiLevelType w:val="hybridMultilevel"/>
    <w:tmpl w:val="92C2BCE0"/>
    <w:lvl w:ilvl="0" w:tplc="D52A5F2C">
      <w:numFmt w:val="bullet"/>
      <w:lvlText w:val="-"/>
      <w:lvlJc w:val="left"/>
      <w:pPr>
        <w:ind w:left="528" w:hanging="360"/>
      </w:pPr>
      <w:rPr>
        <w:rFonts w:ascii="Calibri" w:eastAsiaTheme="minorHAnsi" w:hAnsi="Calibri" w:cstheme="minorBidi" w:hint="default"/>
      </w:rPr>
    </w:lvl>
    <w:lvl w:ilvl="1" w:tplc="080A0003" w:tentative="1">
      <w:start w:val="1"/>
      <w:numFmt w:val="bullet"/>
      <w:lvlText w:val="o"/>
      <w:lvlJc w:val="left"/>
      <w:pPr>
        <w:ind w:left="1248" w:hanging="360"/>
      </w:pPr>
      <w:rPr>
        <w:rFonts w:ascii="Courier New" w:hAnsi="Courier New" w:cs="Courier New" w:hint="default"/>
      </w:rPr>
    </w:lvl>
    <w:lvl w:ilvl="2" w:tplc="080A0005" w:tentative="1">
      <w:start w:val="1"/>
      <w:numFmt w:val="bullet"/>
      <w:lvlText w:val=""/>
      <w:lvlJc w:val="left"/>
      <w:pPr>
        <w:ind w:left="1968" w:hanging="360"/>
      </w:pPr>
      <w:rPr>
        <w:rFonts w:ascii="Wingdings" w:hAnsi="Wingdings" w:hint="default"/>
      </w:rPr>
    </w:lvl>
    <w:lvl w:ilvl="3" w:tplc="080A0001" w:tentative="1">
      <w:start w:val="1"/>
      <w:numFmt w:val="bullet"/>
      <w:lvlText w:val=""/>
      <w:lvlJc w:val="left"/>
      <w:pPr>
        <w:ind w:left="2688" w:hanging="360"/>
      </w:pPr>
      <w:rPr>
        <w:rFonts w:ascii="Symbol" w:hAnsi="Symbol" w:hint="default"/>
      </w:rPr>
    </w:lvl>
    <w:lvl w:ilvl="4" w:tplc="080A0003" w:tentative="1">
      <w:start w:val="1"/>
      <w:numFmt w:val="bullet"/>
      <w:lvlText w:val="o"/>
      <w:lvlJc w:val="left"/>
      <w:pPr>
        <w:ind w:left="3408" w:hanging="360"/>
      </w:pPr>
      <w:rPr>
        <w:rFonts w:ascii="Courier New" w:hAnsi="Courier New" w:cs="Courier New" w:hint="default"/>
      </w:rPr>
    </w:lvl>
    <w:lvl w:ilvl="5" w:tplc="080A0005" w:tentative="1">
      <w:start w:val="1"/>
      <w:numFmt w:val="bullet"/>
      <w:lvlText w:val=""/>
      <w:lvlJc w:val="left"/>
      <w:pPr>
        <w:ind w:left="4128" w:hanging="360"/>
      </w:pPr>
      <w:rPr>
        <w:rFonts w:ascii="Wingdings" w:hAnsi="Wingdings" w:hint="default"/>
      </w:rPr>
    </w:lvl>
    <w:lvl w:ilvl="6" w:tplc="080A0001" w:tentative="1">
      <w:start w:val="1"/>
      <w:numFmt w:val="bullet"/>
      <w:lvlText w:val=""/>
      <w:lvlJc w:val="left"/>
      <w:pPr>
        <w:ind w:left="4848" w:hanging="360"/>
      </w:pPr>
      <w:rPr>
        <w:rFonts w:ascii="Symbol" w:hAnsi="Symbol" w:hint="default"/>
      </w:rPr>
    </w:lvl>
    <w:lvl w:ilvl="7" w:tplc="080A0003" w:tentative="1">
      <w:start w:val="1"/>
      <w:numFmt w:val="bullet"/>
      <w:lvlText w:val="o"/>
      <w:lvlJc w:val="left"/>
      <w:pPr>
        <w:ind w:left="5568" w:hanging="360"/>
      </w:pPr>
      <w:rPr>
        <w:rFonts w:ascii="Courier New" w:hAnsi="Courier New" w:cs="Courier New" w:hint="default"/>
      </w:rPr>
    </w:lvl>
    <w:lvl w:ilvl="8" w:tplc="080A0005" w:tentative="1">
      <w:start w:val="1"/>
      <w:numFmt w:val="bullet"/>
      <w:lvlText w:val=""/>
      <w:lvlJc w:val="left"/>
      <w:pPr>
        <w:ind w:left="6288" w:hanging="360"/>
      </w:pPr>
      <w:rPr>
        <w:rFonts w:ascii="Wingdings" w:hAnsi="Wingdings" w:hint="default"/>
      </w:rPr>
    </w:lvl>
  </w:abstractNum>
  <w:abstractNum w:abstractNumId="52" w15:restartNumberingAfterBreak="0">
    <w:nsid w:val="5D844B7E"/>
    <w:multiLevelType w:val="hybridMultilevel"/>
    <w:tmpl w:val="C900B36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3" w15:restartNumberingAfterBreak="0">
    <w:nsid w:val="635F09B7"/>
    <w:multiLevelType w:val="hybridMultilevel"/>
    <w:tmpl w:val="C900B36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4" w15:restartNumberingAfterBreak="0">
    <w:nsid w:val="6CD91293"/>
    <w:multiLevelType w:val="hybridMultilevel"/>
    <w:tmpl w:val="7452D966"/>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5" w15:restartNumberingAfterBreak="0">
    <w:nsid w:val="728B0ED7"/>
    <w:multiLevelType w:val="hybridMultilevel"/>
    <w:tmpl w:val="033EDB6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6" w15:restartNumberingAfterBreak="0">
    <w:nsid w:val="72B55A35"/>
    <w:multiLevelType w:val="hybridMultilevel"/>
    <w:tmpl w:val="8A0ED474"/>
    <w:lvl w:ilvl="0" w:tplc="6C4897A0">
      <w:start w:val="1"/>
      <w:numFmt w:val="lowerLetter"/>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7" w15:restartNumberingAfterBreak="0">
    <w:nsid w:val="741056DD"/>
    <w:multiLevelType w:val="hybridMultilevel"/>
    <w:tmpl w:val="8E4EB710"/>
    <w:lvl w:ilvl="0" w:tplc="9858FCB6">
      <w:start w:val="1"/>
      <w:numFmt w:val="lowerLetter"/>
      <w:lvlText w:val="%1)"/>
      <w:lvlJc w:val="left"/>
      <w:pPr>
        <w:ind w:left="704" w:hanging="420"/>
      </w:pPr>
      <w:rPr>
        <w:rFonts w:hint="default"/>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58" w15:restartNumberingAfterBreak="0">
    <w:nsid w:val="75406556"/>
    <w:multiLevelType w:val="hybridMultilevel"/>
    <w:tmpl w:val="E8B6367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9" w15:restartNumberingAfterBreak="0">
    <w:nsid w:val="766A0947"/>
    <w:multiLevelType w:val="hybridMultilevel"/>
    <w:tmpl w:val="3D987398"/>
    <w:lvl w:ilvl="0" w:tplc="2604C392">
      <w:start w:val="1"/>
      <w:numFmt w:val="upperRoman"/>
      <w:lvlText w:val="%1)"/>
      <w:lvlJc w:val="left"/>
      <w:pPr>
        <w:ind w:left="760" w:hanging="720"/>
      </w:pPr>
      <w:rPr>
        <w:rFonts w:hint="default"/>
      </w:rPr>
    </w:lvl>
    <w:lvl w:ilvl="1" w:tplc="080A0019" w:tentative="1">
      <w:start w:val="1"/>
      <w:numFmt w:val="lowerLetter"/>
      <w:lvlText w:val="%2."/>
      <w:lvlJc w:val="left"/>
      <w:pPr>
        <w:ind w:left="1120" w:hanging="360"/>
      </w:pPr>
    </w:lvl>
    <w:lvl w:ilvl="2" w:tplc="080A001B" w:tentative="1">
      <w:start w:val="1"/>
      <w:numFmt w:val="lowerRoman"/>
      <w:lvlText w:val="%3."/>
      <w:lvlJc w:val="right"/>
      <w:pPr>
        <w:ind w:left="1840" w:hanging="180"/>
      </w:pPr>
    </w:lvl>
    <w:lvl w:ilvl="3" w:tplc="080A000F" w:tentative="1">
      <w:start w:val="1"/>
      <w:numFmt w:val="decimal"/>
      <w:lvlText w:val="%4."/>
      <w:lvlJc w:val="left"/>
      <w:pPr>
        <w:ind w:left="2560" w:hanging="360"/>
      </w:pPr>
    </w:lvl>
    <w:lvl w:ilvl="4" w:tplc="080A0019" w:tentative="1">
      <w:start w:val="1"/>
      <w:numFmt w:val="lowerLetter"/>
      <w:lvlText w:val="%5."/>
      <w:lvlJc w:val="left"/>
      <w:pPr>
        <w:ind w:left="3280" w:hanging="360"/>
      </w:pPr>
    </w:lvl>
    <w:lvl w:ilvl="5" w:tplc="080A001B" w:tentative="1">
      <w:start w:val="1"/>
      <w:numFmt w:val="lowerRoman"/>
      <w:lvlText w:val="%6."/>
      <w:lvlJc w:val="right"/>
      <w:pPr>
        <w:ind w:left="4000" w:hanging="180"/>
      </w:pPr>
    </w:lvl>
    <w:lvl w:ilvl="6" w:tplc="080A000F" w:tentative="1">
      <w:start w:val="1"/>
      <w:numFmt w:val="decimal"/>
      <w:lvlText w:val="%7."/>
      <w:lvlJc w:val="left"/>
      <w:pPr>
        <w:ind w:left="4720" w:hanging="360"/>
      </w:pPr>
    </w:lvl>
    <w:lvl w:ilvl="7" w:tplc="080A0019" w:tentative="1">
      <w:start w:val="1"/>
      <w:numFmt w:val="lowerLetter"/>
      <w:lvlText w:val="%8."/>
      <w:lvlJc w:val="left"/>
      <w:pPr>
        <w:ind w:left="5440" w:hanging="360"/>
      </w:pPr>
    </w:lvl>
    <w:lvl w:ilvl="8" w:tplc="080A001B" w:tentative="1">
      <w:start w:val="1"/>
      <w:numFmt w:val="lowerRoman"/>
      <w:lvlText w:val="%9."/>
      <w:lvlJc w:val="right"/>
      <w:pPr>
        <w:ind w:left="6160" w:hanging="180"/>
      </w:pPr>
    </w:lvl>
  </w:abstractNum>
  <w:abstractNum w:abstractNumId="60" w15:restartNumberingAfterBreak="0">
    <w:nsid w:val="79756332"/>
    <w:multiLevelType w:val="hybridMultilevel"/>
    <w:tmpl w:val="AE0439BA"/>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1" w15:restartNumberingAfterBreak="0">
    <w:nsid w:val="7CAA577D"/>
    <w:multiLevelType w:val="hybridMultilevel"/>
    <w:tmpl w:val="414EAA5E"/>
    <w:lvl w:ilvl="0" w:tplc="C296AA50">
      <w:start w:val="5"/>
      <w:numFmt w:val="bullet"/>
      <w:lvlText w:val="-"/>
      <w:lvlJc w:val="left"/>
      <w:pPr>
        <w:ind w:left="720" w:hanging="360"/>
      </w:pPr>
      <w:rPr>
        <w:rFonts w:ascii="Arial" w:eastAsia="Calibr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2"/>
  </w:num>
  <w:num w:numId="2">
    <w:abstractNumId w:val="56"/>
  </w:num>
  <w:num w:numId="3">
    <w:abstractNumId w:val="21"/>
  </w:num>
  <w:num w:numId="4">
    <w:abstractNumId w:val="1"/>
  </w:num>
  <w:num w:numId="5">
    <w:abstractNumId w:val="48"/>
  </w:num>
  <w:num w:numId="6">
    <w:abstractNumId w:val="15"/>
  </w:num>
  <w:num w:numId="7">
    <w:abstractNumId w:val="58"/>
  </w:num>
  <w:num w:numId="8">
    <w:abstractNumId w:val="51"/>
  </w:num>
  <w:num w:numId="9">
    <w:abstractNumId w:val="3"/>
  </w:num>
  <w:num w:numId="10">
    <w:abstractNumId w:val="26"/>
  </w:num>
  <w:num w:numId="11">
    <w:abstractNumId w:val="40"/>
  </w:num>
  <w:num w:numId="12">
    <w:abstractNumId w:val="6"/>
  </w:num>
  <w:num w:numId="13">
    <w:abstractNumId w:val="33"/>
  </w:num>
  <w:num w:numId="14">
    <w:abstractNumId w:val="29"/>
  </w:num>
  <w:num w:numId="15">
    <w:abstractNumId w:val="44"/>
  </w:num>
  <w:num w:numId="16">
    <w:abstractNumId w:val="30"/>
  </w:num>
  <w:num w:numId="17">
    <w:abstractNumId w:val="10"/>
  </w:num>
  <w:num w:numId="18">
    <w:abstractNumId w:val="49"/>
  </w:num>
  <w:num w:numId="19">
    <w:abstractNumId w:val="52"/>
  </w:num>
  <w:num w:numId="20">
    <w:abstractNumId w:val="13"/>
  </w:num>
  <w:num w:numId="21">
    <w:abstractNumId w:val="46"/>
  </w:num>
  <w:num w:numId="22">
    <w:abstractNumId w:val="22"/>
  </w:num>
  <w:num w:numId="23">
    <w:abstractNumId w:val="53"/>
  </w:num>
  <w:num w:numId="24">
    <w:abstractNumId w:val="2"/>
  </w:num>
  <w:num w:numId="25">
    <w:abstractNumId w:val="45"/>
  </w:num>
  <w:num w:numId="26">
    <w:abstractNumId w:val="32"/>
  </w:num>
  <w:num w:numId="27">
    <w:abstractNumId w:val="5"/>
  </w:num>
  <w:num w:numId="28">
    <w:abstractNumId w:val="0"/>
  </w:num>
  <w:num w:numId="29">
    <w:abstractNumId w:val="54"/>
  </w:num>
  <w:num w:numId="30">
    <w:abstractNumId w:val="57"/>
  </w:num>
  <w:num w:numId="31">
    <w:abstractNumId w:val="60"/>
  </w:num>
  <w:num w:numId="32">
    <w:abstractNumId w:val="28"/>
  </w:num>
  <w:num w:numId="33">
    <w:abstractNumId w:val="9"/>
  </w:num>
  <w:num w:numId="34">
    <w:abstractNumId w:val="7"/>
  </w:num>
  <w:num w:numId="35">
    <w:abstractNumId w:val="11"/>
  </w:num>
  <w:num w:numId="36">
    <w:abstractNumId w:val="19"/>
  </w:num>
  <w:num w:numId="37">
    <w:abstractNumId w:val="43"/>
  </w:num>
  <w:num w:numId="38">
    <w:abstractNumId w:val="37"/>
  </w:num>
  <w:num w:numId="39">
    <w:abstractNumId w:val="31"/>
  </w:num>
  <w:num w:numId="40">
    <w:abstractNumId w:val="20"/>
  </w:num>
  <w:num w:numId="41">
    <w:abstractNumId w:val="24"/>
  </w:num>
  <w:num w:numId="42">
    <w:abstractNumId w:val="17"/>
  </w:num>
  <w:num w:numId="43">
    <w:abstractNumId w:val="25"/>
  </w:num>
  <w:num w:numId="44">
    <w:abstractNumId w:val="23"/>
  </w:num>
  <w:num w:numId="45">
    <w:abstractNumId w:val="14"/>
  </w:num>
  <w:num w:numId="46">
    <w:abstractNumId w:val="34"/>
  </w:num>
  <w:num w:numId="47">
    <w:abstractNumId w:val="27"/>
  </w:num>
  <w:num w:numId="48">
    <w:abstractNumId w:val="50"/>
  </w:num>
  <w:num w:numId="49">
    <w:abstractNumId w:val="35"/>
  </w:num>
  <w:num w:numId="50">
    <w:abstractNumId w:val="39"/>
  </w:num>
  <w:num w:numId="51">
    <w:abstractNumId w:val="8"/>
  </w:num>
  <w:num w:numId="52">
    <w:abstractNumId w:val="59"/>
  </w:num>
  <w:num w:numId="53">
    <w:abstractNumId w:val="36"/>
  </w:num>
  <w:num w:numId="54">
    <w:abstractNumId w:val="42"/>
  </w:num>
  <w:num w:numId="55">
    <w:abstractNumId w:val="16"/>
  </w:num>
  <w:num w:numId="56">
    <w:abstractNumId w:val="4"/>
  </w:num>
  <w:num w:numId="57">
    <w:abstractNumId w:val="41"/>
  </w:num>
  <w:num w:numId="58">
    <w:abstractNumId w:val="47"/>
  </w:num>
  <w:num w:numId="59">
    <w:abstractNumId w:val="38"/>
  </w:num>
  <w:num w:numId="60">
    <w:abstractNumId w:val="55"/>
  </w:num>
  <w:num w:numId="61">
    <w:abstractNumId w:val="18"/>
  </w:num>
  <w:num w:numId="62">
    <w:abstractNumId w:val="6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cumentProtection w:edit="trackedChanges" w:enforcement="0"/>
  <w:defaultTabStop w:val="708"/>
  <w:hyphenationZone w:val="425"/>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4E90"/>
    <w:rsid w:val="000000E9"/>
    <w:rsid w:val="000007C9"/>
    <w:rsid w:val="0000083D"/>
    <w:rsid w:val="00000E61"/>
    <w:rsid w:val="00001129"/>
    <w:rsid w:val="00001223"/>
    <w:rsid w:val="000013A0"/>
    <w:rsid w:val="000016DD"/>
    <w:rsid w:val="0000187F"/>
    <w:rsid w:val="00001C08"/>
    <w:rsid w:val="000023BD"/>
    <w:rsid w:val="00002A08"/>
    <w:rsid w:val="00002C5C"/>
    <w:rsid w:val="00003097"/>
    <w:rsid w:val="0000329D"/>
    <w:rsid w:val="000032D7"/>
    <w:rsid w:val="0000349A"/>
    <w:rsid w:val="000034EE"/>
    <w:rsid w:val="0000379D"/>
    <w:rsid w:val="000038A3"/>
    <w:rsid w:val="00003D4F"/>
    <w:rsid w:val="0000460F"/>
    <w:rsid w:val="0000493E"/>
    <w:rsid w:val="000053FD"/>
    <w:rsid w:val="000055D3"/>
    <w:rsid w:val="000059AE"/>
    <w:rsid w:val="00006019"/>
    <w:rsid w:val="000060BE"/>
    <w:rsid w:val="00006193"/>
    <w:rsid w:val="000064E4"/>
    <w:rsid w:val="00006521"/>
    <w:rsid w:val="00006646"/>
    <w:rsid w:val="000066B3"/>
    <w:rsid w:val="000066BA"/>
    <w:rsid w:val="000069E5"/>
    <w:rsid w:val="000069F6"/>
    <w:rsid w:val="00006C0A"/>
    <w:rsid w:val="00006C7D"/>
    <w:rsid w:val="0000702F"/>
    <w:rsid w:val="0000723C"/>
    <w:rsid w:val="00007842"/>
    <w:rsid w:val="00007B06"/>
    <w:rsid w:val="00007E37"/>
    <w:rsid w:val="00010848"/>
    <w:rsid w:val="00010C9E"/>
    <w:rsid w:val="00010EF9"/>
    <w:rsid w:val="00011212"/>
    <w:rsid w:val="0001182C"/>
    <w:rsid w:val="0001194E"/>
    <w:rsid w:val="00011CA4"/>
    <w:rsid w:val="000124E7"/>
    <w:rsid w:val="00012693"/>
    <w:rsid w:val="0001293D"/>
    <w:rsid w:val="000136A5"/>
    <w:rsid w:val="000139A1"/>
    <w:rsid w:val="00013A9E"/>
    <w:rsid w:val="00013BC7"/>
    <w:rsid w:val="00013D11"/>
    <w:rsid w:val="000144FC"/>
    <w:rsid w:val="000146C8"/>
    <w:rsid w:val="000148BF"/>
    <w:rsid w:val="00014E81"/>
    <w:rsid w:val="000151A5"/>
    <w:rsid w:val="000151F1"/>
    <w:rsid w:val="00015BDD"/>
    <w:rsid w:val="00015C81"/>
    <w:rsid w:val="00015C9C"/>
    <w:rsid w:val="00015DC8"/>
    <w:rsid w:val="00015DD9"/>
    <w:rsid w:val="00015F6A"/>
    <w:rsid w:val="000160C4"/>
    <w:rsid w:val="000162A1"/>
    <w:rsid w:val="0001673E"/>
    <w:rsid w:val="000168E6"/>
    <w:rsid w:val="00016A5F"/>
    <w:rsid w:val="00016DEA"/>
    <w:rsid w:val="00017122"/>
    <w:rsid w:val="0001746B"/>
    <w:rsid w:val="000176CA"/>
    <w:rsid w:val="00017A9D"/>
    <w:rsid w:val="00017DA3"/>
    <w:rsid w:val="00017DE4"/>
    <w:rsid w:val="00017ED8"/>
    <w:rsid w:val="000200A4"/>
    <w:rsid w:val="0002049F"/>
    <w:rsid w:val="00020756"/>
    <w:rsid w:val="00020B8A"/>
    <w:rsid w:val="000211E2"/>
    <w:rsid w:val="0002189E"/>
    <w:rsid w:val="00021F56"/>
    <w:rsid w:val="0002232D"/>
    <w:rsid w:val="0002250C"/>
    <w:rsid w:val="0002251C"/>
    <w:rsid w:val="0002275F"/>
    <w:rsid w:val="00022AD0"/>
    <w:rsid w:val="00022B07"/>
    <w:rsid w:val="00022EBB"/>
    <w:rsid w:val="00022ECD"/>
    <w:rsid w:val="0002333F"/>
    <w:rsid w:val="00023810"/>
    <w:rsid w:val="00023D92"/>
    <w:rsid w:val="000247B9"/>
    <w:rsid w:val="000247D6"/>
    <w:rsid w:val="000249DC"/>
    <w:rsid w:val="00024A77"/>
    <w:rsid w:val="000255C6"/>
    <w:rsid w:val="000257E4"/>
    <w:rsid w:val="00025B23"/>
    <w:rsid w:val="00026347"/>
    <w:rsid w:val="00026363"/>
    <w:rsid w:val="000264EE"/>
    <w:rsid w:val="0002667D"/>
    <w:rsid w:val="00026933"/>
    <w:rsid w:val="00026B1E"/>
    <w:rsid w:val="00026D3E"/>
    <w:rsid w:val="00026DA5"/>
    <w:rsid w:val="00027520"/>
    <w:rsid w:val="00027F75"/>
    <w:rsid w:val="0003048A"/>
    <w:rsid w:val="00030567"/>
    <w:rsid w:val="00030882"/>
    <w:rsid w:val="00030B66"/>
    <w:rsid w:val="00030D07"/>
    <w:rsid w:val="00030D56"/>
    <w:rsid w:val="0003104A"/>
    <w:rsid w:val="000313D7"/>
    <w:rsid w:val="00031423"/>
    <w:rsid w:val="00031711"/>
    <w:rsid w:val="000318E2"/>
    <w:rsid w:val="00031928"/>
    <w:rsid w:val="00031A75"/>
    <w:rsid w:val="00031FF9"/>
    <w:rsid w:val="000325EE"/>
    <w:rsid w:val="000326FF"/>
    <w:rsid w:val="00032AF7"/>
    <w:rsid w:val="00032E36"/>
    <w:rsid w:val="000333BE"/>
    <w:rsid w:val="00033572"/>
    <w:rsid w:val="0003385B"/>
    <w:rsid w:val="00033F1C"/>
    <w:rsid w:val="00034230"/>
    <w:rsid w:val="0003446A"/>
    <w:rsid w:val="0003446B"/>
    <w:rsid w:val="00034761"/>
    <w:rsid w:val="000352A0"/>
    <w:rsid w:val="00035378"/>
    <w:rsid w:val="000353B7"/>
    <w:rsid w:val="000353FD"/>
    <w:rsid w:val="0003543A"/>
    <w:rsid w:val="00035B74"/>
    <w:rsid w:val="00035C52"/>
    <w:rsid w:val="00035D00"/>
    <w:rsid w:val="00035DBB"/>
    <w:rsid w:val="0003606E"/>
    <w:rsid w:val="00036931"/>
    <w:rsid w:val="00036C34"/>
    <w:rsid w:val="00040310"/>
    <w:rsid w:val="000407A7"/>
    <w:rsid w:val="000412D4"/>
    <w:rsid w:val="00041708"/>
    <w:rsid w:val="00041A08"/>
    <w:rsid w:val="00041A75"/>
    <w:rsid w:val="00041E8F"/>
    <w:rsid w:val="000425D2"/>
    <w:rsid w:val="00042768"/>
    <w:rsid w:val="00042835"/>
    <w:rsid w:val="00042BDE"/>
    <w:rsid w:val="00042C76"/>
    <w:rsid w:val="00042F0C"/>
    <w:rsid w:val="000437A8"/>
    <w:rsid w:val="0004390D"/>
    <w:rsid w:val="00043C98"/>
    <w:rsid w:val="00043F1F"/>
    <w:rsid w:val="00044160"/>
    <w:rsid w:val="0004425A"/>
    <w:rsid w:val="000446B1"/>
    <w:rsid w:val="00044802"/>
    <w:rsid w:val="00044816"/>
    <w:rsid w:val="00044C68"/>
    <w:rsid w:val="0004527F"/>
    <w:rsid w:val="0004534B"/>
    <w:rsid w:val="00045540"/>
    <w:rsid w:val="00045711"/>
    <w:rsid w:val="0004572E"/>
    <w:rsid w:val="000457B2"/>
    <w:rsid w:val="00045804"/>
    <w:rsid w:val="00045832"/>
    <w:rsid w:val="00045BFA"/>
    <w:rsid w:val="000460F4"/>
    <w:rsid w:val="000463AB"/>
    <w:rsid w:val="0004661D"/>
    <w:rsid w:val="00046F18"/>
    <w:rsid w:val="00047500"/>
    <w:rsid w:val="0004756E"/>
    <w:rsid w:val="00047C18"/>
    <w:rsid w:val="00047CDD"/>
    <w:rsid w:val="00050304"/>
    <w:rsid w:val="00050416"/>
    <w:rsid w:val="00050449"/>
    <w:rsid w:val="00050695"/>
    <w:rsid w:val="00050989"/>
    <w:rsid w:val="00050A79"/>
    <w:rsid w:val="00050A8A"/>
    <w:rsid w:val="00050B38"/>
    <w:rsid w:val="000513D1"/>
    <w:rsid w:val="000519AC"/>
    <w:rsid w:val="00051CCA"/>
    <w:rsid w:val="00051DB3"/>
    <w:rsid w:val="000523AE"/>
    <w:rsid w:val="00052AF9"/>
    <w:rsid w:val="00052ECC"/>
    <w:rsid w:val="000531EC"/>
    <w:rsid w:val="000534E5"/>
    <w:rsid w:val="00053825"/>
    <w:rsid w:val="00053970"/>
    <w:rsid w:val="00053A55"/>
    <w:rsid w:val="00053A74"/>
    <w:rsid w:val="00053D17"/>
    <w:rsid w:val="00053E7F"/>
    <w:rsid w:val="000544A6"/>
    <w:rsid w:val="00054D0A"/>
    <w:rsid w:val="00054D7B"/>
    <w:rsid w:val="000552BB"/>
    <w:rsid w:val="000555F5"/>
    <w:rsid w:val="0005581D"/>
    <w:rsid w:val="00055904"/>
    <w:rsid w:val="00055918"/>
    <w:rsid w:val="000559EE"/>
    <w:rsid w:val="00056174"/>
    <w:rsid w:val="00056889"/>
    <w:rsid w:val="000570B3"/>
    <w:rsid w:val="0005763E"/>
    <w:rsid w:val="0005779A"/>
    <w:rsid w:val="000579CC"/>
    <w:rsid w:val="00057E42"/>
    <w:rsid w:val="0006059A"/>
    <w:rsid w:val="000608AF"/>
    <w:rsid w:val="0006097C"/>
    <w:rsid w:val="00060A2B"/>
    <w:rsid w:val="000611D1"/>
    <w:rsid w:val="0006152D"/>
    <w:rsid w:val="00061955"/>
    <w:rsid w:val="00061E4E"/>
    <w:rsid w:val="00062093"/>
    <w:rsid w:val="0006271E"/>
    <w:rsid w:val="00062D3F"/>
    <w:rsid w:val="00062ECD"/>
    <w:rsid w:val="000636F3"/>
    <w:rsid w:val="00063D40"/>
    <w:rsid w:val="00063EF3"/>
    <w:rsid w:val="000640E9"/>
    <w:rsid w:val="0006414D"/>
    <w:rsid w:val="000646EC"/>
    <w:rsid w:val="0006489A"/>
    <w:rsid w:val="000649C3"/>
    <w:rsid w:val="00064A01"/>
    <w:rsid w:val="000650FF"/>
    <w:rsid w:val="000651DB"/>
    <w:rsid w:val="00065306"/>
    <w:rsid w:val="00065557"/>
    <w:rsid w:val="00065C2D"/>
    <w:rsid w:val="0006602D"/>
    <w:rsid w:val="000668B1"/>
    <w:rsid w:val="00066B3B"/>
    <w:rsid w:val="00066FB2"/>
    <w:rsid w:val="000673F4"/>
    <w:rsid w:val="000679AF"/>
    <w:rsid w:val="0007028D"/>
    <w:rsid w:val="00070CF9"/>
    <w:rsid w:val="000716A7"/>
    <w:rsid w:val="00071A3C"/>
    <w:rsid w:val="0007229C"/>
    <w:rsid w:val="0007232D"/>
    <w:rsid w:val="00072345"/>
    <w:rsid w:val="00072572"/>
    <w:rsid w:val="00072A3E"/>
    <w:rsid w:val="00072E24"/>
    <w:rsid w:val="00072F02"/>
    <w:rsid w:val="000732BD"/>
    <w:rsid w:val="00073B2A"/>
    <w:rsid w:val="00073C6F"/>
    <w:rsid w:val="00073C97"/>
    <w:rsid w:val="00073D99"/>
    <w:rsid w:val="00073E15"/>
    <w:rsid w:val="00073F98"/>
    <w:rsid w:val="000746CE"/>
    <w:rsid w:val="000749EF"/>
    <w:rsid w:val="00074BB0"/>
    <w:rsid w:val="00074D76"/>
    <w:rsid w:val="00075A30"/>
    <w:rsid w:val="00075F37"/>
    <w:rsid w:val="00076019"/>
    <w:rsid w:val="00076387"/>
    <w:rsid w:val="00076C5E"/>
    <w:rsid w:val="00076D40"/>
    <w:rsid w:val="0007744B"/>
    <w:rsid w:val="0007759E"/>
    <w:rsid w:val="00080388"/>
    <w:rsid w:val="0008046C"/>
    <w:rsid w:val="000805A9"/>
    <w:rsid w:val="00080D77"/>
    <w:rsid w:val="00080DFC"/>
    <w:rsid w:val="00080E0F"/>
    <w:rsid w:val="00081008"/>
    <w:rsid w:val="00081A0A"/>
    <w:rsid w:val="000829F4"/>
    <w:rsid w:val="00082C5C"/>
    <w:rsid w:val="000831DB"/>
    <w:rsid w:val="000834C7"/>
    <w:rsid w:val="00083BF8"/>
    <w:rsid w:val="00083CBA"/>
    <w:rsid w:val="00083D7D"/>
    <w:rsid w:val="0008415E"/>
    <w:rsid w:val="00084AE5"/>
    <w:rsid w:val="00084D4A"/>
    <w:rsid w:val="00084FFC"/>
    <w:rsid w:val="000853DB"/>
    <w:rsid w:val="000855E7"/>
    <w:rsid w:val="0008573F"/>
    <w:rsid w:val="00085861"/>
    <w:rsid w:val="00085D24"/>
    <w:rsid w:val="00086374"/>
    <w:rsid w:val="0008648D"/>
    <w:rsid w:val="000870B6"/>
    <w:rsid w:val="000877EC"/>
    <w:rsid w:val="00087952"/>
    <w:rsid w:val="00087AF0"/>
    <w:rsid w:val="00087DBC"/>
    <w:rsid w:val="00087F18"/>
    <w:rsid w:val="000900BB"/>
    <w:rsid w:val="00090115"/>
    <w:rsid w:val="00090432"/>
    <w:rsid w:val="0009052D"/>
    <w:rsid w:val="0009057C"/>
    <w:rsid w:val="00090917"/>
    <w:rsid w:val="000915E0"/>
    <w:rsid w:val="00091642"/>
    <w:rsid w:val="00091795"/>
    <w:rsid w:val="00091B05"/>
    <w:rsid w:val="00091C08"/>
    <w:rsid w:val="00091E29"/>
    <w:rsid w:val="0009224F"/>
    <w:rsid w:val="000925A6"/>
    <w:rsid w:val="00092748"/>
    <w:rsid w:val="00092C77"/>
    <w:rsid w:val="00092E9D"/>
    <w:rsid w:val="00092EE0"/>
    <w:rsid w:val="00093B84"/>
    <w:rsid w:val="00093C86"/>
    <w:rsid w:val="00093CBF"/>
    <w:rsid w:val="00093E95"/>
    <w:rsid w:val="00093F83"/>
    <w:rsid w:val="000941BC"/>
    <w:rsid w:val="000942B2"/>
    <w:rsid w:val="00094785"/>
    <w:rsid w:val="0009495E"/>
    <w:rsid w:val="00094EDD"/>
    <w:rsid w:val="00094FE1"/>
    <w:rsid w:val="000951AD"/>
    <w:rsid w:val="00095597"/>
    <w:rsid w:val="00095E6C"/>
    <w:rsid w:val="00095FE8"/>
    <w:rsid w:val="000963A6"/>
    <w:rsid w:val="0009659B"/>
    <w:rsid w:val="00096767"/>
    <w:rsid w:val="00096D98"/>
    <w:rsid w:val="00096E00"/>
    <w:rsid w:val="00097372"/>
    <w:rsid w:val="000973FB"/>
    <w:rsid w:val="00097574"/>
    <w:rsid w:val="000975CF"/>
    <w:rsid w:val="00097E3F"/>
    <w:rsid w:val="000A0049"/>
    <w:rsid w:val="000A0466"/>
    <w:rsid w:val="000A04BE"/>
    <w:rsid w:val="000A09AE"/>
    <w:rsid w:val="000A0C11"/>
    <w:rsid w:val="000A1656"/>
    <w:rsid w:val="000A1670"/>
    <w:rsid w:val="000A179A"/>
    <w:rsid w:val="000A1EF7"/>
    <w:rsid w:val="000A2087"/>
    <w:rsid w:val="000A227C"/>
    <w:rsid w:val="000A2473"/>
    <w:rsid w:val="000A27FB"/>
    <w:rsid w:val="000A336B"/>
    <w:rsid w:val="000A3851"/>
    <w:rsid w:val="000A4189"/>
    <w:rsid w:val="000A4614"/>
    <w:rsid w:val="000A468F"/>
    <w:rsid w:val="000A473D"/>
    <w:rsid w:val="000A4874"/>
    <w:rsid w:val="000A4BE0"/>
    <w:rsid w:val="000A51AB"/>
    <w:rsid w:val="000A5584"/>
    <w:rsid w:val="000A584C"/>
    <w:rsid w:val="000A5EDE"/>
    <w:rsid w:val="000A6217"/>
    <w:rsid w:val="000A658C"/>
    <w:rsid w:val="000A67E8"/>
    <w:rsid w:val="000A7284"/>
    <w:rsid w:val="000A72E8"/>
    <w:rsid w:val="000A73A4"/>
    <w:rsid w:val="000A748C"/>
    <w:rsid w:val="000A7677"/>
    <w:rsid w:val="000A7998"/>
    <w:rsid w:val="000A7B95"/>
    <w:rsid w:val="000A7C58"/>
    <w:rsid w:val="000B0144"/>
    <w:rsid w:val="000B0974"/>
    <w:rsid w:val="000B0AC6"/>
    <w:rsid w:val="000B11D7"/>
    <w:rsid w:val="000B1F7B"/>
    <w:rsid w:val="000B2116"/>
    <w:rsid w:val="000B2172"/>
    <w:rsid w:val="000B283C"/>
    <w:rsid w:val="000B2CD7"/>
    <w:rsid w:val="000B2DB6"/>
    <w:rsid w:val="000B2DE5"/>
    <w:rsid w:val="000B4268"/>
    <w:rsid w:val="000B48BD"/>
    <w:rsid w:val="000B4E7A"/>
    <w:rsid w:val="000B50B9"/>
    <w:rsid w:val="000B5492"/>
    <w:rsid w:val="000B59EA"/>
    <w:rsid w:val="000B619D"/>
    <w:rsid w:val="000B6279"/>
    <w:rsid w:val="000B632F"/>
    <w:rsid w:val="000B662A"/>
    <w:rsid w:val="000B6755"/>
    <w:rsid w:val="000B6861"/>
    <w:rsid w:val="000B6C33"/>
    <w:rsid w:val="000B6EEB"/>
    <w:rsid w:val="000B7129"/>
    <w:rsid w:val="000B74A5"/>
    <w:rsid w:val="000B787A"/>
    <w:rsid w:val="000B7E8A"/>
    <w:rsid w:val="000C0035"/>
    <w:rsid w:val="000C01DB"/>
    <w:rsid w:val="000C0992"/>
    <w:rsid w:val="000C0AAB"/>
    <w:rsid w:val="000C0C45"/>
    <w:rsid w:val="000C0DDE"/>
    <w:rsid w:val="000C13DF"/>
    <w:rsid w:val="000C183D"/>
    <w:rsid w:val="000C1D67"/>
    <w:rsid w:val="000C1F38"/>
    <w:rsid w:val="000C1FD0"/>
    <w:rsid w:val="000C25B5"/>
    <w:rsid w:val="000C279A"/>
    <w:rsid w:val="000C2A35"/>
    <w:rsid w:val="000C2EA1"/>
    <w:rsid w:val="000C2EB5"/>
    <w:rsid w:val="000C302F"/>
    <w:rsid w:val="000C370E"/>
    <w:rsid w:val="000C372D"/>
    <w:rsid w:val="000C38A3"/>
    <w:rsid w:val="000C3B48"/>
    <w:rsid w:val="000C47CC"/>
    <w:rsid w:val="000C5017"/>
    <w:rsid w:val="000C5961"/>
    <w:rsid w:val="000C687C"/>
    <w:rsid w:val="000C68F2"/>
    <w:rsid w:val="000C6A7F"/>
    <w:rsid w:val="000C6C22"/>
    <w:rsid w:val="000C6F56"/>
    <w:rsid w:val="000C6FA1"/>
    <w:rsid w:val="000C7102"/>
    <w:rsid w:val="000C73ED"/>
    <w:rsid w:val="000C78CB"/>
    <w:rsid w:val="000D012F"/>
    <w:rsid w:val="000D07AA"/>
    <w:rsid w:val="000D0902"/>
    <w:rsid w:val="000D09F2"/>
    <w:rsid w:val="000D0B06"/>
    <w:rsid w:val="000D0ECD"/>
    <w:rsid w:val="000D1287"/>
    <w:rsid w:val="000D16B4"/>
    <w:rsid w:val="000D2012"/>
    <w:rsid w:val="000D2257"/>
    <w:rsid w:val="000D234B"/>
    <w:rsid w:val="000D25D0"/>
    <w:rsid w:val="000D27A3"/>
    <w:rsid w:val="000D29CC"/>
    <w:rsid w:val="000D356A"/>
    <w:rsid w:val="000D3655"/>
    <w:rsid w:val="000D3A79"/>
    <w:rsid w:val="000D3B5A"/>
    <w:rsid w:val="000D3BEF"/>
    <w:rsid w:val="000D3C56"/>
    <w:rsid w:val="000D443A"/>
    <w:rsid w:val="000D4A05"/>
    <w:rsid w:val="000D4A20"/>
    <w:rsid w:val="000D5018"/>
    <w:rsid w:val="000D50B5"/>
    <w:rsid w:val="000D590A"/>
    <w:rsid w:val="000D590D"/>
    <w:rsid w:val="000D6525"/>
    <w:rsid w:val="000D68C2"/>
    <w:rsid w:val="000D6D73"/>
    <w:rsid w:val="000D6EBD"/>
    <w:rsid w:val="000D718C"/>
    <w:rsid w:val="000D7311"/>
    <w:rsid w:val="000D7DAE"/>
    <w:rsid w:val="000E014F"/>
    <w:rsid w:val="000E07EC"/>
    <w:rsid w:val="000E0AD9"/>
    <w:rsid w:val="000E0BBE"/>
    <w:rsid w:val="000E12BA"/>
    <w:rsid w:val="000E13BC"/>
    <w:rsid w:val="000E1C6F"/>
    <w:rsid w:val="000E2C4A"/>
    <w:rsid w:val="000E2E3C"/>
    <w:rsid w:val="000E3103"/>
    <w:rsid w:val="000E3592"/>
    <w:rsid w:val="000E3666"/>
    <w:rsid w:val="000E3674"/>
    <w:rsid w:val="000E3967"/>
    <w:rsid w:val="000E3DDA"/>
    <w:rsid w:val="000E4628"/>
    <w:rsid w:val="000E46E8"/>
    <w:rsid w:val="000E46FD"/>
    <w:rsid w:val="000E4E0F"/>
    <w:rsid w:val="000E4F1B"/>
    <w:rsid w:val="000E504F"/>
    <w:rsid w:val="000E630C"/>
    <w:rsid w:val="000E65B4"/>
    <w:rsid w:val="000E660D"/>
    <w:rsid w:val="000E6796"/>
    <w:rsid w:val="000E6990"/>
    <w:rsid w:val="000E6BAC"/>
    <w:rsid w:val="000E6EBB"/>
    <w:rsid w:val="000E7026"/>
    <w:rsid w:val="000E714B"/>
    <w:rsid w:val="000E7971"/>
    <w:rsid w:val="000E7A01"/>
    <w:rsid w:val="000E7D3C"/>
    <w:rsid w:val="000F0236"/>
    <w:rsid w:val="000F02F2"/>
    <w:rsid w:val="000F0462"/>
    <w:rsid w:val="000F09E2"/>
    <w:rsid w:val="000F10A6"/>
    <w:rsid w:val="000F15BB"/>
    <w:rsid w:val="000F19A0"/>
    <w:rsid w:val="000F1A24"/>
    <w:rsid w:val="000F1B61"/>
    <w:rsid w:val="000F1CFE"/>
    <w:rsid w:val="000F1FDF"/>
    <w:rsid w:val="000F2062"/>
    <w:rsid w:val="000F217C"/>
    <w:rsid w:val="000F2402"/>
    <w:rsid w:val="000F2EB7"/>
    <w:rsid w:val="000F30C5"/>
    <w:rsid w:val="000F3271"/>
    <w:rsid w:val="000F3327"/>
    <w:rsid w:val="000F33F6"/>
    <w:rsid w:val="000F354C"/>
    <w:rsid w:val="000F373F"/>
    <w:rsid w:val="000F3860"/>
    <w:rsid w:val="000F3CCE"/>
    <w:rsid w:val="000F4096"/>
    <w:rsid w:val="000F4DB1"/>
    <w:rsid w:val="000F518E"/>
    <w:rsid w:val="000F590E"/>
    <w:rsid w:val="000F5C51"/>
    <w:rsid w:val="000F5DFB"/>
    <w:rsid w:val="000F6853"/>
    <w:rsid w:val="001001C1"/>
    <w:rsid w:val="001011AF"/>
    <w:rsid w:val="0010172C"/>
    <w:rsid w:val="001018A6"/>
    <w:rsid w:val="00101924"/>
    <w:rsid w:val="00101F1E"/>
    <w:rsid w:val="001021D3"/>
    <w:rsid w:val="0010249A"/>
    <w:rsid w:val="001025F1"/>
    <w:rsid w:val="00102906"/>
    <w:rsid w:val="00102918"/>
    <w:rsid w:val="00102943"/>
    <w:rsid w:val="001036AC"/>
    <w:rsid w:val="001037B9"/>
    <w:rsid w:val="00103C9A"/>
    <w:rsid w:val="001045ED"/>
    <w:rsid w:val="00104919"/>
    <w:rsid w:val="00104DC1"/>
    <w:rsid w:val="00104F90"/>
    <w:rsid w:val="0010553C"/>
    <w:rsid w:val="0010648F"/>
    <w:rsid w:val="001067D8"/>
    <w:rsid w:val="00106A64"/>
    <w:rsid w:val="00106C45"/>
    <w:rsid w:val="00106F22"/>
    <w:rsid w:val="00107547"/>
    <w:rsid w:val="00107D78"/>
    <w:rsid w:val="001100D3"/>
    <w:rsid w:val="001103E0"/>
    <w:rsid w:val="0011048E"/>
    <w:rsid w:val="001105F1"/>
    <w:rsid w:val="0011060D"/>
    <w:rsid w:val="00110998"/>
    <w:rsid w:val="00110DC9"/>
    <w:rsid w:val="00110E79"/>
    <w:rsid w:val="0011118D"/>
    <w:rsid w:val="00111229"/>
    <w:rsid w:val="001115D1"/>
    <w:rsid w:val="001115F7"/>
    <w:rsid w:val="001119AC"/>
    <w:rsid w:val="00112524"/>
    <w:rsid w:val="001130D3"/>
    <w:rsid w:val="001130EB"/>
    <w:rsid w:val="00113267"/>
    <w:rsid w:val="00113304"/>
    <w:rsid w:val="001133BC"/>
    <w:rsid w:val="00113446"/>
    <w:rsid w:val="0011369B"/>
    <w:rsid w:val="00113B56"/>
    <w:rsid w:val="001142AD"/>
    <w:rsid w:val="0011442D"/>
    <w:rsid w:val="001145A9"/>
    <w:rsid w:val="00114710"/>
    <w:rsid w:val="00114CD1"/>
    <w:rsid w:val="00114CDE"/>
    <w:rsid w:val="00115008"/>
    <w:rsid w:val="00115743"/>
    <w:rsid w:val="00115C67"/>
    <w:rsid w:val="00115CFA"/>
    <w:rsid w:val="00115DE5"/>
    <w:rsid w:val="0011621C"/>
    <w:rsid w:val="00116BAF"/>
    <w:rsid w:val="00117075"/>
    <w:rsid w:val="001170CA"/>
    <w:rsid w:val="001170CC"/>
    <w:rsid w:val="0011719B"/>
    <w:rsid w:val="001176CA"/>
    <w:rsid w:val="001176EA"/>
    <w:rsid w:val="001177B8"/>
    <w:rsid w:val="00117CBA"/>
    <w:rsid w:val="001204B7"/>
    <w:rsid w:val="00120611"/>
    <w:rsid w:val="001206A5"/>
    <w:rsid w:val="00120ED8"/>
    <w:rsid w:val="00121328"/>
    <w:rsid w:val="0012146B"/>
    <w:rsid w:val="001219D6"/>
    <w:rsid w:val="00121AE7"/>
    <w:rsid w:val="00121D76"/>
    <w:rsid w:val="00122566"/>
    <w:rsid w:val="00122926"/>
    <w:rsid w:val="00122FCF"/>
    <w:rsid w:val="00123313"/>
    <w:rsid w:val="00123436"/>
    <w:rsid w:val="0012361C"/>
    <w:rsid w:val="00123A4D"/>
    <w:rsid w:val="00123B18"/>
    <w:rsid w:val="00123D4C"/>
    <w:rsid w:val="00123D83"/>
    <w:rsid w:val="00124354"/>
    <w:rsid w:val="001245EC"/>
    <w:rsid w:val="001246A3"/>
    <w:rsid w:val="00124B92"/>
    <w:rsid w:val="001250D0"/>
    <w:rsid w:val="0012528C"/>
    <w:rsid w:val="001257D5"/>
    <w:rsid w:val="00125951"/>
    <w:rsid w:val="001259FA"/>
    <w:rsid w:val="00125C04"/>
    <w:rsid w:val="00125C58"/>
    <w:rsid w:val="00125FB7"/>
    <w:rsid w:val="00126250"/>
    <w:rsid w:val="001268FA"/>
    <w:rsid w:val="00126CE9"/>
    <w:rsid w:val="00126E15"/>
    <w:rsid w:val="00126E92"/>
    <w:rsid w:val="00127201"/>
    <w:rsid w:val="00127242"/>
    <w:rsid w:val="001273EF"/>
    <w:rsid w:val="0012768E"/>
    <w:rsid w:val="001278AC"/>
    <w:rsid w:val="00127C6C"/>
    <w:rsid w:val="00127E82"/>
    <w:rsid w:val="00127FE0"/>
    <w:rsid w:val="001301C3"/>
    <w:rsid w:val="00130213"/>
    <w:rsid w:val="00130477"/>
    <w:rsid w:val="001309C6"/>
    <w:rsid w:val="00130A57"/>
    <w:rsid w:val="00130E48"/>
    <w:rsid w:val="00130F19"/>
    <w:rsid w:val="001310E7"/>
    <w:rsid w:val="001316D1"/>
    <w:rsid w:val="001317B4"/>
    <w:rsid w:val="0013189A"/>
    <w:rsid w:val="00131E95"/>
    <w:rsid w:val="00131F91"/>
    <w:rsid w:val="00132197"/>
    <w:rsid w:val="001322A5"/>
    <w:rsid w:val="00132AE3"/>
    <w:rsid w:val="001330E4"/>
    <w:rsid w:val="00133376"/>
    <w:rsid w:val="0013399D"/>
    <w:rsid w:val="00133C30"/>
    <w:rsid w:val="0013537C"/>
    <w:rsid w:val="00135B67"/>
    <w:rsid w:val="00135CB8"/>
    <w:rsid w:val="00136370"/>
    <w:rsid w:val="001368CE"/>
    <w:rsid w:val="0013779A"/>
    <w:rsid w:val="0013794E"/>
    <w:rsid w:val="00137993"/>
    <w:rsid w:val="001401FD"/>
    <w:rsid w:val="001403ED"/>
    <w:rsid w:val="00140624"/>
    <w:rsid w:val="001407C9"/>
    <w:rsid w:val="001407D6"/>
    <w:rsid w:val="00140E65"/>
    <w:rsid w:val="00141043"/>
    <w:rsid w:val="00141288"/>
    <w:rsid w:val="00141763"/>
    <w:rsid w:val="00141B77"/>
    <w:rsid w:val="001426B2"/>
    <w:rsid w:val="0014292A"/>
    <w:rsid w:val="00142EF3"/>
    <w:rsid w:val="0014310E"/>
    <w:rsid w:val="001432A5"/>
    <w:rsid w:val="001432C1"/>
    <w:rsid w:val="001439FC"/>
    <w:rsid w:val="00143A9A"/>
    <w:rsid w:val="00143E80"/>
    <w:rsid w:val="00143F96"/>
    <w:rsid w:val="00144211"/>
    <w:rsid w:val="001443DB"/>
    <w:rsid w:val="00144CF3"/>
    <w:rsid w:val="00144FB1"/>
    <w:rsid w:val="00145063"/>
    <w:rsid w:val="00145200"/>
    <w:rsid w:val="00145AFD"/>
    <w:rsid w:val="00146088"/>
    <w:rsid w:val="00146362"/>
    <w:rsid w:val="0014645A"/>
    <w:rsid w:val="00146744"/>
    <w:rsid w:val="0014730D"/>
    <w:rsid w:val="001474B8"/>
    <w:rsid w:val="0014799F"/>
    <w:rsid w:val="00147A15"/>
    <w:rsid w:val="00147E03"/>
    <w:rsid w:val="00147FB6"/>
    <w:rsid w:val="00150221"/>
    <w:rsid w:val="00150430"/>
    <w:rsid w:val="0015043E"/>
    <w:rsid w:val="00150EA1"/>
    <w:rsid w:val="00151365"/>
    <w:rsid w:val="001518F2"/>
    <w:rsid w:val="001518FF"/>
    <w:rsid w:val="00151AD9"/>
    <w:rsid w:val="00151DA6"/>
    <w:rsid w:val="00151E46"/>
    <w:rsid w:val="00151EBC"/>
    <w:rsid w:val="00151F6E"/>
    <w:rsid w:val="0015255A"/>
    <w:rsid w:val="0015261E"/>
    <w:rsid w:val="001526F6"/>
    <w:rsid w:val="001527C9"/>
    <w:rsid w:val="00152812"/>
    <w:rsid w:val="00152AC1"/>
    <w:rsid w:val="00152B2F"/>
    <w:rsid w:val="001530F4"/>
    <w:rsid w:val="001534B4"/>
    <w:rsid w:val="00153A0B"/>
    <w:rsid w:val="001541B5"/>
    <w:rsid w:val="001542CD"/>
    <w:rsid w:val="001546C3"/>
    <w:rsid w:val="00154C61"/>
    <w:rsid w:val="00155270"/>
    <w:rsid w:val="001555A3"/>
    <w:rsid w:val="001555AD"/>
    <w:rsid w:val="00155F2B"/>
    <w:rsid w:val="0015612A"/>
    <w:rsid w:val="001564DA"/>
    <w:rsid w:val="00157E04"/>
    <w:rsid w:val="00160185"/>
    <w:rsid w:val="001601AC"/>
    <w:rsid w:val="001602CF"/>
    <w:rsid w:val="00160315"/>
    <w:rsid w:val="00160C0D"/>
    <w:rsid w:val="00160DD1"/>
    <w:rsid w:val="00160E56"/>
    <w:rsid w:val="00161056"/>
    <w:rsid w:val="0016168F"/>
    <w:rsid w:val="00161796"/>
    <w:rsid w:val="001619E9"/>
    <w:rsid w:val="00161E15"/>
    <w:rsid w:val="00162100"/>
    <w:rsid w:val="00163715"/>
    <w:rsid w:val="00163A2F"/>
    <w:rsid w:val="00163F22"/>
    <w:rsid w:val="0016435F"/>
    <w:rsid w:val="001644A8"/>
    <w:rsid w:val="001646A1"/>
    <w:rsid w:val="001646F3"/>
    <w:rsid w:val="00164FCA"/>
    <w:rsid w:val="00165258"/>
    <w:rsid w:val="00165513"/>
    <w:rsid w:val="0016577A"/>
    <w:rsid w:val="00165C66"/>
    <w:rsid w:val="00165EDE"/>
    <w:rsid w:val="00166064"/>
    <w:rsid w:val="0016638C"/>
    <w:rsid w:val="001663DB"/>
    <w:rsid w:val="001663F5"/>
    <w:rsid w:val="00166C33"/>
    <w:rsid w:val="001670BC"/>
    <w:rsid w:val="0016724A"/>
    <w:rsid w:val="00167325"/>
    <w:rsid w:val="00167335"/>
    <w:rsid w:val="001678F8"/>
    <w:rsid w:val="00167927"/>
    <w:rsid w:val="00167C10"/>
    <w:rsid w:val="00167C8B"/>
    <w:rsid w:val="00167D7C"/>
    <w:rsid w:val="00170723"/>
    <w:rsid w:val="001708D9"/>
    <w:rsid w:val="00170BBF"/>
    <w:rsid w:val="00171CC5"/>
    <w:rsid w:val="001720D9"/>
    <w:rsid w:val="0017211F"/>
    <w:rsid w:val="00172142"/>
    <w:rsid w:val="00172629"/>
    <w:rsid w:val="00172BFF"/>
    <w:rsid w:val="00172C0B"/>
    <w:rsid w:val="0017328A"/>
    <w:rsid w:val="00173554"/>
    <w:rsid w:val="0017392B"/>
    <w:rsid w:val="00173BD3"/>
    <w:rsid w:val="00173BE1"/>
    <w:rsid w:val="00173E89"/>
    <w:rsid w:val="00174282"/>
    <w:rsid w:val="0017438F"/>
    <w:rsid w:val="00174510"/>
    <w:rsid w:val="00175025"/>
    <w:rsid w:val="0017554E"/>
    <w:rsid w:val="00175864"/>
    <w:rsid w:val="00175B08"/>
    <w:rsid w:val="00175B2B"/>
    <w:rsid w:val="00175F20"/>
    <w:rsid w:val="00175FD5"/>
    <w:rsid w:val="00176765"/>
    <w:rsid w:val="001767D6"/>
    <w:rsid w:val="00176AAF"/>
    <w:rsid w:val="00176F49"/>
    <w:rsid w:val="0017755A"/>
    <w:rsid w:val="00180084"/>
    <w:rsid w:val="00180573"/>
    <w:rsid w:val="0018085B"/>
    <w:rsid w:val="00180905"/>
    <w:rsid w:val="00180BBC"/>
    <w:rsid w:val="00180CD8"/>
    <w:rsid w:val="00181056"/>
    <w:rsid w:val="00181167"/>
    <w:rsid w:val="0018126E"/>
    <w:rsid w:val="00181480"/>
    <w:rsid w:val="00181714"/>
    <w:rsid w:val="00181C05"/>
    <w:rsid w:val="00181C49"/>
    <w:rsid w:val="00181CAA"/>
    <w:rsid w:val="00181D0E"/>
    <w:rsid w:val="001823F8"/>
    <w:rsid w:val="0018256B"/>
    <w:rsid w:val="00183254"/>
    <w:rsid w:val="001834B9"/>
    <w:rsid w:val="001837D0"/>
    <w:rsid w:val="00183C7A"/>
    <w:rsid w:val="001848CF"/>
    <w:rsid w:val="00184F56"/>
    <w:rsid w:val="00185259"/>
    <w:rsid w:val="00185677"/>
    <w:rsid w:val="001857D4"/>
    <w:rsid w:val="0018583C"/>
    <w:rsid w:val="00185897"/>
    <w:rsid w:val="001859CC"/>
    <w:rsid w:val="00185D27"/>
    <w:rsid w:val="001860B3"/>
    <w:rsid w:val="001863FF"/>
    <w:rsid w:val="00186A3B"/>
    <w:rsid w:val="00186B74"/>
    <w:rsid w:val="00186F27"/>
    <w:rsid w:val="00187012"/>
    <w:rsid w:val="0018710B"/>
    <w:rsid w:val="001873A9"/>
    <w:rsid w:val="001873AC"/>
    <w:rsid w:val="00187E93"/>
    <w:rsid w:val="001900A8"/>
    <w:rsid w:val="0019043B"/>
    <w:rsid w:val="001907C3"/>
    <w:rsid w:val="001907E0"/>
    <w:rsid w:val="001907EA"/>
    <w:rsid w:val="00190876"/>
    <w:rsid w:val="00190B62"/>
    <w:rsid w:val="00190C8C"/>
    <w:rsid w:val="00190C9A"/>
    <w:rsid w:val="00190D54"/>
    <w:rsid w:val="00190D9F"/>
    <w:rsid w:val="00191169"/>
    <w:rsid w:val="001919C0"/>
    <w:rsid w:val="00191A2F"/>
    <w:rsid w:val="00191C3B"/>
    <w:rsid w:val="00191D4A"/>
    <w:rsid w:val="0019238E"/>
    <w:rsid w:val="001923FB"/>
    <w:rsid w:val="00192B0F"/>
    <w:rsid w:val="00192F9B"/>
    <w:rsid w:val="00194159"/>
    <w:rsid w:val="0019436E"/>
    <w:rsid w:val="00194F9E"/>
    <w:rsid w:val="00195AF9"/>
    <w:rsid w:val="00195B78"/>
    <w:rsid w:val="00195F38"/>
    <w:rsid w:val="0019618A"/>
    <w:rsid w:val="00196215"/>
    <w:rsid w:val="00196732"/>
    <w:rsid w:val="0019706F"/>
    <w:rsid w:val="0019749D"/>
    <w:rsid w:val="001A0178"/>
    <w:rsid w:val="001A045F"/>
    <w:rsid w:val="001A04F4"/>
    <w:rsid w:val="001A05C8"/>
    <w:rsid w:val="001A06BB"/>
    <w:rsid w:val="001A079E"/>
    <w:rsid w:val="001A0991"/>
    <w:rsid w:val="001A102A"/>
    <w:rsid w:val="001A112F"/>
    <w:rsid w:val="001A118D"/>
    <w:rsid w:val="001A1393"/>
    <w:rsid w:val="001A1538"/>
    <w:rsid w:val="001A15B7"/>
    <w:rsid w:val="001A1E50"/>
    <w:rsid w:val="001A2170"/>
    <w:rsid w:val="001A2481"/>
    <w:rsid w:val="001A280F"/>
    <w:rsid w:val="001A2941"/>
    <w:rsid w:val="001A2F1A"/>
    <w:rsid w:val="001A31C6"/>
    <w:rsid w:val="001A342C"/>
    <w:rsid w:val="001A3659"/>
    <w:rsid w:val="001A3BFE"/>
    <w:rsid w:val="001A40FF"/>
    <w:rsid w:val="001A42D9"/>
    <w:rsid w:val="001A45F7"/>
    <w:rsid w:val="001A466C"/>
    <w:rsid w:val="001A47CC"/>
    <w:rsid w:val="001A4D97"/>
    <w:rsid w:val="001A5412"/>
    <w:rsid w:val="001A5526"/>
    <w:rsid w:val="001A57AC"/>
    <w:rsid w:val="001A5953"/>
    <w:rsid w:val="001A5AED"/>
    <w:rsid w:val="001A5B0A"/>
    <w:rsid w:val="001A5C6F"/>
    <w:rsid w:val="001A5F70"/>
    <w:rsid w:val="001A61EF"/>
    <w:rsid w:val="001A66B3"/>
    <w:rsid w:val="001A67BB"/>
    <w:rsid w:val="001A759D"/>
    <w:rsid w:val="001A7ACF"/>
    <w:rsid w:val="001A7BE9"/>
    <w:rsid w:val="001B04DA"/>
    <w:rsid w:val="001B0746"/>
    <w:rsid w:val="001B09AC"/>
    <w:rsid w:val="001B0E98"/>
    <w:rsid w:val="001B0EC5"/>
    <w:rsid w:val="001B104D"/>
    <w:rsid w:val="001B10F2"/>
    <w:rsid w:val="001B14BE"/>
    <w:rsid w:val="001B18D8"/>
    <w:rsid w:val="001B1AF5"/>
    <w:rsid w:val="001B1D9F"/>
    <w:rsid w:val="001B21B0"/>
    <w:rsid w:val="001B22EE"/>
    <w:rsid w:val="001B2757"/>
    <w:rsid w:val="001B299A"/>
    <w:rsid w:val="001B2A39"/>
    <w:rsid w:val="001B2AC3"/>
    <w:rsid w:val="001B2AF5"/>
    <w:rsid w:val="001B2E9C"/>
    <w:rsid w:val="001B3074"/>
    <w:rsid w:val="001B30B8"/>
    <w:rsid w:val="001B3179"/>
    <w:rsid w:val="001B3250"/>
    <w:rsid w:val="001B3A0D"/>
    <w:rsid w:val="001B3C15"/>
    <w:rsid w:val="001B42AC"/>
    <w:rsid w:val="001B4433"/>
    <w:rsid w:val="001B454D"/>
    <w:rsid w:val="001B4B37"/>
    <w:rsid w:val="001B4F45"/>
    <w:rsid w:val="001B5AF3"/>
    <w:rsid w:val="001B5E47"/>
    <w:rsid w:val="001B7247"/>
    <w:rsid w:val="001B73A8"/>
    <w:rsid w:val="001B799E"/>
    <w:rsid w:val="001B7B39"/>
    <w:rsid w:val="001B7D68"/>
    <w:rsid w:val="001C0117"/>
    <w:rsid w:val="001C0476"/>
    <w:rsid w:val="001C0585"/>
    <w:rsid w:val="001C081D"/>
    <w:rsid w:val="001C0ADE"/>
    <w:rsid w:val="001C0DAB"/>
    <w:rsid w:val="001C0FFE"/>
    <w:rsid w:val="001C11B7"/>
    <w:rsid w:val="001C12C5"/>
    <w:rsid w:val="001C143E"/>
    <w:rsid w:val="001C1601"/>
    <w:rsid w:val="001C19F7"/>
    <w:rsid w:val="001C1A29"/>
    <w:rsid w:val="001C1B04"/>
    <w:rsid w:val="001C23E4"/>
    <w:rsid w:val="001C2A81"/>
    <w:rsid w:val="001C2D81"/>
    <w:rsid w:val="001C327C"/>
    <w:rsid w:val="001C338D"/>
    <w:rsid w:val="001C3927"/>
    <w:rsid w:val="001C3BEF"/>
    <w:rsid w:val="001C3E3A"/>
    <w:rsid w:val="001C3E9A"/>
    <w:rsid w:val="001C3FC6"/>
    <w:rsid w:val="001C4207"/>
    <w:rsid w:val="001C43BD"/>
    <w:rsid w:val="001C492E"/>
    <w:rsid w:val="001C4B39"/>
    <w:rsid w:val="001C51CB"/>
    <w:rsid w:val="001C5242"/>
    <w:rsid w:val="001C54EA"/>
    <w:rsid w:val="001C5BB3"/>
    <w:rsid w:val="001C5E70"/>
    <w:rsid w:val="001C602A"/>
    <w:rsid w:val="001C6425"/>
    <w:rsid w:val="001C64CD"/>
    <w:rsid w:val="001C661F"/>
    <w:rsid w:val="001C6B72"/>
    <w:rsid w:val="001C7001"/>
    <w:rsid w:val="001C755D"/>
    <w:rsid w:val="001C7561"/>
    <w:rsid w:val="001C758B"/>
    <w:rsid w:val="001C75E7"/>
    <w:rsid w:val="001C7E6D"/>
    <w:rsid w:val="001C7EDC"/>
    <w:rsid w:val="001C7EE1"/>
    <w:rsid w:val="001D0346"/>
    <w:rsid w:val="001D03EC"/>
    <w:rsid w:val="001D04DF"/>
    <w:rsid w:val="001D08BC"/>
    <w:rsid w:val="001D0ABE"/>
    <w:rsid w:val="001D0D48"/>
    <w:rsid w:val="001D10E9"/>
    <w:rsid w:val="001D1268"/>
    <w:rsid w:val="001D16B4"/>
    <w:rsid w:val="001D1761"/>
    <w:rsid w:val="001D19FD"/>
    <w:rsid w:val="001D20E2"/>
    <w:rsid w:val="001D21C2"/>
    <w:rsid w:val="001D22AD"/>
    <w:rsid w:val="001D24AE"/>
    <w:rsid w:val="001D2D41"/>
    <w:rsid w:val="001D347B"/>
    <w:rsid w:val="001D370B"/>
    <w:rsid w:val="001D37AC"/>
    <w:rsid w:val="001D3928"/>
    <w:rsid w:val="001D392E"/>
    <w:rsid w:val="001D3B40"/>
    <w:rsid w:val="001D3F35"/>
    <w:rsid w:val="001D4781"/>
    <w:rsid w:val="001D4888"/>
    <w:rsid w:val="001D49BB"/>
    <w:rsid w:val="001D52C6"/>
    <w:rsid w:val="001D6124"/>
    <w:rsid w:val="001D6368"/>
    <w:rsid w:val="001D6C6E"/>
    <w:rsid w:val="001D71B8"/>
    <w:rsid w:val="001D7247"/>
    <w:rsid w:val="001D73E1"/>
    <w:rsid w:val="001D753E"/>
    <w:rsid w:val="001D76AD"/>
    <w:rsid w:val="001D7C1B"/>
    <w:rsid w:val="001D7C5B"/>
    <w:rsid w:val="001D7CF9"/>
    <w:rsid w:val="001D7F79"/>
    <w:rsid w:val="001E0360"/>
    <w:rsid w:val="001E038D"/>
    <w:rsid w:val="001E0535"/>
    <w:rsid w:val="001E0962"/>
    <w:rsid w:val="001E0BD5"/>
    <w:rsid w:val="001E0BEC"/>
    <w:rsid w:val="001E1614"/>
    <w:rsid w:val="001E25DE"/>
    <w:rsid w:val="001E27ED"/>
    <w:rsid w:val="001E2C03"/>
    <w:rsid w:val="001E2EF8"/>
    <w:rsid w:val="001E32E6"/>
    <w:rsid w:val="001E3A94"/>
    <w:rsid w:val="001E3B4E"/>
    <w:rsid w:val="001E4013"/>
    <w:rsid w:val="001E4343"/>
    <w:rsid w:val="001E4410"/>
    <w:rsid w:val="001E4511"/>
    <w:rsid w:val="001E466B"/>
    <w:rsid w:val="001E49AD"/>
    <w:rsid w:val="001E5432"/>
    <w:rsid w:val="001E55E3"/>
    <w:rsid w:val="001E5CC8"/>
    <w:rsid w:val="001E5EA6"/>
    <w:rsid w:val="001E6241"/>
    <w:rsid w:val="001E628F"/>
    <w:rsid w:val="001E68BE"/>
    <w:rsid w:val="001E6F22"/>
    <w:rsid w:val="001E6F38"/>
    <w:rsid w:val="001E7342"/>
    <w:rsid w:val="001E74E3"/>
    <w:rsid w:val="001E7711"/>
    <w:rsid w:val="001E790D"/>
    <w:rsid w:val="001E7E7F"/>
    <w:rsid w:val="001F0396"/>
    <w:rsid w:val="001F065F"/>
    <w:rsid w:val="001F1184"/>
    <w:rsid w:val="001F11E6"/>
    <w:rsid w:val="001F1693"/>
    <w:rsid w:val="001F175A"/>
    <w:rsid w:val="001F1C31"/>
    <w:rsid w:val="001F1CEF"/>
    <w:rsid w:val="001F1E63"/>
    <w:rsid w:val="001F1FF1"/>
    <w:rsid w:val="001F2079"/>
    <w:rsid w:val="001F23BF"/>
    <w:rsid w:val="001F23F6"/>
    <w:rsid w:val="001F259C"/>
    <w:rsid w:val="001F2764"/>
    <w:rsid w:val="001F2863"/>
    <w:rsid w:val="001F2A20"/>
    <w:rsid w:val="001F2BF0"/>
    <w:rsid w:val="001F2E1D"/>
    <w:rsid w:val="001F3831"/>
    <w:rsid w:val="001F3CA7"/>
    <w:rsid w:val="001F46F1"/>
    <w:rsid w:val="001F492D"/>
    <w:rsid w:val="001F4AD4"/>
    <w:rsid w:val="001F4CBC"/>
    <w:rsid w:val="001F5032"/>
    <w:rsid w:val="001F5180"/>
    <w:rsid w:val="001F563B"/>
    <w:rsid w:val="001F5BC8"/>
    <w:rsid w:val="001F5BF5"/>
    <w:rsid w:val="001F5C28"/>
    <w:rsid w:val="001F640E"/>
    <w:rsid w:val="001F68C9"/>
    <w:rsid w:val="001F7B82"/>
    <w:rsid w:val="001F7E5B"/>
    <w:rsid w:val="0020035B"/>
    <w:rsid w:val="00200395"/>
    <w:rsid w:val="002005F7"/>
    <w:rsid w:val="00200672"/>
    <w:rsid w:val="0020076E"/>
    <w:rsid w:val="00200BF1"/>
    <w:rsid w:val="00200EA4"/>
    <w:rsid w:val="0020103B"/>
    <w:rsid w:val="00201344"/>
    <w:rsid w:val="002015EB"/>
    <w:rsid w:val="00201805"/>
    <w:rsid w:val="00201DEE"/>
    <w:rsid w:val="002022F1"/>
    <w:rsid w:val="002023C9"/>
    <w:rsid w:val="0020267E"/>
    <w:rsid w:val="0020269E"/>
    <w:rsid w:val="00202877"/>
    <w:rsid w:val="00202BDB"/>
    <w:rsid w:val="002031E3"/>
    <w:rsid w:val="002032B8"/>
    <w:rsid w:val="00203502"/>
    <w:rsid w:val="00203669"/>
    <w:rsid w:val="002042A9"/>
    <w:rsid w:val="00204595"/>
    <w:rsid w:val="002047F0"/>
    <w:rsid w:val="0020498F"/>
    <w:rsid w:val="00204C2D"/>
    <w:rsid w:val="00204FDE"/>
    <w:rsid w:val="002050A0"/>
    <w:rsid w:val="002053DC"/>
    <w:rsid w:val="002055D3"/>
    <w:rsid w:val="002057C9"/>
    <w:rsid w:val="00205E10"/>
    <w:rsid w:val="002065C0"/>
    <w:rsid w:val="00206A00"/>
    <w:rsid w:val="00207109"/>
    <w:rsid w:val="00207454"/>
    <w:rsid w:val="00207C12"/>
    <w:rsid w:val="00207EF7"/>
    <w:rsid w:val="002100A7"/>
    <w:rsid w:val="002107D3"/>
    <w:rsid w:val="00210B17"/>
    <w:rsid w:val="00210BE8"/>
    <w:rsid w:val="00210BED"/>
    <w:rsid w:val="00210CB2"/>
    <w:rsid w:val="00211031"/>
    <w:rsid w:val="00211075"/>
    <w:rsid w:val="0021117F"/>
    <w:rsid w:val="00211575"/>
    <w:rsid w:val="0021193C"/>
    <w:rsid w:val="00211D60"/>
    <w:rsid w:val="00211F7D"/>
    <w:rsid w:val="0021208D"/>
    <w:rsid w:val="00212251"/>
    <w:rsid w:val="00212559"/>
    <w:rsid w:val="00212668"/>
    <w:rsid w:val="002126EB"/>
    <w:rsid w:val="002127F4"/>
    <w:rsid w:val="00212DCC"/>
    <w:rsid w:val="00212F23"/>
    <w:rsid w:val="00213562"/>
    <w:rsid w:val="00213657"/>
    <w:rsid w:val="00213B8D"/>
    <w:rsid w:val="00214CB0"/>
    <w:rsid w:val="00214D21"/>
    <w:rsid w:val="002150BC"/>
    <w:rsid w:val="002157B6"/>
    <w:rsid w:val="00215834"/>
    <w:rsid w:val="00215EFA"/>
    <w:rsid w:val="00216297"/>
    <w:rsid w:val="0021667F"/>
    <w:rsid w:val="00216867"/>
    <w:rsid w:val="002169DF"/>
    <w:rsid w:val="00216CB2"/>
    <w:rsid w:val="00216E2A"/>
    <w:rsid w:val="00217483"/>
    <w:rsid w:val="002174DC"/>
    <w:rsid w:val="00217638"/>
    <w:rsid w:val="00217976"/>
    <w:rsid w:val="00217AF3"/>
    <w:rsid w:val="00217D24"/>
    <w:rsid w:val="00220B7B"/>
    <w:rsid w:val="002210B3"/>
    <w:rsid w:val="002210BF"/>
    <w:rsid w:val="00221451"/>
    <w:rsid w:val="002215AD"/>
    <w:rsid w:val="002215C8"/>
    <w:rsid w:val="002217EC"/>
    <w:rsid w:val="002218B1"/>
    <w:rsid w:val="00221ADD"/>
    <w:rsid w:val="00221E39"/>
    <w:rsid w:val="00221F00"/>
    <w:rsid w:val="00221F6A"/>
    <w:rsid w:val="0022244A"/>
    <w:rsid w:val="0022245C"/>
    <w:rsid w:val="002224CC"/>
    <w:rsid w:val="0022275E"/>
    <w:rsid w:val="00222ADB"/>
    <w:rsid w:val="00222E76"/>
    <w:rsid w:val="00222EE0"/>
    <w:rsid w:val="00222FCE"/>
    <w:rsid w:val="002231D4"/>
    <w:rsid w:val="00223210"/>
    <w:rsid w:val="00223687"/>
    <w:rsid w:val="00223D12"/>
    <w:rsid w:val="002240C8"/>
    <w:rsid w:val="00224492"/>
    <w:rsid w:val="00224A31"/>
    <w:rsid w:val="00225286"/>
    <w:rsid w:val="002252FB"/>
    <w:rsid w:val="0022597E"/>
    <w:rsid w:val="0022599B"/>
    <w:rsid w:val="002259B1"/>
    <w:rsid w:val="00225AE3"/>
    <w:rsid w:val="00225FE8"/>
    <w:rsid w:val="00226454"/>
    <w:rsid w:val="00226582"/>
    <w:rsid w:val="002270E5"/>
    <w:rsid w:val="0022729D"/>
    <w:rsid w:val="00227315"/>
    <w:rsid w:val="00227888"/>
    <w:rsid w:val="00227A4A"/>
    <w:rsid w:val="00227C11"/>
    <w:rsid w:val="00227D97"/>
    <w:rsid w:val="002303E2"/>
    <w:rsid w:val="002306E6"/>
    <w:rsid w:val="00230D38"/>
    <w:rsid w:val="00230E85"/>
    <w:rsid w:val="00231628"/>
    <w:rsid w:val="002318CD"/>
    <w:rsid w:val="00231E13"/>
    <w:rsid w:val="0023270E"/>
    <w:rsid w:val="002328CA"/>
    <w:rsid w:val="002329B2"/>
    <w:rsid w:val="00232FCE"/>
    <w:rsid w:val="00233296"/>
    <w:rsid w:val="00233491"/>
    <w:rsid w:val="0023353A"/>
    <w:rsid w:val="00233595"/>
    <w:rsid w:val="00233C8F"/>
    <w:rsid w:val="00233D30"/>
    <w:rsid w:val="002342AE"/>
    <w:rsid w:val="0023527B"/>
    <w:rsid w:val="0023576E"/>
    <w:rsid w:val="00235EB4"/>
    <w:rsid w:val="002362A8"/>
    <w:rsid w:val="00236630"/>
    <w:rsid w:val="002366B9"/>
    <w:rsid w:val="002367DC"/>
    <w:rsid w:val="00236B4E"/>
    <w:rsid w:val="00236CF6"/>
    <w:rsid w:val="00236EB3"/>
    <w:rsid w:val="002373C8"/>
    <w:rsid w:val="00237667"/>
    <w:rsid w:val="002379BB"/>
    <w:rsid w:val="00237C08"/>
    <w:rsid w:val="00237F9C"/>
    <w:rsid w:val="002402D7"/>
    <w:rsid w:val="00240A15"/>
    <w:rsid w:val="00240B79"/>
    <w:rsid w:val="00240BE5"/>
    <w:rsid w:val="00240D5C"/>
    <w:rsid w:val="0024145F"/>
    <w:rsid w:val="002419E6"/>
    <w:rsid w:val="00241B29"/>
    <w:rsid w:val="00241C64"/>
    <w:rsid w:val="00242322"/>
    <w:rsid w:val="00242418"/>
    <w:rsid w:val="00242524"/>
    <w:rsid w:val="00242645"/>
    <w:rsid w:val="00243069"/>
    <w:rsid w:val="00243B24"/>
    <w:rsid w:val="00243C0F"/>
    <w:rsid w:val="002443D8"/>
    <w:rsid w:val="0024450E"/>
    <w:rsid w:val="00244895"/>
    <w:rsid w:val="002448D1"/>
    <w:rsid w:val="00244F05"/>
    <w:rsid w:val="002451E7"/>
    <w:rsid w:val="002453E2"/>
    <w:rsid w:val="002458C5"/>
    <w:rsid w:val="002458E6"/>
    <w:rsid w:val="00245AA9"/>
    <w:rsid w:val="00245AF0"/>
    <w:rsid w:val="00245BB3"/>
    <w:rsid w:val="00245CDD"/>
    <w:rsid w:val="0024637A"/>
    <w:rsid w:val="00246405"/>
    <w:rsid w:val="002466D3"/>
    <w:rsid w:val="0024676B"/>
    <w:rsid w:val="00246B4F"/>
    <w:rsid w:val="00246D6A"/>
    <w:rsid w:val="00246D89"/>
    <w:rsid w:val="00247083"/>
    <w:rsid w:val="00247348"/>
    <w:rsid w:val="00247A2C"/>
    <w:rsid w:val="0025085A"/>
    <w:rsid w:val="0025092E"/>
    <w:rsid w:val="00250ACD"/>
    <w:rsid w:val="00250D44"/>
    <w:rsid w:val="00250EB2"/>
    <w:rsid w:val="00250ED2"/>
    <w:rsid w:val="002511D3"/>
    <w:rsid w:val="00251357"/>
    <w:rsid w:val="002515A3"/>
    <w:rsid w:val="00251647"/>
    <w:rsid w:val="00251F85"/>
    <w:rsid w:val="002528B3"/>
    <w:rsid w:val="0025370B"/>
    <w:rsid w:val="00253DBB"/>
    <w:rsid w:val="00254208"/>
    <w:rsid w:val="002544AA"/>
    <w:rsid w:val="00254741"/>
    <w:rsid w:val="0025495B"/>
    <w:rsid w:val="00254E22"/>
    <w:rsid w:val="00255668"/>
    <w:rsid w:val="00255E6D"/>
    <w:rsid w:val="002561D8"/>
    <w:rsid w:val="002565EF"/>
    <w:rsid w:val="00256D8F"/>
    <w:rsid w:val="00256F29"/>
    <w:rsid w:val="002571BF"/>
    <w:rsid w:val="00257500"/>
    <w:rsid w:val="00257FE5"/>
    <w:rsid w:val="0026066D"/>
    <w:rsid w:val="0026073C"/>
    <w:rsid w:val="002613FB"/>
    <w:rsid w:val="00261A54"/>
    <w:rsid w:val="00261C56"/>
    <w:rsid w:val="00261D25"/>
    <w:rsid w:val="00261E6E"/>
    <w:rsid w:val="00261F08"/>
    <w:rsid w:val="00262206"/>
    <w:rsid w:val="002623C0"/>
    <w:rsid w:val="0026267C"/>
    <w:rsid w:val="002626BA"/>
    <w:rsid w:val="00262E4B"/>
    <w:rsid w:val="00262EC6"/>
    <w:rsid w:val="00262F57"/>
    <w:rsid w:val="00262FF6"/>
    <w:rsid w:val="002633B0"/>
    <w:rsid w:val="00263E36"/>
    <w:rsid w:val="00263F73"/>
    <w:rsid w:val="00264471"/>
    <w:rsid w:val="00264643"/>
    <w:rsid w:val="00264700"/>
    <w:rsid w:val="00264867"/>
    <w:rsid w:val="00264B0B"/>
    <w:rsid w:val="00265236"/>
    <w:rsid w:val="0026581F"/>
    <w:rsid w:val="002658B0"/>
    <w:rsid w:val="00265C62"/>
    <w:rsid w:val="00266664"/>
    <w:rsid w:val="002668AF"/>
    <w:rsid w:val="00266A4A"/>
    <w:rsid w:val="00266AFE"/>
    <w:rsid w:val="00266BA9"/>
    <w:rsid w:val="002673BB"/>
    <w:rsid w:val="0026749B"/>
    <w:rsid w:val="002675F3"/>
    <w:rsid w:val="00267753"/>
    <w:rsid w:val="00267E67"/>
    <w:rsid w:val="00270E1F"/>
    <w:rsid w:val="0027126F"/>
    <w:rsid w:val="0027154F"/>
    <w:rsid w:val="002716A2"/>
    <w:rsid w:val="00271C9A"/>
    <w:rsid w:val="0027201C"/>
    <w:rsid w:val="002726F7"/>
    <w:rsid w:val="00272A2D"/>
    <w:rsid w:val="00272A3C"/>
    <w:rsid w:val="00272B26"/>
    <w:rsid w:val="002732A5"/>
    <w:rsid w:val="00275039"/>
    <w:rsid w:val="00275AA5"/>
    <w:rsid w:val="00275AC8"/>
    <w:rsid w:val="00275E9A"/>
    <w:rsid w:val="002761F1"/>
    <w:rsid w:val="002763AF"/>
    <w:rsid w:val="00276605"/>
    <w:rsid w:val="00276B04"/>
    <w:rsid w:val="00276DCC"/>
    <w:rsid w:val="00276E7A"/>
    <w:rsid w:val="002772F2"/>
    <w:rsid w:val="00277A97"/>
    <w:rsid w:val="00277E4E"/>
    <w:rsid w:val="002803C7"/>
    <w:rsid w:val="002806C1"/>
    <w:rsid w:val="0028157B"/>
    <w:rsid w:val="002817BC"/>
    <w:rsid w:val="00281A9A"/>
    <w:rsid w:val="00282448"/>
    <w:rsid w:val="00282737"/>
    <w:rsid w:val="002829CF"/>
    <w:rsid w:val="00282B8F"/>
    <w:rsid w:val="00282BE0"/>
    <w:rsid w:val="00282D03"/>
    <w:rsid w:val="00283292"/>
    <w:rsid w:val="0028344A"/>
    <w:rsid w:val="00283497"/>
    <w:rsid w:val="002837F3"/>
    <w:rsid w:val="00283838"/>
    <w:rsid w:val="0028397F"/>
    <w:rsid w:val="00283B56"/>
    <w:rsid w:val="00283E56"/>
    <w:rsid w:val="00284ADF"/>
    <w:rsid w:val="00284C39"/>
    <w:rsid w:val="00284C8F"/>
    <w:rsid w:val="00284CAE"/>
    <w:rsid w:val="00284D84"/>
    <w:rsid w:val="00284DE4"/>
    <w:rsid w:val="00284EEA"/>
    <w:rsid w:val="0028524B"/>
    <w:rsid w:val="002860F2"/>
    <w:rsid w:val="0028633F"/>
    <w:rsid w:val="0028717F"/>
    <w:rsid w:val="002871A0"/>
    <w:rsid w:val="00287206"/>
    <w:rsid w:val="0028728E"/>
    <w:rsid w:val="0028731E"/>
    <w:rsid w:val="00287C58"/>
    <w:rsid w:val="00287F12"/>
    <w:rsid w:val="002900C5"/>
    <w:rsid w:val="00290160"/>
    <w:rsid w:val="00290210"/>
    <w:rsid w:val="00290528"/>
    <w:rsid w:val="0029064C"/>
    <w:rsid w:val="00290B5B"/>
    <w:rsid w:val="00290DEA"/>
    <w:rsid w:val="00290F74"/>
    <w:rsid w:val="002910A8"/>
    <w:rsid w:val="00291411"/>
    <w:rsid w:val="002917EF"/>
    <w:rsid w:val="00291A64"/>
    <w:rsid w:val="00291D70"/>
    <w:rsid w:val="00292742"/>
    <w:rsid w:val="00292FB3"/>
    <w:rsid w:val="00293341"/>
    <w:rsid w:val="00293380"/>
    <w:rsid w:val="002938B4"/>
    <w:rsid w:val="00293C56"/>
    <w:rsid w:val="00293F2C"/>
    <w:rsid w:val="0029409C"/>
    <w:rsid w:val="00294453"/>
    <w:rsid w:val="00294856"/>
    <w:rsid w:val="00294928"/>
    <w:rsid w:val="00295113"/>
    <w:rsid w:val="002957FB"/>
    <w:rsid w:val="00295857"/>
    <w:rsid w:val="00295C24"/>
    <w:rsid w:val="00295DCC"/>
    <w:rsid w:val="002960C0"/>
    <w:rsid w:val="00296123"/>
    <w:rsid w:val="00296833"/>
    <w:rsid w:val="00296BC5"/>
    <w:rsid w:val="00296BE9"/>
    <w:rsid w:val="00296C6E"/>
    <w:rsid w:val="00296CFE"/>
    <w:rsid w:val="00297682"/>
    <w:rsid w:val="002A05B1"/>
    <w:rsid w:val="002A07D0"/>
    <w:rsid w:val="002A1F08"/>
    <w:rsid w:val="002A2194"/>
    <w:rsid w:val="002A2211"/>
    <w:rsid w:val="002A22AE"/>
    <w:rsid w:val="002A2384"/>
    <w:rsid w:val="002A2BDC"/>
    <w:rsid w:val="002A2C36"/>
    <w:rsid w:val="002A2EE4"/>
    <w:rsid w:val="002A326A"/>
    <w:rsid w:val="002A362C"/>
    <w:rsid w:val="002A39FC"/>
    <w:rsid w:val="002A3C46"/>
    <w:rsid w:val="002A40D8"/>
    <w:rsid w:val="002A4545"/>
    <w:rsid w:val="002A51E9"/>
    <w:rsid w:val="002A5AD6"/>
    <w:rsid w:val="002A5C6F"/>
    <w:rsid w:val="002A6254"/>
    <w:rsid w:val="002A6494"/>
    <w:rsid w:val="002A6543"/>
    <w:rsid w:val="002A658D"/>
    <w:rsid w:val="002A6D15"/>
    <w:rsid w:val="002A6E20"/>
    <w:rsid w:val="002A7096"/>
    <w:rsid w:val="002A7464"/>
    <w:rsid w:val="002A77E1"/>
    <w:rsid w:val="002B02B1"/>
    <w:rsid w:val="002B02B4"/>
    <w:rsid w:val="002B063F"/>
    <w:rsid w:val="002B0706"/>
    <w:rsid w:val="002B0795"/>
    <w:rsid w:val="002B0EAA"/>
    <w:rsid w:val="002B1AA0"/>
    <w:rsid w:val="002B1E45"/>
    <w:rsid w:val="002B218E"/>
    <w:rsid w:val="002B21F5"/>
    <w:rsid w:val="002B2332"/>
    <w:rsid w:val="002B2938"/>
    <w:rsid w:val="002B2BD7"/>
    <w:rsid w:val="002B2DE5"/>
    <w:rsid w:val="002B32D9"/>
    <w:rsid w:val="002B3310"/>
    <w:rsid w:val="002B48CD"/>
    <w:rsid w:val="002B4D26"/>
    <w:rsid w:val="002B5061"/>
    <w:rsid w:val="002B572B"/>
    <w:rsid w:val="002B5812"/>
    <w:rsid w:val="002B5D3F"/>
    <w:rsid w:val="002B5DFA"/>
    <w:rsid w:val="002B5F8B"/>
    <w:rsid w:val="002B6303"/>
    <w:rsid w:val="002B64F5"/>
    <w:rsid w:val="002B6889"/>
    <w:rsid w:val="002B6F4B"/>
    <w:rsid w:val="002B7015"/>
    <w:rsid w:val="002B7464"/>
    <w:rsid w:val="002B7693"/>
    <w:rsid w:val="002B7D2B"/>
    <w:rsid w:val="002B7FAD"/>
    <w:rsid w:val="002C0132"/>
    <w:rsid w:val="002C0291"/>
    <w:rsid w:val="002C03DF"/>
    <w:rsid w:val="002C0418"/>
    <w:rsid w:val="002C1484"/>
    <w:rsid w:val="002C191B"/>
    <w:rsid w:val="002C1C19"/>
    <w:rsid w:val="002C2221"/>
    <w:rsid w:val="002C24C2"/>
    <w:rsid w:val="002C2F04"/>
    <w:rsid w:val="002C3906"/>
    <w:rsid w:val="002C3C0C"/>
    <w:rsid w:val="002C3CDD"/>
    <w:rsid w:val="002C3E45"/>
    <w:rsid w:val="002C4139"/>
    <w:rsid w:val="002C42C0"/>
    <w:rsid w:val="002C4664"/>
    <w:rsid w:val="002C466F"/>
    <w:rsid w:val="002C496F"/>
    <w:rsid w:val="002C4BEE"/>
    <w:rsid w:val="002C4CC2"/>
    <w:rsid w:val="002C507E"/>
    <w:rsid w:val="002C51EC"/>
    <w:rsid w:val="002C552B"/>
    <w:rsid w:val="002C588E"/>
    <w:rsid w:val="002C5913"/>
    <w:rsid w:val="002C5D23"/>
    <w:rsid w:val="002C5DE6"/>
    <w:rsid w:val="002C5E1E"/>
    <w:rsid w:val="002C6034"/>
    <w:rsid w:val="002C60FF"/>
    <w:rsid w:val="002C61C4"/>
    <w:rsid w:val="002C65DA"/>
    <w:rsid w:val="002C6C4A"/>
    <w:rsid w:val="002C6D62"/>
    <w:rsid w:val="002C7047"/>
    <w:rsid w:val="002D00A1"/>
    <w:rsid w:val="002D03E7"/>
    <w:rsid w:val="002D0521"/>
    <w:rsid w:val="002D0705"/>
    <w:rsid w:val="002D0BE6"/>
    <w:rsid w:val="002D0C0D"/>
    <w:rsid w:val="002D169F"/>
    <w:rsid w:val="002D1A1C"/>
    <w:rsid w:val="002D1BD2"/>
    <w:rsid w:val="002D1E0F"/>
    <w:rsid w:val="002D1F2F"/>
    <w:rsid w:val="002D1F9E"/>
    <w:rsid w:val="002D2045"/>
    <w:rsid w:val="002D2438"/>
    <w:rsid w:val="002D265E"/>
    <w:rsid w:val="002D31A9"/>
    <w:rsid w:val="002D3532"/>
    <w:rsid w:val="002D35CB"/>
    <w:rsid w:val="002D3EC8"/>
    <w:rsid w:val="002D42B5"/>
    <w:rsid w:val="002D4948"/>
    <w:rsid w:val="002D495F"/>
    <w:rsid w:val="002D4C88"/>
    <w:rsid w:val="002D4E0A"/>
    <w:rsid w:val="002D5758"/>
    <w:rsid w:val="002D5FB5"/>
    <w:rsid w:val="002D6091"/>
    <w:rsid w:val="002D64F5"/>
    <w:rsid w:val="002D6C33"/>
    <w:rsid w:val="002D719C"/>
    <w:rsid w:val="002D71AD"/>
    <w:rsid w:val="002D73B3"/>
    <w:rsid w:val="002D74AD"/>
    <w:rsid w:val="002D759A"/>
    <w:rsid w:val="002D76EE"/>
    <w:rsid w:val="002D7B81"/>
    <w:rsid w:val="002D7F2C"/>
    <w:rsid w:val="002E0A21"/>
    <w:rsid w:val="002E106E"/>
    <w:rsid w:val="002E1D4A"/>
    <w:rsid w:val="002E1DD6"/>
    <w:rsid w:val="002E1E74"/>
    <w:rsid w:val="002E2147"/>
    <w:rsid w:val="002E2254"/>
    <w:rsid w:val="002E25F1"/>
    <w:rsid w:val="002E3538"/>
    <w:rsid w:val="002E36AA"/>
    <w:rsid w:val="002E3CD9"/>
    <w:rsid w:val="002E4509"/>
    <w:rsid w:val="002E4AA2"/>
    <w:rsid w:val="002E51F1"/>
    <w:rsid w:val="002E5520"/>
    <w:rsid w:val="002E55B0"/>
    <w:rsid w:val="002E57CC"/>
    <w:rsid w:val="002E59A5"/>
    <w:rsid w:val="002E6492"/>
    <w:rsid w:val="002E695C"/>
    <w:rsid w:val="002E69D2"/>
    <w:rsid w:val="002E6DFD"/>
    <w:rsid w:val="002E6F0A"/>
    <w:rsid w:val="002E78F8"/>
    <w:rsid w:val="002F0059"/>
    <w:rsid w:val="002F01FD"/>
    <w:rsid w:val="002F060A"/>
    <w:rsid w:val="002F085C"/>
    <w:rsid w:val="002F1260"/>
    <w:rsid w:val="002F1471"/>
    <w:rsid w:val="002F1FFA"/>
    <w:rsid w:val="002F2134"/>
    <w:rsid w:val="002F2A3C"/>
    <w:rsid w:val="002F2B66"/>
    <w:rsid w:val="002F2D9D"/>
    <w:rsid w:val="002F319B"/>
    <w:rsid w:val="002F36EF"/>
    <w:rsid w:val="002F37C3"/>
    <w:rsid w:val="002F37C7"/>
    <w:rsid w:val="002F4300"/>
    <w:rsid w:val="002F4356"/>
    <w:rsid w:val="002F454D"/>
    <w:rsid w:val="002F5333"/>
    <w:rsid w:val="002F59C2"/>
    <w:rsid w:val="002F6015"/>
    <w:rsid w:val="002F62E9"/>
    <w:rsid w:val="002F6482"/>
    <w:rsid w:val="002F6A4F"/>
    <w:rsid w:val="002F6ABD"/>
    <w:rsid w:val="002F6C88"/>
    <w:rsid w:val="002F6EEC"/>
    <w:rsid w:val="002F724B"/>
    <w:rsid w:val="002F7356"/>
    <w:rsid w:val="002F780B"/>
    <w:rsid w:val="002F7887"/>
    <w:rsid w:val="002F7D86"/>
    <w:rsid w:val="003006DD"/>
    <w:rsid w:val="003009C8"/>
    <w:rsid w:val="003012D7"/>
    <w:rsid w:val="00301553"/>
    <w:rsid w:val="00301772"/>
    <w:rsid w:val="003017BE"/>
    <w:rsid w:val="0030211F"/>
    <w:rsid w:val="00302922"/>
    <w:rsid w:val="00302A38"/>
    <w:rsid w:val="00302D43"/>
    <w:rsid w:val="00302E6C"/>
    <w:rsid w:val="00302E9E"/>
    <w:rsid w:val="00303734"/>
    <w:rsid w:val="0030375B"/>
    <w:rsid w:val="00303B51"/>
    <w:rsid w:val="00303BA0"/>
    <w:rsid w:val="00303D48"/>
    <w:rsid w:val="00303F2F"/>
    <w:rsid w:val="0030407C"/>
    <w:rsid w:val="003043EE"/>
    <w:rsid w:val="00304A13"/>
    <w:rsid w:val="00304AAE"/>
    <w:rsid w:val="00304B7C"/>
    <w:rsid w:val="00304E72"/>
    <w:rsid w:val="00305950"/>
    <w:rsid w:val="00305E14"/>
    <w:rsid w:val="00306049"/>
    <w:rsid w:val="003065EB"/>
    <w:rsid w:val="00306680"/>
    <w:rsid w:val="00306BEB"/>
    <w:rsid w:val="00306CB0"/>
    <w:rsid w:val="00307136"/>
    <w:rsid w:val="003078A8"/>
    <w:rsid w:val="0031032E"/>
    <w:rsid w:val="003103EF"/>
    <w:rsid w:val="003105A8"/>
    <w:rsid w:val="003106FF"/>
    <w:rsid w:val="00310A05"/>
    <w:rsid w:val="00310C9D"/>
    <w:rsid w:val="003112EE"/>
    <w:rsid w:val="00311601"/>
    <w:rsid w:val="00311B2F"/>
    <w:rsid w:val="00312105"/>
    <w:rsid w:val="00312183"/>
    <w:rsid w:val="0031282E"/>
    <w:rsid w:val="00312BAE"/>
    <w:rsid w:val="00312F64"/>
    <w:rsid w:val="00313702"/>
    <w:rsid w:val="00313A47"/>
    <w:rsid w:val="00313ADE"/>
    <w:rsid w:val="00313D29"/>
    <w:rsid w:val="0031404B"/>
    <w:rsid w:val="003143BB"/>
    <w:rsid w:val="00314E26"/>
    <w:rsid w:val="003150B0"/>
    <w:rsid w:val="003153F8"/>
    <w:rsid w:val="003154D5"/>
    <w:rsid w:val="003155AF"/>
    <w:rsid w:val="0031581C"/>
    <w:rsid w:val="00315E9E"/>
    <w:rsid w:val="00316BE1"/>
    <w:rsid w:val="00316C9F"/>
    <w:rsid w:val="00316EC7"/>
    <w:rsid w:val="00316EEF"/>
    <w:rsid w:val="003171C1"/>
    <w:rsid w:val="003172D5"/>
    <w:rsid w:val="0031750B"/>
    <w:rsid w:val="003176BC"/>
    <w:rsid w:val="00317750"/>
    <w:rsid w:val="00317783"/>
    <w:rsid w:val="003177B9"/>
    <w:rsid w:val="00317B30"/>
    <w:rsid w:val="00317BFE"/>
    <w:rsid w:val="00317E72"/>
    <w:rsid w:val="00320005"/>
    <w:rsid w:val="0032009E"/>
    <w:rsid w:val="00320551"/>
    <w:rsid w:val="00320637"/>
    <w:rsid w:val="003209F3"/>
    <w:rsid w:val="00320A12"/>
    <w:rsid w:val="00320DE6"/>
    <w:rsid w:val="00320E68"/>
    <w:rsid w:val="00321124"/>
    <w:rsid w:val="003214D2"/>
    <w:rsid w:val="00321651"/>
    <w:rsid w:val="0032192D"/>
    <w:rsid w:val="003221BE"/>
    <w:rsid w:val="00322487"/>
    <w:rsid w:val="003225F6"/>
    <w:rsid w:val="00322B6F"/>
    <w:rsid w:val="00323374"/>
    <w:rsid w:val="003234B7"/>
    <w:rsid w:val="00323A71"/>
    <w:rsid w:val="00324271"/>
    <w:rsid w:val="00324399"/>
    <w:rsid w:val="00324F40"/>
    <w:rsid w:val="0032500C"/>
    <w:rsid w:val="00325E53"/>
    <w:rsid w:val="003267A1"/>
    <w:rsid w:val="003269CA"/>
    <w:rsid w:val="00326F3F"/>
    <w:rsid w:val="0032713F"/>
    <w:rsid w:val="00327323"/>
    <w:rsid w:val="00330859"/>
    <w:rsid w:val="00330864"/>
    <w:rsid w:val="00330E81"/>
    <w:rsid w:val="00330F8B"/>
    <w:rsid w:val="003311B3"/>
    <w:rsid w:val="0033121F"/>
    <w:rsid w:val="0033126C"/>
    <w:rsid w:val="00331779"/>
    <w:rsid w:val="00331806"/>
    <w:rsid w:val="00332620"/>
    <w:rsid w:val="003326BC"/>
    <w:rsid w:val="00332A4C"/>
    <w:rsid w:val="00332F3F"/>
    <w:rsid w:val="00333A57"/>
    <w:rsid w:val="00333A97"/>
    <w:rsid w:val="00333C14"/>
    <w:rsid w:val="003347DB"/>
    <w:rsid w:val="00335760"/>
    <w:rsid w:val="003359D8"/>
    <w:rsid w:val="00335AE7"/>
    <w:rsid w:val="0033651D"/>
    <w:rsid w:val="0033690B"/>
    <w:rsid w:val="0033690F"/>
    <w:rsid w:val="00336BEA"/>
    <w:rsid w:val="00336BF9"/>
    <w:rsid w:val="00336CF4"/>
    <w:rsid w:val="00337086"/>
    <w:rsid w:val="00337C60"/>
    <w:rsid w:val="00337E57"/>
    <w:rsid w:val="00340018"/>
    <w:rsid w:val="003403FE"/>
    <w:rsid w:val="00340809"/>
    <w:rsid w:val="003408F3"/>
    <w:rsid w:val="00340DCC"/>
    <w:rsid w:val="003411C4"/>
    <w:rsid w:val="00341359"/>
    <w:rsid w:val="00341B03"/>
    <w:rsid w:val="00341B92"/>
    <w:rsid w:val="00341CF9"/>
    <w:rsid w:val="00341DA8"/>
    <w:rsid w:val="00341DE9"/>
    <w:rsid w:val="00341DF3"/>
    <w:rsid w:val="00341E59"/>
    <w:rsid w:val="00341E82"/>
    <w:rsid w:val="00342699"/>
    <w:rsid w:val="0034290D"/>
    <w:rsid w:val="00342C22"/>
    <w:rsid w:val="00342CEC"/>
    <w:rsid w:val="00343879"/>
    <w:rsid w:val="00343A28"/>
    <w:rsid w:val="00343ABB"/>
    <w:rsid w:val="00343ADB"/>
    <w:rsid w:val="00343D1E"/>
    <w:rsid w:val="00344066"/>
    <w:rsid w:val="00344137"/>
    <w:rsid w:val="00344295"/>
    <w:rsid w:val="003447A4"/>
    <w:rsid w:val="00344A07"/>
    <w:rsid w:val="00344AEF"/>
    <w:rsid w:val="00345031"/>
    <w:rsid w:val="00345254"/>
    <w:rsid w:val="003456B8"/>
    <w:rsid w:val="003457C5"/>
    <w:rsid w:val="00345F4D"/>
    <w:rsid w:val="0034636C"/>
    <w:rsid w:val="00346F10"/>
    <w:rsid w:val="003474EC"/>
    <w:rsid w:val="003476B5"/>
    <w:rsid w:val="00347BE3"/>
    <w:rsid w:val="00347CF3"/>
    <w:rsid w:val="00347CFA"/>
    <w:rsid w:val="00347E9D"/>
    <w:rsid w:val="00347EFA"/>
    <w:rsid w:val="003500D1"/>
    <w:rsid w:val="0035030D"/>
    <w:rsid w:val="00350458"/>
    <w:rsid w:val="0035077D"/>
    <w:rsid w:val="00350E99"/>
    <w:rsid w:val="0035105F"/>
    <w:rsid w:val="0035131C"/>
    <w:rsid w:val="00351395"/>
    <w:rsid w:val="003514B1"/>
    <w:rsid w:val="00351EA8"/>
    <w:rsid w:val="003521C7"/>
    <w:rsid w:val="0035279D"/>
    <w:rsid w:val="00352998"/>
    <w:rsid w:val="003529D5"/>
    <w:rsid w:val="00352F49"/>
    <w:rsid w:val="00352F7F"/>
    <w:rsid w:val="0035301F"/>
    <w:rsid w:val="0035325F"/>
    <w:rsid w:val="003542AE"/>
    <w:rsid w:val="00354395"/>
    <w:rsid w:val="0035497E"/>
    <w:rsid w:val="003555F1"/>
    <w:rsid w:val="00355D97"/>
    <w:rsid w:val="00355EE7"/>
    <w:rsid w:val="003566D1"/>
    <w:rsid w:val="0035683C"/>
    <w:rsid w:val="00357782"/>
    <w:rsid w:val="00357A28"/>
    <w:rsid w:val="00357BF0"/>
    <w:rsid w:val="00357DC8"/>
    <w:rsid w:val="00361433"/>
    <w:rsid w:val="0036171B"/>
    <w:rsid w:val="003618AD"/>
    <w:rsid w:val="003622C2"/>
    <w:rsid w:val="003627FD"/>
    <w:rsid w:val="00362831"/>
    <w:rsid w:val="003628C4"/>
    <w:rsid w:val="00363567"/>
    <w:rsid w:val="0036372C"/>
    <w:rsid w:val="003640CF"/>
    <w:rsid w:val="00364189"/>
    <w:rsid w:val="003642A2"/>
    <w:rsid w:val="00364303"/>
    <w:rsid w:val="003645FB"/>
    <w:rsid w:val="00364816"/>
    <w:rsid w:val="00364ADC"/>
    <w:rsid w:val="00365395"/>
    <w:rsid w:val="003654E8"/>
    <w:rsid w:val="00365607"/>
    <w:rsid w:val="003657AC"/>
    <w:rsid w:val="00366937"/>
    <w:rsid w:val="00366DEE"/>
    <w:rsid w:val="00366E29"/>
    <w:rsid w:val="00366F94"/>
    <w:rsid w:val="003673E6"/>
    <w:rsid w:val="00367BAB"/>
    <w:rsid w:val="00367BE0"/>
    <w:rsid w:val="00367C47"/>
    <w:rsid w:val="0037014A"/>
    <w:rsid w:val="00370267"/>
    <w:rsid w:val="003704A4"/>
    <w:rsid w:val="00370C98"/>
    <w:rsid w:val="0037134C"/>
    <w:rsid w:val="0037152A"/>
    <w:rsid w:val="00371592"/>
    <w:rsid w:val="003719F1"/>
    <w:rsid w:val="00371AE6"/>
    <w:rsid w:val="00371F1F"/>
    <w:rsid w:val="003720AC"/>
    <w:rsid w:val="00372B11"/>
    <w:rsid w:val="00372DA7"/>
    <w:rsid w:val="003732C2"/>
    <w:rsid w:val="003735B2"/>
    <w:rsid w:val="00373A2D"/>
    <w:rsid w:val="00373DE2"/>
    <w:rsid w:val="00375080"/>
    <w:rsid w:val="003755D8"/>
    <w:rsid w:val="0037567D"/>
    <w:rsid w:val="00375BC7"/>
    <w:rsid w:val="00375BEA"/>
    <w:rsid w:val="00376044"/>
    <w:rsid w:val="0037645C"/>
    <w:rsid w:val="00376795"/>
    <w:rsid w:val="00376B9A"/>
    <w:rsid w:val="0037727F"/>
    <w:rsid w:val="0037744B"/>
    <w:rsid w:val="0037769F"/>
    <w:rsid w:val="0037791D"/>
    <w:rsid w:val="00377EE7"/>
    <w:rsid w:val="0038043D"/>
    <w:rsid w:val="003804F6"/>
    <w:rsid w:val="003809D2"/>
    <w:rsid w:val="00381594"/>
    <w:rsid w:val="0038169A"/>
    <w:rsid w:val="003816CB"/>
    <w:rsid w:val="0038195D"/>
    <w:rsid w:val="00381C77"/>
    <w:rsid w:val="00381E65"/>
    <w:rsid w:val="003821B6"/>
    <w:rsid w:val="0038265B"/>
    <w:rsid w:val="003829FA"/>
    <w:rsid w:val="0038310B"/>
    <w:rsid w:val="0038343B"/>
    <w:rsid w:val="003834F7"/>
    <w:rsid w:val="00383840"/>
    <w:rsid w:val="00383978"/>
    <w:rsid w:val="00383AF6"/>
    <w:rsid w:val="00383BC6"/>
    <w:rsid w:val="00383C1C"/>
    <w:rsid w:val="00383D7A"/>
    <w:rsid w:val="00384246"/>
    <w:rsid w:val="0038452A"/>
    <w:rsid w:val="003852FA"/>
    <w:rsid w:val="00385392"/>
    <w:rsid w:val="00385642"/>
    <w:rsid w:val="0038576D"/>
    <w:rsid w:val="003859F9"/>
    <w:rsid w:val="003862C2"/>
    <w:rsid w:val="00386378"/>
    <w:rsid w:val="00386A2F"/>
    <w:rsid w:val="00386AC5"/>
    <w:rsid w:val="00387475"/>
    <w:rsid w:val="00387528"/>
    <w:rsid w:val="0038761C"/>
    <w:rsid w:val="00387BD3"/>
    <w:rsid w:val="00387BED"/>
    <w:rsid w:val="00387E01"/>
    <w:rsid w:val="003901E2"/>
    <w:rsid w:val="00390603"/>
    <w:rsid w:val="0039073A"/>
    <w:rsid w:val="00390810"/>
    <w:rsid w:val="00390B3E"/>
    <w:rsid w:val="00391211"/>
    <w:rsid w:val="003915A2"/>
    <w:rsid w:val="00391CE8"/>
    <w:rsid w:val="00391E1D"/>
    <w:rsid w:val="00391F55"/>
    <w:rsid w:val="0039256C"/>
    <w:rsid w:val="00392687"/>
    <w:rsid w:val="003929C3"/>
    <w:rsid w:val="00392CA1"/>
    <w:rsid w:val="0039306D"/>
    <w:rsid w:val="00393095"/>
    <w:rsid w:val="00393843"/>
    <w:rsid w:val="00393848"/>
    <w:rsid w:val="00393BC4"/>
    <w:rsid w:val="00393C7E"/>
    <w:rsid w:val="00393D35"/>
    <w:rsid w:val="00393DDC"/>
    <w:rsid w:val="00394317"/>
    <w:rsid w:val="003946CC"/>
    <w:rsid w:val="00394769"/>
    <w:rsid w:val="0039482A"/>
    <w:rsid w:val="00394BE8"/>
    <w:rsid w:val="003956F2"/>
    <w:rsid w:val="003959C7"/>
    <w:rsid w:val="00395B6E"/>
    <w:rsid w:val="00396283"/>
    <w:rsid w:val="00396594"/>
    <w:rsid w:val="00396E80"/>
    <w:rsid w:val="0039726F"/>
    <w:rsid w:val="00397A64"/>
    <w:rsid w:val="00397D97"/>
    <w:rsid w:val="003A031D"/>
    <w:rsid w:val="003A0477"/>
    <w:rsid w:val="003A0ADC"/>
    <w:rsid w:val="003A0D1C"/>
    <w:rsid w:val="003A163B"/>
    <w:rsid w:val="003A16A0"/>
    <w:rsid w:val="003A18E7"/>
    <w:rsid w:val="003A1C2C"/>
    <w:rsid w:val="003A212B"/>
    <w:rsid w:val="003A249F"/>
    <w:rsid w:val="003A2526"/>
    <w:rsid w:val="003A2A61"/>
    <w:rsid w:val="003A2C92"/>
    <w:rsid w:val="003A2F22"/>
    <w:rsid w:val="003A3629"/>
    <w:rsid w:val="003A377A"/>
    <w:rsid w:val="003A3AFA"/>
    <w:rsid w:val="003A3CB0"/>
    <w:rsid w:val="003A3D35"/>
    <w:rsid w:val="003A3E79"/>
    <w:rsid w:val="003A4067"/>
    <w:rsid w:val="003A4091"/>
    <w:rsid w:val="003A41B3"/>
    <w:rsid w:val="003A4480"/>
    <w:rsid w:val="003A45CD"/>
    <w:rsid w:val="003A4A77"/>
    <w:rsid w:val="003A4BEC"/>
    <w:rsid w:val="003A4E1F"/>
    <w:rsid w:val="003A5074"/>
    <w:rsid w:val="003A53E3"/>
    <w:rsid w:val="003A54E4"/>
    <w:rsid w:val="003A56DB"/>
    <w:rsid w:val="003A5D57"/>
    <w:rsid w:val="003A6238"/>
    <w:rsid w:val="003A6414"/>
    <w:rsid w:val="003A6469"/>
    <w:rsid w:val="003A6685"/>
    <w:rsid w:val="003A66B7"/>
    <w:rsid w:val="003A69A5"/>
    <w:rsid w:val="003A6EBA"/>
    <w:rsid w:val="003A7605"/>
    <w:rsid w:val="003A780C"/>
    <w:rsid w:val="003A7C0D"/>
    <w:rsid w:val="003A7FCB"/>
    <w:rsid w:val="003B055F"/>
    <w:rsid w:val="003B0A6D"/>
    <w:rsid w:val="003B0B44"/>
    <w:rsid w:val="003B0BBE"/>
    <w:rsid w:val="003B1160"/>
    <w:rsid w:val="003B1392"/>
    <w:rsid w:val="003B1502"/>
    <w:rsid w:val="003B1F3F"/>
    <w:rsid w:val="003B273D"/>
    <w:rsid w:val="003B2D59"/>
    <w:rsid w:val="003B35CC"/>
    <w:rsid w:val="003B3675"/>
    <w:rsid w:val="003B384E"/>
    <w:rsid w:val="003B3D31"/>
    <w:rsid w:val="003B3EF4"/>
    <w:rsid w:val="003B4797"/>
    <w:rsid w:val="003B4AA6"/>
    <w:rsid w:val="003B52D9"/>
    <w:rsid w:val="003B5563"/>
    <w:rsid w:val="003B5E62"/>
    <w:rsid w:val="003B6098"/>
    <w:rsid w:val="003B6139"/>
    <w:rsid w:val="003B614A"/>
    <w:rsid w:val="003B6168"/>
    <w:rsid w:val="003B685F"/>
    <w:rsid w:val="003B6986"/>
    <w:rsid w:val="003B6D70"/>
    <w:rsid w:val="003B717F"/>
    <w:rsid w:val="003B7240"/>
    <w:rsid w:val="003B73AE"/>
    <w:rsid w:val="003C04F4"/>
    <w:rsid w:val="003C05BC"/>
    <w:rsid w:val="003C08EE"/>
    <w:rsid w:val="003C0FFD"/>
    <w:rsid w:val="003C1213"/>
    <w:rsid w:val="003C1234"/>
    <w:rsid w:val="003C16A7"/>
    <w:rsid w:val="003C1ADC"/>
    <w:rsid w:val="003C1DF7"/>
    <w:rsid w:val="003C1F5C"/>
    <w:rsid w:val="003C1FF8"/>
    <w:rsid w:val="003C224C"/>
    <w:rsid w:val="003C240A"/>
    <w:rsid w:val="003C2B0F"/>
    <w:rsid w:val="003C2B81"/>
    <w:rsid w:val="003C30E0"/>
    <w:rsid w:val="003C38C1"/>
    <w:rsid w:val="003C4113"/>
    <w:rsid w:val="003C416A"/>
    <w:rsid w:val="003C4987"/>
    <w:rsid w:val="003C4AD7"/>
    <w:rsid w:val="003C4B6F"/>
    <w:rsid w:val="003C5A35"/>
    <w:rsid w:val="003C632C"/>
    <w:rsid w:val="003C6B03"/>
    <w:rsid w:val="003C6B1F"/>
    <w:rsid w:val="003C765E"/>
    <w:rsid w:val="003C776C"/>
    <w:rsid w:val="003C7778"/>
    <w:rsid w:val="003C77FD"/>
    <w:rsid w:val="003C7A61"/>
    <w:rsid w:val="003D00D2"/>
    <w:rsid w:val="003D0F04"/>
    <w:rsid w:val="003D1173"/>
    <w:rsid w:val="003D13E7"/>
    <w:rsid w:val="003D1514"/>
    <w:rsid w:val="003D197E"/>
    <w:rsid w:val="003D19DA"/>
    <w:rsid w:val="003D2043"/>
    <w:rsid w:val="003D2AC0"/>
    <w:rsid w:val="003D2C56"/>
    <w:rsid w:val="003D2E3F"/>
    <w:rsid w:val="003D3843"/>
    <w:rsid w:val="003D3BF5"/>
    <w:rsid w:val="003D3EA2"/>
    <w:rsid w:val="003D4190"/>
    <w:rsid w:val="003D4567"/>
    <w:rsid w:val="003D4725"/>
    <w:rsid w:val="003D4761"/>
    <w:rsid w:val="003D48A0"/>
    <w:rsid w:val="003D4A14"/>
    <w:rsid w:val="003D4FEF"/>
    <w:rsid w:val="003D5644"/>
    <w:rsid w:val="003D5C4D"/>
    <w:rsid w:val="003D5E31"/>
    <w:rsid w:val="003D618B"/>
    <w:rsid w:val="003D6263"/>
    <w:rsid w:val="003D62E9"/>
    <w:rsid w:val="003D6770"/>
    <w:rsid w:val="003D6C5A"/>
    <w:rsid w:val="003D720E"/>
    <w:rsid w:val="003D769A"/>
    <w:rsid w:val="003D7773"/>
    <w:rsid w:val="003D7877"/>
    <w:rsid w:val="003D79B9"/>
    <w:rsid w:val="003E0876"/>
    <w:rsid w:val="003E0C7D"/>
    <w:rsid w:val="003E1BEB"/>
    <w:rsid w:val="003E2471"/>
    <w:rsid w:val="003E286B"/>
    <w:rsid w:val="003E29CE"/>
    <w:rsid w:val="003E2A86"/>
    <w:rsid w:val="003E2A8D"/>
    <w:rsid w:val="003E2CC3"/>
    <w:rsid w:val="003E3044"/>
    <w:rsid w:val="003E336B"/>
    <w:rsid w:val="003E35B8"/>
    <w:rsid w:val="003E3604"/>
    <w:rsid w:val="003E3866"/>
    <w:rsid w:val="003E396F"/>
    <w:rsid w:val="003E4158"/>
    <w:rsid w:val="003E42A6"/>
    <w:rsid w:val="003E443F"/>
    <w:rsid w:val="003E47D1"/>
    <w:rsid w:val="003E4ACA"/>
    <w:rsid w:val="003E4CE2"/>
    <w:rsid w:val="003E4E0C"/>
    <w:rsid w:val="003E5079"/>
    <w:rsid w:val="003E5447"/>
    <w:rsid w:val="003E54E8"/>
    <w:rsid w:val="003E5617"/>
    <w:rsid w:val="003E58E3"/>
    <w:rsid w:val="003E5D5D"/>
    <w:rsid w:val="003E6359"/>
    <w:rsid w:val="003E644C"/>
    <w:rsid w:val="003E67E0"/>
    <w:rsid w:val="003E6845"/>
    <w:rsid w:val="003E6BC8"/>
    <w:rsid w:val="003E72A3"/>
    <w:rsid w:val="003E742D"/>
    <w:rsid w:val="003E774B"/>
    <w:rsid w:val="003E7AA1"/>
    <w:rsid w:val="003F0AB0"/>
    <w:rsid w:val="003F1598"/>
    <w:rsid w:val="003F1A74"/>
    <w:rsid w:val="003F1B0B"/>
    <w:rsid w:val="003F1ED0"/>
    <w:rsid w:val="003F21A1"/>
    <w:rsid w:val="003F24DD"/>
    <w:rsid w:val="003F2685"/>
    <w:rsid w:val="003F26A7"/>
    <w:rsid w:val="003F29CA"/>
    <w:rsid w:val="003F358C"/>
    <w:rsid w:val="003F3857"/>
    <w:rsid w:val="003F4239"/>
    <w:rsid w:val="003F43E0"/>
    <w:rsid w:val="003F5675"/>
    <w:rsid w:val="003F5930"/>
    <w:rsid w:val="003F60BA"/>
    <w:rsid w:val="003F60D4"/>
    <w:rsid w:val="003F63EE"/>
    <w:rsid w:val="003F655F"/>
    <w:rsid w:val="003F6594"/>
    <w:rsid w:val="003F665A"/>
    <w:rsid w:val="003F6C1E"/>
    <w:rsid w:val="003F6D1B"/>
    <w:rsid w:val="003F6F6A"/>
    <w:rsid w:val="003F7DAE"/>
    <w:rsid w:val="00400994"/>
    <w:rsid w:val="004011B8"/>
    <w:rsid w:val="004012ED"/>
    <w:rsid w:val="00401521"/>
    <w:rsid w:val="00401733"/>
    <w:rsid w:val="004017A2"/>
    <w:rsid w:val="004018D9"/>
    <w:rsid w:val="00401AA2"/>
    <w:rsid w:val="00401EB4"/>
    <w:rsid w:val="00401FCD"/>
    <w:rsid w:val="0040214F"/>
    <w:rsid w:val="004026BC"/>
    <w:rsid w:val="0040285B"/>
    <w:rsid w:val="004028FC"/>
    <w:rsid w:val="00403B5E"/>
    <w:rsid w:val="0040450C"/>
    <w:rsid w:val="00404BAC"/>
    <w:rsid w:val="00404CE9"/>
    <w:rsid w:val="004050F7"/>
    <w:rsid w:val="004051A8"/>
    <w:rsid w:val="00405673"/>
    <w:rsid w:val="00405CDB"/>
    <w:rsid w:val="00405E09"/>
    <w:rsid w:val="004062E5"/>
    <w:rsid w:val="00406876"/>
    <w:rsid w:val="00406A11"/>
    <w:rsid w:val="00406B9D"/>
    <w:rsid w:val="004075A8"/>
    <w:rsid w:val="004078DA"/>
    <w:rsid w:val="00407EA6"/>
    <w:rsid w:val="004103F8"/>
    <w:rsid w:val="004111B6"/>
    <w:rsid w:val="00411314"/>
    <w:rsid w:val="004113E5"/>
    <w:rsid w:val="0041168A"/>
    <w:rsid w:val="004119FE"/>
    <w:rsid w:val="00411A64"/>
    <w:rsid w:val="00412461"/>
    <w:rsid w:val="00412AC7"/>
    <w:rsid w:val="00412BFD"/>
    <w:rsid w:val="00412CCD"/>
    <w:rsid w:val="00412FFC"/>
    <w:rsid w:val="00413574"/>
    <w:rsid w:val="004138BD"/>
    <w:rsid w:val="004138C6"/>
    <w:rsid w:val="0041390A"/>
    <w:rsid w:val="00413BCB"/>
    <w:rsid w:val="00413CDB"/>
    <w:rsid w:val="00414306"/>
    <w:rsid w:val="00414730"/>
    <w:rsid w:val="00414AC7"/>
    <w:rsid w:val="00414D73"/>
    <w:rsid w:val="004159F4"/>
    <w:rsid w:val="00415A46"/>
    <w:rsid w:val="00415C4C"/>
    <w:rsid w:val="00415C7F"/>
    <w:rsid w:val="00415DAF"/>
    <w:rsid w:val="00415E63"/>
    <w:rsid w:val="004164F5"/>
    <w:rsid w:val="0041653F"/>
    <w:rsid w:val="0041685D"/>
    <w:rsid w:val="00416B40"/>
    <w:rsid w:val="0041724E"/>
    <w:rsid w:val="004174DE"/>
    <w:rsid w:val="004178CC"/>
    <w:rsid w:val="00417D10"/>
    <w:rsid w:val="00420150"/>
    <w:rsid w:val="004202CD"/>
    <w:rsid w:val="00420596"/>
    <w:rsid w:val="004207EB"/>
    <w:rsid w:val="00420D00"/>
    <w:rsid w:val="00421B0D"/>
    <w:rsid w:val="00421FAA"/>
    <w:rsid w:val="00422C19"/>
    <w:rsid w:val="00422FC7"/>
    <w:rsid w:val="0042339B"/>
    <w:rsid w:val="00423D8A"/>
    <w:rsid w:val="00424EF7"/>
    <w:rsid w:val="0042581C"/>
    <w:rsid w:val="004259F1"/>
    <w:rsid w:val="00425D1E"/>
    <w:rsid w:val="004262D5"/>
    <w:rsid w:val="00426B10"/>
    <w:rsid w:val="00426D9E"/>
    <w:rsid w:val="00426F58"/>
    <w:rsid w:val="00427BDE"/>
    <w:rsid w:val="00430127"/>
    <w:rsid w:val="004302DD"/>
    <w:rsid w:val="0043096D"/>
    <w:rsid w:val="004312F0"/>
    <w:rsid w:val="00431391"/>
    <w:rsid w:val="00431533"/>
    <w:rsid w:val="0043161A"/>
    <w:rsid w:val="00431B0A"/>
    <w:rsid w:val="00431CB0"/>
    <w:rsid w:val="004322DE"/>
    <w:rsid w:val="00432342"/>
    <w:rsid w:val="00432CEF"/>
    <w:rsid w:val="0043347C"/>
    <w:rsid w:val="00433981"/>
    <w:rsid w:val="0043402D"/>
    <w:rsid w:val="00434143"/>
    <w:rsid w:val="00434532"/>
    <w:rsid w:val="00434FC0"/>
    <w:rsid w:val="00435685"/>
    <w:rsid w:val="004356D8"/>
    <w:rsid w:val="00435F18"/>
    <w:rsid w:val="00436408"/>
    <w:rsid w:val="004367C7"/>
    <w:rsid w:val="00436A03"/>
    <w:rsid w:val="0043703F"/>
    <w:rsid w:val="00437EF2"/>
    <w:rsid w:val="00440347"/>
    <w:rsid w:val="004410EF"/>
    <w:rsid w:val="004411C8"/>
    <w:rsid w:val="0044140F"/>
    <w:rsid w:val="00441E74"/>
    <w:rsid w:val="00441E9C"/>
    <w:rsid w:val="00441EBD"/>
    <w:rsid w:val="004421E4"/>
    <w:rsid w:val="00442EEE"/>
    <w:rsid w:val="004439F6"/>
    <w:rsid w:val="00443AED"/>
    <w:rsid w:val="00443B57"/>
    <w:rsid w:val="00443E2A"/>
    <w:rsid w:val="00443EFC"/>
    <w:rsid w:val="004440B2"/>
    <w:rsid w:val="00444439"/>
    <w:rsid w:val="004444E6"/>
    <w:rsid w:val="004447F6"/>
    <w:rsid w:val="004448BB"/>
    <w:rsid w:val="00444AD1"/>
    <w:rsid w:val="004451A6"/>
    <w:rsid w:val="00445212"/>
    <w:rsid w:val="004455B2"/>
    <w:rsid w:val="004459C5"/>
    <w:rsid w:val="00445B24"/>
    <w:rsid w:val="00445DAF"/>
    <w:rsid w:val="00445F4D"/>
    <w:rsid w:val="0044641E"/>
    <w:rsid w:val="00446550"/>
    <w:rsid w:val="00446E03"/>
    <w:rsid w:val="004477EC"/>
    <w:rsid w:val="00447842"/>
    <w:rsid w:val="004478BC"/>
    <w:rsid w:val="00447A15"/>
    <w:rsid w:val="00447DD1"/>
    <w:rsid w:val="004500D3"/>
    <w:rsid w:val="004503DA"/>
    <w:rsid w:val="00450419"/>
    <w:rsid w:val="004505CD"/>
    <w:rsid w:val="004509FC"/>
    <w:rsid w:val="00450AA6"/>
    <w:rsid w:val="00450CB3"/>
    <w:rsid w:val="00450E80"/>
    <w:rsid w:val="00451741"/>
    <w:rsid w:val="00451BF2"/>
    <w:rsid w:val="00452379"/>
    <w:rsid w:val="00452777"/>
    <w:rsid w:val="004527B8"/>
    <w:rsid w:val="00452818"/>
    <w:rsid w:val="004529B4"/>
    <w:rsid w:val="00453517"/>
    <w:rsid w:val="00453845"/>
    <w:rsid w:val="00453B47"/>
    <w:rsid w:val="00454003"/>
    <w:rsid w:val="004541F8"/>
    <w:rsid w:val="0045434B"/>
    <w:rsid w:val="00454882"/>
    <w:rsid w:val="004548C4"/>
    <w:rsid w:val="00454A1D"/>
    <w:rsid w:val="00454C3D"/>
    <w:rsid w:val="004550E3"/>
    <w:rsid w:val="00455FD0"/>
    <w:rsid w:val="004567B1"/>
    <w:rsid w:val="00456873"/>
    <w:rsid w:val="00456BCA"/>
    <w:rsid w:val="00456C77"/>
    <w:rsid w:val="00456D56"/>
    <w:rsid w:val="0045705E"/>
    <w:rsid w:val="0045711B"/>
    <w:rsid w:val="00457187"/>
    <w:rsid w:val="0045736F"/>
    <w:rsid w:val="0045778B"/>
    <w:rsid w:val="00457C04"/>
    <w:rsid w:val="00460226"/>
    <w:rsid w:val="004602C3"/>
    <w:rsid w:val="00460370"/>
    <w:rsid w:val="00460753"/>
    <w:rsid w:val="00460B44"/>
    <w:rsid w:val="00460ECC"/>
    <w:rsid w:val="0046150C"/>
    <w:rsid w:val="004618E4"/>
    <w:rsid w:val="00461AD7"/>
    <w:rsid w:val="00461BBC"/>
    <w:rsid w:val="0046203B"/>
    <w:rsid w:val="004624FF"/>
    <w:rsid w:val="00462A6A"/>
    <w:rsid w:val="00462B90"/>
    <w:rsid w:val="00463100"/>
    <w:rsid w:val="0046323E"/>
    <w:rsid w:val="0046360E"/>
    <w:rsid w:val="00463CDB"/>
    <w:rsid w:val="004640B5"/>
    <w:rsid w:val="004648C1"/>
    <w:rsid w:val="00464B3B"/>
    <w:rsid w:val="00464E42"/>
    <w:rsid w:val="00464FF9"/>
    <w:rsid w:val="004657F0"/>
    <w:rsid w:val="00465A8A"/>
    <w:rsid w:val="0046604B"/>
    <w:rsid w:val="00466175"/>
    <w:rsid w:val="004670ED"/>
    <w:rsid w:val="004677E2"/>
    <w:rsid w:val="00467A8F"/>
    <w:rsid w:val="004704E1"/>
    <w:rsid w:val="004707D8"/>
    <w:rsid w:val="00470847"/>
    <w:rsid w:val="00470905"/>
    <w:rsid w:val="00470BF0"/>
    <w:rsid w:val="00470D1F"/>
    <w:rsid w:val="004714FD"/>
    <w:rsid w:val="0047163B"/>
    <w:rsid w:val="0047197B"/>
    <w:rsid w:val="00471AFF"/>
    <w:rsid w:val="00471B40"/>
    <w:rsid w:val="0047267C"/>
    <w:rsid w:val="00472BA2"/>
    <w:rsid w:val="00472BC5"/>
    <w:rsid w:val="00472EF9"/>
    <w:rsid w:val="00472F10"/>
    <w:rsid w:val="004733D9"/>
    <w:rsid w:val="00473516"/>
    <w:rsid w:val="00473538"/>
    <w:rsid w:val="00474117"/>
    <w:rsid w:val="00474C50"/>
    <w:rsid w:val="00474D44"/>
    <w:rsid w:val="00474F09"/>
    <w:rsid w:val="004751E6"/>
    <w:rsid w:val="004751EE"/>
    <w:rsid w:val="00475221"/>
    <w:rsid w:val="004753AE"/>
    <w:rsid w:val="00475DC6"/>
    <w:rsid w:val="00475F7D"/>
    <w:rsid w:val="0047628D"/>
    <w:rsid w:val="00477AD4"/>
    <w:rsid w:val="00477C52"/>
    <w:rsid w:val="0048010E"/>
    <w:rsid w:val="0048089C"/>
    <w:rsid w:val="00480954"/>
    <w:rsid w:val="0048095B"/>
    <w:rsid w:val="0048096B"/>
    <w:rsid w:val="00480A32"/>
    <w:rsid w:val="00480A95"/>
    <w:rsid w:val="0048182F"/>
    <w:rsid w:val="00482195"/>
    <w:rsid w:val="00482261"/>
    <w:rsid w:val="004823A7"/>
    <w:rsid w:val="004823E0"/>
    <w:rsid w:val="004832EA"/>
    <w:rsid w:val="0048363F"/>
    <w:rsid w:val="00483980"/>
    <w:rsid w:val="00483D9C"/>
    <w:rsid w:val="00483DD7"/>
    <w:rsid w:val="00483E40"/>
    <w:rsid w:val="0048441F"/>
    <w:rsid w:val="00484715"/>
    <w:rsid w:val="004847A3"/>
    <w:rsid w:val="00484D63"/>
    <w:rsid w:val="00484E7F"/>
    <w:rsid w:val="00485416"/>
    <w:rsid w:val="0048554A"/>
    <w:rsid w:val="00485589"/>
    <w:rsid w:val="00485592"/>
    <w:rsid w:val="004855EC"/>
    <w:rsid w:val="0048580E"/>
    <w:rsid w:val="0048584A"/>
    <w:rsid w:val="00486459"/>
    <w:rsid w:val="00486A23"/>
    <w:rsid w:val="00486C3A"/>
    <w:rsid w:val="00486C66"/>
    <w:rsid w:val="00486E75"/>
    <w:rsid w:val="00486EAC"/>
    <w:rsid w:val="004873CC"/>
    <w:rsid w:val="00490696"/>
    <w:rsid w:val="0049088A"/>
    <w:rsid w:val="00490D15"/>
    <w:rsid w:val="00490D82"/>
    <w:rsid w:val="00491781"/>
    <w:rsid w:val="004920CF"/>
    <w:rsid w:val="00492253"/>
    <w:rsid w:val="004924DF"/>
    <w:rsid w:val="00492668"/>
    <w:rsid w:val="00492FDE"/>
    <w:rsid w:val="0049308C"/>
    <w:rsid w:val="004933FD"/>
    <w:rsid w:val="004935B6"/>
    <w:rsid w:val="00493973"/>
    <w:rsid w:val="00493D93"/>
    <w:rsid w:val="00493EEF"/>
    <w:rsid w:val="00494427"/>
    <w:rsid w:val="00494B0F"/>
    <w:rsid w:val="004951FC"/>
    <w:rsid w:val="00495245"/>
    <w:rsid w:val="00495950"/>
    <w:rsid w:val="004959FB"/>
    <w:rsid w:val="00496313"/>
    <w:rsid w:val="00496943"/>
    <w:rsid w:val="00496F7F"/>
    <w:rsid w:val="0049705B"/>
    <w:rsid w:val="004972D3"/>
    <w:rsid w:val="00497770"/>
    <w:rsid w:val="004978DD"/>
    <w:rsid w:val="004979B6"/>
    <w:rsid w:val="00497EFD"/>
    <w:rsid w:val="00497FD2"/>
    <w:rsid w:val="004A0427"/>
    <w:rsid w:val="004A0A52"/>
    <w:rsid w:val="004A0DA3"/>
    <w:rsid w:val="004A0E17"/>
    <w:rsid w:val="004A11C0"/>
    <w:rsid w:val="004A1252"/>
    <w:rsid w:val="004A137A"/>
    <w:rsid w:val="004A18C8"/>
    <w:rsid w:val="004A1B88"/>
    <w:rsid w:val="004A25CE"/>
    <w:rsid w:val="004A2797"/>
    <w:rsid w:val="004A2BED"/>
    <w:rsid w:val="004A2D25"/>
    <w:rsid w:val="004A2FEB"/>
    <w:rsid w:val="004A3077"/>
    <w:rsid w:val="004A354E"/>
    <w:rsid w:val="004A367B"/>
    <w:rsid w:val="004A3ACD"/>
    <w:rsid w:val="004A3EC8"/>
    <w:rsid w:val="004A43F5"/>
    <w:rsid w:val="004A4672"/>
    <w:rsid w:val="004A53C2"/>
    <w:rsid w:val="004A5588"/>
    <w:rsid w:val="004A56C8"/>
    <w:rsid w:val="004A5AD1"/>
    <w:rsid w:val="004A5C02"/>
    <w:rsid w:val="004A6358"/>
    <w:rsid w:val="004A64E6"/>
    <w:rsid w:val="004A6CBA"/>
    <w:rsid w:val="004A6E99"/>
    <w:rsid w:val="004A7161"/>
    <w:rsid w:val="004A7432"/>
    <w:rsid w:val="004A77FB"/>
    <w:rsid w:val="004A78F4"/>
    <w:rsid w:val="004A79AA"/>
    <w:rsid w:val="004B000B"/>
    <w:rsid w:val="004B01A4"/>
    <w:rsid w:val="004B06ED"/>
    <w:rsid w:val="004B07FB"/>
    <w:rsid w:val="004B0B5A"/>
    <w:rsid w:val="004B10EC"/>
    <w:rsid w:val="004B139C"/>
    <w:rsid w:val="004B1976"/>
    <w:rsid w:val="004B1C9C"/>
    <w:rsid w:val="004B2083"/>
    <w:rsid w:val="004B21B5"/>
    <w:rsid w:val="004B2901"/>
    <w:rsid w:val="004B2B4F"/>
    <w:rsid w:val="004B2DE4"/>
    <w:rsid w:val="004B3567"/>
    <w:rsid w:val="004B376C"/>
    <w:rsid w:val="004B376F"/>
    <w:rsid w:val="004B3F28"/>
    <w:rsid w:val="004B4024"/>
    <w:rsid w:val="004B4189"/>
    <w:rsid w:val="004B41BA"/>
    <w:rsid w:val="004B46EC"/>
    <w:rsid w:val="004B4ABF"/>
    <w:rsid w:val="004B4B32"/>
    <w:rsid w:val="004B50D4"/>
    <w:rsid w:val="004B5EC4"/>
    <w:rsid w:val="004B6150"/>
    <w:rsid w:val="004B6530"/>
    <w:rsid w:val="004B6FFD"/>
    <w:rsid w:val="004B703F"/>
    <w:rsid w:val="004B713E"/>
    <w:rsid w:val="004B738F"/>
    <w:rsid w:val="004B794B"/>
    <w:rsid w:val="004B7BA3"/>
    <w:rsid w:val="004B7D8C"/>
    <w:rsid w:val="004B7FCD"/>
    <w:rsid w:val="004C01C8"/>
    <w:rsid w:val="004C03A5"/>
    <w:rsid w:val="004C0B4E"/>
    <w:rsid w:val="004C0EA9"/>
    <w:rsid w:val="004C10BE"/>
    <w:rsid w:val="004C17BD"/>
    <w:rsid w:val="004C1E88"/>
    <w:rsid w:val="004C2623"/>
    <w:rsid w:val="004C2AED"/>
    <w:rsid w:val="004C2BB8"/>
    <w:rsid w:val="004C2D7B"/>
    <w:rsid w:val="004C2DF2"/>
    <w:rsid w:val="004C332C"/>
    <w:rsid w:val="004C3650"/>
    <w:rsid w:val="004C39B9"/>
    <w:rsid w:val="004C3CCA"/>
    <w:rsid w:val="004C3F4B"/>
    <w:rsid w:val="004C436A"/>
    <w:rsid w:val="004C496B"/>
    <w:rsid w:val="004C4ADA"/>
    <w:rsid w:val="004C4CB1"/>
    <w:rsid w:val="004C4CFE"/>
    <w:rsid w:val="004C5396"/>
    <w:rsid w:val="004C5660"/>
    <w:rsid w:val="004C57AE"/>
    <w:rsid w:val="004C5D97"/>
    <w:rsid w:val="004C5DEA"/>
    <w:rsid w:val="004C5FE5"/>
    <w:rsid w:val="004C6695"/>
    <w:rsid w:val="004C6927"/>
    <w:rsid w:val="004C6D50"/>
    <w:rsid w:val="004C72CD"/>
    <w:rsid w:val="004C72DC"/>
    <w:rsid w:val="004C785B"/>
    <w:rsid w:val="004C78AF"/>
    <w:rsid w:val="004C7A7A"/>
    <w:rsid w:val="004C7D0F"/>
    <w:rsid w:val="004D06F8"/>
    <w:rsid w:val="004D127D"/>
    <w:rsid w:val="004D152C"/>
    <w:rsid w:val="004D1DFB"/>
    <w:rsid w:val="004D1F65"/>
    <w:rsid w:val="004D1FA5"/>
    <w:rsid w:val="004D262D"/>
    <w:rsid w:val="004D2EC9"/>
    <w:rsid w:val="004D3691"/>
    <w:rsid w:val="004D36C7"/>
    <w:rsid w:val="004D37D3"/>
    <w:rsid w:val="004D39E0"/>
    <w:rsid w:val="004D40A7"/>
    <w:rsid w:val="004D45D6"/>
    <w:rsid w:val="004D4A66"/>
    <w:rsid w:val="004D4B62"/>
    <w:rsid w:val="004D4C8F"/>
    <w:rsid w:val="004D4EE7"/>
    <w:rsid w:val="004D5427"/>
    <w:rsid w:val="004D60DD"/>
    <w:rsid w:val="004D66BD"/>
    <w:rsid w:val="004D6B36"/>
    <w:rsid w:val="004D6F83"/>
    <w:rsid w:val="004D751D"/>
    <w:rsid w:val="004D7654"/>
    <w:rsid w:val="004D770A"/>
    <w:rsid w:val="004D7AEC"/>
    <w:rsid w:val="004D7D2A"/>
    <w:rsid w:val="004E0127"/>
    <w:rsid w:val="004E0328"/>
    <w:rsid w:val="004E03D6"/>
    <w:rsid w:val="004E12E0"/>
    <w:rsid w:val="004E1584"/>
    <w:rsid w:val="004E1AA3"/>
    <w:rsid w:val="004E1BA6"/>
    <w:rsid w:val="004E219C"/>
    <w:rsid w:val="004E2527"/>
    <w:rsid w:val="004E293B"/>
    <w:rsid w:val="004E2CC6"/>
    <w:rsid w:val="004E30A9"/>
    <w:rsid w:val="004E30B8"/>
    <w:rsid w:val="004E3244"/>
    <w:rsid w:val="004E3482"/>
    <w:rsid w:val="004E36C9"/>
    <w:rsid w:val="004E38DD"/>
    <w:rsid w:val="004E40F4"/>
    <w:rsid w:val="004E441C"/>
    <w:rsid w:val="004E474E"/>
    <w:rsid w:val="004E4838"/>
    <w:rsid w:val="004E48A7"/>
    <w:rsid w:val="004E4AF4"/>
    <w:rsid w:val="004E4E1D"/>
    <w:rsid w:val="004E5220"/>
    <w:rsid w:val="004E5703"/>
    <w:rsid w:val="004E5904"/>
    <w:rsid w:val="004E5BC1"/>
    <w:rsid w:val="004E5C1B"/>
    <w:rsid w:val="004E5D7B"/>
    <w:rsid w:val="004E6668"/>
    <w:rsid w:val="004E6D17"/>
    <w:rsid w:val="004E6E7C"/>
    <w:rsid w:val="004E7382"/>
    <w:rsid w:val="004E756C"/>
    <w:rsid w:val="004E7725"/>
    <w:rsid w:val="004E7A9B"/>
    <w:rsid w:val="004E7E25"/>
    <w:rsid w:val="004F015D"/>
    <w:rsid w:val="004F09D5"/>
    <w:rsid w:val="004F0E05"/>
    <w:rsid w:val="004F0F2E"/>
    <w:rsid w:val="004F13F8"/>
    <w:rsid w:val="004F1E78"/>
    <w:rsid w:val="004F27B3"/>
    <w:rsid w:val="004F2E0E"/>
    <w:rsid w:val="004F305E"/>
    <w:rsid w:val="004F30D0"/>
    <w:rsid w:val="004F3735"/>
    <w:rsid w:val="004F39BC"/>
    <w:rsid w:val="004F3A11"/>
    <w:rsid w:val="004F3C7F"/>
    <w:rsid w:val="004F3D44"/>
    <w:rsid w:val="004F3FAB"/>
    <w:rsid w:val="004F4181"/>
    <w:rsid w:val="004F4769"/>
    <w:rsid w:val="004F481D"/>
    <w:rsid w:val="004F51DB"/>
    <w:rsid w:val="004F53A6"/>
    <w:rsid w:val="004F5565"/>
    <w:rsid w:val="004F5748"/>
    <w:rsid w:val="004F583A"/>
    <w:rsid w:val="004F5AB8"/>
    <w:rsid w:val="004F5CAF"/>
    <w:rsid w:val="004F5CBB"/>
    <w:rsid w:val="004F61BB"/>
    <w:rsid w:val="004F6654"/>
    <w:rsid w:val="004F72CF"/>
    <w:rsid w:val="004F748B"/>
    <w:rsid w:val="004F75F3"/>
    <w:rsid w:val="004F7650"/>
    <w:rsid w:val="004F7B86"/>
    <w:rsid w:val="004F7BDF"/>
    <w:rsid w:val="004F7D7E"/>
    <w:rsid w:val="004F7ECC"/>
    <w:rsid w:val="00500607"/>
    <w:rsid w:val="00501159"/>
    <w:rsid w:val="005015DB"/>
    <w:rsid w:val="00501695"/>
    <w:rsid w:val="005018A3"/>
    <w:rsid w:val="005019C8"/>
    <w:rsid w:val="00501E05"/>
    <w:rsid w:val="0050216E"/>
    <w:rsid w:val="005027D0"/>
    <w:rsid w:val="00502C61"/>
    <w:rsid w:val="00503025"/>
    <w:rsid w:val="00503495"/>
    <w:rsid w:val="005034B8"/>
    <w:rsid w:val="00503A53"/>
    <w:rsid w:val="0050410D"/>
    <w:rsid w:val="005041A2"/>
    <w:rsid w:val="005042B0"/>
    <w:rsid w:val="00504367"/>
    <w:rsid w:val="005048DC"/>
    <w:rsid w:val="005051F9"/>
    <w:rsid w:val="00505229"/>
    <w:rsid w:val="0050563F"/>
    <w:rsid w:val="005057F3"/>
    <w:rsid w:val="00505F48"/>
    <w:rsid w:val="0050683E"/>
    <w:rsid w:val="00506E8D"/>
    <w:rsid w:val="00506FCF"/>
    <w:rsid w:val="00507111"/>
    <w:rsid w:val="00507251"/>
    <w:rsid w:val="005073DF"/>
    <w:rsid w:val="00507687"/>
    <w:rsid w:val="005078E3"/>
    <w:rsid w:val="00510581"/>
    <w:rsid w:val="005109EB"/>
    <w:rsid w:val="0051137C"/>
    <w:rsid w:val="00511F24"/>
    <w:rsid w:val="0051243A"/>
    <w:rsid w:val="00512864"/>
    <w:rsid w:val="00512AFC"/>
    <w:rsid w:val="005131BF"/>
    <w:rsid w:val="00513DB8"/>
    <w:rsid w:val="00513E04"/>
    <w:rsid w:val="00513F50"/>
    <w:rsid w:val="005142BF"/>
    <w:rsid w:val="00514D06"/>
    <w:rsid w:val="005151DD"/>
    <w:rsid w:val="0051546D"/>
    <w:rsid w:val="005155F5"/>
    <w:rsid w:val="005158F7"/>
    <w:rsid w:val="00515CAC"/>
    <w:rsid w:val="00515F5F"/>
    <w:rsid w:val="005169F6"/>
    <w:rsid w:val="00516A9D"/>
    <w:rsid w:val="00516C64"/>
    <w:rsid w:val="00516CB4"/>
    <w:rsid w:val="00517045"/>
    <w:rsid w:val="00517283"/>
    <w:rsid w:val="005172E3"/>
    <w:rsid w:val="005176F4"/>
    <w:rsid w:val="00517A87"/>
    <w:rsid w:val="00517DA9"/>
    <w:rsid w:val="00517FA1"/>
    <w:rsid w:val="005203E8"/>
    <w:rsid w:val="00520AB6"/>
    <w:rsid w:val="00520C56"/>
    <w:rsid w:val="00521728"/>
    <w:rsid w:val="00521C59"/>
    <w:rsid w:val="00521CDE"/>
    <w:rsid w:val="00523315"/>
    <w:rsid w:val="005235EB"/>
    <w:rsid w:val="00523E2A"/>
    <w:rsid w:val="0052412E"/>
    <w:rsid w:val="005244C0"/>
    <w:rsid w:val="005244CC"/>
    <w:rsid w:val="0052471B"/>
    <w:rsid w:val="00524877"/>
    <w:rsid w:val="005249A1"/>
    <w:rsid w:val="00524A20"/>
    <w:rsid w:val="00525570"/>
    <w:rsid w:val="005258C8"/>
    <w:rsid w:val="00525C69"/>
    <w:rsid w:val="00525DB4"/>
    <w:rsid w:val="00525FBD"/>
    <w:rsid w:val="00526139"/>
    <w:rsid w:val="00526610"/>
    <w:rsid w:val="00526D65"/>
    <w:rsid w:val="00527894"/>
    <w:rsid w:val="00527976"/>
    <w:rsid w:val="00527AE1"/>
    <w:rsid w:val="00527C27"/>
    <w:rsid w:val="00527E04"/>
    <w:rsid w:val="00527F25"/>
    <w:rsid w:val="0053045D"/>
    <w:rsid w:val="00530483"/>
    <w:rsid w:val="005304CC"/>
    <w:rsid w:val="00530757"/>
    <w:rsid w:val="00530B9F"/>
    <w:rsid w:val="00530ED2"/>
    <w:rsid w:val="00531377"/>
    <w:rsid w:val="00532057"/>
    <w:rsid w:val="00532069"/>
    <w:rsid w:val="00532AA0"/>
    <w:rsid w:val="00532D96"/>
    <w:rsid w:val="00533073"/>
    <w:rsid w:val="0053366F"/>
    <w:rsid w:val="00533924"/>
    <w:rsid w:val="00533E2A"/>
    <w:rsid w:val="005347E8"/>
    <w:rsid w:val="00534DFA"/>
    <w:rsid w:val="00535148"/>
    <w:rsid w:val="005355BA"/>
    <w:rsid w:val="00535731"/>
    <w:rsid w:val="00535942"/>
    <w:rsid w:val="00535BA8"/>
    <w:rsid w:val="00535C46"/>
    <w:rsid w:val="00535E11"/>
    <w:rsid w:val="0053603D"/>
    <w:rsid w:val="00536435"/>
    <w:rsid w:val="00536763"/>
    <w:rsid w:val="00536E8A"/>
    <w:rsid w:val="00537017"/>
    <w:rsid w:val="0053797E"/>
    <w:rsid w:val="005403DE"/>
    <w:rsid w:val="005403EF"/>
    <w:rsid w:val="00540A7F"/>
    <w:rsid w:val="00540FAB"/>
    <w:rsid w:val="00541136"/>
    <w:rsid w:val="00541363"/>
    <w:rsid w:val="005413CC"/>
    <w:rsid w:val="005420A0"/>
    <w:rsid w:val="005420F2"/>
    <w:rsid w:val="005424B5"/>
    <w:rsid w:val="00542706"/>
    <w:rsid w:val="005429CB"/>
    <w:rsid w:val="00542A82"/>
    <w:rsid w:val="00542A9A"/>
    <w:rsid w:val="00542AE4"/>
    <w:rsid w:val="00542B72"/>
    <w:rsid w:val="00542DC4"/>
    <w:rsid w:val="0054355A"/>
    <w:rsid w:val="005437FA"/>
    <w:rsid w:val="00543925"/>
    <w:rsid w:val="00543AC3"/>
    <w:rsid w:val="00543EF0"/>
    <w:rsid w:val="005447A5"/>
    <w:rsid w:val="00544B6C"/>
    <w:rsid w:val="00544FD2"/>
    <w:rsid w:val="00545008"/>
    <w:rsid w:val="00545404"/>
    <w:rsid w:val="00546234"/>
    <w:rsid w:val="005465BE"/>
    <w:rsid w:val="00546662"/>
    <w:rsid w:val="00546665"/>
    <w:rsid w:val="00546818"/>
    <w:rsid w:val="005469B7"/>
    <w:rsid w:val="005471D5"/>
    <w:rsid w:val="005477AD"/>
    <w:rsid w:val="005478C4"/>
    <w:rsid w:val="00547E36"/>
    <w:rsid w:val="00550057"/>
    <w:rsid w:val="00550792"/>
    <w:rsid w:val="00550806"/>
    <w:rsid w:val="00551277"/>
    <w:rsid w:val="00551A85"/>
    <w:rsid w:val="00551D17"/>
    <w:rsid w:val="0055215B"/>
    <w:rsid w:val="00552215"/>
    <w:rsid w:val="00552983"/>
    <w:rsid w:val="00552C7B"/>
    <w:rsid w:val="00552D8C"/>
    <w:rsid w:val="005534FF"/>
    <w:rsid w:val="00553561"/>
    <w:rsid w:val="005535E7"/>
    <w:rsid w:val="00553648"/>
    <w:rsid w:val="00553A00"/>
    <w:rsid w:val="00553AD9"/>
    <w:rsid w:val="00553D37"/>
    <w:rsid w:val="00553FAF"/>
    <w:rsid w:val="00554018"/>
    <w:rsid w:val="00554391"/>
    <w:rsid w:val="00554FE1"/>
    <w:rsid w:val="00555183"/>
    <w:rsid w:val="005557A0"/>
    <w:rsid w:val="00555B8E"/>
    <w:rsid w:val="00556744"/>
    <w:rsid w:val="005569E3"/>
    <w:rsid w:val="00556A7E"/>
    <w:rsid w:val="00556E62"/>
    <w:rsid w:val="00557069"/>
    <w:rsid w:val="005570D5"/>
    <w:rsid w:val="00557784"/>
    <w:rsid w:val="00557B2B"/>
    <w:rsid w:val="00557C7C"/>
    <w:rsid w:val="00560395"/>
    <w:rsid w:val="0056053A"/>
    <w:rsid w:val="00560B49"/>
    <w:rsid w:val="00560BF8"/>
    <w:rsid w:val="005610FB"/>
    <w:rsid w:val="0056157C"/>
    <w:rsid w:val="005616F7"/>
    <w:rsid w:val="00561BF8"/>
    <w:rsid w:val="00562664"/>
    <w:rsid w:val="00562694"/>
    <w:rsid w:val="00562F5D"/>
    <w:rsid w:val="005630FD"/>
    <w:rsid w:val="005634E3"/>
    <w:rsid w:val="00563A52"/>
    <w:rsid w:val="00564A6E"/>
    <w:rsid w:val="00564CE0"/>
    <w:rsid w:val="00564D59"/>
    <w:rsid w:val="00564EB2"/>
    <w:rsid w:val="005656D8"/>
    <w:rsid w:val="005657DC"/>
    <w:rsid w:val="005658B8"/>
    <w:rsid w:val="00565DE1"/>
    <w:rsid w:val="0056658D"/>
    <w:rsid w:val="005668D6"/>
    <w:rsid w:val="00566A5E"/>
    <w:rsid w:val="00566B71"/>
    <w:rsid w:val="00566C81"/>
    <w:rsid w:val="0056711D"/>
    <w:rsid w:val="005671B2"/>
    <w:rsid w:val="005671B5"/>
    <w:rsid w:val="00567317"/>
    <w:rsid w:val="00567363"/>
    <w:rsid w:val="005674F8"/>
    <w:rsid w:val="005676CF"/>
    <w:rsid w:val="00567A8F"/>
    <w:rsid w:val="00567BA1"/>
    <w:rsid w:val="00567BCD"/>
    <w:rsid w:val="00567BCE"/>
    <w:rsid w:val="00567CC3"/>
    <w:rsid w:val="00567D9D"/>
    <w:rsid w:val="00567FE6"/>
    <w:rsid w:val="00570301"/>
    <w:rsid w:val="00570435"/>
    <w:rsid w:val="00570504"/>
    <w:rsid w:val="00570DAA"/>
    <w:rsid w:val="00570DCC"/>
    <w:rsid w:val="0057121A"/>
    <w:rsid w:val="0057140B"/>
    <w:rsid w:val="005716BD"/>
    <w:rsid w:val="00571B19"/>
    <w:rsid w:val="00572806"/>
    <w:rsid w:val="00572874"/>
    <w:rsid w:val="00572960"/>
    <w:rsid w:val="00573490"/>
    <w:rsid w:val="0057362A"/>
    <w:rsid w:val="00573BD8"/>
    <w:rsid w:val="00573DE1"/>
    <w:rsid w:val="00574322"/>
    <w:rsid w:val="0057513E"/>
    <w:rsid w:val="00575177"/>
    <w:rsid w:val="00575473"/>
    <w:rsid w:val="005754C9"/>
    <w:rsid w:val="005772DC"/>
    <w:rsid w:val="0057744A"/>
    <w:rsid w:val="00577D60"/>
    <w:rsid w:val="00580268"/>
    <w:rsid w:val="005803D7"/>
    <w:rsid w:val="00580D34"/>
    <w:rsid w:val="00580FFD"/>
    <w:rsid w:val="005819F4"/>
    <w:rsid w:val="00581AB6"/>
    <w:rsid w:val="00581BF1"/>
    <w:rsid w:val="00581DD4"/>
    <w:rsid w:val="005829D9"/>
    <w:rsid w:val="00582CFA"/>
    <w:rsid w:val="00582E2C"/>
    <w:rsid w:val="00583779"/>
    <w:rsid w:val="00583981"/>
    <w:rsid w:val="00583C54"/>
    <w:rsid w:val="00583FE5"/>
    <w:rsid w:val="005840DE"/>
    <w:rsid w:val="005843F6"/>
    <w:rsid w:val="00584B91"/>
    <w:rsid w:val="00585631"/>
    <w:rsid w:val="005859EB"/>
    <w:rsid w:val="00585FD0"/>
    <w:rsid w:val="005862DE"/>
    <w:rsid w:val="00586698"/>
    <w:rsid w:val="0058683B"/>
    <w:rsid w:val="00586AA4"/>
    <w:rsid w:val="00586E18"/>
    <w:rsid w:val="00586F9C"/>
    <w:rsid w:val="00587529"/>
    <w:rsid w:val="00587684"/>
    <w:rsid w:val="005877C4"/>
    <w:rsid w:val="00587966"/>
    <w:rsid w:val="00587EE1"/>
    <w:rsid w:val="00587FE2"/>
    <w:rsid w:val="00590012"/>
    <w:rsid w:val="00590037"/>
    <w:rsid w:val="005900E8"/>
    <w:rsid w:val="00590196"/>
    <w:rsid w:val="00590846"/>
    <w:rsid w:val="005908AE"/>
    <w:rsid w:val="00590A5D"/>
    <w:rsid w:val="005911A4"/>
    <w:rsid w:val="00591638"/>
    <w:rsid w:val="00591996"/>
    <w:rsid w:val="00591AC2"/>
    <w:rsid w:val="00591E2B"/>
    <w:rsid w:val="00591FBD"/>
    <w:rsid w:val="00592038"/>
    <w:rsid w:val="005932A9"/>
    <w:rsid w:val="005934C9"/>
    <w:rsid w:val="0059358D"/>
    <w:rsid w:val="00593A73"/>
    <w:rsid w:val="00593B79"/>
    <w:rsid w:val="00593EB8"/>
    <w:rsid w:val="0059412D"/>
    <w:rsid w:val="0059442E"/>
    <w:rsid w:val="00594508"/>
    <w:rsid w:val="005953F4"/>
    <w:rsid w:val="0059551C"/>
    <w:rsid w:val="005956AC"/>
    <w:rsid w:val="0059580F"/>
    <w:rsid w:val="005958BB"/>
    <w:rsid w:val="00595A94"/>
    <w:rsid w:val="00595A95"/>
    <w:rsid w:val="005967BD"/>
    <w:rsid w:val="005967D7"/>
    <w:rsid w:val="00596E22"/>
    <w:rsid w:val="0059710D"/>
    <w:rsid w:val="00597271"/>
    <w:rsid w:val="00597521"/>
    <w:rsid w:val="005977CB"/>
    <w:rsid w:val="00597D0F"/>
    <w:rsid w:val="00597E39"/>
    <w:rsid w:val="00597EC2"/>
    <w:rsid w:val="005A02A9"/>
    <w:rsid w:val="005A0764"/>
    <w:rsid w:val="005A083F"/>
    <w:rsid w:val="005A08E8"/>
    <w:rsid w:val="005A0B92"/>
    <w:rsid w:val="005A0EF4"/>
    <w:rsid w:val="005A10BF"/>
    <w:rsid w:val="005A1536"/>
    <w:rsid w:val="005A1851"/>
    <w:rsid w:val="005A2B2B"/>
    <w:rsid w:val="005A2C1E"/>
    <w:rsid w:val="005A2D9B"/>
    <w:rsid w:val="005A30B5"/>
    <w:rsid w:val="005A39D0"/>
    <w:rsid w:val="005A41D5"/>
    <w:rsid w:val="005A4598"/>
    <w:rsid w:val="005A471A"/>
    <w:rsid w:val="005A4800"/>
    <w:rsid w:val="005A4809"/>
    <w:rsid w:val="005A4FAF"/>
    <w:rsid w:val="005A514E"/>
    <w:rsid w:val="005A51FF"/>
    <w:rsid w:val="005A533E"/>
    <w:rsid w:val="005A54C1"/>
    <w:rsid w:val="005A56A1"/>
    <w:rsid w:val="005A5AFB"/>
    <w:rsid w:val="005A63C8"/>
    <w:rsid w:val="005A69E2"/>
    <w:rsid w:val="005A6C52"/>
    <w:rsid w:val="005A6F55"/>
    <w:rsid w:val="005A71E2"/>
    <w:rsid w:val="005A72EE"/>
    <w:rsid w:val="005A776F"/>
    <w:rsid w:val="005B0087"/>
    <w:rsid w:val="005B0124"/>
    <w:rsid w:val="005B0223"/>
    <w:rsid w:val="005B0D7B"/>
    <w:rsid w:val="005B0F92"/>
    <w:rsid w:val="005B109A"/>
    <w:rsid w:val="005B1462"/>
    <w:rsid w:val="005B1878"/>
    <w:rsid w:val="005B1E67"/>
    <w:rsid w:val="005B2220"/>
    <w:rsid w:val="005B2FEE"/>
    <w:rsid w:val="005B31CE"/>
    <w:rsid w:val="005B33EB"/>
    <w:rsid w:val="005B3451"/>
    <w:rsid w:val="005B34E3"/>
    <w:rsid w:val="005B35C7"/>
    <w:rsid w:val="005B3BAE"/>
    <w:rsid w:val="005B3BF8"/>
    <w:rsid w:val="005B3F28"/>
    <w:rsid w:val="005B4224"/>
    <w:rsid w:val="005B4606"/>
    <w:rsid w:val="005B4638"/>
    <w:rsid w:val="005B4775"/>
    <w:rsid w:val="005B492D"/>
    <w:rsid w:val="005B517E"/>
    <w:rsid w:val="005B5497"/>
    <w:rsid w:val="005B69B4"/>
    <w:rsid w:val="005B6A64"/>
    <w:rsid w:val="005B6B1A"/>
    <w:rsid w:val="005B6E88"/>
    <w:rsid w:val="005B6FFA"/>
    <w:rsid w:val="005B7BFC"/>
    <w:rsid w:val="005B7C08"/>
    <w:rsid w:val="005B7E39"/>
    <w:rsid w:val="005C0494"/>
    <w:rsid w:val="005C057A"/>
    <w:rsid w:val="005C0618"/>
    <w:rsid w:val="005C0B99"/>
    <w:rsid w:val="005C0BFB"/>
    <w:rsid w:val="005C0C20"/>
    <w:rsid w:val="005C0D88"/>
    <w:rsid w:val="005C152E"/>
    <w:rsid w:val="005C16AA"/>
    <w:rsid w:val="005C1A48"/>
    <w:rsid w:val="005C1FF8"/>
    <w:rsid w:val="005C29C3"/>
    <w:rsid w:val="005C350E"/>
    <w:rsid w:val="005C3A25"/>
    <w:rsid w:val="005C40B5"/>
    <w:rsid w:val="005C41F9"/>
    <w:rsid w:val="005C4253"/>
    <w:rsid w:val="005C4254"/>
    <w:rsid w:val="005C474A"/>
    <w:rsid w:val="005C49B7"/>
    <w:rsid w:val="005C4DC7"/>
    <w:rsid w:val="005C5329"/>
    <w:rsid w:val="005C548C"/>
    <w:rsid w:val="005C5560"/>
    <w:rsid w:val="005C5787"/>
    <w:rsid w:val="005C652F"/>
    <w:rsid w:val="005C7101"/>
    <w:rsid w:val="005C7518"/>
    <w:rsid w:val="005C7A08"/>
    <w:rsid w:val="005C7BE5"/>
    <w:rsid w:val="005D02FB"/>
    <w:rsid w:val="005D0312"/>
    <w:rsid w:val="005D07B3"/>
    <w:rsid w:val="005D0C2F"/>
    <w:rsid w:val="005D13B0"/>
    <w:rsid w:val="005D162F"/>
    <w:rsid w:val="005D18B9"/>
    <w:rsid w:val="005D1C27"/>
    <w:rsid w:val="005D1EB5"/>
    <w:rsid w:val="005D20CE"/>
    <w:rsid w:val="005D2335"/>
    <w:rsid w:val="005D24D6"/>
    <w:rsid w:val="005D2642"/>
    <w:rsid w:val="005D27C5"/>
    <w:rsid w:val="005D27E3"/>
    <w:rsid w:val="005D2801"/>
    <w:rsid w:val="005D2C26"/>
    <w:rsid w:val="005D37EA"/>
    <w:rsid w:val="005D38A5"/>
    <w:rsid w:val="005D3CEE"/>
    <w:rsid w:val="005D3F1B"/>
    <w:rsid w:val="005D4301"/>
    <w:rsid w:val="005D44F5"/>
    <w:rsid w:val="005D4641"/>
    <w:rsid w:val="005D46A6"/>
    <w:rsid w:val="005D483A"/>
    <w:rsid w:val="005D4CAF"/>
    <w:rsid w:val="005D4F2B"/>
    <w:rsid w:val="005D4FF4"/>
    <w:rsid w:val="005D5088"/>
    <w:rsid w:val="005D5726"/>
    <w:rsid w:val="005D5A92"/>
    <w:rsid w:val="005D5CB1"/>
    <w:rsid w:val="005D6D0B"/>
    <w:rsid w:val="005D7015"/>
    <w:rsid w:val="005D704C"/>
    <w:rsid w:val="005D72D1"/>
    <w:rsid w:val="005D73B2"/>
    <w:rsid w:val="005D780E"/>
    <w:rsid w:val="005D78D4"/>
    <w:rsid w:val="005D7981"/>
    <w:rsid w:val="005D7C6D"/>
    <w:rsid w:val="005E04E2"/>
    <w:rsid w:val="005E07E9"/>
    <w:rsid w:val="005E081A"/>
    <w:rsid w:val="005E1391"/>
    <w:rsid w:val="005E1463"/>
    <w:rsid w:val="005E224C"/>
    <w:rsid w:val="005E2406"/>
    <w:rsid w:val="005E284B"/>
    <w:rsid w:val="005E2857"/>
    <w:rsid w:val="005E287B"/>
    <w:rsid w:val="005E298B"/>
    <w:rsid w:val="005E2B34"/>
    <w:rsid w:val="005E2D05"/>
    <w:rsid w:val="005E2D43"/>
    <w:rsid w:val="005E2E34"/>
    <w:rsid w:val="005E3062"/>
    <w:rsid w:val="005E3236"/>
    <w:rsid w:val="005E3533"/>
    <w:rsid w:val="005E38B3"/>
    <w:rsid w:val="005E3AB8"/>
    <w:rsid w:val="005E3E9F"/>
    <w:rsid w:val="005E42D6"/>
    <w:rsid w:val="005E4392"/>
    <w:rsid w:val="005E4D24"/>
    <w:rsid w:val="005E4DB2"/>
    <w:rsid w:val="005E4E44"/>
    <w:rsid w:val="005E52E3"/>
    <w:rsid w:val="005E5425"/>
    <w:rsid w:val="005E5427"/>
    <w:rsid w:val="005E5445"/>
    <w:rsid w:val="005E58D0"/>
    <w:rsid w:val="005E5C27"/>
    <w:rsid w:val="005E5CFC"/>
    <w:rsid w:val="005E5E36"/>
    <w:rsid w:val="005E6899"/>
    <w:rsid w:val="005E68D1"/>
    <w:rsid w:val="005E7414"/>
    <w:rsid w:val="005E7876"/>
    <w:rsid w:val="005E7CD4"/>
    <w:rsid w:val="005E7CF8"/>
    <w:rsid w:val="005F036D"/>
    <w:rsid w:val="005F03F2"/>
    <w:rsid w:val="005F09E5"/>
    <w:rsid w:val="005F0F21"/>
    <w:rsid w:val="005F10F6"/>
    <w:rsid w:val="005F13A4"/>
    <w:rsid w:val="005F146F"/>
    <w:rsid w:val="005F1701"/>
    <w:rsid w:val="005F1D5D"/>
    <w:rsid w:val="005F1D81"/>
    <w:rsid w:val="005F2069"/>
    <w:rsid w:val="005F20F7"/>
    <w:rsid w:val="005F2395"/>
    <w:rsid w:val="005F2C0F"/>
    <w:rsid w:val="005F2D3B"/>
    <w:rsid w:val="005F33B9"/>
    <w:rsid w:val="005F33BB"/>
    <w:rsid w:val="005F34F6"/>
    <w:rsid w:val="005F3586"/>
    <w:rsid w:val="005F3B3F"/>
    <w:rsid w:val="005F3CAD"/>
    <w:rsid w:val="005F3DC3"/>
    <w:rsid w:val="005F4314"/>
    <w:rsid w:val="005F60F1"/>
    <w:rsid w:val="005F6360"/>
    <w:rsid w:val="005F66B5"/>
    <w:rsid w:val="005F6AD0"/>
    <w:rsid w:val="005F6C9B"/>
    <w:rsid w:val="005F7126"/>
    <w:rsid w:val="005F7128"/>
    <w:rsid w:val="005F7F50"/>
    <w:rsid w:val="006003CB"/>
    <w:rsid w:val="00600682"/>
    <w:rsid w:val="00601296"/>
    <w:rsid w:val="00601368"/>
    <w:rsid w:val="0060167E"/>
    <w:rsid w:val="006019D0"/>
    <w:rsid w:val="0060228B"/>
    <w:rsid w:val="00602C45"/>
    <w:rsid w:val="0060300D"/>
    <w:rsid w:val="00603075"/>
    <w:rsid w:val="00603159"/>
    <w:rsid w:val="00603C61"/>
    <w:rsid w:val="00603C8D"/>
    <w:rsid w:val="00603D07"/>
    <w:rsid w:val="006044CF"/>
    <w:rsid w:val="00604506"/>
    <w:rsid w:val="00604908"/>
    <w:rsid w:val="0060517E"/>
    <w:rsid w:val="006056E6"/>
    <w:rsid w:val="00605AFC"/>
    <w:rsid w:val="00605D76"/>
    <w:rsid w:val="00606179"/>
    <w:rsid w:val="0060634B"/>
    <w:rsid w:val="0060649C"/>
    <w:rsid w:val="00606551"/>
    <w:rsid w:val="006069C0"/>
    <w:rsid w:val="00607180"/>
    <w:rsid w:val="0060754F"/>
    <w:rsid w:val="00607B47"/>
    <w:rsid w:val="00607C0E"/>
    <w:rsid w:val="00607CF0"/>
    <w:rsid w:val="006102C7"/>
    <w:rsid w:val="00610991"/>
    <w:rsid w:val="00610CC2"/>
    <w:rsid w:val="00610D4D"/>
    <w:rsid w:val="006110AE"/>
    <w:rsid w:val="00611CA5"/>
    <w:rsid w:val="00611D8A"/>
    <w:rsid w:val="00612389"/>
    <w:rsid w:val="00612396"/>
    <w:rsid w:val="00612B43"/>
    <w:rsid w:val="00612DDD"/>
    <w:rsid w:val="00612F99"/>
    <w:rsid w:val="0061319D"/>
    <w:rsid w:val="006131E6"/>
    <w:rsid w:val="0061371C"/>
    <w:rsid w:val="006141C5"/>
    <w:rsid w:val="00614B02"/>
    <w:rsid w:val="00614C4D"/>
    <w:rsid w:val="006155AA"/>
    <w:rsid w:val="00615AAD"/>
    <w:rsid w:val="00615AFD"/>
    <w:rsid w:val="00615D81"/>
    <w:rsid w:val="006160B4"/>
    <w:rsid w:val="006163B7"/>
    <w:rsid w:val="006164FD"/>
    <w:rsid w:val="0061673C"/>
    <w:rsid w:val="00616826"/>
    <w:rsid w:val="00616C3E"/>
    <w:rsid w:val="006177DC"/>
    <w:rsid w:val="006178C5"/>
    <w:rsid w:val="006179F1"/>
    <w:rsid w:val="00617C31"/>
    <w:rsid w:val="00617F35"/>
    <w:rsid w:val="0062030D"/>
    <w:rsid w:val="00620905"/>
    <w:rsid w:val="00620BF1"/>
    <w:rsid w:val="00620E68"/>
    <w:rsid w:val="006210C3"/>
    <w:rsid w:val="006213AD"/>
    <w:rsid w:val="0062142C"/>
    <w:rsid w:val="006214BF"/>
    <w:rsid w:val="0062178D"/>
    <w:rsid w:val="00621815"/>
    <w:rsid w:val="00621839"/>
    <w:rsid w:val="00621A5C"/>
    <w:rsid w:val="00621DC8"/>
    <w:rsid w:val="006221EF"/>
    <w:rsid w:val="006227C5"/>
    <w:rsid w:val="00622878"/>
    <w:rsid w:val="006228A9"/>
    <w:rsid w:val="00622CCE"/>
    <w:rsid w:val="00623B6E"/>
    <w:rsid w:val="00623CCE"/>
    <w:rsid w:val="00624163"/>
    <w:rsid w:val="0062422C"/>
    <w:rsid w:val="006246F7"/>
    <w:rsid w:val="00625477"/>
    <w:rsid w:val="00625CBA"/>
    <w:rsid w:val="00625EE8"/>
    <w:rsid w:val="0062633C"/>
    <w:rsid w:val="00626703"/>
    <w:rsid w:val="006269BF"/>
    <w:rsid w:val="00626A0A"/>
    <w:rsid w:val="00626CEB"/>
    <w:rsid w:val="00626E13"/>
    <w:rsid w:val="00627A14"/>
    <w:rsid w:val="006301FD"/>
    <w:rsid w:val="0063026B"/>
    <w:rsid w:val="0063057A"/>
    <w:rsid w:val="006308FA"/>
    <w:rsid w:val="00630954"/>
    <w:rsid w:val="00630D39"/>
    <w:rsid w:val="00631143"/>
    <w:rsid w:val="0063168A"/>
    <w:rsid w:val="00631CFC"/>
    <w:rsid w:val="00631DE5"/>
    <w:rsid w:val="00632194"/>
    <w:rsid w:val="006321F6"/>
    <w:rsid w:val="006324CB"/>
    <w:rsid w:val="006327A3"/>
    <w:rsid w:val="0063291C"/>
    <w:rsid w:val="00632ADB"/>
    <w:rsid w:val="00632F68"/>
    <w:rsid w:val="006333CC"/>
    <w:rsid w:val="006333E3"/>
    <w:rsid w:val="0063355E"/>
    <w:rsid w:val="00633789"/>
    <w:rsid w:val="00633F91"/>
    <w:rsid w:val="00634FC8"/>
    <w:rsid w:val="006358D0"/>
    <w:rsid w:val="006359E7"/>
    <w:rsid w:val="00635C39"/>
    <w:rsid w:val="00635C53"/>
    <w:rsid w:val="00635CCA"/>
    <w:rsid w:val="006361D8"/>
    <w:rsid w:val="0063663F"/>
    <w:rsid w:val="006377CE"/>
    <w:rsid w:val="00637A7A"/>
    <w:rsid w:val="00637A9E"/>
    <w:rsid w:val="00637AFE"/>
    <w:rsid w:val="00640536"/>
    <w:rsid w:val="0064070D"/>
    <w:rsid w:val="0064092C"/>
    <w:rsid w:val="00640C1F"/>
    <w:rsid w:val="0064103A"/>
    <w:rsid w:val="006416A8"/>
    <w:rsid w:val="006416CA"/>
    <w:rsid w:val="0064177A"/>
    <w:rsid w:val="00641FFD"/>
    <w:rsid w:val="006420F6"/>
    <w:rsid w:val="006424A9"/>
    <w:rsid w:val="006427E5"/>
    <w:rsid w:val="00642982"/>
    <w:rsid w:val="006429AD"/>
    <w:rsid w:val="00643F17"/>
    <w:rsid w:val="00643F9E"/>
    <w:rsid w:val="00644024"/>
    <w:rsid w:val="00644705"/>
    <w:rsid w:val="00644D30"/>
    <w:rsid w:val="00645089"/>
    <w:rsid w:val="006451B3"/>
    <w:rsid w:val="0064599D"/>
    <w:rsid w:val="00646549"/>
    <w:rsid w:val="006465AC"/>
    <w:rsid w:val="00647044"/>
    <w:rsid w:val="00647061"/>
    <w:rsid w:val="006474AF"/>
    <w:rsid w:val="00647622"/>
    <w:rsid w:val="006476C7"/>
    <w:rsid w:val="00647913"/>
    <w:rsid w:val="00647B60"/>
    <w:rsid w:val="0065039D"/>
    <w:rsid w:val="00650799"/>
    <w:rsid w:val="00651646"/>
    <w:rsid w:val="0065182B"/>
    <w:rsid w:val="00652449"/>
    <w:rsid w:val="00652652"/>
    <w:rsid w:val="0065287F"/>
    <w:rsid w:val="00652BDF"/>
    <w:rsid w:val="006530B9"/>
    <w:rsid w:val="00653716"/>
    <w:rsid w:val="0065399E"/>
    <w:rsid w:val="00654022"/>
    <w:rsid w:val="00654311"/>
    <w:rsid w:val="006544BD"/>
    <w:rsid w:val="00654521"/>
    <w:rsid w:val="00654DE9"/>
    <w:rsid w:val="00654EC2"/>
    <w:rsid w:val="00654FB7"/>
    <w:rsid w:val="0065516A"/>
    <w:rsid w:val="00655203"/>
    <w:rsid w:val="0065520F"/>
    <w:rsid w:val="00655547"/>
    <w:rsid w:val="006555B9"/>
    <w:rsid w:val="0065574A"/>
    <w:rsid w:val="00655808"/>
    <w:rsid w:val="00655912"/>
    <w:rsid w:val="006559F9"/>
    <w:rsid w:val="00655A48"/>
    <w:rsid w:val="00655A91"/>
    <w:rsid w:val="00655F13"/>
    <w:rsid w:val="006560C7"/>
    <w:rsid w:val="006563D2"/>
    <w:rsid w:val="006564A8"/>
    <w:rsid w:val="006564D3"/>
    <w:rsid w:val="00656645"/>
    <w:rsid w:val="00656EB2"/>
    <w:rsid w:val="00660073"/>
    <w:rsid w:val="006604E4"/>
    <w:rsid w:val="00660861"/>
    <w:rsid w:val="00660B31"/>
    <w:rsid w:val="00660B91"/>
    <w:rsid w:val="0066164A"/>
    <w:rsid w:val="00663589"/>
    <w:rsid w:val="0066390B"/>
    <w:rsid w:val="00663C6A"/>
    <w:rsid w:val="00663E99"/>
    <w:rsid w:val="00663F03"/>
    <w:rsid w:val="0066407A"/>
    <w:rsid w:val="00664258"/>
    <w:rsid w:val="0066436C"/>
    <w:rsid w:val="00664B02"/>
    <w:rsid w:val="00664EDF"/>
    <w:rsid w:val="0066532F"/>
    <w:rsid w:val="00665734"/>
    <w:rsid w:val="00665EBC"/>
    <w:rsid w:val="006662C8"/>
    <w:rsid w:val="0066665A"/>
    <w:rsid w:val="006667AA"/>
    <w:rsid w:val="0066701E"/>
    <w:rsid w:val="0066711D"/>
    <w:rsid w:val="0066764A"/>
    <w:rsid w:val="006677BF"/>
    <w:rsid w:val="00667B6D"/>
    <w:rsid w:val="00667F34"/>
    <w:rsid w:val="0067067D"/>
    <w:rsid w:val="00670B01"/>
    <w:rsid w:val="00670EA4"/>
    <w:rsid w:val="0067165F"/>
    <w:rsid w:val="0067175E"/>
    <w:rsid w:val="00671B48"/>
    <w:rsid w:val="006721AC"/>
    <w:rsid w:val="00672434"/>
    <w:rsid w:val="00672B0D"/>
    <w:rsid w:val="00672DEE"/>
    <w:rsid w:val="006731F5"/>
    <w:rsid w:val="00673468"/>
    <w:rsid w:val="00673BF4"/>
    <w:rsid w:val="00673C2C"/>
    <w:rsid w:val="00673EEE"/>
    <w:rsid w:val="00674134"/>
    <w:rsid w:val="00674160"/>
    <w:rsid w:val="0067473F"/>
    <w:rsid w:val="00674ECB"/>
    <w:rsid w:val="00674EDD"/>
    <w:rsid w:val="0067500E"/>
    <w:rsid w:val="0067503A"/>
    <w:rsid w:val="006759BD"/>
    <w:rsid w:val="00675D74"/>
    <w:rsid w:val="006762BE"/>
    <w:rsid w:val="006762E1"/>
    <w:rsid w:val="00676304"/>
    <w:rsid w:val="006763A1"/>
    <w:rsid w:val="0067640D"/>
    <w:rsid w:val="0067659F"/>
    <w:rsid w:val="0067682F"/>
    <w:rsid w:val="00676A8E"/>
    <w:rsid w:val="00676CFE"/>
    <w:rsid w:val="00676D8F"/>
    <w:rsid w:val="0068013B"/>
    <w:rsid w:val="006803F7"/>
    <w:rsid w:val="00680510"/>
    <w:rsid w:val="00680A3F"/>
    <w:rsid w:val="00680B8D"/>
    <w:rsid w:val="00680FB6"/>
    <w:rsid w:val="00681041"/>
    <w:rsid w:val="0068200F"/>
    <w:rsid w:val="00682326"/>
    <w:rsid w:val="00682937"/>
    <w:rsid w:val="00682AE8"/>
    <w:rsid w:val="00682AED"/>
    <w:rsid w:val="00682B1D"/>
    <w:rsid w:val="0068317D"/>
    <w:rsid w:val="00683257"/>
    <w:rsid w:val="00683280"/>
    <w:rsid w:val="006834C5"/>
    <w:rsid w:val="006838D6"/>
    <w:rsid w:val="006839F2"/>
    <w:rsid w:val="00683D02"/>
    <w:rsid w:val="0068453E"/>
    <w:rsid w:val="0068468F"/>
    <w:rsid w:val="00684E7D"/>
    <w:rsid w:val="00684F7A"/>
    <w:rsid w:val="006856BF"/>
    <w:rsid w:val="006864DA"/>
    <w:rsid w:val="006868A2"/>
    <w:rsid w:val="00686CA4"/>
    <w:rsid w:val="00686CA8"/>
    <w:rsid w:val="00686FB1"/>
    <w:rsid w:val="0068753A"/>
    <w:rsid w:val="00687722"/>
    <w:rsid w:val="006878D0"/>
    <w:rsid w:val="00687EF9"/>
    <w:rsid w:val="00690058"/>
    <w:rsid w:val="006901F8"/>
    <w:rsid w:val="006907F4"/>
    <w:rsid w:val="00690A6C"/>
    <w:rsid w:val="00690B89"/>
    <w:rsid w:val="00690BB4"/>
    <w:rsid w:val="0069139A"/>
    <w:rsid w:val="00691531"/>
    <w:rsid w:val="00691CE7"/>
    <w:rsid w:val="00691D29"/>
    <w:rsid w:val="00691D93"/>
    <w:rsid w:val="0069231B"/>
    <w:rsid w:val="006924AD"/>
    <w:rsid w:val="00692B37"/>
    <w:rsid w:val="00692B3C"/>
    <w:rsid w:val="00692E87"/>
    <w:rsid w:val="00693039"/>
    <w:rsid w:val="00693241"/>
    <w:rsid w:val="006932DE"/>
    <w:rsid w:val="0069334C"/>
    <w:rsid w:val="00693E33"/>
    <w:rsid w:val="006942B7"/>
    <w:rsid w:val="00694523"/>
    <w:rsid w:val="00694751"/>
    <w:rsid w:val="00694D30"/>
    <w:rsid w:val="0069536C"/>
    <w:rsid w:val="006953B3"/>
    <w:rsid w:val="006954D1"/>
    <w:rsid w:val="006956A7"/>
    <w:rsid w:val="006959EA"/>
    <w:rsid w:val="00695A2B"/>
    <w:rsid w:val="00695B48"/>
    <w:rsid w:val="00695C6E"/>
    <w:rsid w:val="00695EBE"/>
    <w:rsid w:val="00695FD0"/>
    <w:rsid w:val="006965B3"/>
    <w:rsid w:val="00696FA8"/>
    <w:rsid w:val="006970E9"/>
    <w:rsid w:val="00697262"/>
    <w:rsid w:val="00697298"/>
    <w:rsid w:val="00697668"/>
    <w:rsid w:val="006978F9"/>
    <w:rsid w:val="00697ADD"/>
    <w:rsid w:val="006A020D"/>
    <w:rsid w:val="006A065D"/>
    <w:rsid w:val="006A0A51"/>
    <w:rsid w:val="006A1124"/>
    <w:rsid w:val="006A128C"/>
    <w:rsid w:val="006A18EE"/>
    <w:rsid w:val="006A196B"/>
    <w:rsid w:val="006A1D89"/>
    <w:rsid w:val="006A1EBD"/>
    <w:rsid w:val="006A2056"/>
    <w:rsid w:val="006A208A"/>
    <w:rsid w:val="006A20A2"/>
    <w:rsid w:val="006A2425"/>
    <w:rsid w:val="006A2700"/>
    <w:rsid w:val="006A35D1"/>
    <w:rsid w:val="006A3747"/>
    <w:rsid w:val="006A37ED"/>
    <w:rsid w:val="006A38BB"/>
    <w:rsid w:val="006A4112"/>
    <w:rsid w:val="006A413C"/>
    <w:rsid w:val="006A4236"/>
    <w:rsid w:val="006A43C1"/>
    <w:rsid w:val="006A4924"/>
    <w:rsid w:val="006A4C55"/>
    <w:rsid w:val="006A4E3C"/>
    <w:rsid w:val="006A5355"/>
    <w:rsid w:val="006A5D96"/>
    <w:rsid w:val="006A5F6A"/>
    <w:rsid w:val="006A62B7"/>
    <w:rsid w:val="006A6422"/>
    <w:rsid w:val="006A70EE"/>
    <w:rsid w:val="006A71DC"/>
    <w:rsid w:val="006A7282"/>
    <w:rsid w:val="006A72DC"/>
    <w:rsid w:val="006A78CD"/>
    <w:rsid w:val="006B0775"/>
    <w:rsid w:val="006B0CBD"/>
    <w:rsid w:val="006B1170"/>
    <w:rsid w:val="006B1420"/>
    <w:rsid w:val="006B15A3"/>
    <w:rsid w:val="006B16B9"/>
    <w:rsid w:val="006B1AD7"/>
    <w:rsid w:val="006B1C5E"/>
    <w:rsid w:val="006B1EE1"/>
    <w:rsid w:val="006B1F67"/>
    <w:rsid w:val="006B208A"/>
    <w:rsid w:val="006B3187"/>
    <w:rsid w:val="006B334F"/>
    <w:rsid w:val="006B3660"/>
    <w:rsid w:val="006B395D"/>
    <w:rsid w:val="006B3B7A"/>
    <w:rsid w:val="006B3C5A"/>
    <w:rsid w:val="006B438A"/>
    <w:rsid w:val="006B46A6"/>
    <w:rsid w:val="006B46B4"/>
    <w:rsid w:val="006B4A53"/>
    <w:rsid w:val="006B4CD4"/>
    <w:rsid w:val="006B4D6C"/>
    <w:rsid w:val="006B511D"/>
    <w:rsid w:val="006B5283"/>
    <w:rsid w:val="006B5781"/>
    <w:rsid w:val="006B5DA1"/>
    <w:rsid w:val="006B5DDC"/>
    <w:rsid w:val="006B6094"/>
    <w:rsid w:val="006B629E"/>
    <w:rsid w:val="006B66C5"/>
    <w:rsid w:val="006B68DE"/>
    <w:rsid w:val="006B6B3E"/>
    <w:rsid w:val="006B6E2A"/>
    <w:rsid w:val="006B7073"/>
    <w:rsid w:val="006B7285"/>
    <w:rsid w:val="006B72C3"/>
    <w:rsid w:val="006B776D"/>
    <w:rsid w:val="006B7A3B"/>
    <w:rsid w:val="006B7B6B"/>
    <w:rsid w:val="006B7EDA"/>
    <w:rsid w:val="006B7EF5"/>
    <w:rsid w:val="006B7F7A"/>
    <w:rsid w:val="006C007E"/>
    <w:rsid w:val="006C011B"/>
    <w:rsid w:val="006C0713"/>
    <w:rsid w:val="006C0A5C"/>
    <w:rsid w:val="006C117B"/>
    <w:rsid w:val="006C1E65"/>
    <w:rsid w:val="006C1F50"/>
    <w:rsid w:val="006C3180"/>
    <w:rsid w:val="006C3384"/>
    <w:rsid w:val="006C37BD"/>
    <w:rsid w:val="006C3834"/>
    <w:rsid w:val="006C38FC"/>
    <w:rsid w:val="006C3A8F"/>
    <w:rsid w:val="006C43F9"/>
    <w:rsid w:val="006C524E"/>
    <w:rsid w:val="006C53FD"/>
    <w:rsid w:val="006C57A1"/>
    <w:rsid w:val="006C5A63"/>
    <w:rsid w:val="006C5B26"/>
    <w:rsid w:val="006C5B91"/>
    <w:rsid w:val="006C5F3E"/>
    <w:rsid w:val="006C63E3"/>
    <w:rsid w:val="006C6894"/>
    <w:rsid w:val="006C6943"/>
    <w:rsid w:val="006C6A22"/>
    <w:rsid w:val="006C6EE7"/>
    <w:rsid w:val="006C7A70"/>
    <w:rsid w:val="006C7AAA"/>
    <w:rsid w:val="006C7B0D"/>
    <w:rsid w:val="006C7B53"/>
    <w:rsid w:val="006C7EAF"/>
    <w:rsid w:val="006D020E"/>
    <w:rsid w:val="006D022A"/>
    <w:rsid w:val="006D02A4"/>
    <w:rsid w:val="006D031D"/>
    <w:rsid w:val="006D0407"/>
    <w:rsid w:val="006D0683"/>
    <w:rsid w:val="006D0696"/>
    <w:rsid w:val="006D086E"/>
    <w:rsid w:val="006D0D45"/>
    <w:rsid w:val="006D1407"/>
    <w:rsid w:val="006D1D2A"/>
    <w:rsid w:val="006D1FDD"/>
    <w:rsid w:val="006D2190"/>
    <w:rsid w:val="006D27DE"/>
    <w:rsid w:val="006D3268"/>
    <w:rsid w:val="006D3454"/>
    <w:rsid w:val="006D360D"/>
    <w:rsid w:val="006D37DD"/>
    <w:rsid w:val="006D3FF1"/>
    <w:rsid w:val="006D4440"/>
    <w:rsid w:val="006D45F3"/>
    <w:rsid w:val="006D461B"/>
    <w:rsid w:val="006D4A4A"/>
    <w:rsid w:val="006D522D"/>
    <w:rsid w:val="006D5701"/>
    <w:rsid w:val="006D5E87"/>
    <w:rsid w:val="006D60F1"/>
    <w:rsid w:val="006D6446"/>
    <w:rsid w:val="006D64FF"/>
    <w:rsid w:val="006D65D9"/>
    <w:rsid w:val="006D77AF"/>
    <w:rsid w:val="006D7F29"/>
    <w:rsid w:val="006E0118"/>
    <w:rsid w:val="006E0295"/>
    <w:rsid w:val="006E04FB"/>
    <w:rsid w:val="006E056D"/>
    <w:rsid w:val="006E0EFC"/>
    <w:rsid w:val="006E11BB"/>
    <w:rsid w:val="006E12B0"/>
    <w:rsid w:val="006E12C7"/>
    <w:rsid w:val="006E132D"/>
    <w:rsid w:val="006E15EE"/>
    <w:rsid w:val="006E1725"/>
    <w:rsid w:val="006E1A49"/>
    <w:rsid w:val="006E1EFE"/>
    <w:rsid w:val="006E23EE"/>
    <w:rsid w:val="006E2A61"/>
    <w:rsid w:val="006E2A83"/>
    <w:rsid w:val="006E335D"/>
    <w:rsid w:val="006E3487"/>
    <w:rsid w:val="006E34C4"/>
    <w:rsid w:val="006E34DC"/>
    <w:rsid w:val="006E420B"/>
    <w:rsid w:val="006E4311"/>
    <w:rsid w:val="006E4749"/>
    <w:rsid w:val="006E49CF"/>
    <w:rsid w:val="006E4BF5"/>
    <w:rsid w:val="006E4EBE"/>
    <w:rsid w:val="006E4F5B"/>
    <w:rsid w:val="006E5370"/>
    <w:rsid w:val="006E5381"/>
    <w:rsid w:val="006E54EA"/>
    <w:rsid w:val="006E585E"/>
    <w:rsid w:val="006E594E"/>
    <w:rsid w:val="006E60A1"/>
    <w:rsid w:val="006E65CD"/>
    <w:rsid w:val="006E69B8"/>
    <w:rsid w:val="006E6B54"/>
    <w:rsid w:val="006E6E1A"/>
    <w:rsid w:val="006E73E0"/>
    <w:rsid w:val="006E749B"/>
    <w:rsid w:val="006E7778"/>
    <w:rsid w:val="006E7B90"/>
    <w:rsid w:val="006E7BE4"/>
    <w:rsid w:val="006F026A"/>
    <w:rsid w:val="006F027F"/>
    <w:rsid w:val="006F0811"/>
    <w:rsid w:val="006F0893"/>
    <w:rsid w:val="006F0DDD"/>
    <w:rsid w:val="006F0E83"/>
    <w:rsid w:val="006F0EA9"/>
    <w:rsid w:val="006F1349"/>
    <w:rsid w:val="006F1883"/>
    <w:rsid w:val="006F2304"/>
    <w:rsid w:val="006F2664"/>
    <w:rsid w:val="006F291A"/>
    <w:rsid w:val="006F2944"/>
    <w:rsid w:val="006F2AB1"/>
    <w:rsid w:val="006F2C4B"/>
    <w:rsid w:val="006F37B2"/>
    <w:rsid w:val="006F3ABC"/>
    <w:rsid w:val="006F4039"/>
    <w:rsid w:val="006F4404"/>
    <w:rsid w:val="006F4839"/>
    <w:rsid w:val="006F4AC9"/>
    <w:rsid w:val="006F4B58"/>
    <w:rsid w:val="006F4D51"/>
    <w:rsid w:val="006F4DFA"/>
    <w:rsid w:val="006F50A7"/>
    <w:rsid w:val="006F53CB"/>
    <w:rsid w:val="006F5576"/>
    <w:rsid w:val="006F5854"/>
    <w:rsid w:val="006F5979"/>
    <w:rsid w:val="006F5A18"/>
    <w:rsid w:val="006F6BDE"/>
    <w:rsid w:val="006F6D87"/>
    <w:rsid w:val="006F71F8"/>
    <w:rsid w:val="006F7911"/>
    <w:rsid w:val="006F7B36"/>
    <w:rsid w:val="006F7CA3"/>
    <w:rsid w:val="006F7DFC"/>
    <w:rsid w:val="006F7F1B"/>
    <w:rsid w:val="00700303"/>
    <w:rsid w:val="0070088A"/>
    <w:rsid w:val="00700AC4"/>
    <w:rsid w:val="00700D79"/>
    <w:rsid w:val="00700EEC"/>
    <w:rsid w:val="0070101C"/>
    <w:rsid w:val="0070125B"/>
    <w:rsid w:val="0070157E"/>
    <w:rsid w:val="0070189D"/>
    <w:rsid w:val="00701987"/>
    <w:rsid w:val="00701D47"/>
    <w:rsid w:val="00702E86"/>
    <w:rsid w:val="007032DC"/>
    <w:rsid w:val="007032F7"/>
    <w:rsid w:val="0070369D"/>
    <w:rsid w:val="00704427"/>
    <w:rsid w:val="007047DE"/>
    <w:rsid w:val="007048BC"/>
    <w:rsid w:val="00704C52"/>
    <w:rsid w:val="00704F2C"/>
    <w:rsid w:val="00705280"/>
    <w:rsid w:val="00705434"/>
    <w:rsid w:val="00705677"/>
    <w:rsid w:val="00705D03"/>
    <w:rsid w:val="00705EFE"/>
    <w:rsid w:val="00706026"/>
    <w:rsid w:val="00706557"/>
    <w:rsid w:val="00706705"/>
    <w:rsid w:val="00706847"/>
    <w:rsid w:val="007068A1"/>
    <w:rsid w:val="00706D1A"/>
    <w:rsid w:val="00706EF8"/>
    <w:rsid w:val="00706FFC"/>
    <w:rsid w:val="00707014"/>
    <w:rsid w:val="00707409"/>
    <w:rsid w:val="00707438"/>
    <w:rsid w:val="00707449"/>
    <w:rsid w:val="00707648"/>
    <w:rsid w:val="007078EA"/>
    <w:rsid w:val="00707A6C"/>
    <w:rsid w:val="00707B5A"/>
    <w:rsid w:val="00707D58"/>
    <w:rsid w:val="00707E1E"/>
    <w:rsid w:val="00710637"/>
    <w:rsid w:val="00710660"/>
    <w:rsid w:val="007107AB"/>
    <w:rsid w:val="007110DF"/>
    <w:rsid w:val="007115C5"/>
    <w:rsid w:val="0071194E"/>
    <w:rsid w:val="007119FE"/>
    <w:rsid w:val="00712106"/>
    <w:rsid w:val="00712448"/>
    <w:rsid w:val="007124DF"/>
    <w:rsid w:val="00712517"/>
    <w:rsid w:val="007127B6"/>
    <w:rsid w:val="00712A01"/>
    <w:rsid w:val="00712B79"/>
    <w:rsid w:val="00712D04"/>
    <w:rsid w:val="00712E30"/>
    <w:rsid w:val="00712FA0"/>
    <w:rsid w:val="0071325A"/>
    <w:rsid w:val="007134A4"/>
    <w:rsid w:val="007135B5"/>
    <w:rsid w:val="007138D6"/>
    <w:rsid w:val="00713921"/>
    <w:rsid w:val="00713A37"/>
    <w:rsid w:val="00714505"/>
    <w:rsid w:val="0071464A"/>
    <w:rsid w:val="00714A75"/>
    <w:rsid w:val="00715015"/>
    <w:rsid w:val="0071504F"/>
    <w:rsid w:val="007150D1"/>
    <w:rsid w:val="00715488"/>
    <w:rsid w:val="00716080"/>
    <w:rsid w:val="007165E4"/>
    <w:rsid w:val="00716A8B"/>
    <w:rsid w:val="00716B86"/>
    <w:rsid w:val="00717154"/>
    <w:rsid w:val="007174E2"/>
    <w:rsid w:val="00717780"/>
    <w:rsid w:val="007178B3"/>
    <w:rsid w:val="00717D3D"/>
    <w:rsid w:val="007203C5"/>
    <w:rsid w:val="0072067C"/>
    <w:rsid w:val="0072118E"/>
    <w:rsid w:val="007212A2"/>
    <w:rsid w:val="007212ED"/>
    <w:rsid w:val="00721603"/>
    <w:rsid w:val="00721900"/>
    <w:rsid w:val="007219BF"/>
    <w:rsid w:val="00721C6A"/>
    <w:rsid w:val="00722304"/>
    <w:rsid w:val="0072260C"/>
    <w:rsid w:val="00722701"/>
    <w:rsid w:val="00722982"/>
    <w:rsid w:val="00722A00"/>
    <w:rsid w:val="00722B80"/>
    <w:rsid w:val="00723A9F"/>
    <w:rsid w:val="00723BB6"/>
    <w:rsid w:val="00724661"/>
    <w:rsid w:val="00724EA9"/>
    <w:rsid w:val="00724FD6"/>
    <w:rsid w:val="00725A66"/>
    <w:rsid w:val="00725C26"/>
    <w:rsid w:val="00725F68"/>
    <w:rsid w:val="00725FE6"/>
    <w:rsid w:val="007261A2"/>
    <w:rsid w:val="00726241"/>
    <w:rsid w:val="007264FC"/>
    <w:rsid w:val="00726A03"/>
    <w:rsid w:val="007274BE"/>
    <w:rsid w:val="00727A14"/>
    <w:rsid w:val="00727AAF"/>
    <w:rsid w:val="00727BF0"/>
    <w:rsid w:val="007314D9"/>
    <w:rsid w:val="00731A4F"/>
    <w:rsid w:val="007328F0"/>
    <w:rsid w:val="007328FE"/>
    <w:rsid w:val="00732A70"/>
    <w:rsid w:val="00732C57"/>
    <w:rsid w:val="007334FC"/>
    <w:rsid w:val="00733525"/>
    <w:rsid w:val="0073380B"/>
    <w:rsid w:val="00733E49"/>
    <w:rsid w:val="00734492"/>
    <w:rsid w:val="007344D2"/>
    <w:rsid w:val="007345C1"/>
    <w:rsid w:val="0073495D"/>
    <w:rsid w:val="00734BCF"/>
    <w:rsid w:val="0073523F"/>
    <w:rsid w:val="007354B7"/>
    <w:rsid w:val="00735664"/>
    <w:rsid w:val="0073576A"/>
    <w:rsid w:val="00735E4A"/>
    <w:rsid w:val="00735EFF"/>
    <w:rsid w:val="00736345"/>
    <w:rsid w:val="00736F83"/>
    <w:rsid w:val="00737066"/>
    <w:rsid w:val="00737270"/>
    <w:rsid w:val="00737FBC"/>
    <w:rsid w:val="00740744"/>
    <w:rsid w:val="00740E65"/>
    <w:rsid w:val="0074121B"/>
    <w:rsid w:val="007414A2"/>
    <w:rsid w:val="0074159E"/>
    <w:rsid w:val="00741912"/>
    <w:rsid w:val="0074224B"/>
    <w:rsid w:val="007425E5"/>
    <w:rsid w:val="007429E3"/>
    <w:rsid w:val="00743495"/>
    <w:rsid w:val="00743F95"/>
    <w:rsid w:val="00744187"/>
    <w:rsid w:val="00744207"/>
    <w:rsid w:val="0074427D"/>
    <w:rsid w:val="00744333"/>
    <w:rsid w:val="00744552"/>
    <w:rsid w:val="007449BC"/>
    <w:rsid w:val="00744BAF"/>
    <w:rsid w:val="00744EE9"/>
    <w:rsid w:val="00745411"/>
    <w:rsid w:val="007456E0"/>
    <w:rsid w:val="007461CA"/>
    <w:rsid w:val="00746246"/>
    <w:rsid w:val="007462E5"/>
    <w:rsid w:val="007464B6"/>
    <w:rsid w:val="00746673"/>
    <w:rsid w:val="00746727"/>
    <w:rsid w:val="00746A03"/>
    <w:rsid w:val="0074729E"/>
    <w:rsid w:val="00747835"/>
    <w:rsid w:val="007502B2"/>
    <w:rsid w:val="00750BE4"/>
    <w:rsid w:val="00750C2E"/>
    <w:rsid w:val="007512B1"/>
    <w:rsid w:val="00751308"/>
    <w:rsid w:val="007513FA"/>
    <w:rsid w:val="007517B4"/>
    <w:rsid w:val="00751C8D"/>
    <w:rsid w:val="007521CF"/>
    <w:rsid w:val="007525B8"/>
    <w:rsid w:val="00752737"/>
    <w:rsid w:val="007527A4"/>
    <w:rsid w:val="007529E9"/>
    <w:rsid w:val="0075375E"/>
    <w:rsid w:val="00753A39"/>
    <w:rsid w:val="00753E8E"/>
    <w:rsid w:val="0075402B"/>
    <w:rsid w:val="00754155"/>
    <w:rsid w:val="00754354"/>
    <w:rsid w:val="00754905"/>
    <w:rsid w:val="00755D34"/>
    <w:rsid w:val="007562A2"/>
    <w:rsid w:val="007567B4"/>
    <w:rsid w:val="00756E47"/>
    <w:rsid w:val="00756E79"/>
    <w:rsid w:val="0075729F"/>
    <w:rsid w:val="0075748A"/>
    <w:rsid w:val="00757589"/>
    <w:rsid w:val="007578F9"/>
    <w:rsid w:val="00757BB0"/>
    <w:rsid w:val="00757C15"/>
    <w:rsid w:val="0076136F"/>
    <w:rsid w:val="00761888"/>
    <w:rsid w:val="00761E21"/>
    <w:rsid w:val="007622EF"/>
    <w:rsid w:val="00762300"/>
    <w:rsid w:val="00762427"/>
    <w:rsid w:val="007627E7"/>
    <w:rsid w:val="00762C65"/>
    <w:rsid w:val="00762D83"/>
    <w:rsid w:val="00762EC7"/>
    <w:rsid w:val="00763174"/>
    <w:rsid w:val="00763364"/>
    <w:rsid w:val="0076347B"/>
    <w:rsid w:val="007637DC"/>
    <w:rsid w:val="00763803"/>
    <w:rsid w:val="00763985"/>
    <w:rsid w:val="00763E2E"/>
    <w:rsid w:val="0076421B"/>
    <w:rsid w:val="00764432"/>
    <w:rsid w:val="0076443E"/>
    <w:rsid w:val="00764A5D"/>
    <w:rsid w:val="00764DFC"/>
    <w:rsid w:val="00764FCE"/>
    <w:rsid w:val="00765233"/>
    <w:rsid w:val="00765590"/>
    <w:rsid w:val="00766089"/>
    <w:rsid w:val="007667D0"/>
    <w:rsid w:val="00766F47"/>
    <w:rsid w:val="00767085"/>
    <w:rsid w:val="007673D5"/>
    <w:rsid w:val="007673F9"/>
    <w:rsid w:val="0076744F"/>
    <w:rsid w:val="00767E1A"/>
    <w:rsid w:val="0077046A"/>
    <w:rsid w:val="007705A5"/>
    <w:rsid w:val="0077090E"/>
    <w:rsid w:val="0077110E"/>
    <w:rsid w:val="0077131A"/>
    <w:rsid w:val="00771353"/>
    <w:rsid w:val="00771410"/>
    <w:rsid w:val="00771494"/>
    <w:rsid w:val="00771848"/>
    <w:rsid w:val="00771D80"/>
    <w:rsid w:val="00771EA6"/>
    <w:rsid w:val="007720DB"/>
    <w:rsid w:val="00772322"/>
    <w:rsid w:val="00772428"/>
    <w:rsid w:val="00772564"/>
    <w:rsid w:val="00772686"/>
    <w:rsid w:val="00772B86"/>
    <w:rsid w:val="00772E5B"/>
    <w:rsid w:val="0077335C"/>
    <w:rsid w:val="0077382F"/>
    <w:rsid w:val="007738CB"/>
    <w:rsid w:val="00773AFA"/>
    <w:rsid w:val="00773B5F"/>
    <w:rsid w:val="00773CC0"/>
    <w:rsid w:val="00774B66"/>
    <w:rsid w:val="00774CD0"/>
    <w:rsid w:val="00774E6B"/>
    <w:rsid w:val="00774E79"/>
    <w:rsid w:val="00775641"/>
    <w:rsid w:val="00775701"/>
    <w:rsid w:val="007757D6"/>
    <w:rsid w:val="007761C4"/>
    <w:rsid w:val="00776237"/>
    <w:rsid w:val="00776297"/>
    <w:rsid w:val="007768E0"/>
    <w:rsid w:val="00776A9D"/>
    <w:rsid w:val="00776F6F"/>
    <w:rsid w:val="007772DD"/>
    <w:rsid w:val="007773CF"/>
    <w:rsid w:val="0077756A"/>
    <w:rsid w:val="0077771B"/>
    <w:rsid w:val="007802D2"/>
    <w:rsid w:val="007807C6"/>
    <w:rsid w:val="007807E8"/>
    <w:rsid w:val="00780D5C"/>
    <w:rsid w:val="00780ED0"/>
    <w:rsid w:val="00781200"/>
    <w:rsid w:val="00781367"/>
    <w:rsid w:val="00781614"/>
    <w:rsid w:val="00781DB2"/>
    <w:rsid w:val="00781F05"/>
    <w:rsid w:val="00782074"/>
    <w:rsid w:val="007820AD"/>
    <w:rsid w:val="007821AE"/>
    <w:rsid w:val="007822F2"/>
    <w:rsid w:val="00782537"/>
    <w:rsid w:val="00782CA5"/>
    <w:rsid w:val="00783135"/>
    <w:rsid w:val="007833EB"/>
    <w:rsid w:val="007834A2"/>
    <w:rsid w:val="00783D73"/>
    <w:rsid w:val="007842FA"/>
    <w:rsid w:val="0078466D"/>
    <w:rsid w:val="00784734"/>
    <w:rsid w:val="00784916"/>
    <w:rsid w:val="0078499A"/>
    <w:rsid w:val="00784D7A"/>
    <w:rsid w:val="007851F1"/>
    <w:rsid w:val="007852F6"/>
    <w:rsid w:val="007858EF"/>
    <w:rsid w:val="00785D3E"/>
    <w:rsid w:val="00785DED"/>
    <w:rsid w:val="0078617E"/>
    <w:rsid w:val="00786339"/>
    <w:rsid w:val="0078662F"/>
    <w:rsid w:val="00786CD5"/>
    <w:rsid w:val="0078700A"/>
    <w:rsid w:val="00787140"/>
    <w:rsid w:val="007872BB"/>
    <w:rsid w:val="007873AB"/>
    <w:rsid w:val="00787446"/>
    <w:rsid w:val="007878B6"/>
    <w:rsid w:val="00787A9B"/>
    <w:rsid w:val="00787E82"/>
    <w:rsid w:val="00790427"/>
    <w:rsid w:val="007904AD"/>
    <w:rsid w:val="00790D7C"/>
    <w:rsid w:val="007911DF"/>
    <w:rsid w:val="0079150C"/>
    <w:rsid w:val="007915C0"/>
    <w:rsid w:val="00791C88"/>
    <w:rsid w:val="007920CE"/>
    <w:rsid w:val="00792452"/>
    <w:rsid w:val="00792D1C"/>
    <w:rsid w:val="00793BDB"/>
    <w:rsid w:val="00794137"/>
    <w:rsid w:val="00794222"/>
    <w:rsid w:val="007946B5"/>
    <w:rsid w:val="007948E1"/>
    <w:rsid w:val="00794C97"/>
    <w:rsid w:val="00794F7D"/>
    <w:rsid w:val="00795210"/>
    <w:rsid w:val="0079573B"/>
    <w:rsid w:val="00795A8E"/>
    <w:rsid w:val="00796013"/>
    <w:rsid w:val="0079609F"/>
    <w:rsid w:val="007962F1"/>
    <w:rsid w:val="0079709F"/>
    <w:rsid w:val="007972CC"/>
    <w:rsid w:val="00797BDB"/>
    <w:rsid w:val="00797CCA"/>
    <w:rsid w:val="00797D93"/>
    <w:rsid w:val="007A0572"/>
    <w:rsid w:val="007A1753"/>
    <w:rsid w:val="007A1A48"/>
    <w:rsid w:val="007A1CFB"/>
    <w:rsid w:val="007A1DB4"/>
    <w:rsid w:val="007A1FCD"/>
    <w:rsid w:val="007A25FF"/>
    <w:rsid w:val="007A2984"/>
    <w:rsid w:val="007A2AB3"/>
    <w:rsid w:val="007A2B44"/>
    <w:rsid w:val="007A2E65"/>
    <w:rsid w:val="007A354A"/>
    <w:rsid w:val="007A3A90"/>
    <w:rsid w:val="007A3C53"/>
    <w:rsid w:val="007A3E15"/>
    <w:rsid w:val="007A3EB0"/>
    <w:rsid w:val="007A3FB4"/>
    <w:rsid w:val="007A4165"/>
    <w:rsid w:val="007A442D"/>
    <w:rsid w:val="007A47D1"/>
    <w:rsid w:val="007A4923"/>
    <w:rsid w:val="007A4A8E"/>
    <w:rsid w:val="007A4C59"/>
    <w:rsid w:val="007A4E1F"/>
    <w:rsid w:val="007A4F37"/>
    <w:rsid w:val="007A5068"/>
    <w:rsid w:val="007A5165"/>
    <w:rsid w:val="007A571C"/>
    <w:rsid w:val="007A5CA7"/>
    <w:rsid w:val="007A66CA"/>
    <w:rsid w:val="007A67A7"/>
    <w:rsid w:val="007A6947"/>
    <w:rsid w:val="007A6964"/>
    <w:rsid w:val="007A6A2B"/>
    <w:rsid w:val="007A6C0F"/>
    <w:rsid w:val="007A6D31"/>
    <w:rsid w:val="007A7701"/>
    <w:rsid w:val="007B02A6"/>
    <w:rsid w:val="007B0FCC"/>
    <w:rsid w:val="007B107F"/>
    <w:rsid w:val="007B1127"/>
    <w:rsid w:val="007B1247"/>
    <w:rsid w:val="007B28FF"/>
    <w:rsid w:val="007B3237"/>
    <w:rsid w:val="007B3373"/>
    <w:rsid w:val="007B359D"/>
    <w:rsid w:val="007B39CC"/>
    <w:rsid w:val="007B3BFD"/>
    <w:rsid w:val="007B3D0A"/>
    <w:rsid w:val="007B3DDF"/>
    <w:rsid w:val="007B4A31"/>
    <w:rsid w:val="007B50E4"/>
    <w:rsid w:val="007B577F"/>
    <w:rsid w:val="007B5816"/>
    <w:rsid w:val="007B5982"/>
    <w:rsid w:val="007B5B10"/>
    <w:rsid w:val="007B6022"/>
    <w:rsid w:val="007B6558"/>
    <w:rsid w:val="007B65E5"/>
    <w:rsid w:val="007B7309"/>
    <w:rsid w:val="007B742E"/>
    <w:rsid w:val="007B76AA"/>
    <w:rsid w:val="007B7AEC"/>
    <w:rsid w:val="007C073F"/>
    <w:rsid w:val="007C0D21"/>
    <w:rsid w:val="007C113F"/>
    <w:rsid w:val="007C1160"/>
    <w:rsid w:val="007C2033"/>
    <w:rsid w:val="007C24CB"/>
    <w:rsid w:val="007C2A74"/>
    <w:rsid w:val="007C2B97"/>
    <w:rsid w:val="007C2D99"/>
    <w:rsid w:val="007C3D7C"/>
    <w:rsid w:val="007C3D85"/>
    <w:rsid w:val="007C40AD"/>
    <w:rsid w:val="007C43B9"/>
    <w:rsid w:val="007C4590"/>
    <w:rsid w:val="007C461F"/>
    <w:rsid w:val="007C49A4"/>
    <w:rsid w:val="007C4C07"/>
    <w:rsid w:val="007C4FC6"/>
    <w:rsid w:val="007C5508"/>
    <w:rsid w:val="007C5658"/>
    <w:rsid w:val="007C57D3"/>
    <w:rsid w:val="007C5A1F"/>
    <w:rsid w:val="007C5A79"/>
    <w:rsid w:val="007C5D1B"/>
    <w:rsid w:val="007C5D37"/>
    <w:rsid w:val="007C5D8C"/>
    <w:rsid w:val="007C6509"/>
    <w:rsid w:val="007C6511"/>
    <w:rsid w:val="007C6BCA"/>
    <w:rsid w:val="007C6C5E"/>
    <w:rsid w:val="007C6FE1"/>
    <w:rsid w:val="007C7397"/>
    <w:rsid w:val="007C76BA"/>
    <w:rsid w:val="007C7A57"/>
    <w:rsid w:val="007D06F7"/>
    <w:rsid w:val="007D0A44"/>
    <w:rsid w:val="007D0AA0"/>
    <w:rsid w:val="007D0C6D"/>
    <w:rsid w:val="007D0EE9"/>
    <w:rsid w:val="007D102E"/>
    <w:rsid w:val="007D1083"/>
    <w:rsid w:val="007D1245"/>
    <w:rsid w:val="007D1704"/>
    <w:rsid w:val="007D1A3F"/>
    <w:rsid w:val="007D1BCC"/>
    <w:rsid w:val="007D1CF2"/>
    <w:rsid w:val="007D1DF4"/>
    <w:rsid w:val="007D1FE0"/>
    <w:rsid w:val="007D24D5"/>
    <w:rsid w:val="007D2F98"/>
    <w:rsid w:val="007D313B"/>
    <w:rsid w:val="007D3356"/>
    <w:rsid w:val="007D3472"/>
    <w:rsid w:val="007D3657"/>
    <w:rsid w:val="007D3C47"/>
    <w:rsid w:val="007D4269"/>
    <w:rsid w:val="007D431B"/>
    <w:rsid w:val="007D4909"/>
    <w:rsid w:val="007D49A7"/>
    <w:rsid w:val="007D5152"/>
    <w:rsid w:val="007D5874"/>
    <w:rsid w:val="007D59C0"/>
    <w:rsid w:val="007D5E00"/>
    <w:rsid w:val="007D6151"/>
    <w:rsid w:val="007D633D"/>
    <w:rsid w:val="007D63F2"/>
    <w:rsid w:val="007D673C"/>
    <w:rsid w:val="007D70C0"/>
    <w:rsid w:val="007D70F6"/>
    <w:rsid w:val="007D766A"/>
    <w:rsid w:val="007D7895"/>
    <w:rsid w:val="007D795A"/>
    <w:rsid w:val="007D7BB8"/>
    <w:rsid w:val="007D7EA3"/>
    <w:rsid w:val="007E0357"/>
    <w:rsid w:val="007E0431"/>
    <w:rsid w:val="007E07E0"/>
    <w:rsid w:val="007E0EDA"/>
    <w:rsid w:val="007E1017"/>
    <w:rsid w:val="007E1CAA"/>
    <w:rsid w:val="007E1F53"/>
    <w:rsid w:val="007E21C7"/>
    <w:rsid w:val="007E2285"/>
    <w:rsid w:val="007E32C9"/>
    <w:rsid w:val="007E37E5"/>
    <w:rsid w:val="007E3F18"/>
    <w:rsid w:val="007E4419"/>
    <w:rsid w:val="007E4A81"/>
    <w:rsid w:val="007E4DFF"/>
    <w:rsid w:val="007E55FD"/>
    <w:rsid w:val="007E6158"/>
    <w:rsid w:val="007E6291"/>
    <w:rsid w:val="007E64AD"/>
    <w:rsid w:val="007E6784"/>
    <w:rsid w:val="007E682E"/>
    <w:rsid w:val="007E6C82"/>
    <w:rsid w:val="007E7057"/>
    <w:rsid w:val="007E76E5"/>
    <w:rsid w:val="007E7BBB"/>
    <w:rsid w:val="007E7DFB"/>
    <w:rsid w:val="007F0079"/>
    <w:rsid w:val="007F0604"/>
    <w:rsid w:val="007F0D6D"/>
    <w:rsid w:val="007F109F"/>
    <w:rsid w:val="007F1228"/>
    <w:rsid w:val="007F137E"/>
    <w:rsid w:val="007F13C1"/>
    <w:rsid w:val="007F13F8"/>
    <w:rsid w:val="007F1582"/>
    <w:rsid w:val="007F19FB"/>
    <w:rsid w:val="007F1BA0"/>
    <w:rsid w:val="007F1C66"/>
    <w:rsid w:val="007F1F39"/>
    <w:rsid w:val="007F1FA6"/>
    <w:rsid w:val="007F1FD5"/>
    <w:rsid w:val="007F235F"/>
    <w:rsid w:val="007F2703"/>
    <w:rsid w:val="007F2937"/>
    <w:rsid w:val="007F2A71"/>
    <w:rsid w:val="007F2C11"/>
    <w:rsid w:val="007F331C"/>
    <w:rsid w:val="007F379B"/>
    <w:rsid w:val="007F3ADD"/>
    <w:rsid w:val="007F402C"/>
    <w:rsid w:val="007F47EB"/>
    <w:rsid w:val="007F4CCE"/>
    <w:rsid w:val="007F4E30"/>
    <w:rsid w:val="007F549F"/>
    <w:rsid w:val="007F571C"/>
    <w:rsid w:val="007F5839"/>
    <w:rsid w:val="007F6239"/>
    <w:rsid w:val="007F63D7"/>
    <w:rsid w:val="007F6568"/>
    <w:rsid w:val="007F6628"/>
    <w:rsid w:val="007F6745"/>
    <w:rsid w:val="007F7502"/>
    <w:rsid w:val="007F772D"/>
    <w:rsid w:val="007F78F7"/>
    <w:rsid w:val="007F7AA3"/>
    <w:rsid w:val="007F7AD3"/>
    <w:rsid w:val="007F7C19"/>
    <w:rsid w:val="007F7C75"/>
    <w:rsid w:val="007F7C93"/>
    <w:rsid w:val="008007EB"/>
    <w:rsid w:val="008009BE"/>
    <w:rsid w:val="0080107D"/>
    <w:rsid w:val="00801326"/>
    <w:rsid w:val="00801338"/>
    <w:rsid w:val="0080146E"/>
    <w:rsid w:val="00801516"/>
    <w:rsid w:val="00801783"/>
    <w:rsid w:val="0080255D"/>
    <w:rsid w:val="00802614"/>
    <w:rsid w:val="00802D9A"/>
    <w:rsid w:val="0080332E"/>
    <w:rsid w:val="0080360D"/>
    <w:rsid w:val="0080374C"/>
    <w:rsid w:val="008043BF"/>
    <w:rsid w:val="0080476C"/>
    <w:rsid w:val="00804798"/>
    <w:rsid w:val="00804C4C"/>
    <w:rsid w:val="00804E97"/>
    <w:rsid w:val="00804ED8"/>
    <w:rsid w:val="00804FE1"/>
    <w:rsid w:val="00805E82"/>
    <w:rsid w:val="00805F81"/>
    <w:rsid w:val="008063B1"/>
    <w:rsid w:val="0080692A"/>
    <w:rsid w:val="00806D90"/>
    <w:rsid w:val="00806E0F"/>
    <w:rsid w:val="0080749F"/>
    <w:rsid w:val="00807946"/>
    <w:rsid w:val="00807AFD"/>
    <w:rsid w:val="00807FEA"/>
    <w:rsid w:val="00810583"/>
    <w:rsid w:val="00810BEC"/>
    <w:rsid w:val="00811420"/>
    <w:rsid w:val="00811466"/>
    <w:rsid w:val="008115F6"/>
    <w:rsid w:val="0081230E"/>
    <w:rsid w:val="0081268E"/>
    <w:rsid w:val="008128BC"/>
    <w:rsid w:val="008129A3"/>
    <w:rsid w:val="00812C6B"/>
    <w:rsid w:val="00813879"/>
    <w:rsid w:val="00813E5F"/>
    <w:rsid w:val="00814200"/>
    <w:rsid w:val="00814238"/>
    <w:rsid w:val="00814BCA"/>
    <w:rsid w:val="00814E47"/>
    <w:rsid w:val="0081500D"/>
    <w:rsid w:val="008153BB"/>
    <w:rsid w:val="00815853"/>
    <w:rsid w:val="00815A11"/>
    <w:rsid w:val="00815BD1"/>
    <w:rsid w:val="00815E35"/>
    <w:rsid w:val="00815F14"/>
    <w:rsid w:val="00815F44"/>
    <w:rsid w:val="00815F6E"/>
    <w:rsid w:val="0081645C"/>
    <w:rsid w:val="008168E0"/>
    <w:rsid w:val="008169BF"/>
    <w:rsid w:val="00817006"/>
    <w:rsid w:val="00817B8A"/>
    <w:rsid w:val="00817BF1"/>
    <w:rsid w:val="00817DA2"/>
    <w:rsid w:val="00820725"/>
    <w:rsid w:val="00820874"/>
    <w:rsid w:val="00820E40"/>
    <w:rsid w:val="00820F93"/>
    <w:rsid w:val="0082101A"/>
    <w:rsid w:val="0082121C"/>
    <w:rsid w:val="008212D9"/>
    <w:rsid w:val="008217AA"/>
    <w:rsid w:val="0082193C"/>
    <w:rsid w:val="00821AA0"/>
    <w:rsid w:val="00821EDF"/>
    <w:rsid w:val="0082218F"/>
    <w:rsid w:val="00822537"/>
    <w:rsid w:val="00822603"/>
    <w:rsid w:val="00822916"/>
    <w:rsid w:val="00822CDE"/>
    <w:rsid w:val="00822D7C"/>
    <w:rsid w:val="00822DC7"/>
    <w:rsid w:val="0082334A"/>
    <w:rsid w:val="00823476"/>
    <w:rsid w:val="008236AA"/>
    <w:rsid w:val="008237D6"/>
    <w:rsid w:val="00823E7B"/>
    <w:rsid w:val="00824150"/>
    <w:rsid w:val="008241C1"/>
    <w:rsid w:val="00824FEA"/>
    <w:rsid w:val="008254C0"/>
    <w:rsid w:val="0082592F"/>
    <w:rsid w:val="00825D29"/>
    <w:rsid w:val="00825E89"/>
    <w:rsid w:val="008264CD"/>
    <w:rsid w:val="0082682E"/>
    <w:rsid w:val="00827294"/>
    <w:rsid w:val="008272C8"/>
    <w:rsid w:val="008272DC"/>
    <w:rsid w:val="00827308"/>
    <w:rsid w:val="00827D5D"/>
    <w:rsid w:val="0083022E"/>
    <w:rsid w:val="008302D6"/>
    <w:rsid w:val="008304E0"/>
    <w:rsid w:val="00830800"/>
    <w:rsid w:val="00831195"/>
    <w:rsid w:val="008311B4"/>
    <w:rsid w:val="008315B1"/>
    <w:rsid w:val="00831662"/>
    <w:rsid w:val="0083170D"/>
    <w:rsid w:val="0083190E"/>
    <w:rsid w:val="00831F64"/>
    <w:rsid w:val="00832054"/>
    <w:rsid w:val="008322CE"/>
    <w:rsid w:val="0083267C"/>
    <w:rsid w:val="008327F5"/>
    <w:rsid w:val="008328B3"/>
    <w:rsid w:val="00832FE7"/>
    <w:rsid w:val="00833142"/>
    <w:rsid w:val="00833928"/>
    <w:rsid w:val="00833976"/>
    <w:rsid w:val="00833DBF"/>
    <w:rsid w:val="00833E46"/>
    <w:rsid w:val="008346DC"/>
    <w:rsid w:val="0083509B"/>
    <w:rsid w:val="008353EF"/>
    <w:rsid w:val="0083546F"/>
    <w:rsid w:val="008357FB"/>
    <w:rsid w:val="00835C33"/>
    <w:rsid w:val="00835F85"/>
    <w:rsid w:val="0083640B"/>
    <w:rsid w:val="008366DC"/>
    <w:rsid w:val="00836CAD"/>
    <w:rsid w:val="00836D59"/>
    <w:rsid w:val="00837A96"/>
    <w:rsid w:val="00837C1A"/>
    <w:rsid w:val="00837CFB"/>
    <w:rsid w:val="008400DD"/>
    <w:rsid w:val="00840215"/>
    <w:rsid w:val="00840438"/>
    <w:rsid w:val="008406F5"/>
    <w:rsid w:val="00840872"/>
    <w:rsid w:val="00840D33"/>
    <w:rsid w:val="0084115E"/>
    <w:rsid w:val="008416DA"/>
    <w:rsid w:val="00841C70"/>
    <w:rsid w:val="00841E7C"/>
    <w:rsid w:val="008421B6"/>
    <w:rsid w:val="00842BB4"/>
    <w:rsid w:val="00843361"/>
    <w:rsid w:val="00844B0A"/>
    <w:rsid w:val="008453F5"/>
    <w:rsid w:val="00845557"/>
    <w:rsid w:val="00845739"/>
    <w:rsid w:val="00845AED"/>
    <w:rsid w:val="00845C0E"/>
    <w:rsid w:val="00846082"/>
    <w:rsid w:val="00846191"/>
    <w:rsid w:val="008468FD"/>
    <w:rsid w:val="008469DF"/>
    <w:rsid w:val="00846B89"/>
    <w:rsid w:val="00846C85"/>
    <w:rsid w:val="00846DD8"/>
    <w:rsid w:val="00847124"/>
    <w:rsid w:val="0084729F"/>
    <w:rsid w:val="008475DC"/>
    <w:rsid w:val="0085009A"/>
    <w:rsid w:val="00850372"/>
    <w:rsid w:val="0085064C"/>
    <w:rsid w:val="0085075F"/>
    <w:rsid w:val="00850817"/>
    <w:rsid w:val="00850870"/>
    <w:rsid w:val="0085089D"/>
    <w:rsid w:val="00850F6E"/>
    <w:rsid w:val="008511A2"/>
    <w:rsid w:val="0085187A"/>
    <w:rsid w:val="008518CF"/>
    <w:rsid w:val="00851A1B"/>
    <w:rsid w:val="00851C42"/>
    <w:rsid w:val="00851DBC"/>
    <w:rsid w:val="00852064"/>
    <w:rsid w:val="008522CE"/>
    <w:rsid w:val="00852544"/>
    <w:rsid w:val="00852E29"/>
    <w:rsid w:val="008534AE"/>
    <w:rsid w:val="0085352E"/>
    <w:rsid w:val="00853762"/>
    <w:rsid w:val="00853D13"/>
    <w:rsid w:val="00853E52"/>
    <w:rsid w:val="00854374"/>
    <w:rsid w:val="008546E6"/>
    <w:rsid w:val="00854D6E"/>
    <w:rsid w:val="00854FEB"/>
    <w:rsid w:val="0085533F"/>
    <w:rsid w:val="008558D2"/>
    <w:rsid w:val="0085595E"/>
    <w:rsid w:val="00855DE1"/>
    <w:rsid w:val="00855E48"/>
    <w:rsid w:val="008562F7"/>
    <w:rsid w:val="008563C8"/>
    <w:rsid w:val="00856662"/>
    <w:rsid w:val="00856823"/>
    <w:rsid w:val="00856BD2"/>
    <w:rsid w:val="00856F24"/>
    <w:rsid w:val="00857B91"/>
    <w:rsid w:val="00857C75"/>
    <w:rsid w:val="00857DC3"/>
    <w:rsid w:val="008601E3"/>
    <w:rsid w:val="00860363"/>
    <w:rsid w:val="008603B6"/>
    <w:rsid w:val="00860840"/>
    <w:rsid w:val="00860925"/>
    <w:rsid w:val="008610A0"/>
    <w:rsid w:val="008610ED"/>
    <w:rsid w:val="0086116A"/>
    <w:rsid w:val="008612E2"/>
    <w:rsid w:val="00861517"/>
    <w:rsid w:val="00861690"/>
    <w:rsid w:val="00861960"/>
    <w:rsid w:val="00861E5E"/>
    <w:rsid w:val="00862269"/>
    <w:rsid w:val="00862351"/>
    <w:rsid w:val="008624EF"/>
    <w:rsid w:val="008629FA"/>
    <w:rsid w:val="00862B30"/>
    <w:rsid w:val="00862DE3"/>
    <w:rsid w:val="008634D5"/>
    <w:rsid w:val="00863A6D"/>
    <w:rsid w:val="00863D78"/>
    <w:rsid w:val="00863E40"/>
    <w:rsid w:val="00864124"/>
    <w:rsid w:val="00864228"/>
    <w:rsid w:val="0086476C"/>
    <w:rsid w:val="00864FAB"/>
    <w:rsid w:val="0086529C"/>
    <w:rsid w:val="008657A6"/>
    <w:rsid w:val="00865F24"/>
    <w:rsid w:val="00866289"/>
    <w:rsid w:val="00866466"/>
    <w:rsid w:val="00866A38"/>
    <w:rsid w:val="0086772D"/>
    <w:rsid w:val="00867960"/>
    <w:rsid w:val="008679BE"/>
    <w:rsid w:val="00867A63"/>
    <w:rsid w:val="00867EC5"/>
    <w:rsid w:val="008700C3"/>
    <w:rsid w:val="008702D5"/>
    <w:rsid w:val="0087032A"/>
    <w:rsid w:val="00870ABC"/>
    <w:rsid w:val="00870D82"/>
    <w:rsid w:val="0087155D"/>
    <w:rsid w:val="00871948"/>
    <w:rsid w:val="00871F54"/>
    <w:rsid w:val="00872030"/>
    <w:rsid w:val="008722A9"/>
    <w:rsid w:val="008723C5"/>
    <w:rsid w:val="008724F8"/>
    <w:rsid w:val="0087289C"/>
    <w:rsid w:val="00872A4E"/>
    <w:rsid w:val="00872B4A"/>
    <w:rsid w:val="00872FF0"/>
    <w:rsid w:val="008736B3"/>
    <w:rsid w:val="008737FA"/>
    <w:rsid w:val="00873CF3"/>
    <w:rsid w:val="00873EAF"/>
    <w:rsid w:val="00873F11"/>
    <w:rsid w:val="0087414E"/>
    <w:rsid w:val="00874A69"/>
    <w:rsid w:val="00874ECD"/>
    <w:rsid w:val="00874F40"/>
    <w:rsid w:val="008755AC"/>
    <w:rsid w:val="00875C0A"/>
    <w:rsid w:val="00875CAB"/>
    <w:rsid w:val="00875E83"/>
    <w:rsid w:val="0087671E"/>
    <w:rsid w:val="0088033F"/>
    <w:rsid w:val="0088094A"/>
    <w:rsid w:val="00880B6D"/>
    <w:rsid w:val="00880C16"/>
    <w:rsid w:val="00880DCF"/>
    <w:rsid w:val="00881098"/>
    <w:rsid w:val="0088139D"/>
    <w:rsid w:val="00881786"/>
    <w:rsid w:val="00881D5F"/>
    <w:rsid w:val="008820E1"/>
    <w:rsid w:val="008829F4"/>
    <w:rsid w:val="00882C2B"/>
    <w:rsid w:val="00882DEA"/>
    <w:rsid w:val="00883315"/>
    <w:rsid w:val="00883366"/>
    <w:rsid w:val="008834E3"/>
    <w:rsid w:val="00883B3E"/>
    <w:rsid w:val="00883C6C"/>
    <w:rsid w:val="00883EB2"/>
    <w:rsid w:val="008840CE"/>
    <w:rsid w:val="0088429D"/>
    <w:rsid w:val="00884483"/>
    <w:rsid w:val="00884677"/>
    <w:rsid w:val="008849BF"/>
    <w:rsid w:val="008856B3"/>
    <w:rsid w:val="00885BB8"/>
    <w:rsid w:val="00886011"/>
    <w:rsid w:val="008864A3"/>
    <w:rsid w:val="0088668C"/>
    <w:rsid w:val="00887043"/>
    <w:rsid w:val="00887301"/>
    <w:rsid w:val="00887377"/>
    <w:rsid w:val="0088752B"/>
    <w:rsid w:val="00887765"/>
    <w:rsid w:val="00887AA0"/>
    <w:rsid w:val="00887AFD"/>
    <w:rsid w:val="00890118"/>
    <w:rsid w:val="008902F4"/>
    <w:rsid w:val="00890303"/>
    <w:rsid w:val="00890549"/>
    <w:rsid w:val="008905CB"/>
    <w:rsid w:val="0089075C"/>
    <w:rsid w:val="00890B02"/>
    <w:rsid w:val="00890E0B"/>
    <w:rsid w:val="008912FA"/>
    <w:rsid w:val="0089176C"/>
    <w:rsid w:val="00891DDB"/>
    <w:rsid w:val="00891E7B"/>
    <w:rsid w:val="00891F66"/>
    <w:rsid w:val="00892725"/>
    <w:rsid w:val="008933DE"/>
    <w:rsid w:val="008935A1"/>
    <w:rsid w:val="00893735"/>
    <w:rsid w:val="00893921"/>
    <w:rsid w:val="00893FF0"/>
    <w:rsid w:val="00894281"/>
    <w:rsid w:val="00894A5A"/>
    <w:rsid w:val="00894C20"/>
    <w:rsid w:val="00894FBF"/>
    <w:rsid w:val="00895548"/>
    <w:rsid w:val="00895AC7"/>
    <w:rsid w:val="00895E6A"/>
    <w:rsid w:val="00895F25"/>
    <w:rsid w:val="00896258"/>
    <w:rsid w:val="00896546"/>
    <w:rsid w:val="0089692F"/>
    <w:rsid w:val="008969C6"/>
    <w:rsid w:val="00896A1F"/>
    <w:rsid w:val="008975E2"/>
    <w:rsid w:val="00897A9A"/>
    <w:rsid w:val="00897A9E"/>
    <w:rsid w:val="008A02A1"/>
    <w:rsid w:val="008A06A2"/>
    <w:rsid w:val="008A075C"/>
    <w:rsid w:val="008A19F7"/>
    <w:rsid w:val="008A1E67"/>
    <w:rsid w:val="008A1F58"/>
    <w:rsid w:val="008A220F"/>
    <w:rsid w:val="008A2348"/>
    <w:rsid w:val="008A2476"/>
    <w:rsid w:val="008A261D"/>
    <w:rsid w:val="008A27F1"/>
    <w:rsid w:val="008A2838"/>
    <w:rsid w:val="008A2C84"/>
    <w:rsid w:val="008A2D9C"/>
    <w:rsid w:val="008A3707"/>
    <w:rsid w:val="008A3D14"/>
    <w:rsid w:val="008A3E6C"/>
    <w:rsid w:val="008A4563"/>
    <w:rsid w:val="008A4665"/>
    <w:rsid w:val="008A4694"/>
    <w:rsid w:val="008A4AC1"/>
    <w:rsid w:val="008A4CF0"/>
    <w:rsid w:val="008A523D"/>
    <w:rsid w:val="008A53D9"/>
    <w:rsid w:val="008A53F1"/>
    <w:rsid w:val="008A54F8"/>
    <w:rsid w:val="008A5547"/>
    <w:rsid w:val="008A565B"/>
    <w:rsid w:val="008A5C70"/>
    <w:rsid w:val="008A685C"/>
    <w:rsid w:val="008A6E1B"/>
    <w:rsid w:val="008A6E7F"/>
    <w:rsid w:val="008A6F63"/>
    <w:rsid w:val="008A7089"/>
    <w:rsid w:val="008A7627"/>
    <w:rsid w:val="008A77C7"/>
    <w:rsid w:val="008A7873"/>
    <w:rsid w:val="008A7ED7"/>
    <w:rsid w:val="008B01C8"/>
    <w:rsid w:val="008B04AC"/>
    <w:rsid w:val="008B0B5E"/>
    <w:rsid w:val="008B0ED2"/>
    <w:rsid w:val="008B0F60"/>
    <w:rsid w:val="008B1F08"/>
    <w:rsid w:val="008B2587"/>
    <w:rsid w:val="008B2AD1"/>
    <w:rsid w:val="008B2D90"/>
    <w:rsid w:val="008B2E41"/>
    <w:rsid w:val="008B38AD"/>
    <w:rsid w:val="008B38D8"/>
    <w:rsid w:val="008B3CCE"/>
    <w:rsid w:val="008B3DC8"/>
    <w:rsid w:val="008B4331"/>
    <w:rsid w:val="008B4551"/>
    <w:rsid w:val="008B4580"/>
    <w:rsid w:val="008B487D"/>
    <w:rsid w:val="008B5443"/>
    <w:rsid w:val="008B5B82"/>
    <w:rsid w:val="008B6210"/>
    <w:rsid w:val="008B623A"/>
    <w:rsid w:val="008B6355"/>
    <w:rsid w:val="008B6358"/>
    <w:rsid w:val="008B6D47"/>
    <w:rsid w:val="008B71A5"/>
    <w:rsid w:val="008B728E"/>
    <w:rsid w:val="008B7A8C"/>
    <w:rsid w:val="008B7CA5"/>
    <w:rsid w:val="008C03EC"/>
    <w:rsid w:val="008C04AE"/>
    <w:rsid w:val="008C08AD"/>
    <w:rsid w:val="008C0979"/>
    <w:rsid w:val="008C0A5A"/>
    <w:rsid w:val="008C11C0"/>
    <w:rsid w:val="008C14D7"/>
    <w:rsid w:val="008C1631"/>
    <w:rsid w:val="008C20EF"/>
    <w:rsid w:val="008C36E2"/>
    <w:rsid w:val="008C371F"/>
    <w:rsid w:val="008C3917"/>
    <w:rsid w:val="008C3A2A"/>
    <w:rsid w:val="008C3A5E"/>
    <w:rsid w:val="008C3AEB"/>
    <w:rsid w:val="008C3D7D"/>
    <w:rsid w:val="008C49F5"/>
    <w:rsid w:val="008C4DE4"/>
    <w:rsid w:val="008C4E8C"/>
    <w:rsid w:val="008C4EC4"/>
    <w:rsid w:val="008C5025"/>
    <w:rsid w:val="008C520E"/>
    <w:rsid w:val="008C5393"/>
    <w:rsid w:val="008C5398"/>
    <w:rsid w:val="008C5784"/>
    <w:rsid w:val="008C5975"/>
    <w:rsid w:val="008C5A79"/>
    <w:rsid w:val="008C5CE5"/>
    <w:rsid w:val="008C5F1C"/>
    <w:rsid w:val="008C5FE3"/>
    <w:rsid w:val="008C61F1"/>
    <w:rsid w:val="008C63F1"/>
    <w:rsid w:val="008C695A"/>
    <w:rsid w:val="008C6C12"/>
    <w:rsid w:val="008C6E28"/>
    <w:rsid w:val="008C765E"/>
    <w:rsid w:val="008C7AA9"/>
    <w:rsid w:val="008C7DB1"/>
    <w:rsid w:val="008D0067"/>
    <w:rsid w:val="008D045C"/>
    <w:rsid w:val="008D04E5"/>
    <w:rsid w:val="008D07CC"/>
    <w:rsid w:val="008D0861"/>
    <w:rsid w:val="008D0A30"/>
    <w:rsid w:val="008D0AA4"/>
    <w:rsid w:val="008D0D50"/>
    <w:rsid w:val="008D0D62"/>
    <w:rsid w:val="008D1368"/>
    <w:rsid w:val="008D1636"/>
    <w:rsid w:val="008D1A36"/>
    <w:rsid w:val="008D1A89"/>
    <w:rsid w:val="008D1C0B"/>
    <w:rsid w:val="008D2450"/>
    <w:rsid w:val="008D2823"/>
    <w:rsid w:val="008D2D84"/>
    <w:rsid w:val="008D3105"/>
    <w:rsid w:val="008D315A"/>
    <w:rsid w:val="008D3408"/>
    <w:rsid w:val="008D35A1"/>
    <w:rsid w:val="008D4104"/>
    <w:rsid w:val="008D4307"/>
    <w:rsid w:val="008D4579"/>
    <w:rsid w:val="008D47E0"/>
    <w:rsid w:val="008D4844"/>
    <w:rsid w:val="008D4C42"/>
    <w:rsid w:val="008D5125"/>
    <w:rsid w:val="008D51DA"/>
    <w:rsid w:val="008D56FC"/>
    <w:rsid w:val="008D5AC3"/>
    <w:rsid w:val="008D5D7E"/>
    <w:rsid w:val="008D5FB5"/>
    <w:rsid w:val="008D655E"/>
    <w:rsid w:val="008D712D"/>
    <w:rsid w:val="008D7151"/>
    <w:rsid w:val="008D7252"/>
    <w:rsid w:val="008D7302"/>
    <w:rsid w:val="008D74CA"/>
    <w:rsid w:val="008D77ED"/>
    <w:rsid w:val="008D795F"/>
    <w:rsid w:val="008D7BAB"/>
    <w:rsid w:val="008E0A77"/>
    <w:rsid w:val="008E117C"/>
    <w:rsid w:val="008E12F9"/>
    <w:rsid w:val="008E13FF"/>
    <w:rsid w:val="008E1485"/>
    <w:rsid w:val="008E17BC"/>
    <w:rsid w:val="008E1B12"/>
    <w:rsid w:val="008E1DB3"/>
    <w:rsid w:val="008E2437"/>
    <w:rsid w:val="008E266E"/>
    <w:rsid w:val="008E2842"/>
    <w:rsid w:val="008E3355"/>
    <w:rsid w:val="008E36D2"/>
    <w:rsid w:val="008E3A5E"/>
    <w:rsid w:val="008E3E43"/>
    <w:rsid w:val="008E4068"/>
    <w:rsid w:val="008E4EA7"/>
    <w:rsid w:val="008E4EF8"/>
    <w:rsid w:val="008E5693"/>
    <w:rsid w:val="008E5925"/>
    <w:rsid w:val="008E5963"/>
    <w:rsid w:val="008E5C89"/>
    <w:rsid w:val="008E6BA4"/>
    <w:rsid w:val="008E749C"/>
    <w:rsid w:val="008E7788"/>
    <w:rsid w:val="008E7B45"/>
    <w:rsid w:val="008F005B"/>
    <w:rsid w:val="008F007F"/>
    <w:rsid w:val="008F0114"/>
    <w:rsid w:val="008F024F"/>
    <w:rsid w:val="008F0571"/>
    <w:rsid w:val="008F059D"/>
    <w:rsid w:val="008F090E"/>
    <w:rsid w:val="008F0C89"/>
    <w:rsid w:val="008F0D45"/>
    <w:rsid w:val="008F0E4B"/>
    <w:rsid w:val="008F0F76"/>
    <w:rsid w:val="008F1163"/>
    <w:rsid w:val="008F1917"/>
    <w:rsid w:val="008F1AFA"/>
    <w:rsid w:val="008F1E22"/>
    <w:rsid w:val="008F2715"/>
    <w:rsid w:val="008F2ECA"/>
    <w:rsid w:val="008F3E49"/>
    <w:rsid w:val="008F50BC"/>
    <w:rsid w:val="008F5113"/>
    <w:rsid w:val="008F5207"/>
    <w:rsid w:val="008F5DC1"/>
    <w:rsid w:val="008F63A2"/>
    <w:rsid w:val="008F6441"/>
    <w:rsid w:val="008F680A"/>
    <w:rsid w:val="008F6C6F"/>
    <w:rsid w:val="008F7225"/>
    <w:rsid w:val="008F796A"/>
    <w:rsid w:val="008F7D64"/>
    <w:rsid w:val="0090008A"/>
    <w:rsid w:val="00900296"/>
    <w:rsid w:val="00900362"/>
    <w:rsid w:val="00900491"/>
    <w:rsid w:val="00901014"/>
    <w:rsid w:val="00901991"/>
    <w:rsid w:val="00901B27"/>
    <w:rsid w:val="00901DB3"/>
    <w:rsid w:val="009020EA"/>
    <w:rsid w:val="00902168"/>
    <w:rsid w:val="009023EB"/>
    <w:rsid w:val="009027D1"/>
    <w:rsid w:val="009029AB"/>
    <w:rsid w:val="00902F59"/>
    <w:rsid w:val="00903077"/>
    <w:rsid w:val="009030F3"/>
    <w:rsid w:val="00903571"/>
    <w:rsid w:val="009038F1"/>
    <w:rsid w:val="0090397C"/>
    <w:rsid w:val="00903C3D"/>
    <w:rsid w:val="00904224"/>
    <w:rsid w:val="0090474F"/>
    <w:rsid w:val="009048C1"/>
    <w:rsid w:val="00904C9E"/>
    <w:rsid w:val="009051E0"/>
    <w:rsid w:val="00905616"/>
    <w:rsid w:val="009058A1"/>
    <w:rsid w:val="00905AD2"/>
    <w:rsid w:val="00905C80"/>
    <w:rsid w:val="00906096"/>
    <w:rsid w:val="00906C0C"/>
    <w:rsid w:val="00906CC9"/>
    <w:rsid w:val="00906FBB"/>
    <w:rsid w:val="00907969"/>
    <w:rsid w:val="00907A75"/>
    <w:rsid w:val="00907AC0"/>
    <w:rsid w:val="009103BA"/>
    <w:rsid w:val="009108DE"/>
    <w:rsid w:val="00910B02"/>
    <w:rsid w:val="00910EF5"/>
    <w:rsid w:val="0091174F"/>
    <w:rsid w:val="00911846"/>
    <w:rsid w:val="00911F0F"/>
    <w:rsid w:val="00912160"/>
    <w:rsid w:val="009121D1"/>
    <w:rsid w:val="00912410"/>
    <w:rsid w:val="009124CD"/>
    <w:rsid w:val="00912AAE"/>
    <w:rsid w:val="00912C63"/>
    <w:rsid w:val="00912D8D"/>
    <w:rsid w:val="00912DC5"/>
    <w:rsid w:val="00913124"/>
    <w:rsid w:val="0091321F"/>
    <w:rsid w:val="00914437"/>
    <w:rsid w:val="009144B2"/>
    <w:rsid w:val="0091478A"/>
    <w:rsid w:val="00914ACC"/>
    <w:rsid w:val="00914ACE"/>
    <w:rsid w:val="00914D90"/>
    <w:rsid w:val="00914E4E"/>
    <w:rsid w:val="00915317"/>
    <w:rsid w:val="00915DD6"/>
    <w:rsid w:val="00915E7B"/>
    <w:rsid w:val="00915EBB"/>
    <w:rsid w:val="0091617B"/>
    <w:rsid w:val="00916246"/>
    <w:rsid w:val="00916A41"/>
    <w:rsid w:val="00916E5A"/>
    <w:rsid w:val="009175AE"/>
    <w:rsid w:val="00917716"/>
    <w:rsid w:val="00917BF1"/>
    <w:rsid w:val="00920509"/>
    <w:rsid w:val="009206F2"/>
    <w:rsid w:val="009208D5"/>
    <w:rsid w:val="0092097E"/>
    <w:rsid w:val="00920AF9"/>
    <w:rsid w:val="00920D5E"/>
    <w:rsid w:val="00920FF4"/>
    <w:rsid w:val="009214B3"/>
    <w:rsid w:val="009216F8"/>
    <w:rsid w:val="009217C1"/>
    <w:rsid w:val="009219FC"/>
    <w:rsid w:val="009220C3"/>
    <w:rsid w:val="0092250C"/>
    <w:rsid w:val="00923C04"/>
    <w:rsid w:val="00923C0A"/>
    <w:rsid w:val="00923C90"/>
    <w:rsid w:val="00923DE1"/>
    <w:rsid w:val="00923F2F"/>
    <w:rsid w:val="009248AC"/>
    <w:rsid w:val="00924AC3"/>
    <w:rsid w:val="00924B7E"/>
    <w:rsid w:val="00924CD2"/>
    <w:rsid w:val="00925186"/>
    <w:rsid w:val="00925650"/>
    <w:rsid w:val="00925ABF"/>
    <w:rsid w:val="0092643B"/>
    <w:rsid w:val="0092649F"/>
    <w:rsid w:val="0092682E"/>
    <w:rsid w:val="00926972"/>
    <w:rsid w:val="00926CC0"/>
    <w:rsid w:val="00926DEF"/>
    <w:rsid w:val="009272DC"/>
    <w:rsid w:val="00927662"/>
    <w:rsid w:val="009276C6"/>
    <w:rsid w:val="00927AE8"/>
    <w:rsid w:val="00927B4B"/>
    <w:rsid w:val="00927B75"/>
    <w:rsid w:val="00927D6C"/>
    <w:rsid w:val="009301A7"/>
    <w:rsid w:val="009301F2"/>
    <w:rsid w:val="009302F8"/>
    <w:rsid w:val="00930550"/>
    <w:rsid w:val="00931AA6"/>
    <w:rsid w:val="00931C31"/>
    <w:rsid w:val="009320E0"/>
    <w:rsid w:val="0093217C"/>
    <w:rsid w:val="009321C0"/>
    <w:rsid w:val="009323DA"/>
    <w:rsid w:val="00932811"/>
    <w:rsid w:val="009329D8"/>
    <w:rsid w:val="00933350"/>
    <w:rsid w:val="009338E9"/>
    <w:rsid w:val="00933EC1"/>
    <w:rsid w:val="0093455E"/>
    <w:rsid w:val="00934CDC"/>
    <w:rsid w:val="00935694"/>
    <w:rsid w:val="00935700"/>
    <w:rsid w:val="00935F1C"/>
    <w:rsid w:val="00936A09"/>
    <w:rsid w:val="00936BA3"/>
    <w:rsid w:val="009371CD"/>
    <w:rsid w:val="009374C7"/>
    <w:rsid w:val="00937521"/>
    <w:rsid w:val="00937A7A"/>
    <w:rsid w:val="00937AF7"/>
    <w:rsid w:val="0094070B"/>
    <w:rsid w:val="009407A6"/>
    <w:rsid w:val="00940A29"/>
    <w:rsid w:val="00940BDE"/>
    <w:rsid w:val="0094129A"/>
    <w:rsid w:val="009416EF"/>
    <w:rsid w:val="00941720"/>
    <w:rsid w:val="00941C8C"/>
    <w:rsid w:val="00941EC9"/>
    <w:rsid w:val="00942485"/>
    <w:rsid w:val="009428F0"/>
    <w:rsid w:val="0094295A"/>
    <w:rsid w:val="00943AEA"/>
    <w:rsid w:val="00943CD7"/>
    <w:rsid w:val="0094409E"/>
    <w:rsid w:val="00944452"/>
    <w:rsid w:val="009444BF"/>
    <w:rsid w:val="00944739"/>
    <w:rsid w:val="00944A8A"/>
    <w:rsid w:val="00944CFC"/>
    <w:rsid w:val="00944EC0"/>
    <w:rsid w:val="00944FAC"/>
    <w:rsid w:val="00945DC0"/>
    <w:rsid w:val="00945FE2"/>
    <w:rsid w:val="00946151"/>
    <w:rsid w:val="00946B6B"/>
    <w:rsid w:val="00946B8F"/>
    <w:rsid w:val="00946C70"/>
    <w:rsid w:val="00947320"/>
    <w:rsid w:val="0094789E"/>
    <w:rsid w:val="00947A56"/>
    <w:rsid w:val="009501C1"/>
    <w:rsid w:val="0095088E"/>
    <w:rsid w:val="00950EB9"/>
    <w:rsid w:val="00950F99"/>
    <w:rsid w:val="00951B24"/>
    <w:rsid w:val="00951F30"/>
    <w:rsid w:val="00952058"/>
    <w:rsid w:val="0095231B"/>
    <w:rsid w:val="0095277F"/>
    <w:rsid w:val="0095282A"/>
    <w:rsid w:val="0095293C"/>
    <w:rsid w:val="00953002"/>
    <w:rsid w:val="00954AAB"/>
    <w:rsid w:val="00954C94"/>
    <w:rsid w:val="00954D17"/>
    <w:rsid w:val="00954D57"/>
    <w:rsid w:val="00954E99"/>
    <w:rsid w:val="009553A7"/>
    <w:rsid w:val="00955767"/>
    <w:rsid w:val="00955C6F"/>
    <w:rsid w:val="00955CA7"/>
    <w:rsid w:val="00955FEA"/>
    <w:rsid w:val="0095619D"/>
    <w:rsid w:val="009562D9"/>
    <w:rsid w:val="00956762"/>
    <w:rsid w:val="009568C3"/>
    <w:rsid w:val="00956E06"/>
    <w:rsid w:val="00956F4F"/>
    <w:rsid w:val="009571AB"/>
    <w:rsid w:val="00957627"/>
    <w:rsid w:val="00960E52"/>
    <w:rsid w:val="0096102C"/>
    <w:rsid w:val="0096155B"/>
    <w:rsid w:val="009617C2"/>
    <w:rsid w:val="00961E4C"/>
    <w:rsid w:val="00961EEE"/>
    <w:rsid w:val="00961F8A"/>
    <w:rsid w:val="00961FCE"/>
    <w:rsid w:val="0096229B"/>
    <w:rsid w:val="009622FD"/>
    <w:rsid w:val="00962529"/>
    <w:rsid w:val="00962AC4"/>
    <w:rsid w:val="00962F2D"/>
    <w:rsid w:val="00963372"/>
    <w:rsid w:val="0096381B"/>
    <w:rsid w:val="00963F04"/>
    <w:rsid w:val="00964212"/>
    <w:rsid w:val="009647C9"/>
    <w:rsid w:val="0096499E"/>
    <w:rsid w:val="00964F0F"/>
    <w:rsid w:val="0096558A"/>
    <w:rsid w:val="00965A5A"/>
    <w:rsid w:val="00965B6B"/>
    <w:rsid w:val="00966269"/>
    <w:rsid w:val="0096654A"/>
    <w:rsid w:val="0096669C"/>
    <w:rsid w:val="009666DF"/>
    <w:rsid w:val="00966858"/>
    <w:rsid w:val="00966B0C"/>
    <w:rsid w:val="00966B32"/>
    <w:rsid w:val="00966BDA"/>
    <w:rsid w:val="00966F34"/>
    <w:rsid w:val="00967157"/>
    <w:rsid w:val="00967473"/>
    <w:rsid w:val="009675AA"/>
    <w:rsid w:val="0096794C"/>
    <w:rsid w:val="00970955"/>
    <w:rsid w:val="00970F9F"/>
    <w:rsid w:val="00971347"/>
    <w:rsid w:val="00971786"/>
    <w:rsid w:val="00971CD2"/>
    <w:rsid w:val="00972002"/>
    <w:rsid w:val="009720EA"/>
    <w:rsid w:val="009725B8"/>
    <w:rsid w:val="00972ACF"/>
    <w:rsid w:val="00973110"/>
    <w:rsid w:val="009734DD"/>
    <w:rsid w:val="00973948"/>
    <w:rsid w:val="00973AC0"/>
    <w:rsid w:val="00973F6C"/>
    <w:rsid w:val="00974221"/>
    <w:rsid w:val="00974833"/>
    <w:rsid w:val="0097498F"/>
    <w:rsid w:val="00974B68"/>
    <w:rsid w:val="00974E84"/>
    <w:rsid w:val="00975365"/>
    <w:rsid w:val="00975578"/>
    <w:rsid w:val="00975DD8"/>
    <w:rsid w:val="0097618E"/>
    <w:rsid w:val="009761EB"/>
    <w:rsid w:val="0097649A"/>
    <w:rsid w:val="00976B2C"/>
    <w:rsid w:val="00976DD4"/>
    <w:rsid w:val="0097734D"/>
    <w:rsid w:val="00977A3D"/>
    <w:rsid w:val="00977D1D"/>
    <w:rsid w:val="00980103"/>
    <w:rsid w:val="00980F15"/>
    <w:rsid w:val="00981145"/>
    <w:rsid w:val="00981762"/>
    <w:rsid w:val="00981912"/>
    <w:rsid w:val="00981CBE"/>
    <w:rsid w:val="00982159"/>
    <w:rsid w:val="00982E5D"/>
    <w:rsid w:val="00982ECE"/>
    <w:rsid w:val="00982FE7"/>
    <w:rsid w:val="00982FF1"/>
    <w:rsid w:val="00983013"/>
    <w:rsid w:val="009836A0"/>
    <w:rsid w:val="009839A2"/>
    <w:rsid w:val="009839FF"/>
    <w:rsid w:val="00983ACC"/>
    <w:rsid w:val="00983D3B"/>
    <w:rsid w:val="0098430B"/>
    <w:rsid w:val="00984350"/>
    <w:rsid w:val="00984699"/>
    <w:rsid w:val="009849B0"/>
    <w:rsid w:val="00985906"/>
    <w:rsid w:val="00985D96"/>
    <w:rsid w:val="00986351"/>
    <w:rsid w:val="00987184"/>
    <w:rsid w:val="009871D8"/>
    <w:rsid w:val="00987461"/>
    <w:rsid w:val="00987EC5"/>
    <w:rsid w:val="0099071C"/>
    <w:rsid w:val="00990988"/>
    <w:rsid w:val="00990B4F"/>
    <w:rsid w:val="00990D75"/>
    <w:rsid w:val="009921E5"/>
    <w:rsid w:val="00992738"/>
    <w:rsid w:val="00992777"/>
    <w:rsid w:val="00992A48"/>
    <w:rsid w:val="00992F24"/>
    <w:rsid w:val="00992F4C"/>
    <w:rsid w:val="00993167"/>
    <w:rsid w:val="009934AE"/>
    <w:rsid w:val="00993A15"/>
    <w:rsid w:val="00993C58"/>
    <w:rsid w:val="00993D39"/>
    <w:rsid w:val="00993E04"/>
    <w:rsid w:val="00994013"/>
    <w:rsid w:val="0099404D"/>
    <w:rsid w:val="009942FC"/>
    <w:rsid w:val="0099430D"/>
    <w:rsid w:val="0099468E"/>
    <w:rsid w:val="009949EF"/>
    <w:rsid w:val="009949F0"/>
    <w:rsid w:val="00994CC1"/>
    <w:rsid w:val="00995924"/>
    <w:rsid w:val="00995E8E"/>
    <w:rsid w:val="009961EC"/>
    <w:rsid w:val="00996288"/>
    <w:rsid w:val="009967BC"/>
    <w:rsid w:val="009967C8"/>
    <w:rsid w:val="00997372"/>
    <w:rsid w:val="00997712"/>
    <w:rsid w:val="009977A9"/>
    <w:rsid w:val="00997C5C"/>
    <w:rsid w:val="00997F25"/>
    <w:rsid w:val="009A0175"/>
    <w:rsid w:val="009A02A1"/>
    <w:rsid w:val="009A03F5"/>
    <w:rsid w:val="009A0605"/>
    <w:rsid w:val="009A0656"/>
    <w:rsid w:val="009A06F0"/>
    <w:rsid w:val="009A0BD4"/>
    <w:rsid w:val="009A0E85"/>
    <w:rsid w:val="009A1170"/>
    <w:rsid w:val="009A13C7"/>
    <w:rsid w:val="009A15D2"/>
    <w:rsid w:val="009A1833"/>
    <w:rsid w:val="009A197B"/>
    <w:rsid w:val="009A1A69"/>
    <w:rsid w:val="009A1B5A"/>
    <w:rsid w:val="009A320D"/>
    <w:rsid w:val="009A3CAD"/>
    <w:rsid w:val="009A3DA9"/>
    <w:rsid w:val="009A3ED7"/>
    <w:rsid w:val="009A4908"/>
    <w:rsid w:val="009A4A29"/>
    <w:rsid w:val="009A4C91"/>
    <w:rsid w:val="009A5389"/>
    <w:rsid w:val="009A5812"/>
    <w:rsid w:val="009A5B99"/>
    <w:rsid w:val="009A60F6"/>
    <w:rsid w:val="009A64B1"/>
    <w:rsid w:val="009A667A"/>
    <w:rsid w:val="009A6CAC"/>
    <w:rsid w:val="009A6DB0"/>
    <w:rsid w:val="009A7620"/>
    <w:rsid w:val="009A77E2"/>
    <w:rsid w:val="009A79A1"/>
    <w:rsid w:val="009B0076"/>
    <w:rsid w:val="009B01D9"/>
    <w:rsid w:val="009B0AAF"/>
    <w:rsid w:val="009B0D5A"/>
    <w:rsid w:val="009B0D64"/>
    <w:rsid w:val="009B0DD9"/>
    <w:rsid w:val="009B1832"/>
    <w:rsid w:val="009B1A54"/>
    <w:rsid w:val="009B1AC3"/>
    <w:rsid w:val="009B1F2F"/>
    <w:rsid w:val="009B1FED"/>
    <w:rsid w:val="009B2621"/>
    <w:rsid w:val="009B2EA6"/>
    <w:rsid w:val="009B389A"/>
    <w:rsid w:val="009B3AA0"/>
    <w:rsid w:val="009B3C30"/>
    <w:rsid w:val="009B3D6A"/>
    <w:rsid w:val="009B3D9B"/>
    <w:rsid w:val="009B43EF"/>
    <w:rsid w:val="009B4754"/>
    <w:rsid w:val="009B4782"/>
    <w:rsid w:val="009B495E"/>
    <w:rsid w:val="009B4C0A"/>
    <w:rsid w:val="009B4FB9"/>
    <w:rsid w:val="009B5236"/>
    <w:rsid w:val="009B53F0"/>
    <w:rsid w:val="009B5437"/>
    <w:rsid w:val="009B547F"/>
    <w:rsid w:val="009B5803"/>
    <w:rsid w:val="009B5F77"/>
    <w:rsid w:val="009B61CB"/>
    <w:rsid w:val="009B63DE"/>
    <w:rsid w:val="009B6599"/>
    <w:rsid w:val="009B68ED"/>
    <w:rsid w:val="009B6B0A"/>
    <w:rsid w:val="009B7704"/>
    <w:rsid w:val="009C026E"/>
    <w:rsid w:val="009C044D"/>
    <w:rsid w:val="009C093A"/>
    <w:rsid w:val="009C093C"/>
    <w:rsid w:val="009C0FF6"/>
    <w:rsid w:val="009C1468"/>
    <w:rsid w:val="009C1759"/>
    <w:rsid w:val="009C1C2B"/>
    <w:rsid w:val="009C1E34"/>
    <w:rsid w:val="009C21BD"/>
    <w:rsid w:val="009C21F0"/>
    <w:rsid w:val="009C2516"/>
    <w:rsid w:val="009C29AA"/>
    <w:rsid w:val="009C2DFD"/>
    <w:rsid w:val="009C3053"/>
    <w:rsid w:val="009C36EB"/>
    <w:rsid w:val="009C3AA7"/>
    <w:rsid w:val="009C3BA5"/>
    <w:rsid w:val="009C3C77"/>
    <w:rsid w:val="009C436A"/>
    <w:rsid w:val="009C4470"/>
    <w:rsid w:val="009C47C4"/>
    <w:rsid w:val="009C47F2"/>
    <w:rsid w:val="009C5A8C"/>
    <w:rsid w:val="009C68FD"/>
    <w:rsid w:val="009C6C6E"/>
    <w:rsid w:val="009C7540"/>
    <w:rsid w:val="009C7602"/>
    <w:rsid w:val="009C7A68"/>
    <w:rsid w:val="009C7A6E"/>
    <w:rsid w:val="009D0B2D"/>
    <w:rsid w:val="009D0EFE"/>
    <w:rsid w:val="009D1003"/>
    <w:rsid w:val="009D11E8"/>
    <w:rsid w:val="009D181B"/>
    <w:rsid w:val="009D1F4B"/>
    <w:rsid w:val="009D204E"/>
    <w:rsid w:val="009D24DC"/>
    <w:rsid w:val="009D26DE"/>
    <w:rsid w:val="009D288E"/>
    <w:rsid w:val="009D2ABE"/>
    <w:rsid w:val="009D2CCB"/>
    <w:rsid w:val="009D2ED4"/>
    <w:rsid w:val="009D2FD8"/>
    <w:rsid w:val="009D35EB"/>
    <w:rsid w:val="009D4714"/>
    <w:rsid w:val="009D4B9B"/>
    <w:rsid w:val="009D4F32"/>
    <w:rsid w:val="009D4F7F"/>
    <w:rsid w:val="009D4FDE"/>
    <w:rsid w:val="009D519F"/>
    <w:rsid w:val="009D522C"/>
    <w:rsid w:val="009D5302"/>
    <w:rsid w:val="009D5881"/>
    <w:rsid w:val="009D5909"/>
    <w:rsid w:val="009D5BFA"/>
    <w:rsid w:val="009D5CCD"/>
    <w:rsid w:val="009D6112"/>
    <w:rsid w:val="009D6116"/>
    <w:rsid w:val="009D64CD"/>
    <w:rsid w:val="009D6651"/>
    <w:rsid w:val="009D6859"/>
    <w:rsid w:val="009D6B1E"/>
    <w:rsid w:val="009D700C"/>
    <w:rsid w:val="009D7A44"/>
    <w:rsid w:val="009D7C37"/>
    <w:rsid w:val="009E0195"/>
    <w:rsid w:val="009E022E"/>
    <w:rsid w:val="009E041B"/>
    <w:rsid w:val="009E0715"/>
    <w:rsid w:val="009E0AB9"/>
    <w:rsid w:val="009E0CD4"/>
    <w:rsid w:val="009E0E81"/>
    <w:rsid w:val="009E0F7C"/>
    <w:rsid w:val="009E11FF"/>
    <w:rsid w:val="009E15E4"/>
    <w:rsid w:val="009E19DE"/>
    <w:rsid w:val="009E2405"/>
    <w:rsid w:val="009E255C"/>
    <w:rsid w:val="009E2A69"/>
    <w:rsid w:val="009E2AE1"/>
    <w:rsid w:val="009E3464"/>
    <w:rsid w:val="009E359C"/>
    <w:rsid w:val="009E3742"/>
    <w:rsid w:val="009E3AB9"/>
    <w:rsid w:val="009E458F"/>
    <w:rsid w:val="009E4D7E"/>
    <w:rsid w:val="009E4E08"/>
    <w:rsid w:val="009E4E75"/>
    <w:rsid w:val="009E528B"/>
    <w:rsid w:val="009E56EF"/>
    <w:rsid w:val="009E5B86"/>
    <w:rsid w:val="009E5F56"/>
    <w:rsid w:val="009E6CB3"/>
    <w:rsid w:val="009E7105"/>
    <w:rsid w:val="009E71EB"/>
    <w:rsid w:val="009E7234"/>
    <w:rsid w:val="009E7940"/>
    <w:rsid w:val="009E7DE7"/>
    <w:rsid w:val="009F00EB"/>
    <w:rsid w:val="009F01A8"/>
    <w:rsid w:val="009F02D5"/>
    <w:rsid w:val="009F0712"/>
    <w:rsid w:val="009F086D"/>
    <w:rsid w:val="009F1408"/>
    <w:rsid w:val="009F18BA"/>
    <w:rsid w:val="009F1A83"/>
    <w:rsid w:val="009F1F87"/>
    <w:rsid w:val="009F212E"/>
    <w:rsid w:val="009F21B5"/>
    <w:rsid w:val="009F2589"/>
    <w:rsid w:val="009F2C08"/>
    <w:rsid w:val="009F2CD9"/>
    <w:rsid w:val="009F3184"/>
    <w:rsid w:val="009F3948"/>
    <w:rsid w:val="009F3C1A"/>
    <w:rsid w:val="009F411B"/>
    <w:rsid w:val="009F42A4"/>
    <w:rsid w:val="009F4838"/>
    <w:rsid w:val="009F545D"/>
    <w:rsid w:val="009F5603"/>
    <w:rsid w:val="009F562C"/>
    <w:rsid w:val="009F58C9"/>
    <w:rsid w:val="009F5E1A"/>
    <w:rsid w:val="009F5FAD"/>
    <w:rsid w:val="009F617F"/>
    <w:rsid w:val="009F6379"/>
    <w:rsid w:val="009F69F0"/>
    <w:rsid w:val="009F7329"/>
    <w:rsid w:val="009F74C5"/>
    <w:rsid w:val="009F79FA"/>
    <w:rsid w:val="009F7B85"/>
    <w:rsid w:val="009F7F44"/>
    <w:rsid w:val="00A005C7"/>
    <w:rsid w:val="00A005DE"/>
    <w:rsid w:val="00A009EE"/>
    <w:rsid w:val="00A00B2D"/>
    <w:rsid w:val="00A00B6A"/>
    <w:rsid w:val="00A00CCB"/>
    <w:rsid w:val="00A00F6D"/>
    <w:rsid w:val="00A01874"/>
    <w:rsid w:val="00A018F8"/>
    <w:rsid w:val="00A019B6"/>
    <w:rsid w:val="00A020B0"/>
    <w:rsid w:val="00A025BA"/>
    <w:rsid w:val="00A03973"/>
    <w:rsid w:val="00A03E17"/>
    <w:rsid w:val="00A0440A"/>
    <w:rsid w:val="00A0477D"/>
    <w:rsid w:val="00A0499E"/>
    <w:rsid w:val="00A04F23"/>
    <w:rsid w:val="00A0628E"/>
    <w:rsid w:val="00A0641D"/>
    <w:rsid w:val="00A068D4"/>
    <w:rsid w:val="00A06A83"/>
    <w:rsid w:val="00A06AC7"/>
    <w:rsid w:val="00A06CED"/>
    <w:rsid w:val="00A06EF7"/>
    <w:rsid w:val="00A06F32"/>
    <w:rsid w:val="00A071F3"/>
    <w:rsid w:val="00A0721B"/>
    <w:rsid w:val="00A07244"/>
    <w:rsid w:val="00A072E9"/>
    <w:rsid w:val="00A07A8B"/>
    <w:rsid w:val="00A10936"/>
    <w:rsid w:val="00A10D5D"/>
    <w:rsid w:val="00A111EE"/>
    <w:rsid w:val="00A1136E"/>
    <w:rsid w:val="00A11ACA"/>
    <w:rsid w:val="00A11E54"/>
    <w:rsid w:val="00A122B0"/>
    <w:rsid w:val="00A1235C"/>
    <w:rsid w:val="00A12EEA"/>
    <w:rsid w:val="00A133F2"/>
    <w:rsid w:val="00A13805"/>
    <w:rsid w:val="00A1558D"/>
    <w:rsid w:val="00A1581B"/>
    <w:rsid w:val="00A15913"/>
    <w:rsid w:val="00A15D09"/>
    <w:rsid w:val="00A16380"/>
    <w:rsid w:val="00A167F0"/>
    <w:rsid w:val="00A1690D"/>
    <w:rsid w:val="00A16A83"/>
    <w:rsid w:val="00A16B1D"/>
    <w:rsid w:val="00A16BD2"/>
    <w:rsid w:val="00A16C21"/>
    <w:rsid w:val="00A17036"/>
    <w:rsid w:val="00A173C8"/>
    <w:rsid w:val="00A17468"/>
    <w:rsid w:val="00A1771F"/>
    <w:rsid w:val="00A17AA1"/>
    <w:rsid w:val="00A17C85"/>
    <w:rsid w:val="00A17D00"/>
    <w:rsid w:val="00A20395"/>
    <w:rsid w:val="00A20400"/>
    <w:rsid w:val="00A20FCB"/>
    <w:rsid w:val="00A212B7"/>
    <w:rsid w:val="00A2148E"/>
    <w:rsid w:val="00A2170D"/>
    <w:rsid w:val="00A21718"/>
    <w:rsid w:val="00A21C1C"/>
    <w:rsid w:val="00A21E69"/>
    <w:rsid w:val="00A22372"/>
    <w:rsid w:val="00A223BC"/>
    <w:rsid w:val="00A22555"/>
    <w:rsid w:val="00A22747"/>
    <w:rsid w:val="00A228F4"/>
    <w:rsid w:val="00A22C35"/>
    <w:rsid w:val="00A22E0F"/>
    <w:rsid w:val="00A230AB"/>
    <w:rsid w:val="00A233C0"/>
    <w:rsid w:val="00A235B9"/>
    <w:rsid w:val="00A235C4"/>
    <w:rsid w:val="00A24082"/>
    <w:rsid w:val="00A261C3"/>
    <w:rsid w:val="00A26232"/>
    <w:rsid w:val="00A2683B"/>
    <w:rsid w:val="00A269BF"/>
    <w:rsid w:val="00A26A9C"/>
    <w:rsid w:val="00A26BF4"/>
    <w:rsid w:val="00A2718E"/>
    <w:rsid w:val="00A2739A"/>
    <w:rsid w:val="00A276A9"/>
    <w:rsid w:val="00A2787F"/>
    <w:rsid w:val="00A2794A"/>
    <w:rsid w:val="00A27D29"/>
    <w:rsid w:val="00A301C4"/>
    <w:rsid w:val="00A3057B"/>
    <w:rsid w:val="00A3071D"/>
    <w:rsid w:val="00A3078E"/>
    <w:rsid w:val="00A307D6"/>
    <w:rsid w:val="00A3111D"/>
    <w:rsid w:val="00A3140C"/>
    <w:rsid w:val="00A3201B"/>
    <w:rsid w:val="00A32291"/>
    <w:rsid w:val="00A32AC3"/>
    <w:rsid w:val="00A32DEA"/>
    <w:rsid w:val="00A32EC3"/>
    <w:rsid w:val="00A334E4"/>
    <w:rsid w:val="00A3386A"/>
    <w:rsid w:val="00A33895"/>
    <w:rsid w:val="00A338E3"/>
    <w:rsid w:val="00A33F8E"/>
    <w:rsid w:val="00A3406D"/>
    <w:rsid w:val="00A34241"/>
    <w:rsid w:val="00A34AD5"/>
    <w:rsid w:val="00A34CDF"/>
    <w:rsid w:val="00A34D16"/>
    <w:rsid w:val="00A35412"/>
    <w:rsid w:val="00A357E9"/>
    <w:rsid w:val="00A3584E"/>
    <w:rsid w:val="00A363C8"/>
    <w:rsid w:val="00A3652E"/>
    <w:rsid w:val="00A36951"/>
    <w:rsid w:val="00A36E50"/>
    <w:rsid w:val="00A37541"/>
    <w:rsid w:val="00A37ADA"/>
    <w:rsid w:val="00A37D1E"/>
    <w:rsid w:val="00A40382"/>
    <w:rsid w:val="00A4071F"/>
    <w:rsid w:val="00A4092C"/>
    <w:rsid w:val="00A41030"/>
    <w:rsid w:val="00A41114"/>
    <w:rsid w:val="00A418B4"/>
    <w:rsid w:val="00A421F8"/>
    <w:rsid w:val="00A42A99"/>
    <w:rsid w:val="00A42BFE"/>
    <w:rsid w:val="00A42E5F"/>
    <w:rsid w:val="00A42F33"/>
    <w:rsid w:val="00A43116"/>
    <w:rsid w:val="00A438A4"/>
    <w:rsid w:val="00A43B5F"/>
    <w:rsid w:val="00A43D08"/>
    <w:rsid w:val="00A43D4D"/>
    <w:rsid w:val="00A443A9"/>
    <w:rsid w:val="00A4449D"/>
    <w:rsid w:val="00A44999"/>
    <w:rsid w:val="00A44AB3"/>
    <w:rsid w:val="00A45550"/>
    <w:rsid w:val="00A45D1F"/>
    <w:rsid w:val="00A4641D"/>
    <w:rsid w:val="00A477E6"/>
    <w:rsid w:val="00A478E0"/>
    <w:rsid w:val="00A47D65"/>
    <w:rsid w:val="00A501C6"/>
    <w:rsid w:val="00A501EC"/>
    <w:rsid w:val="00A50563"/>
    <w:rsid w:val="00A5064A"/>
    <w:rsid w:val="00A50FA0"/>
    <w:rsid w:val="00A51032"/>
    <w:rsid w:val="00A516C0"/>
    <w:rsid w:val="00A51757"/>
    <w:rsid w:val="00A51845"/>
    <w:rsid w:val="00A52041"/>
    <w:rsid w:val="00A528EB"/>
    <w:rsid w:val="00A52ACC"/>
    <w:rsid w:val="00A53310"/>
    <w:rsid w:val="00A537D6"/>
    <w:rsid w:val="00A540C3"/>
    <w:rsid w:val="00A547CA"/>
    <w:rsid w:val="00A54884"/>
    <w:rsid w:val="00A548DD"/>
    <w:rsid w:val="00A54C8A"/>
    <w:rsid w:val="00A54FAF"/>
    <w:rsid w:val="00A54FBA"/>
    <w:rsid w:val="00A55020"/>
    <w:rsid w:val="00A55084"/>
    <w:rsid w:val="00A5532D"/>
    <w:rsid w:val="00A555FA"/>
    <w:rsid w:val="00A55BBB"/>
    <w:rsid w:val="00A55D1D"/>
    <w:rsid w:val="00A56091"/>
    <w:rsid w:val="00A561BF"/>
    <w:rsid w:val="00A563B6"/>
    <w:rsid w:val="00A56B6F"/>
    <w:rsid w:val="00A56CBD"/>
    <w:rsid w:val="00A56E48"/>
    <w:rsid w:val="00A57393"/>
    <w:rsid w:val="00A5746E"/>
    <w:rsid w:val="00A577D1"/>
    <w:rsid w:val="00A57947"/>
    <w:rsid w:val="00A57C56"/>
    <w:rsid w:val="00A57D33"/>
    <w:rsid w:val="00A57F3F"/>
    <w:rsid w:val="00A60300"/>
    <w:rsid w:val="00A6074D"/>
    <w:rsid w:val="00A6124C"/>
    <w:rsid w:val="00A614C3"/>
    <w:rsid w:val="00A6166C"/>
    <w:rsid w:val="00A61A06"/>
    <w:rsid w:val="00A61F6B"/>
    <w:rsid w:val="00A62107"/>
    <w:rsid w:val="00A62111"/>
    <w:rsid w:val="00A62A1C"/>
    <w:rsid w:val="00A62D2C"/>
    <w:rsid w:val="00A62F55"/>
    <w:rsid w:val="00A6310D"/>
    <w:rsid w:val="00A63285"/>
    <w:rsid w:val="00A63303"/>
    <w:rsid w:val="00A633FC"/>
    <w:rsid w:val="00A6361C"/>
    <w:rsid w:val="00A636F4"/>
    <w:rsid w:val="00A63738"/>
    <w:rsid w:val="00A63876"/>
    <w:rsid w:val="00A63E6D"/>
    <w:rsid w:val="00A63E7D"/>
    <w:rsid w:val="00A63F78"/>
    <w:rsid w:val="00A6475C"/>
    <w:rsid w:val="00A649B8"/>
    <w:rsid w:val="00A649F5"/>
    <w:rsid w:val="00A64ABA"/>
    <w:rsid w:val="00A64F0A"/>
    <w:rsid w:val="00A650A9"/>
    <w:rsid w:val="00A6531B"/>
    <w:rsid w:val="00A6540B"/>
    <w:rsid w:val="00A6553E"/>
    <w:rsid w:val="00A656FC"/>
    <w:rsid w:val="00A65DF9"/>
    <w:rsid w:val="00A660F1"/>
    <w:rsid w:val="00A66B52"/>
    <w:rsid w:val="00A66D47"/>
    <w:rsid w:val="00A67035"/>
    <w:rsid w:val="00A67049"/>
    <w:rsid w:val="00A67080"/>
    <w:rsid w:val="00A676F0"/>
    <w:rsid w:val="00A67C19"/>
    <w:rsid w:val="00A67D67"/>
    <w:rsid w:val="00A67F88"/>
    <w:rsid w:val="00A67FC9"/>
    <w:rsid w:val="00A70000"/>
    <w:rsid w:val="00A702D6"/>
    <w:rsid w:val="00A70A52"/>
    <w:rsid w:val="00A70DA9"/>
    <w:rsid w:val="00A71229"/>
    <w:rsid w:val="00A715BF"/>
    <w:rsid w:val="00A716B8"/>
    <w:rsid w:val="00A718D8"/>
    <w:rsid w:val="00A719C2"/>
    <w:rsid w:val="00A71DEF"/>
    <w:rsid w:val="00A71EA1"/>
    <w:rsid w:val="00A722D1"/>
    <w:rsid w:val="00A72B57"/>
    <w:rsid w:val="00A73093"/>
    <w:rsid w:val="00A733A9"/>
    <w:rsid w:val="00A73490"/>
    <w:rsid w:val="00A7371D"/>
    <w:rsid w:val="00A738C9"/>
    <w:rsid w:val="00A740CD"/>
    <w:rsid w:val="00A7418D"/>
    <w:rsid w:val="00A741A4"/>
    <w:rsid w:val="00A74416"/>
    <w:rsid w:val="00A74571"/>
    <w:rsid w:val="00A74E98"/>
    <w:rsid w:val="00A74F69"/>
    <w:rsid w:val="00A74FDC"/>
    <w:rsid w:val="00A750BD"/>
    <w:rsid w:val="00A75744"/>
    <w:rsid w:val="00A75A4C"/>
    <w:rsid w:val="00A75DA1"/>
    <w:rsid w:val="00A75F02"/>
    <w:rsid w:val="00A76D38"/>
    <w:rsid w:val="00A76F6A"/>
    <w:rsid w:val="00A776EC"/>
    <w:rsid w:val="00A777F9"/>
    <w:rsid w:val="00A777FB"/>
    <w:rsid w:val="00A800C6"/>
    <w:rsid w:val="00A803A8"/>
    <w:rsid w:val="00A80526"/>
    <w:rsid w:val="00A8096D"/>
    <w:rsid w:val="00A80E3A"/>
    <w:rsid w:val="00A81378"/>
    <w:rsid w:val="00A8177D"/>
    <w:rsid w:val="00A81EEC"/>
    <w:rsid w:val="00A8205B"/>
    <w:rsid w:val="00A8227B"/>
    <w:rsid w:val="00A827AA"/>
    <w:rsid w:val="00A828F9"/>
    <w:rsid w:val="00A82B2A"/>
    <w:rsid w:val="00A82B30"/>
    <w:rsid w:val="00A82DA8"/>
    <w:rsid w:val="00A832DF"/>
    <w:rsid w:val="00A832E5"/>
    <w:rsid w:val="00A835A4"/>
    <w:rsid w:val="00A83624"/>
    <w:rsid w:val="00A83DA1"/>
    <w:rsid w:val="00A84104"/>
    <w:rsid w:val="00A846FE"/>
    <w:rsid w:val="00A8483D"/>
    <w:rsid w:val="00A84908"/>
    <w:rsid w:val="00A8494E"/>
    <w:rsid w:val="00A8496D"/>
    <w:rsid w:val="00A84B30"/>
    <w:rsid w:val="00A84B86"/>
    <w:rsid w:val="00A85003"/>
    <w:rsid w:val="00A8501A"/>
    <w:rsid w:val="00A85387"/>
    <w:rsid w:val="00A85AD1"/>
    <w:rsid w:val="00A85DDA"/>
    <w:rsid w:val="00A86283"/>
    <w:rsid w:val="00A86553"/>
    <w:rsid w:val="00A8668D"/>
    <w:rsid w:val="00A86A55"/>
    <w:rsid w:val="00A86B9D"/>
    <w:rsid w:val="00A86C7F"/>
    <w:rsid w:val="00A86EEB"/>
    <w:rsid w:val="00A86EF3"/>
    <w:rsid w:val="00A86EF5"/>
    <w:rsid w:val="00A871DC"/>
    <w:rsid w:val="00A8767D"/>
    <w:rsid w:val="00A8780F"/>
    <w:rsid w:val="00A879F0"/>
    <w:rsid w:val="00A87DBD"/>
    <w:rsid w:val="00A902FA"/>
    <w:rsid w:val="00A905D0"/>
    <w:rsid w:val="00A9092D"/>
    <w:rsid w:val="00A90A18"/>
    <w:rsid w:val="00A90B00"/>
    <w:rsid w:val="00A90C9A"/>
    <w:rsid w:val="00A90DF4"/>
    <w:rsid w:val="00A913FA"/>
    <w:rsid w:val="00A918C9"/>
    <w:rsid w:val="00A91940"/>
    <w:rsid w:val="00A9230E"/>
    <w:rsid w:val="00A930F0"/>
    <w:rsid w:val="00A932EB"/>
    <w:rsid w:val="00A939F6"/>
    <w:rsid w:val="00A93DAC"/>
    <w:rsid w:val="00A93DD9"/>
    <w:rsid w:val="00A947CD"/>
    <w:rsid w:val="00A9484F"/>
    <w:rsid w:val="00A94DDF"/>
    <w:rsid w:val="00A94E5F"/>
    <w:rsid w:val="00A94EA1"/>
    <w:rsid w:val="00A95B38"/>
    <w:rsid w:val="00A95E25"/>
    <w:rsid w:val="00A96871"/>
    <w:rsid w:val="00A96D3B"/>
    <w:rsid w:val="00A971B6"/>
    <w:rsid w:val="00A9733C"/>
    <w:rsid w:val="00A97585"/>
    <w:rsid w:val="00A977C7"/>
    <w:rsid w:val="00A97823"/>
    <w:rsid w:val="00A97B8C"/>
    <w:rsid w:val="00AA0194"/>
    <w:rsid w:val="00AA01F1"/>
    <w:rsid w:val="00AA0582"/>
    <w:rsid w:val="00AA0F23"/>
    <w:rsid w:val="00AA14E6"/>
    <w:rsid w:val="00AA1610"/>
    <w:rsid w:val="00AA1651"/>
    <w:rsid w:val="00AA1932"/>
    <w:rsid w:val="00AA1D79"/>
    <w:rsid w:val="00AA1E10"/>
    <w:rsid w:val="00AA2892"/>
    <w:rsid w:val="00AA2ABB"/>
    <w:rsid w:val="00AA2BE2"/>
    <w:rsid w:val="00AA2CDA"/>
    <w:rsid w:val="00AA2D0C"/>
    <w:rsid w:val="00AA30A1"/>
    <w:rsid w:val="00AA3912"/>
    <w:rsid w:val="00AA3DED"/>
    <w:rsid w:val="00AA4491"/>
    <w:rsid w:val="00AA4828"/>
    <w:rsid w:val="00AA48EE"/>
    <w:rsid w:val="00AA506C"/>
    <w:rsid w:val="00AA515A"/>
    <w:rsid w:val="00AA51BF"/>
    <w:rsid w:val="00AA5307"/>
    <w:rsid w:val="00AA5638"/>
    <w:rsid w:val="00AA57B1"/>
    <w:rsid w:val="00AA5C04"/>
    <w:rsid w:val="00AA5DB9"/>
    <w:rsid w:val="00AA6148"/>
    <w:rsid w:val="00AA63CE"/>
    <w:rsid w:val="00AA6AAA"/>
    <w:rsid w:val="00AA7448"/>
    <w:rsid w:val="00AA76DE"/>
    <w:rsid w:val="00AA7702"/>
    <w:rsid w:val="00AA7BF6"/>
    <w:rsid w:val="00AB00E6"/>
    <w:rsid w:val="00AB0335"/>
    <w:rsid w:val="00AB0F7F"/>
    <w:rsid w:val="00AB11BF"/>
    <w:rsid w:val="00AB1536"/>
    <w:rsid w:val="00AB18B6"/>
    <w:rsid w:val="00AB1946"/>
    <w:rsid w:val="00AB1B01"/>
    <w:rsid w:val="00AB1D59"/>
    <w:rsid w:val="00AB2087"/>
    <w:rsid w:val="00AB2309"/>
    <w:rsid w:val="00AB24AD"/>
    <w:rsid w:val="00AB2A75"/>
    <w:rsid w:val="00AB2B56"/>
    <w:rsid w:val="00AB2CB5"/>
    <w:rsid w:val="00AB3013"/>
    <w:rsid w:val="00AB3298"/>
    <w:rsid w:val="00AB409F"/>
    <w:rsid w:val="00AB4453"/>
    <w:rsid w:val="00AB4667"/>
    <w:rsid w:val="00AB4B08"/>
    <w:rsid w:val="00AB4BF4"/>
    <w:rsid w:val="00AB4D3D"/>
    <w:rsid w:val="00AB4EAF"/>
    <w:rsid w:val="00AB5C39"/>
    <w:rsid w:val="00AB5C90"/>
    <w:rsid w:val="00AB5DC6"/>
    <w:rsid w:val="00AB5E78"/>
    <w:rsid w:val="00AB5FB7"/>
    <w:rsid w:val="00AB63AE"/>
    <w:rsid w:val="00AB724E"/>
    <w:rsid w:val="00AB7437"/>
    <w:rsid w:val="00AB7726"/>
    <w:rsid w:val="00AB7E14"/>
    <w:rsid w:val="00AC0C89"/>
    <w:rsid w:val="00AC0E99"/>
    <w:rsid w:val="00AC1178"/>
    <w:rsid w:val="00AC117F"/>
    <w:rsid w:val="00AC134F"/>
    <w:rsid w:val="00AC138B"/>
    <w:rsid w:val="00AC16D3"/>
    <w:rsid w:val="00AC1966"/>
    <w:rsid w:val="00AC19EC"/>
    <w:rsid w:val="00AC224E"/>
    <w:rsid w:val="00AC264D"/>
    <w:rsid w:val="00AC2851"/>
    <w:rsid w:val="00AC2D80"/>
    <w:rsid w:val="00AC2FF3"/>
    <w:rsid w:val="00AC3311"/>
    <w:rsid w:val="00AC349E"/>
    <w:rsid w:val="00AC4147"/>
    <w:rsid w:val="00AC44BA"/>
    <w:rsid w:val="00AC456D"/>
    <w:rsid w:val="00AC48BF"/>
    <w:rsid w:val="00AC4C4C"/>
    <w:rsid w:val="00AC4C62"/>
    <w:rsid w:val="00AC5042"/>
    <w:rsid w:val="00AC5225"/>
    <w:rsid w:val="00AC5826"/>
    <w:rsid w:val="00AC58A4"/>
    <w:rsid w:val="00AC58FC"/>
    <w:rsid w:val="00AC5BCB"/>
    <w:rsid w:val="00AC6185"/>
    <w:rsid w:val="00AC6281"/>
    <w:rsid w:val="00AC672F"/>
    <w:rsid w:val="00AC6AFA"/>
    <w:rsid w:val="00AC7623"/>
    <w:rsid w:val="00AC7C45"/>
    <w:rsid w:val="00AD036A"/>
    <w:rsid w:val="00AD05E7"/>
    <w:rsid w:val="00AD077A"/>
    <w:rsid w:val="00AD0DA0"/>
    <w:rsid w:val="00AD0DAB"/>
    <w:rsid w:val="00AD1024"/>
    <w:rsid w:val="00AD1D71"/>
    <w:rsid w:val="00AD2317"/>
    <w:rsid w:val="00AD25C5"/>
    <w:rsid w:val="00AD2BBB"/>
    <w:rsid w:val="00AD374B"/>
    <w:rsid w:val="00AD4D0E"/>
    <w:rsid w:val="00AD5152"/>
    <w:rsid w:val="00AD5643"/>
    <w:rsid w:val="00AD5772"/>
    <w:rsid w:val="00AD5A27"/>
    <w:rsid w:val="00AD5B75"/>
    <w:rsid w:val="00AD5D10"/>
    <w:rsid w:val="00AD5DF8"/>
    <w:rsid w:val="00AD6B4B"/>
    <w:rsid w:val="00AD6C36"/>
    <w:rsid w:val="00AD6C49"/>
    <w:rsid w:val="00AD6E15"/>
    <w:rsid w:val="00AD72DB"/>
    <w:rsid w:val="00AD7B1D"/>
    <w:rsid w:val="00AE017E"/>
    <w:rsid w:val="00AE0DA9"/>
    <w:rsid w:val="00AE1733"/>
    <w:rsid w:val="00AE1B94"/>
    <w:rsid w:val="00AE1D67"/>
    <w:rsid w:val="00AE1D91"/>
    <w:rsid w:val="00AE21AB"/>
    <w:rsid w:val="00AE2313"/>
    <w:rsid w:val="00AE25DD"/>
    <w:rsid w:val="00AE26CC"/>
    <w:rsid w:val="00AE2742"/>
    <w:rsid w:val="00AE285A"/>
    <w:rsid w:val="00AE28A0"/>
    <w:rsid w:val="00AE2AB7"/>
    <w:rsid w:val="00AE2D75"/>
    <w:rsid w:val="00AE2DFC"/>
    <w:rsid w:val="00AE321C"/>
    <w:rsid w:val="00AE3221"/>
    <w:rsid w:val="00AE333A"/>
    <w:rsid w:val="00AE3465"/>
    <w:rsid w:val="00AE35BB"/>
    <w:rsid w:val="00AE391E"/>
    <w:rsid w:val="00AE3B16"/>
    <w:rsid w:val="00AE3D84"/>
    <w:rsid w:val="00AE3EBD"/>
    <w:rsid w:val="00AE408C"/>
    <w:rsid w:val="00AE40DD"/>
    <w:rsid w:val="00AE4581"/>
    <w:rsid w:val="00AE498D"/>
    <w:rsid w:val="00AE4F1E"/>
    <w:rsid w:val="00AE568F"/>
    <w:rsid w:val="00AE5DC4"/>
    <w:rsid w:val="00AE61E4"/>
    <w:rsid w:val="00AE66FF"/>
    <w:rsid w:val="00AE6BEE"/>
    <w:rsid w:val="00AE6C40"/>
    <w:rsid w:val="00AE7450"/>
    <w:rsid w:val="00AE770F"/>
    <w:rsid w:val="00AE77E1"/>
    <w:rsid w:val="00AF02B2"/>
    <w:rsid w:val="00AF0385"/>
    <w:rsid w:val="00AF1527"/>
    <w:rsid w:val="00AF153F"/>
    <w:rsid w:val="00AF16F5"/>
    <w:rsid w:val="00AF1A91"/>
    <w:rsid w:val="00AF1D4F"/>
    <w:rsid w:val="00AF1EB3"/>
    <w:rsid w:val="00AF227A"/>
    <w:rsid w:val="00AF3086"/>
    <w:rsid w:val="00AF3429"/>
    <w:rsid w:val="00AF34F1"/>
    <w:rsid w:val="00AF3A7F"/>
    <w:rsid w:val="00AF3A80"/>
    <w:rsid w:val="00AF3AED"/>
    <w:rsid w:val="00AF3D47"/>
    <w:rsid w:val="00AF3F0E"/>
    <w:rsid w:val="00AF3F92"/>
    <w:rsid w:val="00AF409F"/>
    <w:rsid w:val="00AF442D"/>
    <w:rsid w:val="00AF4A89"/>
    <w:rsid w:val="00AF4B46"/>
    <w:rsid w:val="00AF4C2A"/>
    <w:rsid w:val="00AF5577"/>
    <w:rsid w:val="00AF56CB"/>
    <w:rsid w:val="00AF5E0B"/>
    <w:rsid w:val="00AF5EA7"/>
    <w:rsid w:val="00AF5F4C"/>
    <w:rsid w:val="00AF5F9E"/>
    <w:rsid w:val="00AF6814"/>
    <w:rsid w:val="00AF74FE"/>
    <w:rsid w:val="00AF766A"/>
    <w:rsid w:val="00AF7742"/>
    <w:rsid w:val="00AF798E"/>
    <w:rsid w:val="00AF7A4B"/>
    <w:rsid w:val="00AF7C9E"/>
    <w:rsid w:val="00B00089"/>
    <w:rsid w:val="00B0051B"/>
    <w:rsid w:val="00B009A2"/>
    <w:rsid w:val="00B00BB4"/>
    <w:rsid w:val="00B010FD"/>
    <w:rsid w:val="00B01145"/>
    <w:rsid w:val="00B01320"/>
    <w:rsid w:val="00B015B6"/>
    <w:rsid w:val="00B01735"/>
    <w:rsid w:val="00B01A21"/>
    <w:rsid w:val="00B01BBD"/>
    <w:rsid w:val="00B01FD1"/>
    <w:rsid w:val="00B02166"/>
    <w:rsid w:val="00B0241F"/>
    <w:rsid w:val="00B027CF"/>
    <w:rsid w:val="00B028B0"/>
    <w:rsid w:val="00B02E9B"/>
    <w:rsid w:val="00B032B1"/>
    <w:rsid w:val="00B0352B"/>
    <w:rsid w:val="00B03AF5"/>
    <w:rsid w:val="00B04696"/>
    <w:rsid w:val="00B04DE3"/>
    <w:rsid w:val="00B0528F"/>
    <w:rsid w:val="00B054C0"/>
    <w:rsid w:val="00B05931"/>
    <w:rsid w:val="00B05AF1"/>
    <w:rsid w:val="00B05D29"/>
    <w:rsid w:val="00B05D81"/>
    <w:rsid w:val="00B06322"/>
    <w:rsid w:val="00B063AA"/>
    <w:rsid w:val="00B06566"/>
    <w:rsid w:val="00B06993"/>
    <w:rsid w:val="00B071C9"/>
    <w:rsid w:val="00B07648"/>
    <w:rsid w:val="00B07B28"/>
    <w:rsid w:val="00B07C8C"/>
    <w:rsid w:val="00B07D1B"/>
    <w:rsid w:val="00B07EBA"/>
    <w:rsid w:val="00B10155"/>
    <w:rsid w:val="00B102D2"/>
    <w:rsid w:val="00B103F5"/>
    <w:rsid w:val="00B106A0"/>
    <w:rsid w:val="00B1097F"/>
    <w:rsid w:val="00B10AE1"/>
    <w:rsid w:val="00B1145C"/>
    <w:rsid w:val="00B114E2"/>
    <w:rsid w:val="00B11638"/>
    <w:rsid w:val="00B11765"/>
    <w:rsid w:val="00B11C3D"/>
    <w:rsid w:val="00B11F24"/>
    <w:rsid w:val="00B12048"/>
    <w:rsid w:val="00B12694"/>
    <w:rsid w:val="00B1269C"/>
    <w:rsid w:val="00B127D1"/>
    <w:rsid w:val="00B12DC3"/>
    <w:rsid w:val="00B130E5"/>
    <w:rsid w:val="00B13156"/>
    <w:rsid w:val="00B1316F"/>
    <w:rsid w:val="00B13367"/>
    <w:rsid w:val="00B139ED"/>
    <w:rsid w:val="00B13C10"/>
    <w:rsid w:val="00B14060"/>
    <w:rsid w:val="00B1438B"/>
    <w:rsid w:val="00B14566"/>
    <w:rsid w:val="00B14B2E"/>
    <w:rsid w:val="00B15687"/>
    <w:rsid w:val="00B1569B"/>
    <w:rsid w:val="00B15929"/>
    <w:rsid w:val="00B1622A"/>
    <w:rsid w:val="00B16D3D"/>
    <w:rsid w:val="00B17A53"/>
    <w:rsid w:val="00B205C4"/>
    <w:rsid w:val="00B20697"/>
    <w:rsid w:val="00B208C0"/>
    <w:rsid w:val="00B210D4"/>
    <w:rsid w:val="00B213ED"/>
    <w:rsid w:val="00B21819"/>
    <w:rsid w:val="00B2185B"/>
    <w:rsid w:val="00B21DAF"/>
    <w:rsid w:val="00B21E2A"/>
    <w:rsid w:val="00B21EE6"/>
    <w:rsid w:val="00B221C7"/>
    <w:rsid w:val="00B22527"/>
    <w:rsid w:val="00B226D2"/>
    <w:rsid w:val="00B22CB7"/>
    <w:rsid w:val="00B22F6C"/>
    <w:rsid w:val="00B2326C"/>
    <w:rsid w:val="00B232B2"/>
    <w:rsid w:val="00B2370C"/>
    <w:rsid w:val="00B237DE"/>
    <w:rsid w:val="00B23884"/>
    <w:rsid w:val="00B242C8"/>
    <w:rsid w:val="00B245CE"/>
    <w:rsid w:val="00B24B8F"/>
    <w:rsid w:val="00B24F6F"/>
    <w:rsid w:val="00B252A3"/>
    <w:rsid w:val="00B256D9"/>
    <w:rsid w:val="00B25D9B"/>
    <w:rsid w:val="00B26C0A"/>
    <w:rsid w:val="00B26DA1"/>
    <w:rsid w:val="00B2766D"/>
    <w:rsid w:val="00B276BA"/>
    <w:rsid w:val="00B30607"/>
    <w:rsid w:val="00B312E0"/>
    <w:rsid w:val="00B315D4"/>
    <w:rsid w:val="00B317B7"/>
    <w:rsid w:val="00B31804"/>
    <w:rsid w:val="00B31D56"/>
    <w:rsid w:val="00B31F08"/>
    <w:rsid w:val="00B3205D"/>
    <w:rsid w:val="00B320F9"/>
    <w:rsid w:val="00B327BA"/>
    <w:rsid w:val="00B32F73"/>
    <w:rsid w:val="00B33673"/>
    <w:rsid w:val="00B337D2"/>
    <w:rsid w:val="00B338CE"/>
    <w:rsid w:val="00B33A0D"/>
    <w:rsid w:val="00B33C0A"/>
    <w:rsid w:val="00B3415E"/>
    <w:rsid w:val="00B3416C"/>
    <w:rsid w:val="00B3545E"/>
    <w:rsid w:val="00B354AF"/>
    <w:rsid w:val="00B3555F"/>
    <w:rsid w:val="00B356CD"/>
    <w:rsid w:val="00B35750"/>
    <w:rsid w:val="00B35795"/>
    <w:rsid w:val="00B35EE5"/>
    <w:rsid w:val="00B36623"/>
    <w:rsid w:val="00B366BF"/>
    <w:rsid w:val="00B367EA"/>
    <w:rsid w:val="00B36808"/>
    <w:rsid w:val="00B36F9F"/>
    <w:rsid w:val="00B37566"/>
    <w:rsid w:val="00B37DAB"/>
    <w:rsid w:val="00B400CF"/>
    <w:rsid w:val="00B4045F"/>
    <w:rsid w:val="00B4052B"/>
    <w:rsid w:val="00B40A41"/>
    <w:rsid w:val="00B40A7B"/>
    <w:rsid w:val="00B40BBF"/>
    <w:rsid w:val="00B40FC6"/>
    <w:rsid w:val="00B41052"/>
    <w:rsid w:val="00B41249"/>
    <w:rsid w:val="00B41255"/>
    <w:rsid w:val="00B41996"/>
    <w:rsid w:val="00B420B6"/>
    <w:rsid w:val="00B42374"/>
    <w:rsid w:val="00B42524"/>
    <w:rsid w:val="00B42CEA"/>
    <w:rsid w:val="00B42DD7"/>
    <w:rsid w:val="00B42F75"/>
    <w:rsid w:val="00B43105"/>
    <w:rsid w:val="00B432A9"/>
    <w:rsid w:val="00B4339C"/>
    <w:rsid w:val="00B43563"/>
    <w:rsid w:val="00B4358A"/>
    <w:rsid w:val="00B4400A"/>
    <w:rsid w:val="00B44531"/>
    <w:rsid w:val="00B445F2"/>
    <w:rsid w:val="00B44E54"/>
    <w:rsid w:val="00B44E6E"/>
    <w:rsid w:val="00B45F73"/>
    <w:rsid w:val="00B462E1"/>
    <w:rsid w:val="00B46815"/>
    <w:rsid w:val="00B46858"/>
    <w:rsid w:val="00B46D7C"/>
    <w:rsid w:val="00B46F36"/>
    <w:rsid w:val="00B46F3E"/>
    <w:rsid w:val="00B472C6"/>
    <w:rsid w:val="00B474EC"/>
    <w:rsid w:val="00B4770E"/>
    <w:rsid w:val="00B47732"/>
    <w:rsid w:val="00B478FA"/>
    <w:rsid w:val="00B47DBD"/>
    <w:rsid w:val="00B47F54"/>
    <w:rsid w:val="00B50341"/>
    <w:rsid w:val="00B50837"/>
    <w:rsid w:val="00B508D4"/>
    <w:rsid w:val="00B508DB"/>
    <w:rsid w:val="00B50F06"/>
    <w:rsid w:val="00B510B9"/>
    <w:rsid w:val="00B51BF8"/>
    <w:rsid w:val="00B51D5D"/>
    <w:rsid w:val="00B52164"/>
    <w:rsid w:val="00B5238D"/>
    <w:rsid w:val="00B5275C"/>
    <w:rsid w:val="00B52A41"/>
    <w:rsid w:val="00B52A45"/>
    <w:rsid w:val="00B52ACC"/>
    <w:rsid w:val="00B5326C"/>
    <w:rsid w:val="00B53ADC"/>
    <w:rsid w:val="00B53D03"/>
    <w:rsid w:val="00B53F6E"/>
    <w:rsid w:val="00B5409E"/>
    <w:rsid w:val="00B544DF"/>
    <w:rsid w:val="00B54524"/>
    <w:rsid w:val="00B5458C"/>
    <w:rsid w:val="00B5464C"/>
    <w:rsid w:val="00B54A06"/>
    <w:rsid w:val="00B54B56"/>
    <w:rsid w:val="00B54C77"/>
    <w:rsid w:val="00B5527D"/>
    <w:rsid w:val="00B558CA"/>
    <w:rsid w:val="00B55B06"/>
    <w:rsid w:val="00B55FF0"/>
    <w:rsid w:val="00B5608A"/>
    <w:rsid w:val="00B5616B"/>
    <w:rsid w:val="00B56A89"/>
    <w:rsid w:val="00B56D95"/>
    <w:rsid w:val="00B56DC7"/>
    <w:rsid w:val="00B56FBC"/>
    <w:rsid w:val="00B575DF"/>
    <w:rsid w:val="00B57C2E"/>
    <w:rsid w:val="00B600BD"/>
    <w:rsid w:val="00B60664"/>
    <w:rsid w:val="00B60679"/>
    <w:rsid w:val="00B61E80"/>
    <w:rsid w:val="00B61ECD"/>
    <w:rsid w:val="00B62594"/>
    <w:rsid w:val="00B626DE"/>
    <w:rsid w:val="00B62713"/>
    <w:rsid w:val="00B62D18"/>
    <w:rsid w:val="00B62E37"/>
    <w:rsid w:val="00B634B7"/>
    <w:rsid w:val="00B63BEE"/>
    <w:rsid w:val="00B63E20"/>
    <w:rsid w:val="00B63E53"/>
    <w:rsid w:val="00B64001"/>
    <w:rsid w:val="00B6453F"/>
    <w:rsid w:val="00B649FA"/>
    <w:rsid w:val="00B64C96"/>
    <w:rsid w:val="00B64FA3"/>
    <w:rsid w:val="00B65396"/>
    <w:rsid w:val="00B656FF"/>
    <w:rsid w:val="00B65967"/>
    <w:rsid w:val="00B663BD"/>
    <w:rsid w:val="00B664D9"/>
    <w:rsid w:val="00B6686A"/>
    <w:rsid w:val="00B668F0"/>
    <w:rsid w:val="00B66CBA"/>
    <w:rsid w:val="00B66D2E"/>
    <w:rsid w:val="00B66F62"/>
    <w:rsid w:val="00B67003"/>
    <w:rsid w:val="00B67364"/>
    <w:rsid w:val="00B67570"/>
    <w:rsid w:val="00B676D0"/>
    <w:rsid w:val="00B67918"/>
    <w:rsid w:val="00B679BB"/>
    <w:rsid w:val="00B67B02"/>
    <w:rsid w:val="00B67BAE"/>
    <w:rsid w:val="00B67E09"/>
    <w:rsid w:val="00B70A6F"/>
    <w:rsid w:val="00B70C0A"/>
    <w:rsid w:val="00B70C91"/>
    <w:rsid w:val="00B70D74"/>
    <w:rsid w:val="00B71000"/>
    <w:rsid w:val="00B71EF0"/>
    <w:rsid w:val="00B72350"/>
    <w:rsid w:val="00B727E9"/>
    <w:rsid w:val="00B72DFF"/>
    <w:rsid w:val="00B72E82"/>
    <w:rsid w:val="00B735AA"/>
    <w:rsid w:val="00B736EE"/>
    <w:rsid w:val="00B73B44"/>
    <w:rsid w:val="00B73D54"/>
    <w:rsid w:val="00B749BF"/>
    <w:rsid w:val="00B74A80"/>
    <w:rsid w:val="00B74B08"/>
    <w:rsid w:val="00B75120"/>
    <w:rsid w:val="00B75769"/>
    <w:rsid w:val="00B75797"/>
    <w:rsid w:val="00B76487"/>
    <w:rsid w:val="00B76D76"/>
    <w:rsid w:val="00B76F4F"/>
    <w:rsid w:val="00B774A7"/>
    <w:rsid w:val="00B80432"/>
    <w:rsid w:val="00B80489"/>
    <w:rsid w:val="00B81C5E"/>
    <w:rsid w:val="00B8201A"/>
    <w:rsid w:val="00B821A5"/>
    <w:rsid w:val="00B82394"/>
    <w:rsid w:val="00B82C8A"/>
    <w:rsid w:val="00B82E61"/>
    <w:rsid w:val="00B834D1"/>
    <w:rsid w:val="00B83A56"/>
    <w:rsid w:val="00B83D08"/>
    <w:rsid w:val="00B83EEE"/>
    <w:rsid w:val="00B841E3"/>
    <w:rsid w:val="00B847AF"/>
    <w:rsid w:val="00B84B29"/>
    <w:rsid w:val="00B84E6B"/>
    <w:rsid w:val="00B84EE8"/>
    <w:rsid w:val="00B8503A"/>
    <w:rsid w:val="00B850D5"/>
    <w:rsid w:val="00B853FF"/>
    <w:rsid w:val="00B85EE5"/>
    <w:rsid w:val="00B86270"/>
    <w:rsid w:val="00B8628F"/>
    <w:rsid w:val="00B86674"/>
    <w:rsid w:val="00B86FB5"/>
    <w:rsid w:val="00B873E7"/>
    <w:rsid w:val="00B8748B"/>
    <w:rsid w:val="00B876E8"/>
    <w:rsid w:val="00B8780F"/>
    <w:rsid w:val="00B87852"/>
    <w:rsid w:val="00B8799B"/>
    <w:rsid w:val="00B87C0F"/>
    <w:rsid w:val="00B90014"/>
    <w:rsid w:val="00B906D7"/>
    <w:rsid w:val="00B90A92"/>
    <w:rsid w:val="00B91061"/>
    <w:rsid w:val="00B91469"/>
    <w:rsid w:val="00B914A9"/>
    <w:rsid w:val="00B9239D"/>
    <w:rsid w:val="00B92460"/>
    <w:rsid w:val="00B926F4"/>
    <w:rsid w:val="00B92952"/>
    <w:rsid w:val="00B929EC"/>
    <w:rsid w:val="00B92A54"/>
    <w:rsid w:val="00B92AF8"/>
    <w:rsid w:val="00B930E2"/>
    <w:rsid w:val="00B931C5"/>
    <w:rsid w:val="00B93700"/>
    <w:rsid w:val="00B93A07"/>
    <w:rsid w:val="00B94ABA"/>
    <w:rsid w:val="00B955EE"/>
    <w:rsid w:val="00B95B9B"/>
    <w:rsid w:val="00B95CF3"/>
    <w:rsid w:val="00B95F30"/>
    <w:rsid w:val="00B96009"/>
    <w:rsid w:val="00B9629C"/>
    <w:rsid w:val="00B96687"/>
    <w:rsid w:val="00B96A52"/>
    <w:rsid w:val="00B96BAD"/>
    <w:rsid w:val="00B96C40"/>
    <w:rsid w:val="00B9705F"/>
    <w:rsid w:val="00B9751E"/>
    <w:rsid w:val="00B97728"/>
    <w:rsid w:val="00B9776C"/>
    <w:rsid w:val="00B977E1"/>
    <w:rsid w:val="00BA003F"/>
    <w:rsid w:val="00BA0519"/>
    <w:rsid w:val="00BA0675"/>
    <w:rsid w:val="00BA07C4"/>
    <w:rsid w:val="00BA0995"/>
    <w:rsid w:val="00BA0E9E"/>
    <w:rsid w:val="00BA11E2"/>
    <w:rsid w:val="00BA1620"/>
    <w:rsid w:val="00BA1634"/>
    <w:rsid w:val="00BA1A4F"/>
    <w:rsid w:val="00BA1E32"/>
    <w:rsid w:val="00BA1EFB"/>
    <w:rsid w:val="00BA21AC"/>
    <w:rsid w:val="00BA2D1B"/>
    <w:rsid w:val="00BA2E17"/>
    <w:rsid w:val="00BA2E83"/>
    <w:rsid w:val="00BA3485"/>
    <w:rsid w:val="00BA3764"/>
    <w:rsid w:val="00BA38AB"/>
    <w:rsid w:val="00BA3D97"/>
    <w:rsid w:val="00BA3F22"/>
    <w:rsid w:val="00BA43B6"/>
    <w:rsid w:val="00BA4777"/>
    <w:rsid w:val="00BA4913"/>
    <w:rsid w:val="00BA498A"/>
    <w:rsid w:val="00BA4D0C"/>
    <w:rsid w:val="00BA54E7"/>
    <w:rsid w:val="00BA6145"/>
    <w:rsid w:val="00BA6636"/>
    <w:rsid w:val="00BA6B47"/>
    <w:rsid w:val="00BA7092"/>
    <w:rsid w:val="00BA72CB"/>
    <w:rsid w:val="00BA76B0"/>
    <w:rsid w:val="00BA7BCA"/>
    <w:rsid w:val="00BB0069"/>
    <w:rsid w:val="00BB0740"/>
    <w:rsid w:val="00BB0901"/>
    <w:rsid w:val="00BB0F28"/>
    <w:rsid w:val="00BB1154"/>
    <w:rsid w:val="00BB136D"/>
    <w:rsid w:val="00BB182A"/>
    <w:rsid w:val="00BB2238"/>
    <w:rsid w:val="00BB2322"/>
    <w:rsid w:val="00BB23E1"/>
    <w:rsid w:val="00BB293D"/>
    <w:rsid w:val="00BB2FF9"/>
    <w:rsid w:val="00BB3747"/>
    <w:rsid w:val="00BB3AED"/>
    <w:rsid w:val="00BB3CEE"/>
    <w:rsid w:val="00BB3E96"/>
    <w:rsid w:val="00BB3EF8"/>
    <w:rsid w:val="00BB49EF"/>
    <w:rsid w:val="00BB4DAD"/>
    <w:rsid w:val="00BB510D"/>
    <w:rsid w:val="00BB53D5"/>
    <w:rsid w:val="00BB54A2"/>
    <w:rsid w:val="00BB57D9"/>
    <w:rsid w:val="00BB5835"/>
    <w:rsid w:val="00BB5D74"/>
    <w:rsid w:val="00BB6378"/>
    <w:rsid w:val="00BB6954"/>
    <w:rsid w:val="00BB69B4"/>
    <w:rsid w:val="00BB69BE"/>
    <w:rsid w:val="00BB6EB1"/>
    <w:rsid w:val="00BB77BC"/>
    <w:rsid w:val="00BB7851"/>
    <w:rsid w:val="00BB7A5B"/>
    <w:rsid w:val="00BB7BD7"/>
    <w:rsid w:val="00BB7FA9"/>
    <w:rsid w:val="00BC0D4B"/>
    <w:rsid w:val="00BC0D98"/>
    <w:rsid w:val="00BC0EB7"/>
    <w:rsid w:val="00BC0F0F"/>
    <w:rsid w:val="00BC0F46"/>
    <w:rsid w:val="00BC2906"/>
    <w:rsid w:val="00BC294F"/>
    <w:rsid w:val="00BC2C33"/>
    <w:rsid w:val="00BC2DB7"/>
    <w:rsid w:val="00BC2E05"/>
    <w:rsid w:val="00BC3614"/>
    <w:rsid w:val="00BC362A"/>
    <w:rsid w:val="00BC3A23"/>
    <w:rsid w:val="00BC3C4A"/>
    <w:rsid w:val="00BC4298"/>
    <w:rsid w:val="00BC471B"/>
    <w:rsid w:val="00BC4AB6"/>
    <w:rsid w:val="00BC4B7F"/>
    <w:rsid w:val="00BC4BF5"/>
    <w:rsid w:val="00BC4CD4"/>
    <w:rsid w:val="00BC4F5E"/>
    <w:rsid w:val="00BC52B7"/>
    <w:rsid w:val="00BC58C9"/>
    <w:rsid w:val="00BC591A"/>
    <w:rsid w:val="00BC5B25"/>
    <w:rsid w:val="00BC5ED9"/>
    <w:rsid w:val="00BC6200"/>
    <w:rsid w:val="00BC6B12"/>
    <w:rsid w:val="00BC6FEB"/>
    <w:rsid w:val="00BC704E"/>
    <w:rsid w:val="00BC7281"/>
    <w:rsid w:val="00BC735E"/>
    <w:rsid w:val="00BC76EC"/>
    <w:rsid w:val="00BC7928"/>
    <w:rsid w:val="00BC7FA4"/>
    <w:rsid w:val="00BD017D"/>
    <w:rsid w:val="00BD0234"/>
    <w:rsid w:val="00BD0300"/>
    <w:rsid w:val="00BD06AB"/>
    <w:rsid w:val="00BD06B2"/>
    <w:rsid w:val="00BD0B04"/>
    <w:rsid w:val="00BD104A"/>
    <w:rsid w:val="00BD11A2"/>
    <w:rsid w:val="00BD11BE"/>
    <w:rsid w:val="00BD14CC"/>
    <w:rsid w:val="00BD19CB"/>
    <w:rsid w:val="00BD20D4"/>
    <w:rsid w:val="00BD23AD"/>
    <w:rsid w:val="00BD255D"/>
    <w:rsid w:val="00BD265A"/>
    <w:rsid w:val="00BD275B"/>
    <w:rsid w:val="00BD2801"/>
    <w:rsid w:val="00BD28B1"/>
    <w:rsid w:val="00BD2A94"/>
    <w:rsid w:val="00BD2E45"/>
    <w:rsid w:val="00BD44C5"/>
    <w:rsid w:val="00BD4563"/>
    <w:rsid w:val="00BD46EA"/>
    <w:rsid w:val="00BD5222"/>
    <w:rsid w:val="00BD533B"/>
    <w:rsid w:val="00BD5625"/>
    <w:rsid w:val="00BD562D"/>
    <w:rsid w:val="00BD5728"/>
    <w:rsid w:val="00BD5EDA"/>
    <w:rsid w:val="00BD6255"/>
    <w:rsid w:val="00BD629B"/>
    <w:rsid w:val="00BD66C6"/>
    <w:rsid w:val="00BD66FD"/>
    <w:rsid w:val="00BD679B"/>
    <w:rsid w:val="00BD6DCD"/>
    <w:rsid w:val="00BD739A"/>
    <w:rsid w:val="00BD76AC"/>
    <w:rsid w:val="00BD7A6C"/>
    <w:rsid w:val="00BD7AB6"/>
    <w:rsid w:val="00BD7EFE"/>
    <w:rsid w:val="00BE00D9"/>
    <w:rsid w:val="00BE0672"/>
    <w:rsid w:val="00BE0753"/>
    <w:rsid w:val="00BE0B31"/>
    <w:rsid w:val="00BE0B5C"/>
    <w:rsid w:val="00BE114C"/>
    <w:rsid w:val="00BE11C1"/>
    <w:rsid w:val="00BE1493"/>
    <w:rsid w:val="00BE163E"/>
    <w:rsid w:val="00BE1704"/>
    <w:rsid w:val="00BE1743"/>
    <w:rsid w:val="00BE17EA"/>
    <w:rsid w:val="00BE1BAD"/>
    <w:rsid w:val="00BE1CA9"/>
    <w:rsid w:val="00BE1D2A"/>
    <w:rsid w:val="00BE1EDD"/>
    <w:rsid w:val="00BE23C6"/>
    <w:rsid w:val="00BE277B"/>
    <w:rsid w:val="00BE27AB"/>
    <w:rsid w:val="00BE2E6A"/>
    <w:rsid w:val="00BE2EEA"/>
    <w:rsid w:val="00BE3201"/>
    <w:rsid w:val="00BE410D"/>
    <w:rsid w:val="00BE454A"/>
    <w:rsid w:val="00BE47F4"/>
    <w:rsid w:val="00BE48CC"/>
    <w:rsid w:val="00BE49E0"/>
    <w:rsid w:val="00BE4F68"/>
    <w:rsid w:val="00BE508A"/>
    <w:rsid w:val="00BE5313"/>
    <w:rsid w:val="00BE54C7"/>
    <w:rsid w:val="00BE5866"/>
    <w:rsid w:val="00BE5896"/>
    <w:rsid w:val="00BE6029"/>
    <w:rsid w:val="00BE6035"/>
    <w:rsid w:val="00BE66F2"/>
    <w:rsid w:val="00BE6713"/>
    <w:rsid w:val="00BE6DFD"/>
    <w:rsid w:val="00BE6E86"/>
    <w:rsid w:val="00BE71A5"/>
    <w:rsid w:val="00BE727B"/>
    <w:rsid w:val="00BE72E9"/>
    <w:rsid w:val="00BE7528"/>
    <w:rsid w:val="00BE773E"/>
    <w:rsid w:val="00BE7B7C"/>
    <w:rsid w:val="00BE7CE0"/>
    <w:rsid w:val="00BE7D35"/>
    <w:rsid w:val="00BE7EE5"/>
    <w:rsid w:val="00BF0D59"/>
    <w:rsid w:val="00BF0EFF"/>
    <w:rsid w:val="00BF0F6D"/>
    <w:rsid w:val="00BF1577"/>
    <w:rsid w:val="00BF19F9"/>
    <w:rsid w:val="00BF1E6F"/>
    <w:rsid w:val="00BF1F79"/>
    <w:rsid w:val="00BF2181"/>
    <w:rsid w:val="00BF22C3"/>
    <w:rsid w:val="00BF2BBC"/>
    <w:rsid w:val="00BF3675"/>
    <w:rsid w:val="00BF470D"/>
    <w:rsid w:val="00BF4E70"/>
    <w:rsid w:val="00BF4F78"/>
    <w:rsid w:val="00BF4FC1"/>
    <w:rsid w:val="00BF5247"/>
    <w:rsid w:val="00BF5C58"/>
    <w:rsid w:val="00BF5DA4"/>
    <w:rsid w:val="00BF5E9B"/>
    <w:rsid w:val="00BF60CB"/>
    <w:rsid w:val="00BF6166"/>
    <w:rsid w:val="00BF62F4"/>
    <w:rsid w:val="00BF759F"/>
    <w:rsid w:val="00BF75E4"/>
    <w:rsid w:val="00BF77A2"/>
    <w:rsid w:val="00BF78EE"/>
    <w:rsid w:val="00BF7980"/>
    <w:rsid w:val="00BF7982"/>
    <w:rsid w:val="00BF7DA0"/>
    <w:rsid w:val="00BF7F60"/>
    <w:rsid w:val="00BF7FCA"/>
    <w:rsid w:val="00C00190"/>
    <w:rsid w:val="00C00583"/>
    <w:rsid w:val="00C0062A"/>
    <w:rsid w:val="00C0067D"/>
    <w:rsid w:val="00C007D4"/>
    <w:rsid w:val="00C00895"/>
    <w:rsid w:val="00C00AFD"/>
    <w:rsid w:val="00C00D4A"/>
    <w:rsid w:val="00C018C8"/>
    <w:rsid w:val="00C01904"/>
    <w:rsid w:val="00C01AAF"/>
    <w:rsid w:val="00C01B78"/>
    <w:rsid w:val="00C01C76"/>
    <w:rsid w:val="00C0208F"/>
    <w:rsid w:val="00C02851"/>
    <w:rsid w:val="00C0295B"/>
    <w:rsid w:val="00C0295C"/>
    <w:rsid w:val="00C02B20"/>
    <w:rsid w:val="00C02F76"/>
    <w:rsid w:val="00C0334E"/>
    <w:rsid w:val="00C03A02"/>
    <w:rsid w:val="00C048F5"/>
    <w:rsid w:val="00C04B38"/>
    <w:rsid w:val="00C04E3D"/>
    <w:rsid w:val="00C04F4A"/>
    <w:rsid w:val="00C05156"/>
    <w:rsid w:val="00C052A0"/>
    <w:rsid w:val="00C05B8A"/>
    <w:rsid w:val="00C0639E"/>
    <w:rsid w:val="00C06792"/>
    <w:rsid w:val="00C06989"/>
    <w:rsid w:val="00C069D6"/>
    <w:rsid w:val="00C072CE"/>
    <w:rsid w:val="00C073D8"/>
    <w:rsid w:val="00C0747C"/>
    <w:rsid w:val="00C0758D"/>
    <w:rsid w:val="00C07878"/>
    <w:rsid w:val="00C07884"/>
    <w:rsid w:val="00C106AA"/>
    <w:rsid w:val="00C1091D"/>
    <w:rsid w:val="00C11018"/>
    <w:rsid w:val="00C111C6"/>
    <w:rsid w:val="00C114AD"/>
    <w:rsid w:val="00C11566"/>
    <w:rsid w:val="00C117E7"/>
    <w:rsid w:val="00C1197A"/>
    <w:rsid w:val="00C11CDB"/>
    <w:rsid w:val="00C129D6"/>
    <w:rsid w:val="00C129E3"/>
    <w:rsid w:val="00C12BA4"/>
    <w:rsid w:val="00C12F4F"/>
    <w:rsid w:val="00C12F62"/>
    <w:rsid w:val="00C13323"/>
    <w:rsid w:val="00C1332A"/>
    <w:rsid w:val="00C13360"/>
    <w:rsid w:val="00C144AF"/>
    <w:rsid w:val="00C14BCF"/>
    <w:rsid w:val="00C15030"/>
    <w:rsid w:val="00C1544D"/>
    <w:rsid w:val="00C15484"/>
    <w:rsid w:val="00C154F8"/>
    <w:rsid w:val="00C1571E"/>
    <w:rsid w:val="00C1581D"/>
    <w:rsid w:val="00C1654B"/>
    <w:rsid w:val="00C168A3"/>
    <w:rsid w:val="00C17017"/>
    <w:rsid w:val="00C1767D"/>
    <w:rsid w:val="00C177D8"/>
    <w:rsid w:val="00C207DB"/>
    <w:rsid w:val="00C20D35"/>
    <w:rsid w:val="00C20ECD"/>
    <w:rsid w:val="00C2119C"/>
    <w:rsid w:val="00C2124B"/>
    <w:rsid w:val="00C2163B"/>
    <w:rsid w:val="00C21706"/>
    <w:rsid w:val="00C217D0"/>
    <w:rsid w:val="00C2391A"/>
    <w:rsid w:val="00C23958"/>
    <w:rsid w:val="00C24ECB"/>
    <w:rsid w:val="00C24F05"/>
    <w:rsid w:val="00C251BD"/>
    <w:rsid w:val="00C25690"/>
    <w:rsid w:val="00C256CC"/>
    <w:rsid w:val="00C259AC"/>
    <w:rsid w:val="00C25A0F"/>
    <w:rsid w:val="00C26587"/>
    <w:rsid w:val="00C274C6"/>
    <w:rsid w:val="00C27743"/>
    <w:rsid w:val="00C3031D"/>
    <w:rsid w:val="00C3036E"/>
    <w:rsid w:val="00C305ED"/>
    <w:rsid w:val="00C30651"/>
    <w:rsid w:val="00C307F2"/>
    <w:rsid w:val="00C30BCF"/>
    <w:rsid w:val="00C30CAA"/>
    <w:rsid w:val="00C30F2A"/>
    <w:rsid w:val="00C313CB"/>
    <w:rsid w:val="00C313CC"/>
    <w:rsid w:val="00C31864"/>
    <w:rsid w:val="00C319C4"/>
    <w:rsid w:val="00C31C43"/>
    <w:rsid w:val="00C31F7A"/>
    <w:rsid w:val="00C32595"/>
    <w:rsid w:val="00C3299F"/>
    <w:rsid w:val="00C329C3"/>
    <w:rsid w:val="00C32A9E"/>
    <w:rsid w:val="00C32AB0"/>
    <w:rsid w:val="00C32BD5"/>
    <w:rsid w:val="00C32D40"/>
    <w:rsid w:val="00C3349A"/>
    <w:rsid w:val="00C337AE"/>
    <w:rsid w:val="00C34240"/>
    <w:rsid w:val="00C3444E"/>
    <w:rsid w:val="00C346C2"/>
    <w:rsid w:val="00C34CA6"/>
    <w:rsid w:val="00C34EBB"/>
    <w:rsid w:val="00C35747"/>
    <w:rsid w:val="00C35B8E"/>
    <w:rsid w:val="00C36510"/>
    <w:rsid w:val="00C3669C"/>
    <w:rsid w:val="00C36B87"/>
    <w:rsid w:val="00C36C37"/>
    <w:rsid w:val="00C36F51"/>
    <w:rsid w:val="00C3720A"/>
    <w:rsid w:val="00C372C1"/>
    <w:rsid w:val="00C3736D"/>
    <w:rsid w:val="00C37B6B"/>
    <w:rsid w:val="00C37C3C"/>
    <w:rsid w:val="00C400FF"/>
    <w:rsid w:val="00C40DE7"/>
    <w:rsid w:val="00C41802"/>
    <w:rsid w:val="00C42016"/>
    <w:rsid w:val="00C42155"/>
    <w:rsid w:val="00C42269"/>
    <w:rsid w:val="00C4285F"/>
    <w:rsid w:val="00C42A57"/>
    <w:rsid w:val="00C42E1F"/>
    <w:rsid w:val="00C430A3"/>
    <w:rsid w:val="00C43398"/>
    <w:rsid w:val="00C43496"/>
    <w:rsid w:val="00C43726"/>
    <w:rsid w:val="00C43C1F"/>
    <w:rsid w:val="00C44C29"/>
    <w:rsid w:val="00C44E7C"/>
    <w:rsid w:val="00C450F5"/>
    <w:rsid w:val="00C459DE"/>
    <w:rsid w:val="00C459E4"/>
    <w:rsid w:val="00C45C4B"/>
    <w:rsid w:val="00C46743"/>
    <w:rsid w:val="00C467F5"/>
    <w:rsid w:val="00C46BC6"/>
    <w:rsid w:val="00C46C4F"/>
    <w:rsid w:val="00C46F47"/>
    <w:rsid w:val="00C47272"/>
    <w:rsid w:val="00C47317"/>
    <w:rsid w:val="00C478D6"/>
    <w:rsid w:val="00C47BE4"/>
    <w:rsid w:val="00C47C43"/>
    <w:rsid w:val="00C50227"/>
    <w:rsid w:val="00C502B0"/>
    <w:rsid w:val="00C502D6"/>
    <w:rsid w:val="00C51418"/>
    <w:rsid w:val="00C517AD"/>
    <w:rsid w:val="00C51848"/>
    <w:rsid w:val="00C51991"/>
    <w:rsid w:val="00C52487"/>
    <w:rsid w:val="00C52528"/>
    <w:rsid w:val="00C52E24"/>
    <w:rsid w:val="00C52E86"/>
    <w:rsid w:val="00C53137"/>
    <w:rsid w:val="00C5351F"/>
    <w:rsid w:val="00C53852"/>
    <w:rsid w:val="00C53876"/>
    <w:rsid w:val="00C53A85"/>
    <w:rsid w:val="00C53AFF"/>
    <w:rsid w:val="00C53FAC"/>
    <w:rsid w:val="00C542A3"/>
    <w:rsid w:val="00C54422"/>
    <w:rsid w:val="00C5450C"/>
    <w:rsid w:val="00C546AB"/>
    <w:rsid w:val="00C54744"/>
    <w:rsid w:val="00C5481D"/>
    <w:rsid w:val="00C54B37"/>
    <w:rsid w:val="00C54E72"/>
    <w:rsid w:val="00C54EB8"/>
    <w:rsid w:val="00C557BD"/>
    <w:rsid w:val="00C559E2"/>
    <w:rsid w:val="00C55AD7"/>
    <w:rsid w:val="00C55B10"/>
    <w:rsid w:val="00C55C5E"/>
    <w:rsid w:val="00C56025"/>
    <w:rsid w:val="00C56355"/>
    <w:rsid w:val="00C564BA"/>
    <w:rsid w:val="00C564C4"/>
    <w:rsid w:val="00C56562"/>
    <w:rsid w:val="00C56570"/>
    <w:rsid w:val="00C569A0"/>
    <w:rsid w:val="00C56C47"/>
    <w:rsid w:val="00C56CE6"/>
    <w:rsid w:val="00C56D3C"/>
    <w:rsid w:val="00C56D72"/>
    <w:rsid w:val="00C57303"/>
    <w:rsid w:val="00C575A7"/>
    <w:rsid w:val="00C57784"/>
    <w:rsid w:val="00C57C04"/>
    <w:rsid w:val="00C60203"/>
    <w:rsid w:val="00C60754"/>
    <w:rsid w:val="00C60B72"/>
    <w:rsid w:val="00C60E7E"/>
    <w:rsid w:val="00C60FA0"/>
    <w:rsid w:val="00C615CD"/>
    <w:rsid w:val="00C62420"/>
    <w:rsid w:val="00C626B8"/>
    <w:rsid w:val="00C62705"/>
    <w:rsid w:val="00C62CC9"/>
    <w:rsid w:val="00C62EE0"/>
    <w:rsid w:val="00C630FD"/>
    <w:rsid w:val="00C633B4"/>
    <w:rsid w:val="00C63B6D"/>
    <w:rsid w:val="00C63D00"/>
    <w:rsid w:val="00C63E56"/>
    <w:rsid w:val="00C6408B"/>
    <w:rsid w:val="00C64C24"/>
    <w:rsid w:val="00C656D2"/>
    <w:rsid w:val="00C65708"/>
    <w:rsid w:val="00C65A2D"/>
    <w:rsid w:val="00C65BF9"/>
    <w:rsid w:val="00C65E73"/>
    <w:rsid w:val="00C65ED5"/>
    <w:rsid w:val="00C663B5"/>
    <w:rsid w:val="00C66476"/>
    <w:rsid w:val="00C6649A"/>
    <w:rsid w:val="00C66649"/>
    <w:rsid w:val="00C66695"/>
    <w:rsid w:val="00C6694F"/>
    <w:rsid w:val="00C66AA8"/>
    <w:rsid w:val="00C66C7B"/>
    <w:rsid w:val="00C66E81"/>
    <w:rsid w:val="00C67650"/>
    <w:rsid w:val="00C6799C"/>
    <w:rsid w:val="00C67E08"/>
    <w:rsid w:val="00C70666"/>
    <w:rsid w:val="00C708ED"/>
    <w:rsid w:val="00C70B62"/>
    <w:rsid w:val="00C715E0"/>
    <w:rsid w:val="00C7222E"/>
    <w:rsid w:val="00C723A5"/>
    <w:rsid w:val="00C72C2A"/>
    <w:rsid w:val="00C72EB8"/>
    <w:rsid w:val="00C73399"/>
    <w:rsid w:val="00C734E6"/>
    <w:rsid w:val="00C7362A"/>
    <w:rsid w:val="00C7365A"/>
    <w:rsid w:val="00C739CE"/>
    <w:rsid w:val="00C73A1B"/>
    <w:rsid w:val="00C73C8B"/>
    <w:rsid w:val="00C73E02"/>
    <w:rsid w:val="00C73F44"/>
    <w:rsid w:val="00C746B5"/>
    <w:rsid w:val="00C74BDF"/>
    <w:rsid w:val="00C74DDB"/>
    <w:rsid w:val="00C7538D"/>
    <w:rsid w:val="00C7551B"/>
    <w:rsid w:val="00C75774"/>
    <w:rsid w:val="00C75CD9"/>
    <w:rsid w:val="00C75DBD"/>
    <w:rsid w:val="00C75E4F"/>
    <w:rsid w:val="00C75F79"/>
    <w:rsid w:val="00C75FBE"/>
    <w:rsid w:val="00C76451"/>
    <w:rsid w:val="00C76733"/>
    <w:rsid w:val="00C76D9D"/>
    <w:rsid w:val="00C76E59"/>
    <w:rsid w:val="00C7722D"/>
    <w:rsid w:val="00C77446"/>
    <w:rsid w:val="00C77F3F"/>
    <w:rsid w:val="00C80281"/>
    <w:rsid w:val="00C80312"/>
    <w:rsid w:val="00C80DF5"/>
    <w:rsid w:val="00C80E14"/>
    <w:rsid w:val="00C80F30"/>
    <w:rsid w:val="00C80F89"/>
    <w:rsid w:val="00C812A1"/>
    <w:rsid w:val="00C812E4"/>
    <w:rsid w:val="00C81835"/>
    <w:rsid w:val="00C818C3"/>
    <w:rsid w:val="00C81914"/>
    <w:rsid w:val="00C8198C"/>
    <w:rsid w:val="00C81FED"/>
    <w:rsid w:val="00C8230F"/>
    <w:rsid w:val="00C82345"/>
    <w:rsid w:val="00C82640"/>
    <w:rsid w:val="00C82886"/>
    <w:rsid w:val="00C82C62"/>
    <w:rsid w:val="00C82C93"/>
    <w:rsid w:val="00C8301A"/>
    <w:rsid w:val="00C83380"/>
    <w:rsid w:val="00C8338E"/>
    <w:rsid w:val="00C83841"/>
    <w:rsid w:val="00C8399B"/>
    <w:rsid w:val="00C839EB"/>
    <w:rsid w:val="00C84A50"/>
    <w:rsid w:val="00C84ADB"/>
    <w:rsid w:val="00C84C14"/>
    <w:rsid w:val="00C84CBD"/>
    <w:rsid w:val="00C85228"/>
    <w:rsid w:val="00C852A0"/>
    <w:rsid w:val="00C85720"/>
    <w:rsid w:val="00C85D0F"/>
    <w:rsid w:val="00C85D34"/>
    <w:rsid w:val="00C86124"/>
    <w:rsid w:val="00C86307"/>
    <w:rsid w:val="00C870F8"/>
    <w:rsid w:val="00C8716A"/>
    <w:rsid w:val="00C87216"/>
    <w:rsid w:val="00C873A3"/>
    <w:rsid w:val="00C87DA3"/>
    <w:rsid w:val="00C9106C"/>
    <w:rsid w:val="00C9119B"/>
    <w:rsid w:val="00C91480"/>
    <w:rsid w:val="00C915D0"/>
    <w:rsid w:val="00C91B79"/>
    <w:rsid w:val="00C92C93"/>
    <w:rsid w:val="00C930DA"/>
    <w:rsid w:val="00C9350E"/>
    <w:rsid w:val="00C93810"/>
    <w:rsid w:val="00C938F2"/>
    <w:rsid w:val="00C93B7D"/>
    <w:rsid w:val="00C94072"/>
    <w:rsid w:val="00C951B9"/>
    <w:rsid w:val="00C951C8"/>
    <w:rsid w:val="00C9523F"/>
    <w:rsid w:val="00C95470"/>
    <w:rsid w:val="00C957FF"/>
    <w:rsid w:val="00C95E76"/>
    <w:rsid w:val="00C95FA6"/>
    <w:rsid w:val="00C96153"/>
    <w:rsid w:val="00C9666C"/>
    <w:rsid w:val="00C96BB9"/>
    <w:rsid w:val="00C96D7A"/>
    <w:rsid w:val="00C96E79"/>
    <w:rsid w:val="00C97019"/>
    <w:rsid w:val="00C971C7"/>
    <w:rsid w:val="00C97B7C"/>
    <w:rsid w:val="00C97D78"/>
    <w:rsid w:val="00CA00D8"/>
    <w:rsid w:val="00CA01B5"/>
    <w:rsid w:val="00CA01E4"/>
    <w:rsid w:val="00CA0A72"/>
    <w:rsid w:val="00CA0B52"/>
    <w:rsid w:val="00CA1854"/>
    <w:rsid w:val="00CA18CE"/>
    <w:rsid w:val="00CA1CE8"/>
    <w:rsid w:val="00CA1D6F"/>
    <w:rsid w:val="00CA2067"/>
    <w:rsid w:val="00CA296F"/>
    <w:rsid w:val="00CA2A54"/>
    <w:rsid w:val="00CA2AF4"/>
    <w:rsid w:val="00CA2BBE"/>
    <w:rsid w:val="00CA2C0F"/>
    <w:rsid w:val="00CA2C2A"/>
    <w:rsid w:val="00CA2D7E"/>
    <w:rsid w:val="00CA2E95"/>
    <w:rsid w:val="00CA338E"/>
    <w:rsid w:val="00CA33D0"/>
    <w:rsid w:val="00CA3423"/>
    <w:rsid w:val="00CA371B"/>
    <w:rsid w:val="00CA4328"/>
    <w:rsid w:val="00CA43BE"/>
    <w:rsid w:val="00CA4AC2"/>
    <w:rsid w:val="00CA4B1A"/>
    <w:rsid w:val="00CA4C64"/>
    <w:rsid w:val="00CA5CCF"/>
    <w:rsid w:val="00CA6163"/>
    <w:rsid w:val="00CA6305"/>
    <w:rsid w:val="00CA6594"/>
    <w:rsid w:val="00CA65A5"/>
    <w:rsid w:val="00CA683C"/>
    <w:rsid w:val="00CA6F47"/>
    <w:rsid w:val="00CA6F94"/>
    <w:rsid w:val="00CA7283"/>
    <w:rsid w:val="00CA7292"/>
    <w:rsid w:val="00CA755F"/>
    <w:rsid w:val="00CA763E"/>
    <w:rsid w:val="00CA76C4"/>
    <w:rsid w:val="00CA777A"/>
    <w:rsid w:val="00CA78FB"/>
    <w:rsid w:val="00CA7B20"/>
    <w:rsid w:val="00CA7CAD"/>
    <w:rsid w:val="00CA7E9B"/>
    <w:rsid w:val="00CA7FA8"/>
    <w:rsid w:val="00CB00D4"/>
    <w:rsid w:val="00CB0114"/>
    <w:rsid w:val="00CB0871"/>
    <w:rsid w:val="00CB143C"/>
    <w:rsid w:val="00CB1829"/>
    <w:rsid w:val="00CB21EE"/>
    <w:rsid w:val="00CB236C"/>
    <w:rsid w:val="00CB2658"/>
    <w:rsid w:val="00CB26FA"/>
    <w:rsid w:val="00CB28BB"/>
    <w:rsid w:val="00CB2C98"/>
    <w:rsid w:val="00CB3273"/>
    <w:rsid w:val="00CB3619"/>
    <w:rsid w:val="00CB3686"/>
    <w:rsid w:val="00CB3EB0"/>
    <w:rsid w:val="00CB48D1"/>
    <w:rsid w:val="00CB49F5"/>
    <w:rsid w:val="00CB4E20"/>
    <w:rsid w:val="00CB4E32"/>
    <w:rsid w:val="00CB53F0"/>
    <w:rsid w:val="00CB588A"/>
    <w:rsid w:val="00CB5B66"/>
    <w:rsid w:val="00CB5E0F"/>
    <w:rsid w:val="00CB5F50"/>
    <w:rsid w:val="00CB649C"/>
    <w:rsid w:val="00CB6A7F"/>
    <w:rsid w:val="00CB6A9D"/>
    <w:rsid w:val="00CB6AF2"/>
    <w:rsid w:val="00CB708E"/>
    <w:rsid w:val="00CB7622"/>
    <w:rsid w:val="00CB77E8"/>
    <w:rsid w:val="00CB7D98"/>
    <w:rsid w:val="00CC02EB"/>
    <w:rsid w:val="00CC053B"/>
    <w:rsid w:val="00CC05B2"/>
    <w:rsid w:val="00CC05D5"/>
    <w:rsid w:val="00CC07D5"/>
    <w:rsid w:val="00CC0911"/>
    <w:rsid w:val="00CC0CAA"/>
    <w:rsid w:val="00CC0D51"/>
    <w:rsid w:val="00CC1086"/>
    <w:rsid w:val="00CC12BC"/>
    <w:rsid w:val="00CC15AB"/>
    <w:rsid w:val="00CC1EAD"/>
    <w:rsid w:val="00CC2050"/>
    <w:rsid w:val="00CC2242"/>
    <w:rsid w:val="00CC2F19"/>
    <w:rsid w:val="00CC33D8"/>
    <w:rsid w:val="00CC390E"/>
    <w:rsid w:val="00CC41F3"/>
    <w:rsid w:val="00CC42B1"/>
    <w:rsid w:val="00CC4666"/>
    <w:rsid w:val="00CC484E"/>
    <w:rsid w:val="00CC4C57"/>
    <w:rsid w:val="00CC59D7"/>
    <w:rsid w:val="00CC5A5B"/>
    <w:rsid w:val="00CC5E43"/>
    <w:rsid w:val="00CC6167"/>
    <w:rsid w:val="00CC640D"/>
    <w:rsid w:val="00CC66B8"/>
    <w:rsid w:val="00CC6F34"/>
    <w:rsid w:val="00CC7895"/>
    <w:rsid w:val="00CC7CF0"/>
    <w:rsid w:val="00CC7FEE"/>
    <w:rsid w:val="00CD02A4"/>
    <w:rsid w:val="00CD0456"/>
    <w:rsid w:val="00CD097F"/>
    <w:rsid w:val="00CD09AF"/>
    <w:rsid w:val="00CD09E2"/>
    <w:rsid w:val="00CD09E9"/>
    <w:rsid w:val="00CD0B50"/>
    <w:rsid w:val="00CD11AC"/>
    <w:rsid w:val="00CD12F1"/>
    <w:rsid w:val="00CD25E8"/>
    <w:rsid w:val="00CD2766"/>
    <w:rsid w:val="00CD27BE"/>
    <w:rsid w:val="00CD2C6B"/>
    <w:rsid w:val="00CD2FA7"/>
    <w:rsid w:val="00CD322A"/>
    <w:rsid w:val="00CD381C"/>
    <w:rsid w:val="00CD3845"/>
    <w:rsid w:val="00CD44C3"/>
    <w:rsid w:val="00CD44D3"/>
    <w:rsid w:val="00CD458E"/>
    <w:rsid w:val="00CD465D"/>
    <w:rsid w:val="00CD4AE4"/>
    <w:rsid w:val="00CD5846"/>
    <w:rsid w:val="00CD5F98"/>
    <w:rsid w:val="00CD6160"/>
    <w:rsid w:val="00CD64A0"/>
    <w:rsid w:val="00CD674E"/>
    <w:rsid w:val="00CD6979"/>
    <w:rsid w:val="00CD6B71"/>
    <w:rsid w:val="00CD6F66"/>
    <w:rsid w:val="00CD7204"/>
    <w:rsid w:val="00CD77FA"/>
    <w:rsid w:val="00CD7AF0"/>
    <w:rsid w:val="00CD7AFF"/>
    <w:rsid w:val="00CE0119"/>
    <w:rsid w:val="00CE0705"/>
    <w:rsid w:val="00CE0D79"/>
    <w:rsid w:val="00CE0EFC"/>
    <w:rsid w:val="00CE1602"/>
    <w:rsid w:val="00CE1642"/>
    <w:rsid w:val="00CE1862"/>
    <w:rsid w:val="00CE1B05"/>
    <w:rsid w:val="00CE1F80"/>
    <w:rsid w:val="00CE282C"/>
    <w:rsid w:val="00CE2BCD"/>
    <w:rsid w:val="00CE2C64"/>
    <w:rsid w:val="00CE2C9E"/>
    <w:rsid w:val="00CE309C"/>
    <w:rsid w:val="00CE33CC"/>
    <w:rsid w:val="00CE343E"/>
    <w:rsid w:val="00CE3526"/>
    <w:rsid w:val="00CE3888"/>
    <w:rsid w:val="00CE3B8B"/>
    <w:rsid w:val="00CE41E9"/>
    <w:rsid w:val="00CE43DE"/>
    <w:rsid w:val="00CE44E2"/>
    <w:rsid w:val="00CE451C"/>
    <w:rsid w:val="00CE4575"/>
    <w:rsid w:val="00CE4A40"/>
    <w:rsid w:val="00CE4C64"/>
    <w:rsid w:val="00CE570F"/>
    <w:rsid w:val="00CE59D5"/>
    <w:rsid w:val="00CE5ADB"/>
    <w:rsid w:val="00CE61C6"/>
    <w:rsid w:val="00CE61CE"/>
    <w:rsid w:val="00CE647A"/>
    <w:rsid w:val="00CE6554"/>
    <w:rsid w:val="00CE662C"/>
    <w:rsid w:val="00CE6661"/>
    <w:rsid w:val="00CE6DD6"/>
    <w:rsid w:val="00CE723A"/>
    <w:rsid w:val="00CE78C6"/>
    <w:rsid w:val="00CF01BB"/>
    <w:rsid w:val="00CF03E3"/>
    <w:rsid w:val="00CF0A83"/>
    <w:rsid w:val="00CF142A"/>
    <w:rsid w:val="00CF182D"/>
    <w:rsid w:val="00CF19AD"/>
    <w:rsid w:val="00CF1AB8"/>
    <w:rsid w:val="00CF20F3"/>
    <w:rsid w:val="00CF219C"/>
    <w:rsid w:val="00CF2400"/>
    <w:rsid w:val="00CF25C5"/>
    <w:rsid w:val="00CF29DC"/>
    <w:rsid w:val="00CF36B6"/>
    <w:rsid w:val="00CF3BD7"/>
    <w:rsid w:val="00CF3E05"/>
    <w:rsid w:val="00CF405A"/>
    <w:rsid w:val="00CF4351"/>
    <w:rsid w:val="00CF441E"/>
    <w:rsid w:val="00CF4A57"/>
    <w:rsid w:val="00CF4BB8"/>
    <w:rsid w:val="00CF4E4E"/>
    <w:rsid w:val="00CF56F6"/>
    <w:rsid w:val="00CF5DF8"/>
    <w:rsid w:val="00CF5F1C"/>
    <w:rsid w:val="00CF6019"/>
    <w:rsid w:val="00CF6801"/>
    <w:rsid w:val="00CF7374"/>
    <w:rsid w:val="00CF74D6"/>
    <w:rsid w:val="00CF770B"/>
    <w:rsid w:val="00CF7854"/>
    <w:rsid w:val="00CF7879"/>
    <w:rsid w:val="00CF7D0D"/>
    <w:rsid w:val="00D004C7"/>
    <w:rsid w:val="00D00508"/>
    <w:rsid w:val="00D007E6"/>
    <w:rsid w:val="00D008E5"/>
    <w:rsid w:val="00D00A54"/>
    <w:rsid w:val="00D00ACA"/>
    <w:rsid w:val="00D00BC9"/>
    <w:rsid w:val="00D00C18"/>
    <w:rsid w:val="00D01000"/>
    <w:rsid w:val="00D010F6"/>
    <w:rsid w:val="00D01139"/>
    <w:rsid w:val="00D016A8"/>
    <w:rsid w:val="00D01947"/>
    <w:rsid w:val="00D01EC6"/>
    <w:rsid w:val="00D022E2"/>
    <w:rsid w:val="00D02330"/>
    <w:rsid w:val="00D02471"/>
    <w:rsid w:val="00D02550"/>
    <w:rsid w:val="00D0317D"/>
    <w:rsid w:val="00D032EA"/>
    <w:rsid w:val="00D039E7"/>
    <w:rsid w:val="00D03A6B"/>
    <w:rsid w:val="00D03AE1"/>
    <w:rsid w:val="00D03B40"/>
    <w:rsid w:val="00D04683"/>
    <w:rsid w:val="00D047BC"/>
    <w:rsid w:val="00D04BAC"/>
    <w:rsid w:val="00D04BF0"/>
    <w:rsid w:val="00D04DCB"/>
    <w:rsid w:val="00D04F89"/>
    <w:rsid w:val="00D05555"/>
    <w:rsid w:val="00D05583"/>
    <w:rsid w:val="00D05D7C"/>
    <w:rsid w:val="00D05E9B"/>
    <w:rsid w:val="00D063DC"/>
    <w:rsid w:val="00D0697A"/>
    <w:rsid w:val="00D07301"/>
    <w:rsid w:val="00D075F3"/>
    <w:rsid w:val="00D077EF"/>
    <w:rsid w:val="00D0794A"/>
    <w:rsid w:val="00D07AAA"/>
    <w:rsid w:val="00D07E1B"/>
    <w:rsid w:val="00D10198"/>
    <w:rsid w:val="00D105A8"/>
    <w:rsid w:val="00D10680"/>
    <w:rsid w:val="00D11299"/>
    <w:rsid w:val="00D1148F"/>
    <w:rsid w:val="00D11B45"/>
    <w:rsid w:val="00D11CDF"/>
    <w:rsid w:val="00D11EDB"/>
    <w:rsid w:val="00D12155"/>
    <w:rsid w:val="00D1215B"/>
    <w:rsid w:val="00D12322"/>
    <w:rsid w:val="00D1248E"/>
    <w:rsid w:val="00D12735"/>
    <w:rsid w:val="00D12B13"/>
    <w:rsid w:val="00D13479"/>
    <w:rsid w:val="00D139FF"/>
    <w:rsid w:val="00D13C0A"/>
    <w:rsid w:val="00D13F1A"/>
    <w:rsid w:val="00D1412C"/>
    <w:rsid w:val="00D14149"/>
    <w:rsid w:val="00D14389"/>
    <w:rsid w:val="00D14924"/>
    <w:rsid w:val="00D14C7B"/>
    <w:rsid w:val="00D14DB7"/>
    <w:rsid w:val="00D1502E"/>
    <w:rsid w:val="00D1584E"/>
    <w:rsid w:val="00D15CC4"/>
    <w:rsid w:val="00D1633C"/>
    <w:rsid w:val="00D1638C"/>
    <w:rsid w:val="00D1641F"/>
    <w:rsid w:val="00D164D3"/>
    <w:rsid w:val="00D16EF7"/>
    <w:rsid w:val="00D175A0"/>
    <w:rsid w:val="00D177D0"/>
    <w:rsid w:val="00D179E1"/>
    <w:rsid w:val="00D17B60"/>
    <w:rsid w:val="00D17C70"/>
    <w:rsid w:val="00D2024C"/>
    <w:rsid w:val="00D216E7"/>
    <w:rsid w:val="00D2191E"/>
    <w:rsid w:val="00D21BE5"/>
    <w:rsid w:val="00D21C17"/>
    <w:rsid w:val="00D21ED9"/>
    <w:rsid w:val="00D2203C"/>
    <w:rsid w:val="00D22277"/>
    <w:rsid w:val="00D2230E"/>
    <w:rsid w:val="00D223C7"/>
    <w:rsid w:val="00D22886"/>
    <w:rsid w:val="00D22B2B"/>
    <w:rsid w:val="00D24348"/>
    <w:rsid w:val="00D245F2"/>
    <w:rsid w:val="00D24A81"/>
    <w:rsid w:val="00D24F19"/>
    <w:rsid w:val="00D24FD0"/>
    <w:rsid w:val="00D25B05"/>
    <w:rsid w:val="00D25EEE"/>
    <w:rsid w:val="00D2627D"/>
    <w:rsid w:val="00D265CB"/>
    <w:rsid w:val="00D26F1C"/>
    <w:rsid w:val="00D271AF"/>
    <w:rsid w:val="00D27991"/>
    <w:rsid w:val="00D3083A"/>
    <w:rsid w:val="00D30CA0"/>
    <w:rsid w:val="00D30D1E"/>
    <w:rsid w:val="00D30E82"/>
    <w:rsid w:val="00D31369"/>
    <w:rsid w:val="00D328F8"/>
    <w:rsid w:val="00D32916"/>
    <w:rsid w:val="00D32B71"/>
    <w:rsid w:val="00D32FF9"/>
    <w:rsid w:val="00D33255"/>
    <w:rsid w:val="00D333EA"/>
    <w:rsid w:val="00D3353B"/>
    <w:rsid w:val="00D33596"/>
    <w:rsid w:val="00D3397A"/>
    <w:rsid w:val="00D33B08"/>
    <w:rsid w:val="00D33EBB"/>
    <w:rsid w:val="00D342D9"/>
    <w:rsid w:val="00D3476C"/>
    <w:rsid w:val="00D34BAA"/>
    <w:rsid w:val="00D357C7"/>
    <w:rsid w:val="00D35858"/>
    <w:rsid w:val="00D35F05"/>
    <w:rsid w:val="00D36338"/>
    <w:rsid w:val="00D3646C"/>
    <w:rsid w:val="00D36716"/>
    <w:rsid w:val="00D36862"/>
    <w:rsid w:val="00D36FCE"/>
    <w:rsid w:val="00D375D9"/>
    <w:rsid w:val="00D404B8"/>
    <w:rsid w:val="00D4120A"/>
    <w:rsid w:val="00D41344"/>
    <w:rsid w:val="00D41443"/>
    <w:rsid w:val="00D41593"/>
    <w:rsid w:val="00D417F9"/>
    <w:rsid w:val="00D4185D"/>
    <w:rsid w:val="00D41D33"/>
    <w:rsid w:val="00D41E1E"/>
    <w:rsid w:val="00D41EDF"/>
    <w:rsid w:val="00D42164"/>
    <w:rsid w:val="00D42268"/>
    <w:rsid w:val="00D423C2"/>
    <w:rsid w:val="00D42526"/>
    <w:rsid w:val="00D4308F"/>
    <w:rsid w:val="00D4382D"/>
    <w:rsid w:val="00D43C78"/>
    <w:rsid w:val="00D43D42"/>
    <w:rsid w:val="00D443BE"/>
    <w:rsid w:val="00D4597D"/>
    <w:rsid w:val="00D45DEA"/>
    <w:rsid w:val="00D46390"/>
    <w:rsid w:val="00D464C4"/>
    <w:rsid w:val="00D46590"/>
    <w:rsid w:val="00D46743"/>
    <w:rsid w:val="00D46D13"/>
    <w:rsid w:val="00D472FE"/>
    <w:rsid w:val="00D473BA"/>
    <w:rsid w:val="00D4749F"/>
    <w:rsid w:val="00D47EE2"/>
    <w:rsid w:val="00D5007B"/>
    <w:rsid w:val="00D5011F"/>
    <w:rsid w:val="00D5030F"/>
    <w:rsid w:val="00D50578"/>
    <w:rsid w:val="00D50584"/>
    <w:rsid w:val="00D5059B"/>
    <w:rsid w:val="00D51011"/>
    <w:rsid w:val="00D51108"/>
    <w:rsid w:val="00D51895"/>
    <w:rsid w:val="00D51B3C"/>
    <w:rsid w:val="00D51D0A"/>
    <w:rsid w:val="00D5231F"/>
    <w:rsid w:val="00D5242A"/>
    <w:rsid w:val="00D524E1"/>
    <w:rsid w:val="00D5274F"/>
    <w:rsid w:val="00D529D9"/>
    <w:rsid w:val="00D52A34"/>
    <w:rsid w:val="00D52CF9"/>
    <w:rsid w:val="00D52E24"/>
    <w:rsid w:val="00D53162"/>
    <w:rsid w:val="00D5322D"/>
    <w:rsid w:val="00D53394"/>
    <w:rsid w:val="00D5342D"/>
    <w:rsid w:val="00D53508"/>
    <w:rsid w:val="00D535A2"/>
    <w:rsid w:val="00D53DA7"/>
    <w:rsid w:val="00D544BF"/>
    <w:rsid w:val="00D55443"/>
    <w:rsid w:val="00D5559A"/>
    <w:rsid w:val="00D55A45"/>
    <w:rsid w:val="00D55CEF"/>
    <w:rsid w:val="00D566A7"/>
    <w:rsid w:val="00D56EF6"/>
    <w:rsid w:val="00D56F65"/>
    <w:rsid w:val="00D56FF4"/>
    <w:rsid w:val="00D57062"/>
    <w:rsid w:val="00D5777C"/>
    <w:rsid w:val="00D57BC7"/>
    <w:rsid w:val="00D57C86"/>
    <w:rsid w:val="00D60348"/>
    <w:rsid w:val="00D60369"/>
    <w:rsid w:val="00D6045B"/>
    <w:rsid w:val="00D6074A"/>
    <w:rsid w:val="00D608DE"/>
    <w:rsid w:val="00D60CEF"/>
    <w:rsid w:val="00D6164F"/>
    <w:rsid w:val="00D617BD"/>
    <w:rsid w:val="00D619F5"/>
    <w:rsid w:val="00D61CDE"/>
    <w:rsid w:val="00D61DEB"/>
    <w:rsid w:val="00D61F81"/>
    <w:rsid w:val="00D621C0"/>
    <w:rsid w:val="00D62830"/>
    <w:rsid w:val="00D62AFB"/>
    <w:rsid w:val="00D6336B"/>
    <w:rsid w:val="00D63E31"/>
    <w:rsid w:val="00D64131"/>
    <w:rsid w:val="00D64161"/>
    <w:rsid w:val="00D64181"/>
    <w:rsid w:val="00D64500"/>
    <w:rsid w:val="00D6452A"/>
    <w:rsid w:val="00D64E21"/>
    <w:rsid w:val="00D64FF7"/>
    <w:rsid w:val="00D65321"/>
    <w:rsid w:val="00D65992"/>
    <w:rsid w:val="00D666B2"/>
    <w:rsid w:val="00D667D8"/>
    <w:rsid w:val="00D669B9"/>
    <w:rsid w:val="00D6709C"/>
    <w:rsid w:val="00D671E5"/>
    <w:rsid w:val="00D67386"/>
    <w:rsid w:val="00D67AAE"/>
    <w:rsid w:val="00D67BBC"/>
    <w:rsid w:val="00D67EE2"/>
    <w:rsid w:val="00D70712"/>
    <w:rsid w:val="00D7083F"/>
    <w:rsid w:val="00D70E66"/>
    <w:rsid w:val="00D70E74"/>
    <w:rsid w:val="00D70F31"/>
    <w:rsid w:val="00D71411"/>
    <w:rsid w:val="00D71654"/>
    <w:rsid w:val="00D7166D"/>
    <w:rsid w:val="00D71B91"/>
    <w:rsid w:val="00D71ED3"/>
    <w:rsid w:val="00D72744"/>
    <w:rsid w:val="00D727A4"/>
    <w:rsid w:val="00D7289D"/>
    <w:rsid w:val="00D72D6B"/>
    <w:rsid w:val="00D7364C"/>
    <w:rsid w:val="00D736E1"/>
    <w:rsid w:val="00D73ACF"/>
    <w:rsid w:val="00D73AFB"/>
    <w:rsid w:val="00D73C3C"/>
    <w:rsid w:val="00D7420A"/>
    <w:rsid w:val="00D742AB"/>
    <w:rsid w:val="00D74405"/>
    <w:rsid w:val="00D74641"/>
    <w:rsid w:val="00D749FA"/>
    <w:rsid w:val="00D74C88"/>
    <w:rsid w:val="00D7517C"/>
    <w:rsid w:val="00D75350"/>
    <w:rsid w:val="00D754A5"/>
    <w:rsid w:val="00D7572D"/>
    <w:rsid w:val="00D7577C"/>
    <w:rsid w:val="00D7604E"/>
    <w:rsid w:val="00D76A62"/>
    <w:rsid w:val="00D76FDD"/>
    <w:rsid w:val="00D7773B"/>
    <w:rsid w:val="00D7777B"/>
    <w:rsid w:val="00D77C22"/>
    <w:rsid w:val="00D77C77"/>
    <w:rsid w:val="00D80620"/>
    <w:rsid w:val="00D80721"/>
    <w:rsid w:val="00D80890"/>
    <w:rsid w:val="00D80E08"/>
    <w:rsid w:val="00D816C0"/>
    <w:rsid w:val="00D81EC6"/>
    <w:rsid w:val="00D81F43"/>
    <w:rsid w:val="00D82320"/>
    <w:rsid w:val="00D823D8"/>
    <w:rsid w:val="00D823E0"/>
    <w:rsid w:val="00D823E6"/>
    <w:rsid w:val="00D826EB"/>
    <w:rsid w:val="00D82DF7"/>
    <w:rsid w:val="00D83067"/>
    <w:rsid w:val="00D83865"/>
    <w:rsid w:val="00D83D9C"/>
    <w:rsid w:val="00D83F9A"/>
    <w:rsid w:val="00D840AB"/>
    <w:rsid w:val="00D84204"/>
    <w:rsid w:val="00D84590"/>
    <w:rsid w:val="00D84B13"/>
    <w:rsid w:val="00D84EB1"/>
    <w:rsid w:val="00D8545C"/>
    <w:rsid w:val="00D85816"/>
    <w:rsid w:val="00D85D75"/>
    <w:rsid w:val="00D86394"/>
    <w:rsid w:val="00D863E9"/>
    <w:rsid w:val="00D869CF"/>
    <w:rsid w:val="00D86CD2"/>
    <w:rsid w:val="00D8741D"/>
    <w:rsid w:val="00D8791C"/>
    <w:rsid w:val="00D8792E"/>
    <w:rsid w:val="00D87AFA"/>
    <w:rsid w:val="00D87C2A"/>
    <w:rsid w:val="00D87D21"/>
    <w:rsid w:val="00D87F00"/>
    <w:rsid w:val="00D9001E"/>
    <w:rsid w:val="00D902E0"/>
    <w:rsid w:val="00D90D95"/>
    <w:rsid w:val="00D90DE8"/>
    <w:rsid w:val="00D9162E"/>
    <w:rsid w:val="00D91BCE"/>
    <w:rsid w:val="00D9212A"/>
    <w:rsid w:val="00D92A5E"/>
    <w:rsid w:val="00D92D1B"/>
    <w:rsid w:val="00D93302"/>
    <w:rsid w:val="00D93713"/>
    <w:rsid w:val="00D93C59"/>
    <w:rsid w:val="00D942A6"/>
    <w:rsid w:val="00D94389"/>
    <w:rsid w:val="00D94728"/>
    <w:rsid w:val="00D9479E"/>
    <w:rsid w:val="00D94C6E"/>
    <w:rsid w:val="00D94D89"/>
    <w:rsid w:val="00D94E09"/>
    <w:rsid w:val="00D94ED2"/>
    <w:rsid w:val="00D9509B"/>
    <w:rsid w:val="00D952A4"/>
    <w:rsid w:val="00D955B4"/>
    <w:rsid w:val="00D95A76"/>
    <w:rsid w:val="00D95B2A"/>
    <w:rsid w:val="00D95B7E"/>
    <w:rsid w:val="00D95E5F"/>
    <w:rsid w:val="00D9632A"/>
    <w:rsid w:val="00D96413"/>
    <w:rsid w:val="00D96461"/>
    <w:rsid w:val="00D964EC"/>
    <w:rsid w:val="00D96B9F"/>
    <w:rsid w:val="00D9713E"/>
    <w:rsid w:val="00D971E8"/>
    <w:rsid w:val="00D97379"/>
    <w:rsid w:val="00D9795E"/>
    <w:rsid w:val="00DA0008"/>
    <w:rsid w:val="00DA057B"/>
    <w:rsid w:val="00DA0585"/>
    <w:rsid w:val="00DA06F3"/>
    <w:rsid w:val="00DA0B2D"/>
    <w:rsid w:val="00DA0E1A"/>
    <w:rsid w:val="00DA106E"/>
    <w:rsid w:val="00DA124C"/>
    <w:rsid w:val="00DA162C"/>
    <w:rsid w:val="00DA1A62"/>
    <w:rsid w:val="00DA2719"/>
    <w:rsid w:val="00DA2D50"/>
    <w:rsid w:val="00DA2ED7"/>
    <w:rsid w:val="00DA3326"/>
    <w:rsid w:val="00DA3613"/>
    <w:rsid w:val="00DA3642"/>
    <w:rsid w:val="00DA37C0"/>
    <w:rsid w:val="00DA3B73"/>
    <w:rsid w:val="00DA3CB6"/>
    <w:rsid w:val="00DA4793"/>
    <w:rsid w:val="00DA47C0"/>
    <w:rsid w:val="00DA4D11"/>
    <w:rsid w:val="00DA530D"/>
    <w:rsid w:val="00DA563E"/>
    <w:rsid w:val="00DA59E2"/>
    <w:rsid w:val="00DA63CA"/>
    <w:rsid w:val="00DA6543"/>
    <w:rsid w:val="00DA7F59"/>
    <w:rsid w:val="00DB01AE"/>
    <w:rsid w:val="00DB045E"/>
    <w:rsid w:val="00DB0E78"/>
    <w:rsid w:val="00DB1218"/>
    <w:rsid w:val="00DB1458"/>
    <w:rsid w:val="00DB14D6"/>
    <w:rsid w:val="00DB17FD"/>
    <w:rsid w:val="00DB18FD"/>
    <w:rsid w:val="00DB1A7D"/>
    <w:rsid w:val="00DB20C4"/>
    <w:rsid w:val="00DB23D9"/>
    <w:rsid w:val="00DB2EF4"/>
    <w:rsid w:val="00DB36FA"/>
    <w:rsid w:val="00DB3A87"/>
    <w:rsid w:val="00DB48E2"/>
    <w:rsid w:val="00DB4C15"/>
    <w:rsid w:val="00DB5465"/>
    <w:rsid w:val="00DB63B7"/>
    <w:rsid w:val="00DB6479"/>
    <w:rsid w:val="00DB65B8"/>
    <w:rsid w:val="00DB67DF"/>
    <w:rsid w:val="00DB6BBB"/>
    <w:rsid w:val="00DB6D93"/>
    <w:rsid w:val="00DB6E4C"/>
    <w:rsid w:val="00DB72B7"/>
    <w:rsid w:val="00DB7880"/>
    <w:rsid w:val="00DB7B55"/>
    <w:rsid w:val="00DC00FE"/>
    <w:rsid w:val="00DC04F5"/>
    <w:rsid w:val="00DC08F4"/>
    <w:rsid w:val="00DC0C45"/>
    <w:rsid w:val="00DC0DA5"/>
    <w:rsid w:val="00DC0E55"/>
    <w:rsid w:val="00DC135C"/>
    <w:rsid w:val="00DC1431"/>
    <w:rsid w:val="00DC1718"/>
    <w:rsid w:val="00DC176A"/>
    <w:rsid w:val="00DC2441"/>
    <w:rsid w:val="00DC28ED"/>
    <w:rsid w:val="00DC3110"/>
    <w:rsid w:val="00DC312E"/>
    <w:rsid w:val="00DC31CC"/>
    <w:rsid w:val="00DC3648"/>
    <w:rsid w:val="00DC3A9B"/>
    <w:rsid w:val="00DC3D9C"/>
    <w:rsid w:val="00DC47A0"/>
    <w:rsid w:val="00DC48F3"/>
    <w:rsid w:val="00DC4CD3"/>
    <w:rsid w:val="00DC51B9"/>
    <w:rsid w:val="00DC5259"/>
    <w:rsid w:val="00DC539D"/>
    <w:rsid w:val="00DC5B5C"/>
    <w:rsid w:val="00DC5D34"/>
    <w:rsid w:val="00DC5F02"/>
    <w:rsid w:val="00DC610F"/>
    <w:rsid w:val="00DC63A0"/>
    <w:rsid w:val="00DC66E6"/>
    <w:rsid w:val="00DC689F"/>
    <w:rsid w:val="00DC6A01"/>
    <w:rsid w:val="00DC6AA6"/>
    <w:rsid w:val="00DC6AAD"/>
    <w:rsid w:val="00DC6FB7"/>
    <w:rsid w:val="00DC72B6"/>
    <w:rsid w:val="00DC7E30"/>
    <w:rsid w:val="00DC7F4C"/>
    <w:rsid w:val="00DD0225"/>
    <w:rsid w:val="00DD086F"/>
    <w:rsid w:val="00DD0930"/>
    <w:rsid w:val="00DD095B"/>
    <w:rsid w:val="00DD11B9"/>
    <w:rsid w:val="00DD15ED"/>
    <w:rsid w:val="00DD1A31"/>
    <w:rsid w:val="00DD1CE6"/>
    <w:rsid w:val="00DD1DC5"/>
    <w:rsid w:val="00DD1DD8"/>
    <w:rsid w:val="00DD1F46"/>
    <w:rsid w:val="00DD23BF"/>
    <w:rsid w:val="00DD2733"/>
    <w:rsid w:val="00DD283D"/>
    <w:rsid w:val="00DD37CE"/>
    <w:rsid w:val="00DD3C43"/>
    <w:rsid w:val="00DD43C1"/>
    <w:rsid w:val="00DD43E6"/>
    <w:rsid w:val="00DD4533"/>
    <w:rsid w:val="00DD454C"/>
    <w:rsid w:val="00DD4979"/>
    <w:rsid w:val="00DD4990"/>
    <w:rsid w:val="00DD5162"/>
    <w:rsid w:val="00DD5218"/>
    <w:rsid w:val="00DD55B0"/>
    <w:rsid w:val="00DD5741"/>
    <w:rsid w:val="00DD5879"/>
    <w:rsid w:val="00DD5F81"/>
    <w:rsid w:val="00DD60DD"/>
    <w:rsid w:val="00DD6A47"/>
    <w:rsid w:val="00DD6A4F"/>
    <w:rsid w:val="00DD719D"/>
    <w:rsid w:val="00DD7457"/>
    <w:rsid w:val="00DD7C43"/>
    <w:rsid w:val="00DD7F49"/>
    <w:rsid w:val="00DD7FA4"/>
    <w:rsid w:val="00DE0088"/>
    <w:rsid w:val="00DE0459"/>
    <w:rsid w:val="00DE078C"/>
    <w:rsid w:val="00DE086C"/>
    <w:rsid w:val="00DE0BDF"/>
    <w:rsid w:val="00DE0DC2"/>
    <w:rsid w:val="00DE1024"/>
    <w:rsid w:val="00DE225B"/>
    <w:rsid w:val="00DE2446"/>
    <w:rsid w:val="00DE2728"/>
    <w:rsid w:val="00DE284E"/>
    <w:rsid w:val="00DE28C1"/>
    <w:rsid w:val="00DE2AB4"/>
    <w:rsid w:val="00DE2C30"/>
    <w:rsid w:val="00DE3378"/>
    <w:rsid w:val="00DE399F"/>
    <w:rsid w:val="00DE3ADD"/>
    <w:rsid w:val="00DE3BEF"/>
    <w:rsid w:val="00DE3C3C"/>
    <w:rsid w:val="00DE3D9F"/>
    <w:rsid w:val="00DE479E"/>
    <w:rsid w:val="00DE4BAB"/>
    <w:rsid w:val="00DE4D87"/>
    <w:rsid w:val="00DE4F19"/>
    <w:rsid w:val="00DE517D"/>
    <w:rsid w:val="00DE52BF"/>
    <w:rsid w:val="00DE5818"/>
    <w:rsid w:val="00DE58A1"/>
    <w:rsid w:val="00DE5A54"/>
    <w:rsid w:val="00DE5F46"/>
    <w:rsid w:val="00DE67FD"/>
    <w:rsid w:val="00DE6E20"/>
    <w:rsid w:val="00DE6F7C"/>
    <w:rsid w:val="00DE70B3"/>
    <w:rsid w:val="00DE7F8B"/>
    <w:rsid w:val="00DF01A1"/>
    <w:rsid w:val="00DF0253"/>
    <w:rsid w:val="00DF068A"/>
    <w:rsid w:val="00DF068B"/>
    <w:rsid w:val="00DF0979"/>
    <w:rsid w:val="00DF0AE0"/>
    <w:rsid w:val="00DF0B2E"/>
    <w:rsid w:val="00DF0F74"/>
    <w:rsid w:val="00DF16A6"/>
    <w:rsid w:val="00DF1BDC"/>
    <w:rsid w:val="00DF1EF2"/>
    <w:rsid w:val="00DF2004"/>
    <w:rsid w:val="00DF204D"/>
    <w:rsid w:val="00DF2133"/>
    <w:rsid w:val="00DF225C"/>
    <w:rsid w:val="00DF2ACB"/>
    <w:rsid w:val="00DF35DC"/>
    <w:rsid w:val="00DF3A53"/>
    <w:rsid w:val="00DF4084"/>
    <w:rsid w:val="00DF431C"/>
    <w:rsid w:val="00DF4754"/>
    <w:rsid w:val="00DF481B"/>
    <w:rsid w:val="00DF485B"/>
    <w:rsid w:val="00DF5437"/>
    <w:rsid w:val="00DF5603"/>
    <w:rsid w:val="00DF57C8"/>
    <w:rsid w:val="00DF5BA0"/>
    <w:rsid w:val="00DF5D30"/>
    <w:rsid w:val="00DF6401"/>
    <w:rsid w:val="00DF6EA8"/>
    <w:rsid w:val="00DF719F"/>
    <w:rsid w:val="00DF73B9"/>
    <w:rsid w:val="00DF7EC1"/>
    <w:rsid w:val="00E00484"/>
    <w:rsid w:val="00E0125D"/>
    <w:rsid w:val="00E01693"/>
    <w:rsid w:val="00E01771"/>
    <w:rsid w:val="00E01B94"/>
    <w:rsid w:val="00E02055"/>
    <w:rsid w:val="00E02386"/>
    <w:rsid w:val="00E03000"/>
    <w:rsid w:val="00E03107"/>
    <w:rsid w:val="00E0347E"/>
    <w:rsid w:val="00E03485"/>
    <w:rsid w:val="00E03A28"/>
    <w:rsid w:val="00E03EDD"/>
    <w:rsid w:val="00E04568"/>
    <w:rsid w:val="00E04736"/>
    <w:rsid w:val="00E04817"/>
    <w:rsid w:val="00E04B17"/>
    <w:rsid w:val="00E04D68"/>
    <w:rsid w:val="00E05AFD"/>
    <w:rsid w:val="00E05B92"/>
    <w:rsid w:val="00E05DBF"/>
    <w:rsid w:val="00E0666A"/>
    <w:rsid w:val="00E06C74"/>
    <w:rsid w:val="00E06EB4"/>
    <w:rsid w:val="00E06F27"/>
    <w:rsid w:val="00E073A4"/>
    <w:rsid w:val="00E076F1"/>
    <w:rsid w:val="00E0770F"/>
    <w:rsid w:val="00E07BEF"/>
    <w:rsid w:val="00E07C6D"/>
    <w:rsid w:val="00E103A2"/>
    <w:rsid w:val="00E1040F"/>
    <w:rsid w:val="00E10DCD"/>
    <w:rsid w:val="00E113B4"/>
    <w:rsid w:val="00E11B9C"/>
    <w:rsid w:val="00E11C19"/>
    <w:rsid w:val="00E11D1E"/>
    <w:rsid w:val="00E11E14"/>
    <w:rsid w:val="00E11FF4"/>
    <w:rsid w:val="00E127F7"/>
    <w:rsid w:val="00E12951"/>
    <w:rsid w:val="00E12E46"/>
    <w:rsid w:val="00E13186"/>
    <w:rsid w:val="00E13878"/>
    <w:rsid w:val="00E1433E"/>
    <w:rsid w:val="00E14BE7"/>
    <w:rsid w:val="00E14E2F"/>
    <w:rsid w:val="00E15003"/>
    <w:rsid w:val="00E150BA"/>
    <w:rsid w:val="00E15ADA"/>
    <w:rsid w:val="00E161E3"/>
    <w:rsid w:val="00E16678"/>
    <w:rsid w:val="00E16B7D"/>
    <w:rsid w:val="00E16C67"/>
    <w:rsid w:val="00E16EAF"/>
    <w:rsid w:val="00E16F2C"/>
    <w:rsid w:val="00E1725D"/>
    <w:rsid w:val="00E178E2"/>
    <w:rsid w:val="00E2021D"/>
    <w:rsid w:val="00E203B9"/>
    <w:rsid w:val="00E203D2"/>
    <w:rsid w:val="00E205A0"/>
    <w:rsid w:val="00E208D4"/>
    <w:rsid w:val="00E20B12"/>
    <w:rsid w:val="00E2149B"/>
    <w:rsid w:val="00E216FF"/>
    <w:rsid w:val="00E21860"/>
    <w:rsid w:val="00E2198B"/>
    <w:rsid w:val="00E22533"/>
    <w:rsid w:val="00E22F0D"/>
    <w:rsid w:val="00E2372B"/>
    <w:rsid w:val="00E238DB"/>
    <w:rsid w:val="00E239EF"/>
    <w:rsid w:val="00E23D65"/>
    <w:rsid w:val="00E24136"/>
    <w:rsid w:val="00E24347"/>
    <w:rsid w:val="00E24481"/>
    <w:rsid w:val="00E249D9"/>
    <w:rsid w:val="00E24BAB"/>
    <w:rsid w:val="00E24D94"/>
    <w:rsid w:val="00E24DE2"/>
    <w:rsid w:val="00E250BF"/>
    <w:rsid w:val="00E251C5"/>
    <w:rsid w:val="00E25773"/>
    <w:rsid w:val="00E25867"/>
    <w:rsid w:val="00E25C94"/>
    <w:rsid w:val="00E25F34"/>
    <w:rsid w:val="00E26479"/>
    <w:rsid w:val="00E2660B"/>
    <w:rsid w:val="00E269E5"/>
    <w:rsid w:val="00E26AC1"/>
    <w:rsid w:val="00E26B04"/>
    <w:rsid w:val="00E26C95"/>
    <w:rsid w:val="00E2716A"/>
    <w:rsid w:val="00E271E4"/>
    <w:rsid w:val="00E27385"/>
    <w:rsid w:val="00E27391"/>
    <w:rsid w:val="00E27412"/>
    <w:rsid w:val="00E2757C"/>
    <w:rsid w:val="00E27A48"/>
    <w:rsid w:val="00E27B0A"/>
    <w:rsid w:val="00E27F63"/>
    <w:rsid w:val="00E302DA"/>
    <w:rsid w:val="00E30496"/>
    <w:rsid w:val="00E304A7"/>
    <w:rsid w:val="00E3055C"/>
    <w:rsid w:val="00E307B4"/>
    <w:rsid w:val="00E30894"/>
    <w:rsid w:val="00E308A3"/>
    <w:rsid w:val="00E30AEE"/>
    <w:rsid w:val="00E311C5"/>
    <w:rsid w:val="00E31718"/>
    <w:rsid w:val="00E31BFB"/>
    <w:rsid w:val="00E31D52"/>
    <w:rsid w:val="00E3261A"/>
    <w:rsid w:val="00E3272B"/>
    <w:rsid w:val="00E3298E"/>
    <w:rsid w:val="00E32B8E"/>
    <w:rsid w:val="00E32C3A"/>
    <w:rsid w:val="00E32F44"/>
    <w:rsid w:val="00E3308E"/>
    <w:rsid w:val="00E33586"/>
    <w:rsid w:val="00E345E2"/>
    <w:rsid w:val="00E35699"/>
    <w:rsid w:val="00E35B19"/>
    <w:rsid w:val="00E35E62"/>
    <w:rsid w:val="00E36077"/>
    <w:rsid w:val="00E36343"/>
    <w:rsid w:val="00E36780"/>
    <w:rsid w:val="00E36789"/>
    <w:rsid w:val="00E368C3"/>
    <w:rsid w:val="00E369AD"/>
    <w:rsid w:val="00E36E2D"/>
    <w:rsid w:val="00E37121"/>
    <w:rsid w:val="00E374F9"/>
    <w:rsid w:val="00E40339"/>
    <w:rsid w:val="00E40575"/>
    <w:rsid w:val="00E40DFA"/>
    <w:rsid w:val="00E40E39"/>
    <w:rsid w:val="00E40F94"/>
    <w:rsid w:val="00E40FEB"/>
    <w:rsid w:val="00E41323"/>
    <w:rsid w:val="00E41410"/>
    <w:rsid w:val="00E4141D"/>
    <w:rsid w:val="00E417CC"/>
    <w:rsid w:val="00E41803"/>
    <w:rsid w:val="00E4186C"/>
    <w:rsid w:val="00E41AC7"/>
    <w:rsid w:val="00E41C41"/>
    <w:rsid w:val="00E41CDC"/>
    <w:rsid w:val="00E42374"/>
    <w:rsid w:val="00E42691"/>
    <w:rsid w:val="00E4283C"/>
    <w:rsid w:val="00E43004"/>
    <w:rsid w:val="00E43283"/>
    <w:rsid w:val="00E43B8D"/>
    <w:rsid w:val="00E44069"/>
    <w:rsid w:val="00E44704"/>
    <w:rsid w:val="00E448A6"/>
    <w:rsid w:val="00E44C97"/>
    <w:rsid w:val="00E44FD1"/>
    <w:rsid w:val="00E45204"/>
    <w:rsid w:val="00E453BB"/>
    <w:rsid w:val="00E45651"/>
    <w:rsid w:val="00E45837"/>
    <w:rsid w:val="00E45AFD"/>
    <w:rsid w:val="00E4668B"/>
    <w:rsid w:val="00E46E72"/>
    <w:rsid w:val="00E46FDA"/>
    <w:rsid w:val="00E478AD"/>
    <w:rsid w:val="00E47997"/>
    <w:rsid w:val="00E47B2B"/>
    <w:rsid w:val="00E47B6A"/>
    <w:rsid w:val="00E50123"/>
    <w:rsid w:val="00E50356"/>
    <w:rsid w:val="00E50367"/>
    <w:rsid w:val="00E50EC9"/>
    <w:rsid w:val="00E51099"/>
    <w:rsid w:val="00E516A6"/>
    <w:rsid w:val="00E51784"/>
    <w:rsid w:val="00E518F3"/>
    <w:rsid w:val="00E51B0E"/>
    <w:rsid w:val="00E520BF"/>
    <w:rsid w:val="00E52350"/>
    <w:rsid w:val="00E52948"/>
    <w:rsid w:val="00E53279"/>
    <w:rsid w:val="00E5330C"/>
    <w:rsid w:val="00E5333E"/>
    <w:rsid w:val="00E533B0"/>
    <w:rsid w:val="00E537CF"/>
    <w:rsid w:val="00E53D0B"/>
    <w:rsid w:val="00E53EB4"/>
    <w:rsid w:val="00E5419E"/>
    <w:rsid w:val="00E54205"/>
    <w:rsid w:val="00E542EE"/>
    <w:rsid w:val="00E547D6"/>
    <w:rsid w:val="00E54BC9"/>
    <w:rsid w:val="00E54D0A"/>
    <w:rsid w:val="00E54DF7"/>
    <w:rsid w:val="00E54E76"/>
    <w:rsid w:val="00E55497"/>
    <w:rsid w:val="00E55502"/>
    <w:rsid w:val="00E55585"/>
    <w:rsid w:val="00E55C52"/>
    <w:rsid w:val="00E567B6"/>
    <w:rsid w:val="00E57927"/>
    <w:rsid w:val="00E60350"/>
    <w:rsid w:val="00E60602"/>
    <w:rsid w:val="00E60712"/>
    <w:rsid w:val="00E609DF"/>
    <w:rsid w:val="00E60FDF"/>
    <w:rsid w:val="00E61196"/>
    <w:rsid w:val="00E61323"/>
    <w:rsid w:val="00E6172C"/>
    <w:rsid w:val="00E61ADF"/>
    <w:rsid w:val="00E61B68"/>
    <w:rsid w:val="00E62115"/>
    <w:rsid w:val="00E62372"/>
    <w:rsid w:val="00E62823"/>
    <w:rsid w:val="00E62BE8"/>
    <w:rsid w:val="00E62D9C"/>
    <w:rsid w:val="00E62E1E"/>
    <w:rsid w:val="00E62E3B"/>
    <w:rsid w:val="00E62F35"/>
    <w:rsid w:val="00E63422"/>
    <w:rsid w:val="00E634C6"/>
    <w:rsid w:val="00E637A9"/>
    <w:rsid w:val="00E63B53"/>
    <w:rsid w:val="00E649D8"/>
    <w:rsid w:val="00E64EF7"/>
    <w:rsid w:val="00E6542F"/>
    <w:rsid w:val="00E654C3"/>
    <w:rsid w:val="00E65744"/>
    <w:rsid w:val="00E657A4"/>
    <w:rsid w:val="00E668DA"/>
    <w:rsid w:val="00E66D1E"/>
    <w:rsid w:val="00E67C1C"/>
    <w:rsid w:val="00E67CB0"/>
    <w:rsid w:val="00E67CE7"/>
    <w:rsid w:val="00E67E43"/>
    <w:rsid w:val="00E702D0"/>
    <w:rsid w:val="00E707B4"/>
    <w:rsid w:val="00E70FB2"/>
    <w:rsid w:val="00E714E5"/>
    <w:rsid w:val="00E716F7"/>
    <w:rsid w:val="00E7182A"/>
    <w:rsid w:val="00E7188B"/>
    <w:rsid w:val="00E718BF"/>
    <w:rsid w:val="00E71962"/>
    <w:rsid w:val="00E719FC"/>
    <w:rsid w:val="00E71C55"/>
    <w:rsid w:val="00E7227C"/>
    <w:rsid w:val="00E7237A"/>
    <w:rsid w:val="00E7239C"/>
    <w:rsid w:val="00E728F3"/>
    <w:rsid w:val="00E72F2D"/>
    <w:rsid w:val="00E7320E"/>
    <w:rsid w:val="00E73A6A"/>
    <w:rsid w:val="00E74092"/>
    <w:rsid w:val="00E743BE"/>
    <w:rsid w:val="00E74C07"/>
    <w:rsid w:val="00E74C12"/>
    <w:rsid w:val="00E750AF"/>
    <w:rsid w:val="00E75A44"/>
    <w:rsid w:val="00E75A9F"/>
    <w:rsid w:val="00E75AC2"/>
    <w:rsid w:val="00E75CFB"/>
    <w:rsid w:val="00E75D17"/>
    <w:rsid w:val="00E75F0B"/>
    <w:rsid w:val="00E76084"/>
    <w:rsid w:val="00E76228"/>
    <w:rsid w:val="00E7638D"/>
    <w:rsid w:val="00E76478"/>
    <w:rsid w:val="00E765DE"/>
    <w:rsid w:val="00E76667"/>
    <w:rsid w:val="00E76B78"/>
    <w:rsid w:val="00E76BC3"/>
    <w:rsid w:val="00E76ED5"/>
    <w:rsid w:val="00E76F78"/>
    <w:rsid w:val="00E770C3"/>
    <w:rsid w:val="00E772B5"/>
    <w:rsid w:val="00E7789D"/>
    <w:rsid w:val="00E77B7F"/>
    <w:rsid w:val="00E77F29"/>
    <w:rsid w:val="00E77F91"/>
    <w:rsid w:val="00E8037E"/>
    <w:rsid w:val="00E8043D"/>
    <w:rsid w:val="00E805E4"/>
    <w:rsid w:val="00E806D3"/>
    <w:rsid w:val="00E80A52"/>
    <w:rsid w:val="00E80EC3"/>
    <w:rsid w:val="00E80EE0"/>
    <w:rsid w:val="00E81036"/>
    <w:rsid w:val="00E819AB"/>
    <w:rsid w:val="00E81C16"/>
    <w:rsid w:val="00E81CEC"/>
    <w:rsid w:val="00E820D3"/>
    <w:rsid w:val="00E82745"/>
    <w:rsid w:val="00E827E8"/>
    <w:rsid w:val="00E8341C"/>
    <w:rsid w:val="00E8348D"/>
    <w:rsid w:val="00E8369E"/>
    <w:rsid w:val="00E836EB"/>
    <w:rsid w:val="00E83988"/>
    <w:rsid w:val="00E83CBA"/>
    <w:rsid w:val="00E84423"/>
    <w:rsid w:val="00E848F8"/>
    <w:rsid w:val="00E84948"/>
    <w:rsid w:val="00E84FEB"/>
    <w:rsid w:val="00E85398"/>
    <w:rsid w:val="00E8552F"/>
    <w:rsid w:val="00E85766"/>
    <w:rsid w:val="00E85999"/>
    <w:rsid w:val="00E85E1F"/>
    <w:rsid w:val="00E861CC"/>
    <w:rsid w:val="00E86241"/>
    <w:rsid w:val="00E86708"/>
    <w:rsid w:val="00E867B6"/>
    <w:rsid w:val="00E869A2"/>
    <w:rsid w:val="00E86F9E"/>
    <w:rsid w:val="00E8714F"/>
    <w:rsid w:val="00E872DE"/>
    <w:rsid w:val="00E875E3"/>
    <w:rsid w:val="00E87631"/>
    <w:rsid w:val="00E87746"/>
    <w:rsid w:val="00E901AF"/>
    <w:rsid w:val="00E9037C"/>
    <w:rsid w:val="00E9078A"/>
    <w:rsid w:val="00E90998"/>
    <w:rsid w:val="00E90CB2"/>
    <w:rsid w:val="00E90CD3"/>
    <w:rsid w:val="00E91247"/>
    <w:rsid w:val="00E91360"/>
    <w:rsid w:val="00E9180A"/>
    <w:rsid w:val="00E91A4E"/>
    <w:rsid w:val="00E9210D"/>
    <w:rsid w:val="00E922DB"/>
    <w:rsid w:val="00E9250A"/>
    <w:rsid w:val="00E925C3"/>
    <w:rsid w:val="00E9260D"/>
    <w:rsid w:val="00E9281E"/>
    <w:rsid w:val="00E92FAF"/>
    <w:rsid w:val="00E934BE"/>
    <w:rsid w:val="00E94B62"/>
    <w:rsid w:val="00E9555B"/>
    <w:rsid w:val="00E958DC"/>
    <w:rsid w:val="00E95D12"/>
    <w:rsid w:val="00E95F4E"/>
    <w:rsid w:val="00E9668A"/>
    <w:rsid w:val="00E96739"/>
    <w:rsid w:val="00E9696D"/>
    <w:rsid w:val="00E96D8C"/>
    <w:rsid w:val="00E96F4C"/>
    <w:rsid w:val="00E96FDB"/>
    <w:rsid w:val="00E9730F"/>
    <w:rsid w:val="00E97339"/>
    <w:rsid w:val="00E97351"/>
    <w:rsid w:val="00E974F4"/>
    <w:rsid w:val="00E97BBC"/>
    <w:rsid w:val="00E97CF9"/>
    <w:rsid w:val="00E97D39"/>
    <w:rsid w:val="00E97D94"/>
    <w:rsid w:val="00E97EB3"/>
    <w:rsid w:val="00EA0115"/>
    <w:rsid w:val="00EA0496"/>
    <w:rsid w:val="00EA0681"/>
    <w:rsid w:val="00EA08DD"/>
    <w:rsid w:val="00EA0E2D"/>
    <w:rsid w:val="00EA0EED"/>
    <w:rsid w:val="00EA1022"/>
    <w:rsid w:val="00EA1833"/>
    <w:rsid w:val="00EA1A8A"/>
    <w:rsid w:val="00EA1DED"/>
    <w:rsid w:val="00EA2229"/>
    <w:rsid w:val="00EA26CF"/>
    <w:rsid w:val="00EA2F4C"/>
    <w:rsid w:val="00EA369A"/>
    <w:rsid w:val="00EA4438"/>
    <w:rsid w:val="00EA463F"/>
    <w:rsid w:val="00EA4668"/>
    <w:rsid w:val="00EA48A3"/>
    <w:rsid w:val="00EA53C8"/>
    <w:rsid w:val="00EA55FA"/>
    <w:rsid w:val="00EA5BB3"/>
    <w:rsid w:val="00EA5D97"/>
    <w:rsid w:val="00EA5F13"/>
    <w:rsid w:val="00EA6CFF"/>
    <w:rsid w:val="00EA79B7"/>
    <w:rsid w:val="00EA7AF3"/>
    <w:rsid w:val="00EA7CF5"/>
    <w:rsid w:val="00EB0081"/>
    <w:rsid w:val="00EB009C"/>
    <w:rsid w:val="00EB021F"/>
    <w:rsid w:val="00EB0319"/>
    <w:rsid w:val="00EB0393"/>
    <w:rsid w:val="00EB0C08"/>
    <w:rsid w:val="00EB0D53"/>
    <w:rsid w:val="00EB1160"/>
    <w:rsid w:val="00EB1844"/>
    <w:rsid w:val="00EB18A0"/>
    <w:rsid w:val="00EB1907"/>
    <w:rsid w:val="00EB1957"/>
    <w:rsid w:val="00EB1C2A"/>
    <w:rsid w:val="00EB25E2"/>
    <w:rsid w:val="00EB28D4"/>
    <w:rsid w:val="00EB2C88"/>
    <w:rsid w:val="00EB36F5"/>
    <w:rsid w:val="00EB3890"/>
    <w:rsid w:val="00EB38E1"/>
    <w:rsid w:val="00EB3CDD"/>
    <w:rsid w:val="00EB4053"/>
    <w:rsid w:val="00EB421F"/>
    <w:rsid w:val="00EB4294"/>
    <w:rsid w:val="00EB42D8"/>
    <w:rsid w:val="00EB43BB"/>
    <w:rsid w:val="00EB4DF7"/>
    <w:rsid w:val="00EB55AF"/>
    <w:rsid w:val="00EB56AB"/>
    <w:rsid w:val="00EB6810"/>
    <w:rsid w:val="00EB6B9C"/>
    <w:rsid w:val="00EB6D82"/>
    <w:rsid w:val="00EB7478"/>
    <w:rsid w:val="00EB759F"/>
    <w:rsid w:val="00EB7A07"/>
    <w:rsid w:val="00EB7B37"/>
    <w:rsid w:val="00EB7BD9"/>
    <w:rsid w:val="00EC0181"/>
    <w:rsid w:val="00EC04F8"/>
    <w:rsid w:val="00EC0760"/>
    <w:rsid w:val="00EC0C8D"/>
    <w:rsid w:val="00EC11B5"/>
    <w:rsid w:val="00EC1546"/>
    <w:rsid w:val="00EC19F2"/>
    <w:rsid w:val="00EC1C8B"/>
    <w:rsid w:val="00EC1D4E"/>
    <w:rsid w:val="00EC2218"/>
    <w:rsid w:val="00EC29A8"/>
    <w:rsid w:val="00EC29FA"/>
    <w:rsid w:val="00EC2A52"/>
    <w:rsid w:val="00EC2C3F"/>
    <w:rsid w:val="00EC2CA5"/>
    <w:rsid w:val="00EC3798"/>
    <w:rsid w:val="00EC3A7F"/>
    <w:rsid w:val="00EC3D25"/>
    <w:rsid w:val="00EC414D"/>
    <w:rsid w:val="00EC453A"/>
    <w:rsid w:val="00EC50A8"/>
    <w:rsid w:val="00EC54C2"/>
    <w:rsid w:val="00EC57F1"/>
    <w:rsid w:val="00EC5A74"/>
    <w:rsid w:val="00EC5B83"/>
    <w:rsid w:val="00EC5CE6"/>
    <w:rsid w:val="00EC6356"/>
    <w:rsid w:val="00EC686E"/>
    <w:rsid w:val="00EC6A26"/>
    <w:rsid w:val="00EC70A1"/>
    <w:rsid w:val="00EC73A9"/>
    <w:rsid w:val="00EC79D7"/>
    <w:rsid w:val="00EC7EDB"/>
    <w:rsid w:val="00EC7FB4"/>
    <w:rsid w:val="00ED0458"/>
    <w:rsid w:val="00ED09A5"/>
    <w:rsid w:val="00ED0A66"/>
    <w:rsid w:val="00ED0E65"/>
    <w:rsid w:val="00ED12DA"/>
    <w:rsid w:val="00ED1567"/>
    <w:rsid w:val="00ED18A8"/>
    <w:rsid w:val="00ED19CC"/>
    <w:rsid w:val="00ED1C7F"/>
    <w:rsid w:val="00ED23C7"/>
    <w:rsid w:val="00ED252D"/>
    <w:rsid w:val="00ED270D"/>
    <w:rsid w:val="00ED2BEE"/>
    <w:rsid w:val="00ED2CF1"/>
    <w:rsid w:val="00ED3372"/>
    <w:rsid w:val="00ED35ED"/>
    <w:rsid w:val="00ED3B42"/>
    <w:rsid w:val="00ED4412"/>
    <w:rsid w:val="00ED469F"/>
    <w:rsid w:val="00ED4807"/>
    <w:rsid w:val="00ED4AEE"/>
    <w:rsid w:val="00ED4EF3"/>
    <w:rsid w:val="00ED5236"/>
    <w:rsid w:val="00ED5476"/>
    <w:rsid w:val="00ED5954"/>
    <w:rsid w:val="00ED5B34"/>
    <w:rsid w:val="00ED5B92"/>
    <w:rsid w:val="00ED60C4"/>
    <w:rsid w:val="00ED6197"/>
    <w:rsid w:val="00ED62E9"/>
    <w:rsid w:val="00ED65CA"/>
    <w:rsid w:val="00ED65F8"/>
    <w:rsid w:val="00ED6BF8"/>
    <w:rsid w:val="00ED6D6D"/>
    <w:rsid w:val="00ED6F24"/>
    <w:rsid w:val="00ED71C5"/>
    <w:rsid w:val="00ED7229"/>
    <w:rsid w:val="00ED789A"/>
    <w:rsid w:val="00ED7B78"/>
    <w:rsid w:val="00EE013F"/>
    <w:rsid w:val="00EE03C7"/>
    <w:rsid w:val="00EE04F7"/>
    <w:rsid w:val="00EE07C9"/>
    <w:rsid w:val="00EE0C74"/>
    <w:rsid w:val="00EE12DC"/>
    <w:rsid w:val="00EE1DFA"/>
    <w:rsid w:val="00EE1F0E"/>
    <w:rsid w:val="00EE2253"/>
    <w:rsid w:val="00EE2394"/>
    <w:rsid w:val="00EE26D5"/>
    <w:rsid w:val="00EE2E79"/>
    <w:rsid w:val="00EE2EAB"/>
    <w:rsid w:val="00EE2F84"/>
    <w:rsid w:val="00EE2FAA"/>
    <w:rsid w:val="00EE3502"/>
    <w:rsid w:val="00EE39E8"/>
    <w:rsid w:val="00EE41C8"/>
    <w:rsid w:val="00EE43A5"/>
    <w:rsid w:val="00EE4AF1"/>
    <w:rsid w:val="00EE53D8"/>
    <w:rsid w:val="00EE57DC"/>
    <w:rsid w:val="00EE59A7"/>
    <w:rsid w:val="00EE63FD"/>
    <w:rsid w:val="00EE6875"/>
    <w:rsid w:val="00EE693A"/>
    <w:rsid w:val="00EE71E3"/>
    <w:rsid w:val="00EE7897"/>
    <w:rsid w:val="00EE7B33"/>
    <w:rsid w:val="00EE7C0E"/>
    <w:rsid w:val="00EE7D58"/>
    <w:rsid w:val="00EF0040"/>
    <w:rsid w:val="00EF053D"/>
    <w:rsid w:val="00EF06EE"/>
    <w:rsid w:val="00EF1C1E"/>
    <w:rsid w:val="00EF1CB4"/>
    <w:rsid w:val="00EF1FD1"/>
    <w:rsid w:val="00EF23F0"/>
    <w:rsid w:val="00EF2A1B"/>
    <w:rsid w:val="00EF2B0E"/>
    <w:rsid w:val="00EF2D9E"/>
    <w:rsid w:val="00EF2F3A"/>
    <w:rsid w:val="00EF31E9"/>
    <w:rsid w:val="00EF328D"/>
    <w:rsid w:val="00EF34CF"/>
    <w:rsid w:val="00EF3714"/>
    <w:rsid w:val="00EF3B0B"/>
    <w:rsid w:val="00EF41C4"/>
    <w:rsid w:val="00EF49F5"/>
    <w:rsid w:val="00EF4AAA"/>
    <w:rsid w:val="00EF5156"/>
    <w:rsid w:val="00EF5374"/>
    <w:rsid w:val="00EF557B"/>
    <w:rsid w:val="00EF5860"/>
    <w:rsid w:val="00EF5A2D"/>
    <w:rsid w:val="00EF5DBA"/>
    <w:rsid w:val="00EF5F9D"/>
    <w:rsid w:val="00EF623D"/>
    <w:rsid w:val="00EF64FB"/>
    <w:rsid w:val="00EF6640"/>
    <w:rsid w:val="00EF6788"/>
    <w:rsid w:val="00EF67D9"/>
    <w:rsid w:val="00EF6AA3"/>
    <w:rsid w:val="00EF6B93"/>
    <w:rsid w:val="00EF6C12"/>
    <w:rsid w:val="00EF6CB2"/>
    <w:rsid w:val="00EF7216"/>
    <w:rsid w:val="00EF75BB"/>
    <w:rsid w:val="00EF79FC"/>
    <w:rsid w:val="00EF7AB0"/>
    <w:rsid w:val="00EF7ED1"/>
    <w:rsid w:val="00F001DE"/>
    <w:rsid w:val="00F002F5"/>
    <w:rsid w:val="00F01186"/>
    <w:rsid w:val="00F016B3"/>
    <w:rsid w:val="00F01721"/>
    <w:rsid w:val="00F01B1E"/>
    <w:rsid w:val="00F020C6"/>
    <w:rsid w:val="00F02419"/>
    <w:rsid w:val="00F029E1"/>
    <w:rsid w:val="00F02A09"/>
    <w:rsid w:val="00F02D93"/>
    <w:rsid w:val="00F0355B"/>
    <w:rsid w:val="00F0361F"/>
    <w:rsid w:val="00F037E3"/>
    <w:rsid w:val="00F03CBB"/>
    <w:rsid w:val="00F03F1D"/>
    <w:rsid w:val="00F04187"/>
    <w:rsid w:val="00F0435F"/>
    <w:rsid w:val="00F0457C"/>
    <w:rsid w:val="00F045A5"/>
    <w:rsid w:val="00F04AC1"/>
    <w:rsid w:val="00F04D42"/>
    <w:rsid w:val="00F04D97"/>
    <w:rsid w:val="00F04E90"/>
    <w:rsid w:val="00F053B3"/>
    <w:rsid w:val="00F057B5"/>
    <w:rsid w:val="00F0688A"/>
    <w:rsid w:val="00F068BC"/>
    <w:rsid w:val="00F07384"/>
    <w:rsid w:val="00F1033F"/>
    <w:rsid w:val="00F10622"/>
    <w:rsid w:val="00F10BAC"/>
    <w:rsid w:val="00F1137C"/>
    <w:rsid w:val="00F114CB"/>
    <w:rsid w:val="00F11790"/>
    <w:rsid w:val="00F11AC9"/>
    <w:rsid w:val="00F11C6E"/>
    <w:rsid w:val="00F11CC2"/>
    <w:rsid w:val="00F12113"/>
    <w:rsid w:val="00F12303"/>
    <w:rsid w:val="00F12B15"/>
    <w:rsid w:val="00F12B80"/>
    <w:rsid w:val="00F12BA0"/>
    <w:rsid w:val="00F13543"/>
    <w:rsid w:val="00F137B1"/>
    <w:rsid w:val="00F13C4D"/>
    <w:rsid w:val="00F13EC9"/>
    <w:rsid w:val="00F13F75"/>
    <w:rsid w:val="00F1403E"/>
    <w:rsid w:val="00F143FC"/>
    <w:rsid w:val="00F147E3"/>
    <w:rsid w:val="00F14A42"/>
    <w:rsid w:val="00F14B98"/>
    <w:rsid w:val="00F150A9"/>
    <w:rsid w:val="00F15235"/>
    <w:rsid w:val="00F15420"/>
    <w:rsid w:val="00F15A6A"/>
    <w:rsid w:val="00F15C4F"/>
    <w:rsid w:val="00F15D09"/>
    <w:rsid w:val="00F15E4E"/>
    <w:rsid w:val="00F16219"/>
    <w:rsid w:val="00F16656"/>
    <w:rsid w:val="00F16847"/>
    <w:rsid w:val="00F169AA"/>
    <w:rsid w:val="00F169B6"/>
    <w:rsid w:val="00F1745B"/>
    <w:rsid w:val="00F17671"/>
    <w:rsid w:val="00F17674"/>
    <w:rsid w:val="00F17B4C"/>
    <w:rsid w:val="00F17B5D"/>
    <w:rsid w:val="00F17B9C"/>
    <w:rsid w:val="00F17BF3"/>
    <w:rsid w:val="00F17E85"/>
    <w:rsid w:val="00F206C8"/>
    <w:rsid w:val="00F20D47"/>
    <w:rsid w:val="00F20E4B"/>
    <w:rsid w:val="00F20F3D"/>
    <w:rsid w:val="00F20FF8"/>
    <w:rsid w:val="00F21B75"/>
    <w:rsid w:val="00F22044"/>
    <w:rsid w:val="00F22435"/>
    <w:rsid w:val="00F22D72"/>
    <w:rsid w:val="00F23046"/>
    <w:rsid w:val="00F231A2"/>
    <w:rsid w:val="00F23365"/>
    <w:rsid w:val="00F23863"/>
    <w:rsid w:val="00F23DB1"/>
    <w:rsid w:val="00F240CB"/>
    <w:rsid w:val="00F2447C"/>
    <w:rsid w:val="00F24B4D"/>
    <w:rsid w:val="00F24CD1"/>
    <w:rsid w:val="00F2532C"/>
    <w:rsid w:val="00F2570F"/>
    <w:rsid w:val="00F25933"/>
    <w:rsid w:val="00F25A28"/>
    <w:rsid w:val="00F25D8C"/>
    <w:rsid w:val="00F25F68"/>
    <w:rsid w:val="00F26037"/>
    <w:rsid w:val="00F27396"/>
    <w:rsid w:val="00F2742C"/>
    <w:rsid w:val="00F277F5"/>
    <w:rsid w:val="00F2785B"/>
    <w:rsid w:val="00F27910"/>
    <w:rsid w:val="00F27CAA"/>
    <w:rsid w:val="00F30683"/>
    <w:rsid w:val="00F30A3E"/>
    <w:rsid w:val="00F30C5D"/>
    <w:rsid w:val="00F31169"/>
    <w:rsid w:val="00F3134D"/>
    <w:rsid w:val="00F3155B"/>
    <w:rsid w:val="00F31822"/>
    <w:rsid w:val="00F32B1B"/>
    <w:rsid w:val="00F32B9B"/>
    <w:rsid w:val="00F32C95"/>
    <w:rsid w:val="00F33A08"/>
    <w:rsid w:val="00F34344"/>
    <w:rsid w:val="00F345BF"/>
    <w:rsid w:val="00F34962"/>
    <w:rsid w:val="00F34A30"/>
    <w:rsid w:val="00F34B73"/>
    <w:rsid w:val="00F35316"/>
    <w:rsid w:val="00F35839"/>
    <w:rsid w:val="00F35B27"/>
    <w:rsid w:val="00F35CBF"/>
    <w:rsid w:val="00F35D9A"/>
    <w:rsid w:val="00F35E82"/>
    <w:rsid w:val="00F3614B"/>
    <w:rsid w:val="00F367AB"/>
    <w:rsid w:val="00F36DDC"/>
    <w:rsid w:val="00F36E94"/>
    <w:rsid w:val="00F370CE"/>
    <w:rsid w:val="00F3718E"/>
    <w:rsid w:val="00F371CA"/>
    <w:rsid w:val="00F37369"/>
    <w:rsid w:val="00F3751A"/>
    <w:rsid w:val="00F37597"/>
    <w:rsid w:val="00F37FFD"/>
    <w:rsid w:val="00F403A1"/>
    <w:rsid w:val="00F40842"/>
    <w:rsid w:val="00F40B4F"/>
    <w:rsid w:val="00F40DF8"/>
    <w:rsid w:val="00F41566"/>
    <w:rsid w:val="00F4166F"/>
    <w:rsid w:val="00F416D9"/>
    <w:rsid w:val="00F41963"/>
    <w:rsid w:val="00F4198B"/>
    <w:rsid w:val="00F41A19"/>
    <w:rsid w:val="00F41A51"/>
    <w:rsid w:val="00F42423"/>
    <w:rsid w:val="00F42558"/>
    <w:rsid w:val="00F4255F"/>
    <w:rsid w:val="00F4279C"/>
    <w:rsid w:val="00F428EB"/>
    <w:rsid w:val="00F43304"/>
    <w:rsid w:val="00F439B6"/>
    <w:rsid w:val="00F43C98"/>
    <w:rsid w:val="00F44511"/>
    <w:rsid w:val="00F44890"/>
    <w:rsid w:val="00F44B56"/>
    <w:rsid w:val="00F44D61"/>
    <w:rsid w:val="00F44D9A"/>
    <w:rsid w:val="00F44ECE"/>
    <w:rsid w:val="00F45247"/>
    <w:rsid w:val="00F452B0"/>
    <w:rsid w:val="00F463BF"/>
    <w:rsid w:val="00F4643A"/>
    <w:rsid w:val="00F46884"/>
    <w:rsid w:val="00F473A8"/>
    <w:rsid w:val="00F47EBE"/>
    <w:rsid w:val="00F504D9"/>
    <w:rsid w:val="00F50505"/>
    <w:rsid w:val="00F50712"/>
    <w:rsid w:val="00F5077D"/>
    <w:rsid w:val="00F509C2"/>
    <w:rsid w:val="00F50DA5"/>
    <w:rsid w:val="00F50F6E"/>
    <w:rsid w:val="00F51A72"/>
    <w:rsid w:val="00F51C06"/>
    <w:rsid w:val="00F51DC2"/>
    <w:rsid w:val="00F52264"/>
    <w:rsid w:val="00F524C0"/>
    <w:rsid w:val="00F52A3A"/>
    <w:rsid w:val="00F535D7"/>
    <w:rsid w:val="00F537BD"/>
    <w:rsid w:val="00F53B29"/>
    <w:rsid w:val="00F53EC3"/>
    <w:rsid w:val="00F5410B"/>
    <w:rsid w:val="00F541EE"/>
    <w:rsid w:val="00F54347"/>
    <w:rsid w:val="00F54466"/>
    <w:rsid w:val="00F5460F"/>
    <w:rsid w:val="00F54E87"/>
    <w:rsid w:val="00F553BA"/>
    <w:rsid w:val="00F5561C"/>
    <w:rsid w:val="00F557F6"/>
    <w:rsid w:val="00F5592A"/>
    <w:rsid w:val="00F55E60"/>
    <w:rsid w:val="00F564DF"/>
    <w:rsid w:val="00F56700"/>
    <w:rsid w:val="00F56769"/>
    <w:rsid w:val="00F56B87"/>
    <w:rsid w:val="00F56EDC"/>
    <w:rsid w:val="00F56F41"/>
    <w:rsid w:val="00F57497"/>
    <w:rsid w:val="00F57743"/>
    <w:rsid w:val="00F57B2C"/>
    <w:rsid w:val="00F602EA"/>
    <w:rsid w:val="00F61361"/>
    <w:rsid w:val="00F61A2A"/>
    <w:rsid w:val="00F61CEB"/>
    <w:rsid w:val="00F61D0C"/>
    <w:rsid w:val="00F61F7F"/>
    <w:rsid w:val="00F6217B"/>
    <w:rsid w:val="00F623A8"/>
    <w:rsid w:val="00F62704"/>
    <w:rsid w:val="00F62A1C"/>
    <w:rsid w:val="00F62A9B"/>
    <w:rsid w:val="00F62B09"/>
    <w:rsid w:val="00F62C02"/>
    <w:rsid w:val="00F62F51"/>
    <w:rsid w:val="00F634DB"/>
    <w:rsid w:val="00F63832"/>
    <w:rsid w:val="00F63940"/>
    <w:rsid w:val="00F63EBD"/>
    <w:rsid w:val="00F64060"/>
    <w:rsid w:val="00F642D9"/>
    <w:rsid w:val="00F643E5"/>
    <w:rsid w:val="00F64758"/>
    <w:rsid w:val="00F650D9"/>
    <w:rsid w:val="00F65291"/>
    <w:rsid w:val="00F65714"/>
    <w:rsid w:val="00F65A47"/>
    <w:rsid w:val="00F65A6B"/>
    <w:rsid w:val="00F6633E"/>
    <w:rsid w:val="00F6688E"/>
    <w:rsid w:val="00F671E3"/>
    <w:rsid w:val="00F6720F"/>
    <w:rsid w:val="00F67253"/>
    <w:rsid w:val="00F7000B"/>
    <w:rsid w:val="00F7025F"/>
    <w:rsid w:val="00F702F9"/>
    <w:rsid w:val="00F70BF1"/>
    <w:rsid w:val="00F70E6D"/>
    <w:rsid w:val="00F71877"/>
    <w:rsid w:val="00F71EA7"/>
    <w:rsid w:val="00F72012"/>
    <w:rsid w:val="00F72051"/>
    <w:rsid w:val="00F72264"/>
    <w:rsid w:val="00F72267"/>
    <w:rsid w:val="00F725EE"/>
    <w:rsid w:val="00F726D9"/>
    <w:rsid w:val="00F7276B"/>
    <w:rsid w:val="00F72AFB"/>
    <w:rsid w:val="00F72DC8"/>
    <w:rsid w:val="00F72EBC"/>
    <w:rsid w:val="00F72F02"/>
    <w:rsid w:val="00F73385"/>
    <w:rsid w:val="00F73AE2"/>
    <w:rsid w:val="00F73B37"/>
    <w:rsid w:val="00F73D2C"/>
    <w:rsid w:val="00F73E19"/>
    <w:rsid w:val="00F74479"/>
    <w:rsid w:val="00F7460C"/>
    <w:rsid w:val="00F749B5"/>
    <w:rsid w:val="00F74A21"/>
    <w:rsid w:val="00F75223"/>
    <w:rsid w:val="00F7574B"/>
    <w:rsid w:val="00F75BF9"/>
    <w:rsid w:val="00F76ACD"/>
    <w:rsid w:val="00F76C94"/>
    <w:rsid w:val="00F76F17"/>
    <w:rsid w:val="00F774A0"/>
    <w:rsid w:val="00F776D5"/>
    <w:rsid w:val="00F77F58"/>
    <w:rsid w:val="00F80355"/>
    <w:rsid w:val="00F8091C"/>
    <w:rsid w:val="00F810A7"/>
    <w:rsid w:val="00F81115"/>
    <w:rsid w:val="00F818BA"/>
    <w:rsid w:val="00F81B52"/>
    <w:rsid w:val="00F81BE6"/>
    <w:rsid w:val="00F82081"/>
    <w:rsid w:val="00F8265A"/>
    <w:rsid w:val="00F82B61"/>
    <w:rsid w:val="00F83624"/>
    <w:rsid w:val="00F83A38"/>
    <w:rsid w:val="00F83D9C"/>
    <w:rsid w:val="00F83E2F"/>
    <w:rsid w:val="00F84001"/>
    <w:rsid w:val="00F84324"/>
    <w:rsid w:val="00F84649"/>
    <w:rsid w:val="00F84821"/>
    <w:rsid w:val="00F8553C"/>
    <w:rsid w:val="00F8571B"/>
    <w:rsid w:val="00F85D92"/>
    <w:rsid w:val="00F866D8"/>
    <w:rsid w:val="00F87642"/>
    <w:rsid w:val="00F878FC"/>
    <w:rsid w:val="00F87FC6"/>
    <w:rsid w:val="00F901BE"/>
    <w:rsid w:val="00F90470"/>
    <w:rsid w:val="00F90A56"/>
    <w:rsid w:val="00F90C98"/>
    <w:rsid w:val="00F90E50"/>
    <w:rsid w:val="00F9131C"/>
    <w:rsid w:val="00F91648"/>
    <w:rsid w:val="00F91CBA"/>
    <w:rsid w:val="00F91FE7"/>
    <w:rsid w:val="00F92044"/>
    <w:rsid w:val="00F9235F"/>
    <w:rsid w:val="00F9260D"/>
    <w:rsid w:val="00F92F6A"/>
    <w:rsid w:val="00F9314F"/>
    <w:rsid w:val="00F93503"/>
    <w:rsid w:val="00F935AF"/>
    <w:rsid w:val="00F936DF"/>
    <w:rsid w:val="00F93AA2"/>
    <w:rsid w:val="00F93BB9"/>
    <w:rsid w:val="00F93CC1"/>
    <w:rsid w:val="00F93EEE"/>
    <w:rsid w:val="00F9447C"/>
    <w:rsid w:val="00F94687"/>
    <w:rsid w:val="00F947B4"/>
    <w:rsid w:val="00F94D5B"/>
    <w:rsid w:val="00F94DDA"/>
    <w:rsid w:val="00F94EA2"/>
    <w:rsid w:val="00F95282"/>
    <w:rsid w:val="00F953C6"/>
    <w:rsid w:val="00F9726D"/>
    <w:rsid w:val="00F972E3"/>
    <w:rsid w:val="00F97BC0"/>
    <w:rsid w:val="00FA0092"/>
    <w:rsid w:val="00FA00BA"/>
    <w:rsid w:val="00FA01D4"/>
    <w:rsid w:val="00FA031C"/>
    <w:rsid w:val="00FA04DA"/>
    <w:rsid w:val="00FA0848"/>
    <w:rsid w:val="00FA0B9B"/>
    <w:rsid w:val="00FA0C99"/>
    <w:rsid w:val="00FA111A"/>
    <w:rsid w:val="00FA1A40"/>
    <w:rsid w:val="00FA1B3F"/>
    <w:rsid w:val="00FA2392"/>
    <w:rsid w:val="00FA2572"/>
    <w:rsid w:val="00FA2CEF"/>
    <w:rsid w:val="00FA3E98"/>
    <w:rsid w:val="00FA4C46"/>
    <w:rsid w:val="00FA4FDC"/>
    <w:rsid w:val="00FA5359"/>
    <w:rsid w:val="00FA5463"/>
    <w:rsid w:val="00FA5594"/>
    <w:rsid w:val="00FA568E"/>
    <w:rsid w:val="00FA5759"/>
    <w:rsid w:val="00FA592D"/>
    <w:rsid w:val="00FA603D"/>
    <w:rsid w:val="00FA61D1"/>
    <w:rsid w:val="00FA6646"/>
    <w:rsid w:val="00FA6A1C"/>
    <w:rsid w:val="00FA6A7E"/>
    <w:rsid w:val="00FA6BDE"/>
    <w:rsid w:val="00FA6CCF"/>
    <w:rsid w:val="00FA6F32"/>
    <w:rsid w:val="00FA6FB8"/>
    <w:rsid w:val="00FA716E"/>
    <w:rsid w:val="00FA73A8"/>
    <w:rsid w:val="00FA7D92"/>
    <w:rsid w:val="00FB033E"/>
    <w:rsid w:val="00FB0347"/>
    <w:rsid w:val="00FB03CD"/>
    <w:rsid w:val="00FB07A9"/>
    <w:rsid w:val="00FB0843"/>
    <w:rsid w:val="00FB0D36"/>
    <w:rsid w:val="00FB0F4B"/>
    <w:rsid w:val="00FB118C"/>
    <w:rsid w:val="00FB1881"/>
    <w:rsid w:val="00FB1CDA"/>
    <w:rsid w:val="00FB2A25"/>
    <w:rsid w:val="00FB2EC5"/>
    <w:rsid w:val="00FB2EEC"/>
    <w:rsid w:val="00FB3551"/>
    <w:rsid w:val="00FB38B8"/>
    <w:rsid w:val="00FB3D28"/>
    <w:rsid w:val="00FB3DAD"/>
    <w:rsid w:val="00FB4A4F"/>
    <w:rsid w:val="00FB4D79"/>
    <w:rsid w:val="00FB4D84"/>
    <w:rsid w:val="00FB4E88"/>
    <w:rsid w:val="00FB4F4C"/>
    <w:rsid w:val="00FB50C4"/>
    <w:rsid w:val="00FB58DB"/>
    <w:rsid w:val="00FB5930"/>
    <w:rsid w:val="00FB5EC8"/>
    <w:rsid w:val="00FB608A"/>
    <w:rsid w:val="00FB63D0"/>
    <w:rsid w:val="00FB6827"/>
    <w:rsid w:val="00FB6EA5"/>
    <w:rsid w:val="00FB71D5"/>
    <w:rsid w:val="00FB7349"/>
    <w:rsid w:val="00FB771C"/>
    <w:rsid w:val="00FB7D62"/>
    <w:rsid w:val="00FB7DD1"/>
    <w:rsid w:val="00FB7F8A"/>
    <w:rsid w:val="00FC0220"/>
    <w:rsid w:val="00FC0240"/>
    <w:rsid w:val="00FC07B1"/>
    <w:rsid w:val="00FC0919"/>
    <w:rsid w:val="00FC0AE3"/>
    <w:rsid w:val="00FC0BA4"/>
    <w:rsid w:val="00FC177F"/>
    <w:rsid w:val="00FC1A81"/>
    <w:rsid w:val="00FC1AF1"/>
    <w:rsid w:val="00FC2020"/>
    <w:rsid w:val="00FC212E"/>
    <w:rsid w:val="00FC233F"/>
    <w:rsid w:val="00FC259A"/>
    <w:rsid w:val="00FC27CC"/>
    <w:rsid w:val="00FC2AD0"/>
    <w:rsid w:val="00FC2C0F"/>
    <w:rsid w:val="00FC2CAD"/>
    <w:rsid w:val="00FC33FB"/>
    <w:rsid w:val="00FC3BD4"/>
    <w:rsid w:val="00FC3E1E"/>
    <w:rsid w:val="00FC3EAF"/>
    <w:rsid w:val="00FC4487"/>
    <w:rsid w:val="00FC465F"/>
    <w:rsid w:val="00FC4A23"/>
    <w:rsid w:val="00FC4A57"/>
    <w:rsid w:val="00FC4AC6"/>
    <w:rsid w:val="00FC4DB2"/>
    <w:rsid w:val="00FC5161"/>
    <w:rsid w:val="00FC5285"/>
    <w:rsid w:val="00FC5A54"/>
    <w:rsid w:val="00FC5A61"/>
    <w:rsid w:val="00FC5B19"/>
    <w:rsid w:val="00FC5C2A"/>
    <w:rsid w:val="00FC5FDA"/>
    <w:rsid w:val="00FC702D"/>
    <w:rsid w:val="00FC70B9"/>
    <w:rsid w:val="00FC7300"/>
    <w:rsid w:val="00FC73A6"/>
    <w:rsid w:val="00FC76F4"/>
    <w:rsid w:val="00FC7707"/>
    <w:rsid w:val="00FC79A2"/>
    <w:rsid w:val="00FC7D94"/>
    <w:rsid w:val="00FC7DA9"/>
    <w:rsid w:val="00FD0180"/>
    <w:rsid w:val="00FD0313"/>
    <w:rsid w:val="00FD035A"/>
    <w:rsid w:val="00FD0B48"/>
    <w:rsid w:val="00FD1288"/>
    <w:rsid w:val="00FD1556"/>
    <w:rsid w:val="00FD1653"/>
    <w:rsid w:val="00FD1729"/>
    <w:rsid w:val="00FD1765"/>
    <w:rsid w:val="00FD21E0"/>
    <w:rsid w:val="00FD2247"/>
    <w:rsid w:val="00FD253C"/>
    <w:rsid w:val="00FD25BF"/>
    <w:rsid w:val="00FD26C8"/>
    <w:rsid w:val="00FD29A5"/>
    <w:rsid w:val="00FD2AFB"/>
    <w:rsid w:val="00FD2F68"/>
    <w:rsid w:val="00FD3171"/>
    <w:rsid w:val="00FD33BB"/>
    <w:rsid w:val="00FD343A"/>
    <w:rsid w:val="00FD35EA"/>
    <w:rsid w:val="00FD37C9"/>
    <w:rsid w:val="00FD43BF"/>
    <w:rsid w:val="00FD446B"/>
    <w:rsid w:val="00FD4842"/>
    <w:rsid w:val="00FD4A72"/>
    <w:rsid w:val="00FD4B1A"/>
    <w:rsid w:val="00FD4BD8"/>
    <w:rsid w:val="00FD5ADE"/>
    <w:rsid w:val="00FD5B37"/>
    <w:rsid w:val="00FD5CBD"/>
    <w:rsid w:val="00FD606E"/>
    <w:rsid w:val="00FD6102"/>
    <w:rsid w:val="00FD6321"/>
    <w:rsid w:val="00FD6345"/>
    <w:rsid w:val="00FD640D"/>
    <w:rsid w:val="00FD6585"/>
    <w:rsid w:val="00FD6A42"/>
    <w:rsid w:val="00FD6C1B"/>
    <w:rsid w:val="00FD757E"/>
    <w:rsid w:val="00FD78D9"/>
    <w:rsid w:val="00FD793A"/>
    <w:rsid w:val="00FD7BB1"/>
    <w:rsid w:val="00FD7EDE"/>
    <w:rsid w:val="00FD7F0A"/>
    <w:rsid w:val="00FE00F9"/>
    <w:rsid w:val="00FE02AF"/>
    <w:rsid w:val="00FE0358"/>
    <w:rsid w:val="00FE09B4"/>
    <w:rsid w:val="00FE0C63"/>
    <w:rsid w:val="00FE1050"/>
    <w:rsid w:val="00FE10A2"/>
    <w:rsid w:val="00FE110C"/>
    <w:rsid w:val="00FE1537"/>
    <w:rsid w:val="00FE15C5"/>
    <w:rsid w:val="00FE1861"/>
    <w:rsid w:val="00FE1B6D"/>
    <w:rsid w:val="00FE1F0F"/>
    <w:rsid w:val="00FE272B"/>
    <w:rsid w:val="00FE2A99"/>
    <w:rsid w:val="00FE2B92"/>
    <w:rsid w:val="00FE2C41"/>
    <w:rsid w:val="00FE2FD3"/>
    <w:rsid w:val="00FE3552"/>
    <w:rsid w:val="00FE3820"/>
    <w:rsid w:val="00FE3A5C"/>
    <w:rsid w:val="00FE3E26"/>
    <w:rsid w:val="00FE3EC0"/>
    <w:rsid w:val="00FE4724"/>
    <w:rsid w:val="00FE4840"/>
    <w:rsid w:val="00FE4A69"/>
    <w:rsid w:val="00FE4F40"/>
    <w:rsid w:val="00FE51D5"/>
    <w:rsid w:val="00FE53F3"/>
    <w:rsid w:val="00FE53FD"/>
    <w:rsid w:val="00FE5752"/>
    <w:rsid w:val="00FE5C61"/>
    <w:rsid w:val="00FE5DF2"/>
    <w:rsid w:val="00FE5F3B"/>
    <w:rsid w:val="00FE6248"/>
    <w:rsid w:val="00FE62E5"/>
    <w:rsid w:val="00FE6366"/>
    <w:rsid w:val="00FE644D"/>
    <w:rsid w:val="00FE7204"/>
    <w:rsid w:val="00FE74C9"/>
    <w:rsid w:val="00FE7C14"/>
    <w:rsid w:val="00FE7D8A"/>
    <w:rsid w:val="00FF002E"/>
    <w:rsid w:val="00FF021A"/>
    <w:rsid w:val="00FF0A32"/>
    <w:rsid w:val="00FF0A6B"/>
    <w:rsid w:val="00FF0C56"/>
    <w:rsid w:val="00FF1051"/>
    <w:rsid w:val="00FF1B9E"/>
    <w:rsid w:val="00FF1C18"/>
    <w:rsid w:val="00FF1DD1"/>
    <w:rsid w:val="00FF2104"/>
    <w:rsid w:val="00FF2209"/>
    <w:rsid w:val="00FF23BE"/>
    <w:rsid w:val="00FF24C4"/>
    <w:rsid w:val="00FF26A6"/>
    <w:rsid w:val="00FF26A8"/>
    <w:rsid w:val="00FF2AA5"/>
    <w:rsid w:val="00FF2B64"/>
    <w:rsid w:val="00FF31BD"/>
    <w:rsid w:val="00FF36C6"/>
    <w:rsid w:val="00FF373A"/>
    <w:rsid w:val="00FF3F6A"/>
    <w:rsid w:val="00FF4087"/>
    <w:rsid w:val="00FF572E"/>
    <w:rsid w:val="00FF5832"/>
    <w:rsid w:val="00FF5894"/>
    <w:rsid w:val="00FF5ACA"/>
    <w:rsid w:val="00FF5DE9"/>
    <w:rsid w:val="00FF6390"/>
    <w:rsid w:val="00FF6960"/>
    <w:rsid w:val="00FF6E33"/>
    <w:rsid w:val="00FF6F24"/>
    <w:rsid w:val="00FF7632"/>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7F76EA1"/>
  <w15:docId w15:val="{9CE20A1E-B977-492B-9AA8-EF22841B9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1F50"/>
    <w:pPr>
      <w:spacing w:before="120" w:after="120" w:line="240" w:lineRule="auto"/>
      <w:jc w:val="both"/>
    </w:pPr>
  </w:style>
  <w:style w:type="paragraph" w:styleId="Ttulo1">
    <w:name w:val="heading 1"/>
    <w:basedOn w:val="Normal"/>
    <w:next w:val="Normal"/>
    <w:link w:val="Ttulo1Car"/>
    <w:uiPriority w:val="9"/>
    <w:qFormat/>
    <w:rsid w:val="001C327C"/>
    <w:pPr>
      <w:spacing w:after="360"/>
      <w:jc w:val="center"/>
      <w:outlineLvl w:val="0"/>
    </w:pPr>
    <w:rPr>
      <w:b/>
      <w:sz w:val="32"/>
      <w:szCs w:val="32"/>
    </w:rPr>
  </w:style>
  <w:style w:type="paragraph" w:styleId="Ttulo2">
    <w:name w:val="heading 2"/>
    <w:basedOn w:val="Normal"/>
    <w:next w:val="Normal"/>
    <w:link w:val="Ttulo2Car"/>
    <w:uiPriority w:val="9"/>
    <w:unhideWhenUsed/>
    <w:qFormat/>
    <w:rsid w:val="00D61DEB"/>
    <w:pPr>
      <w:outlineLvl w:val="1"/>
    </w:pPr>
    <w:rPr>
      <w:b/>
      <w:i/>
      <w:sz w:val="24"/>
      <w:szCs w:val="24"/>
    </w:rPr>
  </w:style>
  <w:style w:type="paragraph" w:styleId="Ttulo3">
    <w:name w:val="heading 3"/>
    <w:basedOn w:val="Normal"/>
    <w:next w:val="Normal"/>
    <w:link w:val="Ttulo3Car"/>
    <w:uiPriority w:val="9"/>
    <w:unhideWhenUsed/>
    <w:qFormat/>
    <w:rsid w:val="000A046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7">
    <w:name w:val="heading 7"/>
    <w:basedOn w:val="Normal"/>
    <w:next w:val="Normal"/>
    <w:link w:val="Ttulo7Car"/>
    <w:uiPriority w:val="9"/>
    <w:semiHidden/>
    <w:unhideWhenUsed/>
    <w:qFormat/>
    <w:rsid w:val="00955FEA"/>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1C327C"/>
    <w:rPr>
      <w:b/>
      <w:sz w:val="32"/>
      <w:szCs w:val="32"/>
    </w:rPr>
  </w:style>
  <w:style w:type="character" w:customStyle="1" w:styleId="Ttulo2Car">
    <w:name w:val="Título 2 Car"/>
    <w:basedOn w:val="Fuentedeprrafopredeter"/>
    <w:link w:val="Ttulo2"/>
    <w:uiPriority w:val="9"/>
    <w:rsid w:val="00D61DEB"/>
    <w:rPr>
      <w:b/>
      <w:i/>
      <w:sz w:val="24"/>
      <w:szCs w:val="24"/>
    </w:rPr>
  </w:style>
  <w:style w:type="character" w:customStyle="1" w:styleId="Ttulo3Car">
    <w:name w:val="Título 3 Car"/>
    <w:basedOn w:val="Fuentedeprrafopredeter"/>
    <w:link w:val="Ttulo3"/>
    <w:uiPriority w:val="9"/>
    <w:rsid w:val="000A0466"/>
    <w:rPr>
      <w:rFonts w:asciiTheme="majorHAnsi" w:eastAsiaTheme="majorEastAsia" w:hAnsiTheme="majorHAnsi" w:cstheme="majorBidi"/>
      <w:color w:val="1F4D78" w:themeColor="accent1" w:themeShade="7F"/>
      <w:sz w:val="24"/>
      <w:szCs w:val="24"/>
    </w:rPr>
  </w:style>
  <w:style w:type="character" w:customStyle="1" w:styleId="Ttulo7Car">
    <w:name w:val="Título 7 Car"/>
    <w:basedOn w:val="Fuentedeprrafopredeter"/>
    <w:link w:val="Ttulo7"/>
    <w:uiPriority w:val="9"/>
    <w:semiHidden/>
    <w:rsid w:val="00955FEA"/>
    <w:rPr>
      <w:rFonts w:asciiTheme="majorHAnsi" w:eastAsiaTheme="majorEastAsia" w:hAnsiTheme="majorHAnsi" w:cstheme="majorBidi"/>
      <w:i/>
      <w:iCs/>
      <w:color w:val="1F4D78" w:themeColor="accent1" w:themeShade="7F"/>
    </w:rPr>
  </w:style>
  <w:style w:type="paragraph" w:styleId="Encabezado">
    <w:name w:val="header"/>
    <w:basedOn w:val="Normal"/>
    <w:link w:val="EncabezadoCar"/>
    <w:uiPriority w:val="99"/>
    <w:unhideWhenUsed/>
    <w:rsid w:val="00546662"/>
    <w:pPr>
      <w:tabs>
        <w:tab w:val="center" w:pos="4419"/>
        <w:tab w:val="right" w:pos="8838"/>
      </w:tabs>
      <w:spacing w:after="0"/>
    </w:pPr>
  </w:style>
  <w:style w:type="character" w:customStyle="1" w:styleId="EncabezadoCar">
    <w:name w:val="Encabezado Car"/>
    <w:basedOn w:val="Fuentedeprrafopredeter"/>
    <w:link w:val="Encabezado"/>
    <w:uiPriority w:val="99"/>
    <w:rsid w:val="00546662"/>
  </w:style>
  <w:style w:type="paragraph" w:styleId="Piedepgina">
    <w:name w:val="footer"/>
    <w:basedOn w:val="Normal"/>
    <w:link w:val="PiedepginaCar"/>
    <w:uiPriority w:val="99"/>
    <w:unhideWhenUsed/>
    <w:rsid w:val="00546662"/>
    <w:pPr>
      <w:tabs>
        <w:tab w:val="center" w:pos="4419"/>
        <w:tab w:val="right" w:pos="8838"/>
      </w:tabs>
      <w:spacing w:after="0"/>
    </w:pPr>
  </w:style>
  <w:style w:type="character" w:customStyle="1" w:styleId="PiedepginaCar">
    <w:name w:val="Pie de página Car"/>
    <w:basedOn w:val="Fuentedeprrafopredeter"/>
    <w:link w:val="Piedepgina"/>
    <w:uiPriority w:val="99"/>
    <w:rsid w:val="00546662"/>
  </w:style>
  <w:style w:type="paragraph" w:customStyle="1" w:styleId="Prrafodelista1">
    <w:name w:val="Párrafo de lista1"/>
    <w:basedOn w:val="Normal"/>
    <w:uiPriority w:val="99"/>
    <w:qFormat/>
    <w:rsid w:val="00F541EE"/>
    <w:pPr>
      <w:spacing w:before="0" w:after="0"/>
      <w:ind w:left="720"/>
    </w:pPr>
    <w:rPr>
      <w:rFonts w:ascii="Calibri" w:eastAsia="Times New Roman" w:hAnsi="Calibri" w:cs="Times New Roman"/>
      <w:szCs w:val="24"/>
      <w:lang w:val="es-ES"/>
    </w:rPr>
  </w:style>
  <w:style w:type="paragraph" w:styleId="Descripcin">
    <w:name w:val="caption"/>
    <w:basedOn w:val="Normal"/>
    <w:next w:val="Normal"/>
    <w:link w:val="DescripcinCar"/>
    <w:uiPriority w:val="35"/>
    <w:unhideWhenUsed/>
    <w:qFormat/>
    <w:rsid w:val="00B75120"/>
    <w:pPr>
      <w:spacing w:before="0" w:after="200"/>
    </w:pPr>
    <w:rPr>
      <w:i/>
      <w:iCs/>
      <w:color w:val="44546A" w:themeColor="text2"/>
      <w:sz w:val="18"/>
      <w:szCs w:val="18"/>
    </w:rPr>
  </w:style>
  <w:style w:type="character" w:customStyle="1" w:styleId="DescripcinCar">
    <w:name w:val="Descripción Car"/>
    <w:basedOn w:val="Fuentedeprrafopredeter"/>
    <w:link w:val="Descripcin"/>
    <w:uiPriority w:val="35"/>
    <w:rsid w:val="00B75120"/>
    <w:rPr>
      <w:i/>
      <w:iCs/>
      <w:color w:val="44546A" w:themeColor="text2"/>
      <w:sz w:val="18"/>
      <w:szCs w:val="18"/>
    </w:rPr>
  </w:style>
  <w:style w:type="paragraph" w:customStyle="1" w:styleId="Anexo">
    <w:name w:val="Anexo"/>
    <w:basedOn w:val="Descripcin"/>
    <w:link w:val="AnexoCar"/>
    <w:qFormat/>
    <w:rsid w:val="00B75120"/>
    <w:pPr>
      <w:jc w:val="center"/>
    </w:pPr>
    <w:rPr>
      <w:b/>
      <w:i w:val="0"/>
      <w:color w:val="auto"/>
      <w:sz w:val="22"/>
      <w:szCs w:val="22"/>
    </w:rPr>
  </w:style>
  <w:style w:type="character" w:customStyle="1" w:styleId="AnexoCar">
    <w:name w:val="Anexo Car"/>
    <w:basedOn w:val="DescripcinCar"/>
    <w:link w:val="Anexo"/>
    <w:rsid w:val="00B75120"/>
    <w:rPr>
      <w:b/>
      <w:i w:val="0"/>
      <w:iCs/>
      <w:color w:val="44546A" w:themeColor="text2"/>
      <w:sz w:val="18"/>
      <w:szCs w:val="18"/>
    </w:rPr>
  </w:style>
  <w:style w:type="paragraph" w:styleId="TDC1">
    <w:name w:val="toc 1"/>
    <w:basedOn w:val="Normal"/>
    <w:next w:val="Normal"/>
    <w:autoRedefine/>
    <w:uiPriority w:val="39"/>
    <w:unhideWhenUsed/>
    <w:rsid w:val="00712FA0"/>
    <w:pPr>
      <w:tabs>
        <w:tab w:val="right" w:leader="dot" w:pos="9962"/>
      </w:tabs>
    </w:pPr>
  </w:style>
  <w:style w:type="paragraph" w:styleId="TDC3">
    <w:name w:val="toc 3"/>
    <w:basedOn w:val="Normal"/>
    <w:next w:val="Normal"/>
    <w:autoRedefine/>
    <w:uiPriority w:val="39"/>
    <w:unhideWhenUsed/>
    <w:rsid w:val="00851A1B"/>
    <w:pPr>
      <w:spacing w:after="100"/>
      <w:ind w:left="440"/>
    </w:pPr>
  </w:style>
  <w:style w:type="paragraph" w:styleId="TDC2">
    <w:name w:val="toc 2"/>
    <w:basedOn w:val="Normal"/>
    <w:next w:val="Normal"/>
    <w:autoRedefine/>
    <w:uiPriority w:val="39"/>
    <w:unhideWhenUsed/>
    <w:rsid w:val="009D6B1E"/>
    <w:pPr>
      <w:tabs>
        <w:tab w:val="right" w:leader="dot" w:pos="9962"/>
      </w:tabs>
      <w:spacing w:after="100"/>
      <w:ind w:left="284"/>
      <w:jc w:val="center"/>
    </w:pPr>
    <w:rPr>
      <w:bCs/>
      <w:i/>
    </w:rPr>
  </w:style>
  <w:style w:type="character" w:styleId="Hipervnculo">
    <w:name w:val="Hyperlink"/>
    <w:basedOn w:val="Fuentedeprrafopredeter"/>
    <w:uiPriority w:val="99"/>
    <w:unhideWhenUsed/>
    <w:rsid w:val="00851A1B"/>
    <w:rPr>
      <w:color w:val="0563C1" w:themeColor="hyperlink"/>
      <w:u w:val="single"/>
    </w:rPr>
  </w:style>
  <w:style w:type="paragraph" w:styleId="Textonotapie">
    <w:name w:val="footnote text"/>
    <w:aliases w:val="Car Car Car Car Car Car Car Car Car Car,Car Car Car Car Car Car Car Car Car Car Car,Car Car Car Car Car Car Car Car Car Car Car Car Car,E Fußn,-E Fußnotentext,Fußnotentext Ursprung,Char,Fußnote,foot note text,Footnote Text Char2,Gene"/>
    <w:basedOn w:val="Normal"/>
    <w:link w:val="TextonotapieCar"/>
    <w:uiPriority w:val="99"/>
    <w:unhideWhenUsed/>
    <w:qFormat/>
    <w:rsid w:val="004500D3"/>
    <w:pPr>
      <w:spacing w:before="60" w:after="240"/>
      <w:contextualSpacing/>
    </w:pPr>
    <w:rPr>
      <w:sz w:val="18"/>
      <w:szCs w:val="20"/>
    </w:rPr>
  </w:style>
  <w:style w:type="character" w:customStyle="1" w:styleId="TextonotapieCar">
    <w:name w:val="Texto nota pie Car"/>
    <w:aliases w:val="Car Car Car Car Car Car Car Car Car Car Car1,Car Car Car Car Car Car Car Car Car Car Car Car,Car Car Car Car Car Car Car Car Car Car Car Car Car Car,E Fußn Car,-E Fußnotentext Car,Fußnotentext Ursprung Car,Char Car,Fußnote Car"/>
    <w:basedOn w:val="Fuentedeprrafopredeter"/>
    <w:link w:val="Textonotapie"/>
    <w:uiPriority w:val="99"/>
    <w:rsid w:val="004500D3"/>
    <w:rPr>
      <w:sz w:val="18"/>
      <w:szCs w:val="20"/>
    </w:rPr>
  </w:style>
  <w:style w:type="character" w:styleId="Refdenotaalpie">
    <w:name w:val="footnote reference"/>
    <w:aliases w:val="16 Point,Superscript 6 Point,Superscript 6 Point + 11 pt,E FNZ,-E Fußnotenzeichen,Footnote#,ftref,SUPERS,referencia nota al pie,Fußnotenzeichen DISS,Footnote Reference1,Ref,de nota al pie,Footnote Reference Number"/>
    <w:basedOn w:val="Fuentedeprrafopredeter"/>
    <w:unhideWhenUsed/>
    <w:rsid w:val="009B5236"/>
    <w:rPr>
      <w:vertAlign w:val="superscript"/>
    </w:rPr>
  </w:style>
  <w:style w:type="table" w:styleId="Tablaconcuadrcula">
    <w:name w:val="Table Grid"/>
    <w:basedOn w:val="Tablanormal"/>
    <w:uiPriority w:val="59"/>
    <w:rsid w:val="006810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lp1,List Paragraph1,List Paragraph-Thesis,Bullet List,FooterText,numbered,Paragraphe de liste1,Bulletr List Paragraph,列出段落,列出段落1,4 Párrafo de lista,Figuras,Dot pt,No Spacing1,List Paragraph Char Char Char,Indicator Text,Numbered Para 1"/>
    <w:basedOn w:val="Normal"/>
    <w:link w:val="PrrafodelistaCar"/>
    <w:uiPriority w:val="34"/>
    <w:qFormat/>
    <w:rsid w:val="002960C0"/>
    <w:pPr>
      <w:ind w:left="720"/>
      <w:contextualSpacing/>
    </w:pPr>
  </w:style>
  <w:style w:type="character" w:customStyle="1" w:styleId="PrrafodelistaCar">
    <w:name w:val="Párrafo de lista Car"/>
    <w:aliases w:val="lp1 Car,List Paragraph1 Car,List Paragraph-Thesis Car,Bullet List Car,FooterText Car,numbered Car,Paragraphe de liste1 Car,Bulletr List Paragraph Car,列出段落 Car,列出段落1 Car,4 Párrafo de lista Car,Figuras Car,Dot pt Car,No Spacing1 Car"/>
    <w:link w:val="Prrafodelista"/>
    <w:uiPriority w:val="34"/>
    <w:qFormat/>
    <w:rsid w:val="00EA55FA"/>
  </w:style>
  <w:style w:type="paragraph" w:styleId="Textodeglobo">
    <w:name w:val="Balloon Text"/>
    <w:basedOn w:val="Normal"/>
    <w:link w:val="TextodegloboCar"/>
    <w:uiPriority w:val="99"/>
    <w:semiHidden/>
    <w:unhideWhenUsed/>
    <w:rsid w:val="00344AEF"/>
    <w:pPr>
      <w:spacing w:before="0"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44AEF"/>
    <w:rPr>
      <w:rFonts w:ascii="Tahoma" w:hAnsi="Tahoma" w:cs="Tahoma"/>
      <w:sz w:val="16"/>
      <w:szCs w:val="16"/>
    </w:rPr>
  </w:style>
  <w:style w:type="character" w:styleId="Textoennegrita">
    <w:name w:val="Strong"/>
    <w:basedOn w:val="Fuentedeprrafopredeter"/>
    <w:uiPriority w:val="22"/>
    <w:qFormat/>
    <w:rsid w:val="00831662"/>
    <w:rPr>
      <w:b/>
      <w:bCs/>
    </w:rPr>
  </w:style>
  <w:style w:type="paragraph" w:styleId="NormalWeb">
    <w:name w:val="Normal (Web)"/>
    <w:basedOn w:val="Normal"/>
    <w:uiPriority w:val="99"/>
    <w:semiHidden/>
    <w:unhideWhenUsed/>
    <w:rsid w:val="00831662"/>
    <w:pPr>
      <w:spacing w:before="100" w:beforeAutospacing="1" w:after="100" w:afterAutospacing="1"/>
      <w:jc w:val="left"/>
    </w:pPr>
    <w:rPr>
      <w:rFonts w:ascii="Times New Roman" w:eastAsia="Times New Roman" w:hAnsi="Times New Roman" w:cs="Times New Roman"/>
      <w:sz w:val="24"/>
      <w:szCs w:val="24"/>
      <w:lang w:eastAsia="es-MX"/>
    </w:rPr>
  </w:style>
  <w:style w:type="character" w:customStyle="1" w:styleId="apple-converted-space">
    <w:name w:val="apple-converted-space"/>
    <w:basedOn w:val="Fuentedeprrafopredeter"/>
    <w:rsid w:val="00DB63B7"/>
  </w:style>
  <w:style w:type="table" w:styleId="Sombreadoclaro-nfasis5">
    <w:name w:val="Light Shading Accent 5"/>
    <w:basedOn w:val="Tablanormal"/>
    <w:uiPriority w:val="60"/>
    <w:rsid w:val="00532069"/>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paragraph" w:styleId="Textosinformato">
    <w:name w:val="Plain Text"/>
    <w:basedOn w:val="Normal"/>
    <w:link w:val="TextosinformatoCar"/>
    <w:rsid w:val="00DD7F49"/>
    <w:pPr>
      <w:spacing w:before="0" w:after="0"/>
      <w:jc w:val="left"/>
    </w:pPr>
    <w:rPr>
      <w:rFonts w:ascii="Courier New" w:eastAsia="Times New Roman" w:hAnsi="Courier New" w:cs="Courier New"/>
      <w:sz w:val="20"/>
      <w:szCs w:val="20"/>
      <w:lang w:val="es-ES" w:eastAsia="es-ES"/>
    </w:rPr>
  </w:style>
  <w:style w:type="character" w:customStyle="1" w:styleId="TextosinformatoCar">
    <w:name w:val="Texto sin formato Car"/>
    <w:basedOn w:val="Fuentedeprrafopredeter"/>
    <w:link w:val="Textosinformato"/>
    <w:rsid w:val="00DD7F49"/>
    <w:rPr>
      <w:rFonts w:ascii="Courier New" w:eastAsia="Times New Roman" w:hAnsi="Courier New" w:cs="Courier New"/>
      <w:sz w:val="20"/>
      <w:szCs w:val="20"/>
      <w:lang w:val="es-ES" w:eastAsia="es-ES"/>
    </w:rPr>
  </w:style>
  <w:style w:type="paragraph" w:customStyle="1" w:styleId="Listavistosa-nfasis11">
    <w:name w:val="Lista vistosa - Énfasis 11"/>
    <w:basedOn w:val="Normal"/>
    <w:link w:val="Listavistosa-nfasis1Car"/>
    <w:uiPriority w:val="34"/>
    <w:qFormat/>
    <w:rsid w:val="00EA55FA"/>
    <w:pPr>
      <w:overflowPunct w:val="0"/>
      <w:autoSpaceDE w:val="0"/>
      <w:autoSpaceDN w:val="0"/>
      <w:adjustRightInd w:val="0"/>
      <w:spacing w:before="0" w:after="0"/>
      <w:ind w:left="708"/>
      <w:textAlignment w:val="baseline"/>
    </w:pPr>
    <w:rPr>
      <w:rFonts w:ascii="Times New Roman" w:eastAsia="Times New Roman" w:hAnsi="Times New Roman" w:cs="Times New Roman"/>
      <w:sz w:val="20"/>
      <w:szCs w:val="20"/>
      <w:lang w:eastAsia="es-ES"/>
    </w:rPr>
  </w:style>
  <w:style w:type="character" w:customStyle="1" w:styleId="Listavistosa-nfasis1Car">
    <w:name w:val="Lista vistosa - Énfasis 1 Car"/>
    <w:link w:val="Listavistosa-nfasis11"/>
    <w:uiPriority w:val="34"/>
    <w:locked/>
    <w:rsid w:val="005D37EA"/>
    <w:rPr>
      <w:rFonts w:ascii="Times New Roman" w:eastAsia="Times New Roman" w:hAnsi="Times New Roman" w:cs="Times New Roman"/>
      <w:sz w:val="20"/>
      <w:szCs w:val="20"/>
      <w:lang w:eastAsia="es-ES"/>
    </w:rPr>
  </w:style>
  <w:style w:type="character" w:styleId="Refdecomentario">
    <w:name w:val="annotation reference"/>
    <w:basedOn w:val="Fuentedeprrafopredeter"/>
    <w:uiPriority w:val="99"/>
    <w:semiHidden/>
    <w:unhideWhenUsed/>
    <w:rsid w:val="004A25CE"/>
    <w:rPr>
      <w:sz w:val="16"/>
      <w:szCs w:val="16"/>
    </w:rPr>
  </w:style>
  <w:style w:type="paragraph" w:styleId="Textocomentario">
    <w:name w:val="annotation text"/>
    <w:basedOn w:val="Normal"/>
    <w:link w:val="TextocomentarioCar"/>
    <w:uiPriority w:val="99"/>
    <w:unhideWhenUsed/>
    <w:rsid w:val="004A25CE"/>
    <w:rPr>
      <w:sz w:val="20"/>
      <w:szCs w:val="20"/>
    </w:rPr>
  </w:style>
  <w:style w:type="character" w:customStyle="1" w:styleId="TextocomentarioCar">
    <w:name w:val="Texto comentario Car"/>
    <w:basedOn w:val="Fuentedeprrafopredeter"/>
    <w:link w:val="Textocomentario"/>
    <w:uiPriority w:val="99"/>
    <w:rsid w:val="004A25CE"/>
    <w:rPr>
      <w:sz w:val="20"/>
      <w:szCs w:val="20"/>
    </w:rPr>
  </w:style>
  <w:style w:type="paragraph" w:styleId="Asuntodelcomentario">
    <w:name w:val="annotation subject"/>
    <w:basedOn w:val="Textocomentario"/>
    <w:next w:val="Textocomentario"/>
    <w:link w:val="AsuntodelcomentarioCar"/>
    <w:uiPriority w:val="99"/>
    <w:semiHidden/>
    <w:unhideWhenUsed/>
    <w:rsid w:val="004A25CE"/>
    <w:rPr>
      <w:b/>
      <w:bCs/>
    </w:rPr>
  </w:style>
  <w:style w:type="character" w:customStyle="1" w:styleId="AsuntodelcomentarioCar">
    <w:name w:val="Asunto del comentario Car"/>
    <w:basedOn w:val="TextocomentarioCar"/>
    <w:link w:val="Asuntodelcomentario"/>
    <w:uiPriority w:val="99"/>
    <w:semiHidden/>
    <w:rsid w:val="004A25CE"/>
    <w:rPr>
      <w:b/>
      <w:bCs/>
      <w:sz w:val="20"/>
      <w:szCs w:val="20"/>
    </w:rPr>
  </w:style>
  <w:style w:type="paragraph" w:styleId="Revisin">
    <w:name w:val="Revision"/>
    <w:hidden/>
    <w:uiPriority w:val="99"/>
    <w:semiHidden/>
    <w:rsid w:val="004A25CE"/>
    <w:pPr>
      <w:spacing w:after="0" w:line="240" w:lineRule="auto"/>
    </w:pPr>
  </w:style>
  <w:style w:type="paragraph" w:styleId="Tabladeilustraciones">
    <w:name w:val="table of figures"/>
    <w:basedOn w:val="Normal"/>
    <w:next w:val="Normal"/>
    <w:uiPriority w:val="99"/>
    <w:unhideWhenUsed/>
    <w:rsid w:val="00383AF6"/>
    <w:pPr>
      <w:spacing w:after="0"/>
    </w:pPr>
  </w:style>
  <w:style w:type="character" w:styleId="nfasis">
    <w:name w:val="Emphasis"/>
    <w:basedOn w:val="Fuentedeprrafopredeter"/>
    <w:uiPriority w:val="20"/>
    <w:qFormat/>
    <w:rsid w:val="00C502B0"/>
    <w:rPr>
      <w:i/>
      <w:iCs/>
    </w:rPr>
  </w:style>
  <w:style w:type="paragraph" w:customStyle="1" w:styleId="Default">
    <w:name w:val="Default"/>
    <w:rsid w:val="00166C33"/>
    <w:pPr>
      <w:autoSpaceDE w:val="0"/>
      <w:autoSpaceDN w:val="0"/>
      <w:adjustRightInd w:val="0"/>
      <w:spacing w:after="0" w:line="240" w:lineRule="auto"/>
    </w:pPr>
    <w:rPr>
      <w:rFonts w:ascii="Tahoma" w:hAnsi="Tahoma" w:cs="Tahoma"/>
      <w:color w:val="000000"/>
      <w:sz w:val="24"/>
      <w:szCs w:val="24"/>
    </w:rPr>
  </w:style>
  <w:style w:type="character" w:customStyle="1" w:styleId="ROMANOSCar">
    <w:name w:val="ROMANOS Car"/>
    <w:link w:val="ROMANOS"/>
    <w:locked/>
    <w:rsid w:val="00654022"/>
    <w:rPr>
      <w:rFonts w:ascii="Arial" w:eastAsia="Times New Roman" w:hAnsi="Arial" w:cs="Arial"/>
      <w:sz w:val="18"/>
      <w:szCs w:val="18"/>
      <w:lang w:val="es-ES" w:eastAsia="es-ES"/>
    </w:rPr>
  </w:style>
  <w:style w:type="paragraph" w:customStyle="1" w:styleId="ROMANOS">
    <w:name w:val="ROMANOS"/>
    <w:basedOn w:val="Normal"/>
    <w:link w:val="ROMANOSCar"/>
    <w:rsid w:val="00654022"/>
    <w:pPr>
      <w:tabs>
        <w:tab w:val="left" w:pos="720"/>
      </w:tabs>
      <w:spacing w:before="0" w:after="101" w:line="216" w:lineRule="exact"/>
      <w:ind w:left="720" w:hanging="432"/>
    </w:pPr>
    <w:rPr>
      <w:rFonts w:ascii="Arial" w:eastAsia="Times New Roman" w:hAnsi="Arial" w:cs="Arial"/>
      <w:sz w:val="18"/>
      <w:szCs w:val="18"/>
      <w:lang w:val="es-ES" w:eastAsia="es-ES"/>
    </w:rPr>
  </w:style>
  <w:style w:type="character" w:styleId="Hipervnculovisitado">
    <w:name w:val="FollowedHyperlink"/>
    <w:basedOn w:val="Fuentedeprrafopredeter"/>
    <w:uiPriority w:val="99"/>
    <w:semiHidden/>
    <w:unhideWhenUsed/>
    <w:rsid w:val="00957627"/>
    <w:rPr>
      <w:color w:val="954F72" w:themeColor="followedHyperlink"/>
      <w:u w:val="single"/>
    </w:rPr>
  </w:style>
  <w:style w:type="paragraph" w:styleId="Textonotaalfinal">
    <w:name w:val="endnote text"/>
    <w:basedOn w:val="Normal"/>
    <w:link w:val="TextonotaalfinalCar"/>
    <w:uiPriority w:val="99"/>
    <w:semiHidden/>
    <w:unhideWhenUsed/>
    <w:rsid w:val="00141763"/>
    <w:pPr>
      <w:spacing w:before="0" w:after="0"/>
    </w:pPr>
    <w:rPr>
      <w:sz w:val="20"/>
      <w:szCs w:val="20"/>
    </w:rPr>
  </w:style>
  <w:style w:type="character" w:customStyle="1" w:styleId="TextonotaalfinalCar">
    <w:name w:val="Texto nota al final Car"/>
    <w:basedOn w:val="Fuentedeprrafopredeter"/>
    <w:link w:val="Textonotaalfinal"/>
    <w:uiPriority w:val="99"/>
    <w:semiHidden/>
    <w:rsid w:val="00141763"/>
    <w:rPr>
      <w:sz w:val="20"/>
      <w:szCs w:val="20"/>
    </w:rPr>
  </w:style>
  <w:style w:type="character" w:styleId="Refdenotaalfinal">
    <w:name w:val="endnote reference"/>
    <w:basedOn w:val="Fuentedeprrafopredeter"/>
    <w:uiPriority w:val="99"/>
    <w:semiHidden/>
    <w:unhideWhenUsed/>
    <w:rsid w:val="00141763"/>
    <w:rPr>
      <w:vertAlign w:val="superscript"/>
    </w:rPr>
  </w:style>
  <w:style w:type="paragraph" w:customStyle="1" w:styleId="Texto">
    <w:name w:val="Texto"/>
    <w:basedOn w:val="Normal"/>
    <w:link w:val="TextoCar"/>
    <w:rsid w:val="000168E6"/>
    <w:pPr>
      <w:spacing w:before="0" w:after="101" w:line="216" w:lineRule="exact"/>
      <w:ind w:firstLine="288"/>
    </w:pPr>
    <w:rPr>
      <w:rFonts w:ascii="Arial" w:eastAsia="Times New Roman" w:hAnsi="Arial" w:cs="Arial"/>
      <w:sz w:val="18"/>
      <w:szCs w:val="20"/>
      <w:lang w:val="es-ES" w:eastAsia="es-ES"/>
    </w:rPr>
  </w:style>
  <w:style w:type="character" w:customStyle="1" w:styleId="TextoCar">
    <w:name w:val="Texto Car"/>
    <w:link w:val="Texto"/>
    <w:locked/>
    <w:rsid w:val="000168E6"/>
    <w:rPr>
      <w:rFonts w:ascii="Arial" w:eastAsia="Times New Roman" w:hAnsi="Arial" w:cs="Arial"/>
      <w:sz w:val="18"/>
      <w:szCs w:val="20"/>
      <w:lang w:val="es-ES" w:eastAsia="es-ES"/>
    </w:rPr>
  </w:style>
  <w:style w:type="character" w:customStyle="1" w:styleId="Mencinsinresolver1">
    <w:name w:val="Mención sin resolver1"/>
    <w:basedOn w:val="Fuentedeprrafopredeter"/>
    <w:uiPriority w:val="99"/>
    <w:semiHidden/>
    <w:unhideWhenUsed/>
    <w:rsid w:val="006D5701"/>
    <w:rPr>
      <w:color w:val="808080"/>
      <w:shd w:val="clear" w:color="auto" w:fill="E6E6E6"/>
    </w:rPr>
  </w:style>
  <w:style w:type="paragraph" w:styleId="Sinespaciado">
    <w:name w:val="No Spacing"/>
    <w:uiPriority w:val="1"/>
    <w:qFormat/>
    <w:rsid w:val="001D19FD"/>
    <w:pPr>
      <w:spacing w:after="0" w:line="240" w:lineRule="auto"/>
    </w:pPr>
  </w:style>
  <w:style w:type="table" w:styleId="Tablaconcuadrcula1clara-nfasis6">
    <w:name w:val="Grid Table 1 Light Accent 6"/>
    <w:basedOn w:val="Tablanormal"/>
    <w:uiPriority w:val="46"/>
    <w:rsid w:val="006C43F9"/>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Tablaconcuadrcula4-nfasis3">
    <w:name w:val="Grid Table 4 Accent 3"/>
    <w:basedOn w:val="Tablanormal"/>
    <w:uiPriority w:val="49"/>
    <w:rsid w:val="006C43F9"/>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Textoindependiente">
    <w:name w:val="Body Text"/>
    <w:basedOn w:val="Normal"/>
    <w:link w:val="TextoindependienteCar"/>
    <w:uiPriority w:val="1"/>
    <w:qFormat/>
    <w:rsid w:val="0083190E"/>
    <w:pPr>
      <w:widowControl w:val="0"/>
      <w:autoSpaceDE w:val="0"/>
      <w:autoSpaceDN w:val="0"/>
      <w:spacing w:before="0" w:after="0"/>
      <w:jc w:val="left"/>
    </w:pPr>
    <w:rPr>
      <w:rFonts w:ascii="Arial" w:eastAsia="Arial" w:hAnsi="Arial" w:cs="Arial"/>
      <w:sz w:val="24"/>
      <w:szCs w:val="24"/>
      <w:lang w:val="es-ES" w:eastAsia="es-ES" w:bidi="es-ES"/>
    </w:rPr>
  </w:style>
  <w:style w:type="character" w:customStyle="1" w:styleId="TextoindependienteCar">
    <w:name w:val="Texto independiente Car"/>
    <w:basedOn w:val="Fuentedeprrafopredeter"/>
    <w:link w:val="Textoindependiente"/>
    <w:uiPriority w:val="1"/>
    <w:rsid w:val="0083190E"/>
    <w:rPr>
      <w:rFonts w:ascii="Arial" w:eastAsia="Arial" w:hAnsi="Arial" w:cs="Arial"/>
      <w:sz w:val="24"/>
      <w:szCs w:val="24"/>
      <w:lang w:val="es-ES" w:eastAsia="es-ES" w:bidi="es-ES"/>
    </w:rPr>
  </w:style>
  <w:style w:type="paragraph" w:customStyle="1" w:styleId="TableParagraph">
    <w:name w:val="Table Paragraph"/>
    <w:basedOn w:val="Normal"/>
    <w:uiPriority w:val="1"/>
    <w:qFormat/>
    <w:rsid w:val="00AA1610"/>
    <w:pPr>
      <w:widowControl w:val="0"/>
      <w:autoSpaceDE w:val="0"/>
      <w:autoSpaceDN w:val="0"/>
      <w:spacing w:before="0" w:after="0"/>
      <w:jc w:val="left"/>
    </w:pPr>
    <w:rPr>
      <w:rFonts w:ascii="Calibri" w:eastAsia="Calibri" w:hAnsi="Calibri" w:cs="Calibri"/>
      <w:lang w:val="es-ES" w:eastAsia="es-ES" w:bidi="es-ES"/>
    </w:rPr>
  </w:style>
  <w:style w:type="table" w:customStyle="1" w:styleId="Tablaconcuadrcula1">
    <w:name w:val="Tabla con cuadrícula1"/>
    <w:basedOn w:val="Tablanormal"/>
    <w:next w:val="Tablaconcuadrcula"/>
    <w:uiPriority w:val="59"/>
    <w:rsid w:val="006302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3312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erenciasutil">
    <w:name w:val="Subtle Reference"/>
    <w:basedOn w:val="Fuentedeprrafopredeter"/>
    <w:uiPriority w:val="31"/>
    <w:qFormat/>
    <w:rsid w:val="00322B6F"/>
    <w:rPr>
      <w:rFonts w:ascii="Calibri" w:hAnsi="Calibri"/>
      <w:caps w:val="0"/>
      <w:smallCaps w:val="0"/>
      <w:color w:val="000000" w:themeColor="text1"/>
      <w:sz w:val="18"/>
    </w:rPr>
  </w:style>
  <w:style w:type="table" w:customStyle="1" w:styleId="Tablaconcuadrcula3">
    <w:name w:val="Tabla con cuadrícula3"/>
    <w:basedOn w:val="Tablanormal"/>
    <w:next w:val="Tablaconcuadrcula"/>
    <w:uiPriority w:val="59"/>
    <w:rsid w:val="00FC44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a">
    <w:name w:val="Figura"/>
    <w:basedOn w:val="Normal"/>
    <w:link w:val="FiguraCar"/>
    <w:qFormat/>
    <w:rsid w:val="00EB56AB"/>
    <w:pPr>
      <w:jc w:val="center"/>
    </w:pPr>
    <w:rPr>
      <w:b/>
    </w:rPr>
  </w:style>
  <w:style w:type="character" w:customStyle="1" w:styleId="FiguraCar">
    <w:name w:val="Figura Car"/>
    <w:basedOn w:val="Fuentedeprrafopredeter"/>
    <w:link w:val="Figura"/>
    <w:rsid w:val="00EB56AB"/>
    <w:rPr>
      <w:b/>
    </w:rPr>
  </w:style>
  <w:style w:type="paragraph" w:customStyle="1" w:styleId="Cuadro">
    <w:name w:val="Cuadro"/>
    <w:basedOn w:val="Normal"/>
    <w:link w:val="CuadroCar"/>
    <w:qFormat/>
    <w:rsid w:val="001A1538"/>
    <w:pPr>
      <w:jc w:val="center"/>
    </w:pPr>
    <w:rPr>
      <w:b/>
    </w:rPr>
  </w:style>
  <w:style w:type="character" w:customStyle="1" w:styleId="CuadroCar">
    <w:name w:val="Cuadro Car"/>
    <w:basedOn w:val="Fuentedeprrafopredeter"/>
    <w:link w:val="Cuadro"/>
    <w:rsid w:val="001A1538"/>
    <w:rPr>
      <w:b/>
    </w:rPr>
  </w:style>
  <w:style w:type="table" w:customStyle="1" w:styleId="Sombreadoclaro-nfasis51">
    <w:name w:val="Sombreado claro - Énfasis 51"/>
    <w:basedOn w:val="Tablanormal"/>
    <w:next w:val="Sombreadoclaro-nfasis5"/>
    <w:uiPriority w:val="60"/>
    <w:rsid w:val="00DD43C1"/>
    <w:pPr>
      <w:spacing w:after="0" w:line="240" w:lineRule="auto"/>
    </w:pPr>
    <w:rPr>
      <w:rFonts w:ascii="Calibri" w:eastAsia="Times" w:hAnsi="Calibri" w:cs="Calibri"/>
      <w:color w:val="31849B"/>
      <w:sz w:val="20"/>
      <w:szCs w:val="20"/>
      <w:lang w:eastAsia="es-ES_tradnl"/>
    </w:rPr>
    <w:tblPr>
      <w:tblStyleRowBandSize w:val="1"/>
      <w:tblStyleColBandSize w:val="1"/>
      <w:tblBorders>
        <w:top w:val="single" w:sz="8" w:space="0" w:color="4BACC6"/>
        <w:bottom w:val="single" w:sz="8" w:space="0" w:color="4BACC6"/>
      </w:tblBorders>
    </w:tblPr>
    <w:tblStylePr w:type="firstRow">
      <w:pPr>
        <w:spacing w:before="0" w:after="0"/>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customStyle="1" w:styleId="Pa2">
    <w:name w:val="Pa2"/>
    <w:basedOn w:val="Default"/>
    <w:next w:val="Default"/>
    <w:uiPriority w:val="99"/>
    <w:rsid w:val="00062D3F"/>
    <w:pPr>
      <w:spacing w:line="241" w:lineRule="atLeast"/>
    </w:pPr>
    <w:rPr>
      <w:rFonts w:ascii="Arial" w:hAnsi="Arial" w:cs="Arial"/>
      <w:color w:val="auto"/>
    </w:rPr>
  </w:style>
  <w:style w:type="paragraph" w:customStyle="1" w:styleId="Anexos">
    <w:name w:val="Anexos"/>
    <w:basedOn w:val="Ttulo2"/>
    <w:qFormat/>
    <w:rsid w:val="00560B49"/>
    <w:pPr>
      <w:spacing w:after="360"/>
      <w:jc w:val="center"/>
    </w:pPr>
    <w:rPr>
      <w:bCs/>
      <w:sz w:val="22"/>
    </w:rPr>
  </w:style>
  <w:style w:type="paragraph" w:customStyle="1" w:styleId="Pregunta">
    <w:name w:val="Pregunta"/>
    <w:basedOn w:val="Normal"/>
    <w:qFormat/>
    <w:rsid w:val="00997712"/>
    <w:pPr>
      <w:spacing w:before="0" w:after="0"/>
    </w:pPr>
    <w:rPr>
      <w:rFonts w:cstheme="minorHAnsi"/>
      <w:b/>
    </w:rPr>
  </w:style>
  <w:style w:type="table" w:customStyle="1" w:styleId="Tablaconcuadrcula4">
    <w:name w:val="Tabla con cuadrícula4"/>
    <w:basedOn w:val="Tablanormal"/>
    <w:next w:val="Tablaconcuadrcula"/>
    <w:uiPriority w:val="59"/>
    <w:rsid w:val="00250D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uestio">
    <w:name w:val="Cuestio"/>
    <w:basedOn w:val="Normal"/>
    <w:link w:val="CuestioChar"/>
    <w:qFormat/>
    <w:rsid w:val="00DE086C"/>
    <w:pPr>
      <w:snapToGrid w:val="0"/>
      <w:spacing w:before="0" w:after="0"/>
      <w:jc w:val="right"/>
    </w:pPr>
    <w:rPr>
      <w:rFonts w:ascii="Arial" w:eastAsia="Arial" w:hAnsi="Arial" w:cs="Arial"/>
      <w:sz w:val="14"/>
      <w:szCs w:val="16"/>
      <w:lang w:eastAsia="ja-JP"/>
    </w:rPr>
  </w:style>
  <w:style w:type="character" w:customStyle="1" w:styleId="CuestioChar">
    <w:name w:val="Cuestio Char"/>
    <w:basedOn w:val="Fuentedeprrafopredeter"/>
    <w:link w:val="Cuestio"/>
    <w:rsid w:val="00DE086C"/>
    <w:rPr>
      <w:rFonts w:ascii="Arial" w:eastAsia="Arial" w:hAnsi="Arial" w:cs="Arial"/>
      <w:sz w:val="14"/>
      <w:szCs w:val="16"/>
      <w:lang w:eastAsia="ja-JP"/>
    </w:rPr>
  </w:style>
  <w:style w:type="table" w:customStyle="1" w:styleId="Tablaconcuadrcula5">
    <w:name w:val="Tabla con cuadrícula5"/>
    <w:basedOn w:val="Tablanormal"/>
    <w:next w:val="Tablaconcuadrcula"/>
    <w:uiPriority w:val="39"/>
    <w:rsid w:val="00563A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next w:val="Tablaconcuadrcula"/>
    <w:uiPriority w:val="59"/>
    <w:rsid w:val="00563A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rteelement-parrafo">
    <w:name w:val="ms-rteelement-parrafo"/>
    <w:basedOn w:val="Normal"/>
    <w:rsid w:val="00B37566"/>
    <w:pPr>
      <w:spacing w:before="100" w:beforeAutospacing="1" w:after="100" w:afterAutospacing="1"/>
      <w:jc w:val="left"/>
    </w:pPr>
    <w:rPr>
      <w:rFonts w:ascii="Times New Roman" w:eastAsia="Times New Roman" w:hAnsi="Times New Roman" w:cs="Times New Roman"/>
      <w:sz w:val="24"/>
      <w:szCs w:val="24"/>
      <w:lang w:eastAsia="es-MX"/>
    </w:rPr>
  </w:style>
  <w:style w:type="paragraph" w:customStyle="1" w:styleId="Pa10">
    <w:name w:val="Pa10"/>
    <w:basedOn w:val="Default"/>
    <w:next w:val="Default"/>
    <w:uiPriority w:val="99"/>
    <w:rsid w:val="005B3F28"/>
    <w:pPr>
      <w:spacing w:line="201" w:lineRule="atLeast"/>
    </w:pPr>
    <w:rPr>
      <w:rFonts w:ascii="Arial" w:hAnsi="Arial" w:cs="Arial"/>
      <w:color w:val="auto"/>
    </w:rPr>
  </w:style>
  <w:style w:type="character" w:customStyle="1" w:styleId="A10">
    <w:name w:val="A10"/>
    <w:uiPriority w:val="99"/>
    <w:rsid w:val="001C3E9A"/>
    <w:rPr>
      <w:color w:val="000000"/>
      <w:sz w:val="16"/>
      <w:szCs w:val="16"/>
    </w:rPr>
  </w:style>
  <w:style w:type="character" w:customStyle="1" w:styleId="Referenciasutil1">
    <w:name w:val="Referencia sutil1"/>
    <w:basedOn w:val="Fuentedeprrafopredeter"/>
    <w:uiPriority w:val="31"/>
    <w:qFormat/>
    <w:rsid w:val="009A1A69"/>
    <w:rPr>
      <w:rFonts w:ascii="Calibri" w:hAnsi="Calibri"/>
      <w:caps w:val="0"/>
      <w:smallCaps w:val="0"/>
      <w:color w:val="000000" w:themeColor="text1"/>
      <w:sz w:val="18"/>
    </w:rPr>
  </w:style>
  <w:style w:type="paragraph" w:customStyle="1" w:styleId="Fuente">
    <w:name w:val="Fuente"/>
    <w:basedOn w:val="Normal"/>
    <w:link w:val="FuenteCar"/>
    <w:qFormat/>
    <w:rsid w:val="002A2C36"/>
    <w:pPr>
      <w:spacing w:before="60"/>
    </w:pPr>
    <w:rPr>
      <w:sz w:val="18"/>
      <w:szCs w:val="18"/>
    </w:rPr>
  </w:style>
  <w:style w:type="character" w:customStyle="1" w:styleId="FuenteCar">
    <w:name w:val="Fuente Car"/>
    <w:basedOn w:val="Fuentedeprrafopredeter"/>
    <w:link w:val="Fuente"/>
    <w:rsid w:val="00914ACE"/>
    <w:rPr>
      <w:sz w:val="18"/>
      <w:szCs w:val="18"/>
    </w:rPr>
  </w:style>
  <w:style w:type="table" w:customStyle="1" w:styleId="Tablaconcuadrcula7">
    <w:name w:val="Tabla con cuadrícula7"/>
    <w:basedOn w:val="Tablanormal"/>
    <w:next w:val="Tablaconcuadrcula"/>
    <w:uiPriority w:val="59"/>
    <w:rsid w:val="000538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TDC">
    <w:name w:val="TOC Heading"/>
    <w:basedOn w:val="Ttulo1"/>
    <w:next w:val="Normal"/>
    <w:uiPriority w:val="39"/>
    <w:unhideWhenUsed/>
    <w:qFormat/>
    <w:rsid w:val="004A2BED"/>
    <w:pPr>
      <w:keepNext/>
      <w:keepLines/>
      <w:spacing w:before="240" w:after="0" w:line="259" w:lineRule="auto"/>
      <w:jc w:val="left"/>
      <w:outlineLvl w:val="9"/>
    </w:pPr>
    <w:rPr>
      <w:rFonts w:asciiTheme="majorHAnsi" w:eastAsiaTheme="majorEastAsia" w:hAnsiTheme="majorHAnsi" w:cstheme="majorBidi"/>
      <w:b w:val="0"/>
      <w:color w:val="2E74B5" w:themeColor="accent1" w:themeShade="BF"/>
      <w:lang w:val="en-US"/>
    </w:rPr>
  </w:style>
  <w:style w:type="character" w:customStyle="1" w:styleId="normaltextrun">
    <w:name w:val="normaltextrun"/>
    <w:basedOn w:val="Fuentedeprrafopredeter"/>
    <w:rsid w:val="00987184"/>
  </w:style>
  <w:style w:type="character" w:customStyle="1" w:styleId="eop">
    <w:name w:val="eop"/>
    <w:basedOn w:val="Fuentedeprrafopredeter"/>
    <w:rsid w:val="00987184"/>
  </w:style>
  <w:style w:type="character" w:customStyle="1" w:styleId="acopre">
    <w:name w:val="acopre"/>
    <w:basedOn w:val="Fuentedeprrafopredeter"/>
    <w:rsid w:val="00D223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3773">
      <w:bodyDiv w:val="1"/>
      <w:marLeft w:val="0"/>
      <w:marRight w:val="0"/>
      <w:marTop w:val="0"/>
      <w:marBottom w:val="0"/>
      <w:divBdr>
        <w:top w:val="none" w:sz="0" w:space="0" w:color="auto"/>
        <w:left w:val="none" w:sz="0" w:space="0" w:color="auto"/>
        <w:bottom w:val="none" w:sz="0" w:space="0" w:color="auto"/>
        <w:right w:val="none" w:sz="0" w:space="0" w:color="auto"/>
      </w:divBdr>
    </w:div>
    <w:div w:id="1785387">
      <w:bodyDiv w:val="1"/>
      <w:marLeft w:val="0"/>
      <w:marRight w:val="0"/>
      <w:marTop w:val="0"/>
      <w:marBottom w:val="0"/>
      <w:divBdr>
        <w:top w:val="none" w:sz="0" w:space="0" w:color="auto"/>
        <w:left w:val="none" w:sz="0" w:space="0" w:color="auto"/>
        <w:bottom w:val="none" w:sz="0" w:space="0" w:color="auto"/>
        <w:right w:val="none" w:sz="0" w:space="0" w:color="auto"/>
      </w:divBdr>
    </w:div>
    <w:div w:id="15275575">
      <w:bodyDiv w:val="1"/>
      <w:marLeft w:val="0"/>
      <w:marRight w:val="0"/>
      <w:marTop w:val="0"/>
      <w:marBottom w:val="0"/>
      <w:divBdr>
        <w:top w:val="none" w:sz="0" w:space="0" w:color="auto"/>
        <w:left w:val="none" w:sz="0" w:space="0" w:color="auto"/>
        <w:bottom w:val="none" w:sz="0" w:space="0" w:color="auto"/>
        <w:right w:val="none" w:sz="0" w:space="0" w:color="auto"/>
      </w:divBdr>
    </w:div>
    <w:div w:id="20937170">
      <w:bodyDiv w:val="1"/>
      <w:marLeft w:val="0"/>
      <w:marRight w:val="0"/>
      <w:marTop w:val="0"/>
      <w:marBottom w:val="0"/>
      <w:divBdr>
        <w:top w:val="none" w:sz="0" w:space="0" w:color="auto"/>
        <w:left w:val="none" w:sz="0" w:space="0" w:color="auto"/>
        <w:bottom w:val="none" w:sz="0" w:space="0" w:color="auto"/>
        <w:right w:val="none" w:sz="0" w:space="0" w:color="auto"/>
      </w:divBdr>
    </w:div>
    <w:div w:id="21592380">
      <w:bodyDiv w:val="1"/>
      <w:marLeft w:val="0"/>
      <w:marRight w:val="0"/>
      <w:marTop w:val="0"/>
      <w:marBottom w:val="0"/>
      <w:divBdr>
        <w:top w:val="none" w:sz="0" w:space="0" w:color="auto"/>
        <w:left w:val="none" w:sz="0" w:space="0" w:color="auto"/>
        <w:bottom w:val="none" w:sz="0" w:space="0" w:color="auto"/>
        <w:right w:val="none" w:sz="0" w:space="0" w:color="auto"/>
      </w:divBdr>
    </w:div>
    <w:div w:id="22901254">
      <w:bodyDiv w:val="1"/>
      <w:marLeft w:val="0"/>
      <w:marRight w:val="0"/>
      <w:marTop w:val="0"/>
      <w:marBottom w:val="0"/>
      <w:divBdr>
        <w:top w:val="none" w:sz="0" w:space="0" w:color="auto"/>
        <w:left w:val="none" w:sz="0" w:space="0" w:color="auto"/>
        <w:bottom w:val="none" w:sz="0" w:space="0" w:color="auto"/>
        <w:right w:val="none" w:sz="0" w:space="0" w:color="auto"/>
      </w:divBdr>
    </w:div>
    <w:div w:id="23990960">
      <w:bodyDiv w:val="1"/>
      <w:marLeft w:val="0"/>
      <w:marRight w:val="0"/>
      <w:marTop w:val="0"/>
      <w:marBottom w:val="0"/>
      <w:divBdr>
        <w:top w:val="none" w:sz="0" w:space="0" w:color="auto"/>
        <w:left w:val="none" w:sz="0" w:space="0" w:color="auto"/>
        <w:bottom w:val="none" w:sz="0" w:space="0" w:color="auto"/>
        <w:right w:val="none" w:sz="0" w:space="0" w:color="auto"/>
      </w:divBdr>
    </w:div>
    <w:div w:id="44764033">
      <w:bodyDiv w:val="1"/>
      <w:marLeft w:val="0"/>
      <w:marRight w:val="0"/>
      <w:marTop w:val="0"/>
      <w:marBottom w:val="0"/>
      <w:divBdr>
        <w:top w:val="none" w:sz="0" w:space="0" w:color="auto"/>
        <w:left w:val="none" w:sz="0" w:space="0" w:color="auto"/>
        <w:bottom w:val="none" w:sz="0" w:space="0" w:color="auto"/>
        <w:right w:val="none" w:sz="0" w:space="0" w:color="auto"/>
      </w:divBdr>
    </w:div>
    <w:div w:id="64036303">
      <w:bodyDiv w:val="1"/>
      <w:marLeft w:val="0"/>
      <w:marRight w:val="0"/>
      <w:marTop w:val="0"/>
      <w:marBottom w:val="0"/>
      <w:divBdr>
        <w:top w:val="none" w:sz="0" w:space="0" w:color="auto"/>
        <w:left w:val="none" w:sz="0" w:space="0" w:color="auto"/>
        <w:bottom w:val="none" w:sz="0" w:space="0" w:color="auto"/>
        <w:right w:val="none" w:sz="0" w:space="0" w:color="auto"/>
      </w:divBdr>
    </w:div>
    <w:div w:id="66192439">
      <w:bodyDiv w:val="1"/>
      <w:marLeft w:val="0"/>
      <w:marRight w:val="0"/>
      <w:marTop w:val="0"/>
      <w:marBottom w:val="0"/>
      <w:divBdr>
        <w:top w:val="none" w:sz="0" w:space="0" w:color="auto"/>
        <w:left w:val="none" w:sz="0" w:space="0" w:color="auto"/>
        <w:bottom w:val="none" w:sz="0" w:space="0" w:color="auto"/>
        <w:right w:val="none" w:sz="0" w:space="0" w:color="auto"/>
      </w:divBdr>
    </w:div>
    <w:div w:id="75127010">
      <w:bodyDiv w:val="1"/>
      <w:marLeft w:val="0"/>
      <w:marRight w:val="0"/>
      <w:marTop w:val="0"/>
      <w:marBottom w:val="0"/>
      <w:divBdr>
        <w:top w:val="none" w:sz="0" w:space="0" w:color="auto"/>
        <w:left w:val="none" w:sz="0" w:space="0" w:color="auto"/>
        <w:bottom w:val="none" w:sz="0" w:space="0" w:color="auto"/>
        <w:right w:val="none" w:sz="0" w:space="0" w:color="auto"/>
      </w:divBdr>
    </w:div>
    <w:div w:id="80376731">
      <w:bodyDiv w:val="1"/>
      <w:marLeft w:val="0"/>
      <w:marRight w:val="0"/>
      <w:marTop w:val="0"/>
      <w:marBottom w:val="0"/>
      <w:divBdr>
        <w:top w:val="none" w:sz="0" w:space="0" w:color="auto"/>
        <w:left w:val="none" w:sz="0" w:space="0" w:color="auto"/>
        <w:bottom w:val="none" w:sz="0" w:space="0" w:color="auto"/>
        <w:right w:val="none" w:sz="0" w:space="0" w:color="auto"/>
      </w:divBdr>
    </w:div>
    <w:div w:id="81344380">
      <w:bodyDiv w:val="1"/>
      <w:marLeft w:val="0"/>
      <w:marRight w:val="0"/>
      <w:marTop w:val="0"/>
      <w:marBottom w:val="0"/>
      <w:divBdr>
        <w:top w:val="none" w:sz="0" w:space="0" w:color="auto"/>
        <w:left w:val="none" w:sz="0" w:space="0" w:color="auto"/>
        <w:bottom w:val="none" w:sz="0" w:space="0" w:color="auto"/>
        <w:right w:val="none" w:sz="0" w:space="0" w:color="auto"/>
      </w:divBdr>
      <w:divsChild>
        <w:div w:id="769276709">
          <w:marLeft w:val="0"/>
          <w:marRight w:val="0"/>
          <w:marTop w:val="0"/>
          <w:marBottom w:val="0"/>
          <w:divBdr>
            <w:top w:val="none" w:sz="0" w:space="0" w:color="auto"/>
            <w:left w:val="none" w:sz="0" w:space="0" w:color="auto"/>
            <w:bottom w:val="none" w:sz="0" w:space="0" w:color="auto"/>
            <w:right w:val="none" w:sz="0" w:space="0" w:color="auto"/>
          </w:divBdr>
        </w:div>
      </w:divsChild>
    </w:div>
    <w:div w:id="90589299">
      <w:bodyDiv w:val="1"/>
      <w:marLeft w:val="0"/>
      <w:marRight w:val="0"/>
      <w:marTop w:val="0"/>
      <w:marBottom w:val="0"/>
      <w:divBdr>
        <w:top w:val="none" w:sz="0" w:space="0" w:color="auto"/>
        <w:left w:val="none" w:sz="0" w:space="0" w:color="auto"/>
        <w:bottom w:val="none" w:sz="0" w:space="0" w:color="auto"/>
        <w:right w:val="none" w:sz="0" w:space="0" w:color="auto"/>
      </w:divBdr>
    </w:div>
    <w:div w:id="101148946">
      <w:bodyDiv w:val="1"/>
      <w:marLeft w:val="0"/>
      <w:marRight w:val="0"/>
      <w:marTop w:val="0"/>
      <w:marBottom w:val="0"/>
      <w:divBdr>
        <w:top w:val="none" w:sz="0" w:space="0" w:color="auto"/>
        <w:left w:val="none" w:sz="0" w:space="0" w:color="auto"/>
        <w:bottom w:val="none" w:sz="0" w:space="0" w:color="auto"/>
        <w:right w:val="none" w:sz="0" w:space="0" w:color="auto"/>
      </w:divBdr>
    </w:div>
    <w:div w:id="104739110">
      <w:bodyDiv w:val="1"/>
      <w:marLeft w:val="0"/>
      <w:marRight w:val="0"/>
      <w:marTop w:val="0"/>
      <w:marBottom w:val="0"/>
      <w:divBdr>
        <w:top w:val="none" w:sz="0" w:space="0" w:color="auto"/>
        <w:left w:val="none" w:sz="0" w:space="0" w:color="auto"/>
        <w:bottom w:val="none" w:sz="0" w:space="0" w:color="auto"/>
        <w:right w:val="none" w:sz="0" w:space="0" w:color="auto"/>
      </w:divBdr>
    </w:div>
    <w:div w:id="116489787">
      <w:bodyDiv w:val="1"/>
      <w:marLeft w:val="0"/>
      <w:marRight w:val="0"/>
      <w:marTop w:val="0"/>
      <w:marBottom w:val="0"/>
      <w:divBdr>
        <w:top w:val="none" w:sz="0" w:space="0" w:color="auto"/>
        <w:left w:val="none" w:sz="0" w:space="0" w:color="auto"/>
        <w:bottom w:val="none" w:sz="0" w:space="0" w:color="auto"/>
        <w:right w:val="none" w:sz="0" w:space="0" w:color="auto"/>
      </w:divBdr>
      <w:divsChild>
        <w:div w:id="84037341">
          <w:marLeft w:val="547"/>
          <w:marRight w:val="0"/>
          <w:marTop w:val="0"/>
          <w:marBottom w:val="0"/>
          <w:divBdr>
            <w:top w:val="none" w:sz="0" w:space="0" w:color="auto"/>
            <w:left w:val="none" w:sz="0" w:space="0" w:color="auto"/>
            <w:bottom w:val="none" w:sz="0" w:space="0" w:color="auto"/>
            <w:right w:val="none" w:sz="0" w:space="0" w:color="auto"/>
          </w:divBdr>
        </w:div>
        <w:div w:id="185364707">
          <w:marLeft w:val="547"/>
          <w:marRight w:val="0"/>
          <w:marTop w:val="0"/>
          <w:marBottom w:val="0"/>
          <w:divBdr>
            <w:top w:val="none" w:sz="0" w:space="0" w:color="auto"/>
            <w:left w:val="none" w:sz="0" w:space="0" w:color="auto"/>
            <w:bottom w:val="none" w:sz="0" w:space="0" w:color="auto"/>
            <w:right w:val="none" w:sz="0" w:space="0" w:color="auto"/>
          </w:divBdr>
        </w:div>
        <w:div w:id="327364871">
          <w:marLeft w:val="547"/>
          <w:marRight w:val="0"/>
          <w:marTop w:val="0"/>
          <w:marBottom w:val="0"/>
          <w:divBdr>
            <w:top w:val="none" w:sz="0" w:space="0" w:color="auto"/>
            <w:left w:val="none" w:sz="0" w:space="0" w:color="auto"/>
            <w:bottom w:val="none" w:sz="0" w:space="0" w:color="auto"/>
            <w:right w:val="none" w:sz="0" w:space="0" w:color="auto"/>
          </w:divBdr>
        </w:div>
        <w:div w:id="429664618">
          <w:marLeft w:val="547"/>
          <w:marRight w:val="0"/>
          <w:marTop w:val="0"/>
          <w:marBottom w:val="0"/>
          <w:divBdr>
            <w:top w:val="none" w:sz="0" w:space="0" w:color="auto"/>
            <w:left w:val="none" w:sz="0" w:space="0" w:color="auto"/>
            <w:bottom w:val="none" w:sz="0" w:space="0" w:color="auto"/>
            <w:right w:val="none" w:sz="0" w:space="0" w:color="auto"/>
          </w:divBdr>
        </w:div>
        <w:div w:id="497185956">
          <w:marLeft w:val="547"/>
          <w:marRight w:val="0"/>
          <w:marTop w:val="0"/>
          <w:marBottom w:val="0"/>
          <w:divBdr>
            <w:top w:val="none" w:sz="0" w:space="0" w:color="auto"/>
            <w:left w:val="none" w:sz="0" w:space="0" w:color="auto"/>
            <w:bottom w:val="none" w:sz="0" w:space="0" w:color="auto"/>
            <w:right w:val="none" w:sz="0" w:space="0" w:color="auto"/>
          </w:divBdr>
        </w:div>
        <w:div w:id="575480745">
          <w:marLeft w:val="547"/>
          <w:marRight w:val="0"/>
          <w:marTop w:val="0"/>
          <w:marBottom w:val="0"/>
          <w:divBdr>
            <w:top w:val="none" w:sz="0" w:space="0" w:color="auto"/>
            <w:left w:val="none" w:sz="0" w:space="0" w:color="auto"/>
            <w:bottom w:val="none" w:sz="0" w:space="0" w:color="auto"/>
            <w:right w:val="none" w:sz="0" w:space="0" w:color="auto"/>
          </w:divBdr>
        </w:div>
        <w:div w:id="628098238">
          <w:marLeft w:val="547"/>
          <w:marRight w:val="0"/>
          <w:marTop w:val="0"/>
          <w:marBottom w:val="0"/>
          <w:divBdr>
            <w:top w:val="none" w:sz="0" w:space="0" w:color="auto"/>
            <w:left w:val="none" w:sz="0" w:space="0" w:color="auto"/>
            <w:bottom w:val="none" w:sz="0" w:space="0" w:color="auto"/>
            <w:right w:val="none" w:sz="0" w:space="0" w:color="auto"/>
          </w:divBdr>
        </w:div>
        <w:div w:id="1050542154">
          <w:marLeft w:val="547"/>
          <w:marRight w:val="0"/>
          <w:marTop w:val="0"/>
          <w:marBottom w:val="0"/>
          <w:divBdr>
            <w:top w:val="none" w:sz="0" w:space="0" w:color="auto"/>
            <w:left w:val="none" w:sz="0" w:space="0" w:color="auto"/>
            <w:bottom w:val="none" w:sz="0" w:space="0" w:color="auto"/>
            <w:right w:val="none" w:sz="0" w:space="0" w:color="auto"/>
          </w:divBdr>
        </w:div>
        <w:div w:id="1061101141">
          <w:marLeft w:val="547"/>
          <w:marRight w:val="0"/>
          <w:marTop w:val="0"/>
          <w:marBottom w:val="0"/>
          <w:divBdr>
            <w:top w:val="none" w:sz="0" w:space="0" w:color="auto"/>
            <w:left w:val="none" w:sz="0" w:space="0" w:color="auto"/>
            <w:bottom w:val="none" w:sz="0" w:space="0" w:color="auto"/>
            <w:right w:val="none" w:sz="0" w:space="0" w:color="auto"/>
          </w:divBdr>
        </w:div>
        <w:div w:id="1064527999">
          <w:marLeft w:val="547"/>
          <w:marRight w:val="0"/>
          <w:marTop w:val="0"/>
          <w:marBottom w:val="0"/>
          <w:divBdr>
            <w:top w:val="none" w:sz="0" w:space="0" w:color="auto"/>
            <w:left w:val="none" w:sz="0" w:space="0" w:color="auto"/>
            <w:bottom w:val="none" w:sz="0" w:space="0" w:color="auto"/>
            <w:right w:val="none" w:sz="0" w:space="0" w:color="auto"/>
          </w:divBdr>
        </w:div>
        <w:div w:id="1174490138">
          <w:marLeft w:val="547"/>
          <w:marRight w:val="0"/>
          <w:marTop w:val="0"/>
          <w:marBottom w:val="0"/>
          <w:divBdr>
            <w:top w:val="none" w:sz="0" w:space="0" w:color="auto"/>
            <w:left w:val="none" w:sz="0" w:space="0" w:color="auto"/>
            <w:bottom w:val="none" w:sz="0" w:space="0" w:color="auto"/>
            <w:right w:val="none" w:sz="0" w:space="0" w:color="auto"/>
          </w:divBdr>
        </w:div>
        <w:div w:id="1220746721">
          <w:marLeft w:val="547"/>
          <w:marRight w:val="0"/>
          <w:marTop w:val="0"/>
          <w:marBottom w:val="0"/>
          <w:divBdr>
            <w:top w:val="none" w:sz="0" w:space="0" w:color="auto"/>
            <w:left w:val="none" w:sz="0" w:space="0" w:color="auto"/>
            <w:bottom w:val="none" w:sz="0" w:space="0" w:color="auto"/>
            <w:right w:val="none" w:sz="0" w:space="0" w:color="auto"/>
          </w:divBdr>
        </w:div>
        <w:div w:id="1679187035">
          <w:marLeft w:val="547"/>
          <w:marRight w:val="0"/>
          <w:marTop w:val="0"/>
          <w:marBottom w:val="0"/>
          <w:divBdr>
            <w:top w:val="none" w:sz="0" w:space="0" w:color="auto"/>
            <w:left w:val="none" w:sz="0" w:space="0" w:color="auto"/>
            <w:bottom w:val="none" w:sz="0" w:space="0" w:color="auto"/>
            <w:right w:val="none" w:sz="0" w:space="0" w:color="auto"/>
          </w:divBdr>
        </w:div>
        <w:div w:id="1774859898">
          <w:marLeft w:val="547"/>
          <w:marRight w:val="0"/>
          <w:marTop w:val="0"/>
          <w:marBottom w:val="0"/>
          <w:divBdr>
            <w:top w:val="none" w:sz="0" w:space="0" w:color="auto"/>
            <w:left w:val="none" w:sz="0" w:space="0" w:color="auto"/>
            <w:bottom w:val="none" w:sz="0" w:space="0" w:color="auto"/>
            <w:right w:val="none" w:sz="0" w:space="0" w:color="auto"/>
          </w:divBdr>
        </w:div>
        <w:div w:id="2018194113">
          <w:marLeft w:val="547"/>
          <w:marRight w:val="0"/>
          <w:marTop w:val="0"/>
          <w:marBottom w:val="0"/>
          <w:divBdr>
            <w:top w:val="none" w:sz="0" w:space="0" w:color="auto"/>
            <w:left w:val="none" w:sz="0" w:space="0" w:color="auto"/>
            <w:bottom w:val="none" w:sz="0" w:space="0" w:color="auto"/>
            <w:right w:val="none" w:sz="0" w:space="0" w:color="auto"/>
          </w:divBdr>
        </w:div>
      </w:divsChild>
    </w:div>
    <w:div w:id="116991318">
      <w:bodyDiv w:val="1"/>
      <w:marLeft w:val="0"/>
      <w:marRight w:val="0"/>
      <w:marTop w:val="0"/>
      <w:marBottom w:val="0"/>
      <w:divBdr>
        <w:top w:val="none" w:sz="0" w:space="0" w:color="auto"/>
        <w:left w:val="none" w:sz="0" w:space="0" w:color="auto"/>
        <w:bottom w:val="none" w:sz="0" w:space="0" w:color="auto"/>
        <w:right w:val="none" w:sz="0" w:space="0" w:color="auto"/>
      </w:divBdr>
    </w:div>
    <w:div w:id="141048547">
      <w:bodyDiv w:val="1"/>
      <w:marLeft w:val="0"/>
      <w:marRight w:val="0"/>
      <w:marTop w:val="0"/>
      <w:marBottom w:val="0"/>
      <w:divBdr>
        <w:top w:val="none" w:sz="0" w:space="0" w:color="auto"/>
        <w:left w:val="none" w:sz="0" w:space="0" w:color="auto"/>
        <w:bottom w:val="none" w:sz="0" w:space="0" w:color="auto"/>
        <w:right w:val="none" w:sz="0" w:space="0" w:color="auto"/>
      </w:divBdr>
    </w:div>
    <w:div w:id="155192222">
      <w:bodyDiv w:val="1"/>
      <w:marLeft w:val="0"/>
      <w:marRight w:val="0"/>
      <w:marTop w:val="0"/>
      <w:marBottom w:val="0"/>
      <w:divBdr>
        <w:top w:val="none" w:sz="0" w:space="0" w:color="auto"/>
        <w:left w:val="none" w:sz="0" w:space="0" w:color="auto"/>
        <w:bottom w:val="none" w:sz="0" w:space="0" w:color="auto"/>
        <w:right w:val="none" w:sz="0" w:space="0" w:color="auto"/>
      </w:divBdr>
    </w:div>
    <w:div w:id="155263350">
      <w:bodyDiv w:val="1"/>
      <w:marLeft w:val="0"/>
      <w:marRight w:val="0"/>
      <w:marTop w:val="0"/>
      <w:marBottom w:val="0"/>
      <w:divBdr>
        <w:top w:val="none" w:sz="0" w:space="0" w:color="auto"/>
        <w:left w:val="none" w:sz="0" w:space="0" w:color="auto"/>
        <w:bottom w:val="none" w:sz="0" w:space="0" w:color="auto"/>
        <w:right w:val="none" w:sz="0" w:space="0" w:color="auto"/>
      </w:divBdr>
    </w:div>
    <w:div w:id="173306490">
      <w:bodyDiv w:val="1"/>
      <w:marLeft w:val="0"/>
      <w:marRight w:val="0"/>
      <w:marTop w:val="0"/>
      <w:marBottom w:val="0"/>
      <w:divBdr>
        <w:top w:val="none" w:sz="0" w:space="0" w:color="auto"/>
        <w:left w:val="none" w:sz="0" w:space="0" w:color="auto"/>
        <w:bottom w:val="none" w:sz="0" w:space="0" w:color="auto"/>
        <w:right w:val="none" w:sz="0" w:space="0" w:color="auto"/>
      </w:divBdr>
    </w:div>
    <w:div w:id="176968450">
      <w:bodyDiv w:val="1"/>
      <w:marLeft w:val="0"/>
      <w:marRight w:val="0"/>
      <w:marTop w:val="0"/>
      <w:marBottom w:val="0"/>
      <w:divBdr>
        <w:top w:val="none" w:sz="0" w:space="0" w:color="auto"/>
        <w:left w:val="none" w:sz="0" w:space="0" w:color="auto"/>
        <w:bottom w:val="none" w:sz="0" w:space="0" w:color="auto"/>
        <w:right w:val="none" w:sz="0" w:space="0" w:color="auto"/>
      </w:divBdr>
    </w:div>
    <w:div w:id="205263584">
      <w:bodyDiv w:val="1"/>
      <w:marLeft w:val="0"/>
      <w:marRight w:val="0"/>
      <w:marTop w:val="0"/>
      <w:marBottom w:val="0"/>
      <w:divBdr>
        <w:top w:val="none" w:sz="0" w:space="0" w:color="auto"/>
        <w:left w:val="none" w:sz="0" w:space="0" w:color="auto"/>
        <w:bottom w:val="none" w:sz="0" w:space="0" w:color="auto"/>
        <w:right w:val="none" w:sz="0" w:space="0" w:color="auto"/>
      </w:divBdr>
    </w:div>
    <w:div w:id="228807469">
      <w:bodyDiv w:val="1"/>
      <w:marLeft w:val="0"/>
      <w:marRight w:val="0"/>
      <w:marTop w:val="0"/>
      <w:marBottom w:val="0"/>
      <w:divBdr>
        <w:top w:val="none" w:sz="0" w:space="0" w:color="auto"/>
        <w:left w:val="none" w:sz="0" w:space="0" w:color="auto"/>
        <w:bottom w:val="none" w:sz="0" w:space="0" w:color="auto"/>
        <w:right w:val="none" w:sz="0" w:space="0" w:color="auto"/>
      </w:divBdr>
    </w:div>
    <w:div w:id="237861456">
      <w:bodyDiv w:val="1"/>
      <w:marLeft w:val="0"/>
      <w:marRight w:val="0"/>
      <w:marTop w:val="0"/>
      <w:marBottom w:val="0"/>
      <w:divBdr>
        <w:top w:val="none" w:sz="0" w:space="0" w:color="auto"/>
        <w:left w:val="none" w:sz="0" w:space="0" w:color="auto"/>
        <w:bottom w:val="none" w:sz="0" w:space="0" w:color="auto"/>
        <w:right w:val="none" w:sz="0" w:space="0" w:color="auto"/>
      </w:divBdr>
    </w:div>
    <w:div w:id="268050565">
      <w:bodyDiv w:val="1"/>
      <w:marLeft w:val="0"/>
      <w:marRight w:val="0"/>
      <w:marTop w:val="0"/>
      <w:marBottom w:val="0"/>
      <w:divBdr>
        <w:top w:val="none" w:sz="0" w:space="0" w:color="auto"/>
        <w:left w:val="none" w:sz="0" w:space="0" w:color="auto"/>
        <w:bottom w:val="none" w:sz="0" w:space="0" w:color="auto"/>
        <w:right w:val="none" w:sz="0" w:space="0" w:color="auto"/>
      </w:divBdr>
    </w:div>
    <w:div w:id="300228611">
      <w:bodyDiv w:val="1"/>
      <w:marLeft w:val="0"/>
      <w:marRight w:val="0"/>
      <w:marTop w:val="0"/>
      <w:marBottom w:val="0"/>
      <w:divBdr>
        <w:top w:val="none" w:sz="0" w:space="0" w:color="auto"/>
        <w:left w:val="none" w:sz="0" w:space="0" w:color="auto"/>
        <w:bottom w:val="none" w:sz="0" w:space="0" w:color="auto"/>
        <w:right w:val="none" w:sz="0" w:space="0" w:color="auto"/>
      </w:divBdr>
      <w:divsChild>
        <w:div w:id="1174029128">
          <w:marLeft w:val="446"/>
          <w:marRight w:val="0"/>
          <w:marTop w:val="0"/>
          <w:marBottom w:val="0"/>
          <w:divBdr>
            <w:top w:val="none" w:sz="0" w:space="0" w:color="auto"/>
            <w:left w:val="none" w:sz="0" w:space="0" w:color="auto"/>
            <w:bottom w:val="none" w:sz="0" w:space="0" w:color="auto"/>
            <w:right w:val="none" w:sz="0" w:space="0" w:color="auto"/>
          </w:divBdr>
        </w:div>
        <w:div w:id="1842352282">
          <w:marLeft w:val="446"/>
          <w:marRight w:val="0"/>
          <w:marTop w:val="0"/>
          <w:marBottom w:val="0"/>
          <w:divBdr>
            <w:top w:val="none" w:sz="0" w:space="0" w:color="auto"/>
            <w:left w:val="none" w:sz="0" w:space="0" w:color="auto"/>
            <w:bottom w:val="none" w:sz="0" w:space="0" w:color="auto"/>
            <w:right w:val="none" w:sz="0" w:space="0" w:color="auto"/>
          </w:divBdr>
        </w:div>
      </w:divsChild>
    </w:div>
    <w:div w:id="302320122">
      <w:bodyDiv w:val="1"/>
      <w:marLeft w:val="0"/>
      <w:marRight w:val="0"/>
      <w:marTop w:val="0"/>
      <w:marBottom w:val="0"/>
      <w:divBdr>
        <w:top w:val="none" w:sz="0" w:space="0" w:color="auto"/>
        <w:left w:val="none" w:sz="0" w:space="0" w:color="auto"/>
        <w:bottom w:val="none" w:sz="0" w:space="0" w:color="auto"/>
        <w:right w:val="none" w:sz="0" w:space="0" w:color="auto"/>
      </w:divBdr>
    </w:div>
    <w:div w:id="313072082">
      <w:bodyDiv w:val="1"/>
      <w:marLeft w:val="0"/>
      <w:marRight w:val="0"/>
      <w:marTop w:val="0"/>
      <w:marBottom w:val="0"/>
      <w:divBdr>
        <w:top w:val="none" w:sz="0" w:space="0" w:color="auto"/>
        <w:left w:val="none" w:sz="0" w:space="0" w:color="auto"/>
        <w:bottom w:val="none" w:sz="0" w:space="0" w:color="auto"/>
        <w:right w:val="none" w:sz="0" w:space="0" w:color="auto"/>
      </w:divBdr>
    </w:div>
    <w:div w:id="333268838">
      <w:bodyDiv w:val="1"/>
      <w:marLeft w:val="0"/>
      <w:marRight w:val="0"/>
      <w:marTop w:val="0"/>
      <w:marBottom w:val="0"/>
      <w:divBdr>
        <w:top w:val="none" w:sz="0" w:space="0" w:color="auto"/>
        <w:left w:val="none" w:sz="0" w:space="0" w:color="auto"/>
        <w:bottom w:val="none" w:sz="0" w:space="0" w:color="auto"/>
        <w:right w:val="none" w:sz="0" w:space="0" w:color="auto"/>
      </w:divBdr>
    </w:div>
    <w:div w:id="345642537">
      <w:bodyDiv w:val="1"/>
      <w:marLeft w:val="0"/>
      <w:marRight w:val="0"/>
      <w:marTop w:val="0"/>
      <w:marBottom w:val="0"/>
      <w:divBdr>
        <w:top w:val="none" w:sz="0" w:space="0" w:color="auto"/>
        <w:left w:val="none" w:sz="0" w:space="0" w:color="auto"/>
        <w:bottom w:val="none" w:sz="0" w:space="0" w:color="auto"/>
        <w:right w:val="none" w:sz="0" w:space="0" w:color="auto"/>
      </w:divBdr>
    </w:div>
    <w:div w:id="351877872">
      <w:bodyDiv w:val="1"/>
      <w:marLeft w:val="0"/>
      <w:marRight w:val="0"/>
      <w:marTop w:val="0"/>
      <w:marBottom w:val="0"/>
      <w:divBdr>
        <w:top w:val="none" w:sz="0" w:space="0" w:color="auto"/>
        <w:left w:val="none" w:sz="0" w:space="0" w:color="auto"/>
        <w:bottom w:val="none" w:sz="0" w:space="0" w:color="auto"/>
        <w:right w:val="none" w:sz="0" w:space="0" w:color="auto"/>
      </w:divBdr>
      <w:divsChild>
        <w:div w:id="294944660">
          <w:marLeft w:val="446"/>
          <w:marRight w:val="0"/>
          <w:marTop w:val="120"/>
          <w:marBottom w:val="120"/>
          <w:divBdr>
            <w:top w:val="none" w:sz="0" w:space="0" w:color="auto"/>
            <w:left w:val="none" w:sz="0" w:space="0" w:color="auto"/>
            <w:bottom w:val="none" w:sz="0" w:space="0" w:color="auto"/>
            <w:right w:val="none" w:sz="0" w:space="0" w:color="auto"/>
          </w:divBdr>
        </w:div>
        <w:div w:id="703024566">
          <w:marLeft w:val="446"/>
          <w:marRight w:val="0"/>
          <w:marTop w:val="120"/>
          <w:marBottom w:val="120"/>
          <w:divBdr>
            <w:top w:val="none" w:sz="0" w:space="0" w:color="auto"/>
            <w:left w:val="none" w:sz="0" w:space="0" w:color="auto"/>
            <w:bottom w:val="none" w:sz="0" w:space="0" w:color="auto"/>
            <w:right w:val="none" w:sz="0" w:space="0" w:color="auto"/>
          </w:divBdr>
        </w:div>
        <w:div w:id="1088382121">
          <w:marLeft w:val="446"/>
          <w:marRight w:val="0"/>
          <w:marTop w:val="120"/>
          <w:marBottom w:val="120"/>
          <w:divBdr>
            <w:top w:val="none" w:sz="0" w:space="0" w:color="auto"/>
            <w:left w:val="none" w:sz="0" w:space="0" w:color="auto"/>
            <w:bottom w:val="none" w:sz="0" w:space="0" w:color="auto"/>
            <w:right w:val="none" w:sz="0" w:space="0" w:color="auto"/>
          </w:divBdr>
        </w:div>
        <w:div w:id="1261840414">
          <w:marLeft w:val="446"/>
          <w:marRight w:val="0"/>
          <w:marTop w:val="120"/>
          <w:marBottom w:val="120"/>
          <w:divBdr>
            <w:top w:val="none" w:sz="0" w:space="0" w:color="auto"/>
            <w:left w:val="none" w:sz="0" w:space="0" w:color="auto"/>
            <w:bottom w:val="none" w:sz="0" w:space="0" w:color="auto"/>
            <w:right w:val="none" w:sz="0" w:space="0" w:color="auto"/>
          </w:divBdr>
        </w:div>
        <w:div w:id="1377777385">
          <w:marLeft w:val="446"/>
          <w:marRight w:val="0"/>
          <w:marTop w:val="120"/>
          <w:marBottom w:val="120"/>
          <w:divBdr>
            <w:top w:val="none" w:sz="0" w:space="0" w:color="auto"/>
            <w:left w:val="none" w:sz="0" w:space="0" w:color="auto"/>
            <w:bottom w:val="none" w:sz="0" w:space="0" w:color="auto"/>
            <w:right w:val="none" w:sz="0" w:space="0" w:color="auto"/>
          </w:divBdr>
        </w:div>
        <w:div w:id="1625382755">
          <w:marLeft w:val="446"/>
          <w:marRight w:val="0"/>
          <w:marTop w:val="120"/>
          <w:marBottom w:val="120"/>
          <w:divBdr>
            <w:top w:val="none" w:sz="0" w:space="0" w:color="auto"/>
            <w:left w:val="none" w:sz="0" w:space="0" w:color="auto"/>
            <w:bottom w:val="none" w:sz="0" w:space="0" w:color="auto"/>
            <w:right w:val="none" w:sz="0" w:space="0" w:color="auto"/>
          </w:divBdr>
        </w:div>
        <w:div w:id="1974942854">
          <w:marLeft w:val="446"/>
          <w:marRight w:val="0"/>
          <w:marTop w:val="120"/>
          <w:marBottom w:val="120"/>
          <w:divBdr>
            <w:top w:val="none" w:sz="0" w:space="0" w:color="auto"/>
            <w:left w:val="none" w:sz="0" w:space="0" w:color="auto"/>
            <w:bottom w:val="none" w:sz="0" w:space="0" w:color="auto"/>
            <w:right w:val="none" w:sz="0" w:space="0" w:color="auto"/>
          </w:divBdr>
        </w:div>
        <w:div w:id="2065180948">
          <w:marLeft w:val="446"/>
          <w:marRight w:val="0"/>
          <w:marTop w:val="120"/>
          <w:marBottom w:val="120"/>
          <w:divBdr>
            <w:top w:val="none" w:sz="0" w:space="0" w:color="auto"/>
            <w:left w:val="none" w:sz="0" w:space="0" w:color="auto"/>
            <w:bottom w:val="none" w:sz="0" w:space="0" w:color="auto"/>
            <w:right w:val="none" w:sz="0" w:space="0" w:color="auto"/>
          </w:divBdr>
        </w:div>
      </w:divsChild>
    </w:div>
    <w:div w:id="368264697">
      <w:bodyDiv w:val="1"/>
      <w:marLeft w:val="0"/>
      <w:marRight w:val="0"/>
      <w:marTop w:val="0"/>
      <w:marBottom w:val="0"/>
      <w:divBdr>
        <w:top w:val="none" w:sz="0" w:space="0" w:color="auto"/>
        <w:left w:val="none" w:sz="0" w:space="0" w:color="auto"/>
        <w:bottom w:val="none" w:sz="0" w:space="0" w:color="auto"/>
        <w:right w:val="none" w:sz="0" w:space="0" w:color="auto"/>
      </w:divBdr>
    </w:div>
    <w:div w:id="380059033">
      <w:bodyDiv w:val="1"/>
      <w:marLeft w:val="0"/>
      <w:marRight w:val="0"/>
      <w:marTop w:val="0"/>
      <w:marBottom w:val="0"/>
      <w:divBdr>
        <w:top w:val="none" w:sz="0" w:space="0" w:color="auto"/>
        <w:left w:val="none" w:sz="0" w:space="0" w:color="auto"/>
        <w:bottom w:val="none" w:sz="0" w:space="0" w:color="auto"/>
        <w:right w:val="none" w:sz="0" w:space="0" w:color="auto"/>
      </w:divBdr>
      <w:divsChild>
        <w:div w:id="177275494">
          <w:marLeft w:val="446"/>
          <w:marRight w:val="0"/>
          <w:marTop w:val="120"/>
          <w:marBottom w:val="120"/>
          <w:divBdr>
            <w:top w:val="none" w:sz="0" w:space="0" w:color="auto"/>
            <w:left w:val="none" w:sz="0" w:space="0" w:color="auto"/>
            <w:bottom w:val="none" w:sz="0" w:space="0" w:color="auto"/>
            <w:right w:val="none" w:sz="0" w:space="0" w:color="auto"/>
          </w:divBdr>
        </w:div>
        <w:div w:id="771970348">
          <w:marLeft w:val="446"/>
          <w:marRight w:val="0"/>
          <w:marTop w:val="120"/>
          <w:marBottom w:val="120"/>
          <w:divBdr>
            <w:top w:val="none" w:sz="0" w:space="0" w:color="auto"/>
            <w:left w:val="none" w:sz="0" w:space="0" w:color="auto"/>
            <w:bottom w:val="none" w:sz="0" w:space="0" w:color="auto"/>
            <w:right w:val="none" w:sz="0" w:space="0" w:color="auto"/>
          </w:divBdr>
        </w:div>
        <w:div w:id="936134681">
          <w:marLeft w:val="446"/>
          <w:marRight w:val="0"/>
          <w:marTop w:val="120"/>
          <w:marBottom w:val="120"/>
          <w:divBdr>
            <w:top w:val="none" w:sz="0" w:space="0" w:color="auto"/>
            <w:left w:val="none" w:sz="0" w:space="0" w:color="auto"/>
            <w:bottom w:val="none" w:sz="0" w:space="0" w:color="auto"/>
            <w:right w:val="none" w:sz="0" w:space="0" w:color="auto"/>
          </w:divBdr>
        </w:div>
      </w:divsChild>
    </w:div>
    <w:div w:id="396362776">
      <w:bodyDiv w:val="1"/>
      <w:marLeft w:val="0"/>
      <w:marRight w:val="0"/>
      <w:marTop w:val="0"/>
      <w:marBottom w:val="0"/>
      <w:divBdr>
        <w:top w:val="none" w:sz="0" w:space="0" w:color="auto"/>
        <w:left w:val="none" w:sz="0" w:space="0" w:color="auto"/>
        <w:bottom w:val="none" w:sz="0" w:space="0" w:color="auto"/>
        <w:right w:val="none" w:sz="0" w:space="0" w:color="auto"/>
      </w:divBdr>
    </w:div>
    <w:div w:id="402989518">
      <w:bodyDiv w:val="1"/>
      <w:marLeft w:val="0"/>
      <w:marRight w:val="0"/>
      <w:marTop w:val="0"/>
      <w:marBottom w:val="0"/>
      <w:divBdr>
        <w:top w:val="none" w:sz="0" w:space="0" w:color="auto"/>
        <w:left w:val="none" w:sz="0" w:space="0" w:color="auto"/>
        <w:bottom w:val="none" w:sz="0" w:space="0" w:color="auto"/>
        <w:right w:val="none" w:sz="0" w:space="0" w:color="auto"/>
      </w:divBdr>
    </w:div>
    <w:div w:id="408699136">
      <w:bodyDiv w:val="1"/>
      <w:marLeft w:val="0"/>
      <w:marRight w:val="0"/>
      <w:marTop w:val="0"/>
      <w:marBottom w:val="0"/>
      <w:divBdr>
        <w:top w:val="none" w:sz="0" w:space="0" w:color="auto"/>
        <w:left w:val="none" w:sz="0" w:space="0" w:color="auto"/>
        <w:bottom w:val="none" w:sz="0" w:space="0" w:color="auto"/>
        <w:right w:val="none" w:sz="0" w:space="0" w:color="auto"/>
      </w:divBdr>
    </w:div>
    <w:div w:id="433281680">
      <w:bodyDiv w:val="1"/>
      <w:marLeft w:val="0"/>
      <w:marRight w:val="0"/>
      <w:marTop w:val="0"/>
      <w:marBottom w:val="0"/>
      <w:divBdr>
        <w:top w:val="none" w:sz="0" w:space="0" w:color="auto"/>
        <w:left w:val="none" w:sz="0" w:space="0" w:color="auto"/>
        <w:bottom w:val="none" w:sz="0" w:space="0" w:color="auto"/>
        <w:right w:val="none" w:sz="0" w:space="0" w:color="auto"/>
      </w:divBdr>
    </w:div>
    <w:div w:id="449395285">
      <w:bodyDiv w:val="1"/>
      <w:marLeft w:val="0"/>
      <w:marRight w:val="0"/>
      <w:marTop w:val="0"/>
      <w:marBottom w:val="0"/>
      <w:divBdr>
        <w:top w:val="none" w:sz="0" w:space="0" w:color="auto"/>
        <w:left w:val="none" w:sz="0" w:space="0" w:color="auto"/>
        <w:bottom w:val="none" w:sz="0" w:space="0" w:color="auto"/>
        <w:right w:val="none" w:sz="0" w:space="0" w:color="auto"/>
      </w:divBdr>
    </w:div>
    <w:div w:id="449855988">
      <w:bodyDiv w:val="1"/>
      <w:marLeft w:val="0"/>
      <w:marRight w:val="0"/>
      <w:marTop w:val="0"/>
      <w:marBottom w:val="0"/>
      <w:divBdr>
        <w:top w:val="none" w:sz="0" w:space="0" w:color="auto"/>
        <w:left w:val="none" w:sz="0" w:space="0" w:color="auto"/>
        <w:bottom w:val="none" w:sz="0" w:space="0" w:color="auto"/>
        <w:right w:val="none" w:sz="0" w:space="0" w:color="auto"/>
      </w:divBdr>
    </w:div>
    <w:div w:id="460652911">
      <w:bodyDiv w:val="1"/>
      <w:marLeft w:val="0"/>
      <w:marRight w:val="0"/>
      <w:marTop w:val="0"/>
      <w:marBottom w:val="0"/>
      <w:divBdr>
        <w:top w:val="none" w:sz="0" w:space="0" w:color="auto"/>
        <w:left w:val="none" w:sz="0" w:space="0" w:color="auto"/>
        <w:bottom w:val="none" w:sz="0" w:space="0" w:color="auto"/>
        <w:right w:val="none" w:sz="0" w:space="0" w:color="auto"/>
      </w:divBdr>
      <w:divsChild>
        <w:div w:id="152264022">
          <w:marLeft w:val="547"/>
          <w:marRight w:val="0"/>
          <w:marTop w:val="120"/>
          <w:marBottom w:val="120"/>
          <w:divBdr>
            <w:top w:val="none" w:sz="0" w:space="0" w:color="auto"/>
            <w:left w:val="none" w:sz="0" w:space="0" w:color="auto"/>
            <w:bottom w:val="none" w:sz="0" w:space="0" w:color="auto"/>
            <w:right w:val="none" w:sz="0" w:space="0" w:color="auto"/>
          </w:divBdr>
        </w:div>
        <w:div w:id="400754739">
          <w:marLeft w:val="547"/>
          <w:marRight w:val="0"/>
          <w:marTop w:val="120"/>
          <w:marBottom w:val="120"/>
          <w:divBdr>
            <w:top w:val="none" w:sz="0" w:space="0" w:color="auto"/>
            <w:left w:val="none" w:sz="0" w:space="0" w:color="auto"/>
            <w:bottom w:val="none" w:sz="0" w:space="0" w:color="auto"/>
            <w:right w:val="none" w:sz="0" w:space="0" w:color="auto"/>
          </w:divBdr>
        </w:div>
        <w:div w:id="1115489140">
          <w:marLeft w:val="547"/>
          <w:marRight w:val="0"/>
          <w:marTop w:val="120"/>
          <w:marBottom w:val="120"/>
          <w:divBdr>
            <w:top w:val="none" w:sz="0" w:space="0" w:color="auto"/>
            <w:left w:val="none" w:sz="0" w:space="0" w:color="auto"/>
            <w:bottom w:val="none" w:sz="0" w:space="0" w:color="auto"/>
            <w:right w:val="none" w:sz="0" w:space="0" w:color="auto"/>
          </w:divBdr>
        </w:div>
        <w:div w:id="1218005751">
          <w:marLeft w:val="547"/>
          <w:marRight w:val="0"/>
          <w:marTop w:val="120"/>
          <w:marBottom w:val="120"/>
          <w:divBdr>
            <w:top w:val="none" w:sz="0" w:space="0" w:color="auto"/>
            <w:left w:val="none" w:sz="0" w:space="0" w:color="auto"/>
            <w:bottom w:val="none" w:sz="0" w:space="0" w:color="auto"/>
            <w:right w:val="none" w:sz="0" w:space="0" w:color="auto"/>
          </w:divBdr>
        </w:div>
        <w:div w:id="2083486709">
          <w:marLeft w:val="547"/>
          <w:marRight w:val="0"/>
          <w:marTop w:val="120"/>
          <w:marBottom w:val="120"/>
          <w:divBdr>
            <w:top w:val="none" w:sz="0" w:space="0" w:color="auto"/>
            <w:left w:val="none" w:sz="0" w:space="0" w:color="auto"/>
            <w:bottom w:val="none" w:sz="0" w:space="0" w:color="auto"/>
            <w:right w:val="none" w:sz="0" w:space="0" w:color="auto"/>
          </w:divBdr>
        </w:div>
      </w:divsChild>
    </w:div>
    <w:div w:id="466551030">
      <w:bodyDiv w:val="1"/>
      <w:marLeft w:val="0"/>
      <w:marRight w:val="0"/>
      <w:marTop w:val="0"/>
      <w:marBottom w:val="0"/>
      <w:divBdr>
        <w:top w:val="none" w:sz="0" w:space="0" w:color="auto"/>
        <w:left w:val="none" w:sz="0" w:space="0" w:color="auto"/>
        <w:bottom w:val="none" w:sz="0" w:space="0" w:color="auto"/>
        <w:right w:val="none" w:sz="0" w:space="0" w:color="auto"/>
      </w:divBdr>
    </w:div>
    <w:div w:id="488595314">
      <w:bodyDiv w:val="1"/>
      <w:marLeft w:val="0"/>
      <w:marRight w:val="0"/>
      <w:marTop w:val="0"/>
      <w:marBottom w:val="0"/>
      <w:divBdr>
        <w:top w:val="none" w:sz="0" w:space="0" w:color="auto"/>
        <w:left w:val="none" w:sz="0" w:space="0" w:color="auto"/>
        <w:bottom w:val="none" w:sz="0" w:space="0" w:color="auto"/>
        <w:right w:val="none" w:sz="0" w:space="0" w:color="auto"/>
      </w:divBdr>
    </w:div>
    <w:div w:id="502746639">
      <w:bodyDiv w:val="1"/>
      <w:marLeft w:val="0"/>
      <w:marRight w:val="0"/>
      <w:marTop w:val="0"/>
      <w:marBottom w:val="0"/>
      <w:divBdr>
        <w:top w:val="none" w:sz="0" w:space="0" w:color="auto"/>
        <w:left w:val="none" w:sz="0" w:space="0" w:color="auto"/>
        <w:bottom w:val="none" w:sz="0" w:space="0" w:color="auto"/>
        <w:right w:val="none" w:sz="0" w:space="0" w:color="auto"/>
      </w:divBdr>
    </w:div>
    <w:div w:id="520318896">
      <w:bodyDiv w:val="1"/>
      <w:marLeft w:val="0"/>
      <w:marRight w:val="0"/>
      <w:marTop w:val="0"/>
      <w:marBottom w:val="0"/>
      <w:divBdr>
        <w:top w:val="none" w:sz="0" w:space="0" w:color="auto"/>
        <w:left w:val="none" w:sz="0" w:space="0" w:color="auto"/>
        <w:bottom w:val="none" w:sz="0" w:space="0" w:color="auto"/>
        <w:right w:val="none" w:sz="0" w:space="0" w:color="auto"/>
      </w:divBdr>
      <w:divsChild>
        <w:div w:id="791942560">
          <w:marLeft w:val="547"/>
          <w:marRight w:val="0"/>
          <w:marTop w:val="120"/>
          <w:marBottom w:val="240"/>
          <w:divBdr>
            <w:top w:val="none" w:sz="0" w:space="0" w:color="auto"/>
            <w:left w:val="none" w:sz="0" w:space="0" w:color="auto"/>
            <w:bottom w:val="none" w:sz="0" w:space="0" w:color="auto"/>
            <w:right w:val="none" w:sz="0" w:space="0" w:color="auto"/>
          </w:divBdr>
        </w:div>
      </w:divsChild>
    </w:div>
    <w:div w:id="522397875">
      <w:bodyDiv w:val="1"/>
      <w:marLeft w:val="0"/>
      <w:marRight w:val="0"/>
      <w:marTop w:val="0"/>
      <w:marBottom w:val="0"/>
      <w:divBdr>
        <w:top w:val="none" w:sz="0" w:space="0" w:color="auto"/>
        <w:left w:val="none" w:sz="0" w:space="0" w:color="auto"/>
        <w:bottom w:val="none" w:sz="0" w:space="0" w:color="auto"/>
        <w:right w:val="none" w:sz="0" w:space="0" w:color="auto"/>
      </w:divBdr>
    </w:div>
    <w:div w:id="534002307">
      <w:bodyDiv w:val="1"/>
      <w:marLeft w:val="0"/>
      <w:marRight w:val="0"/>
      <w:marTop w:val="0"/>
      <w:marBottom w:val="0"/>
      <w:divBdr>
        <w:top w:val="none" w:sz="0" w:space="0" w:color="auto"/>
        <w:left w:val="none" w:sz="0" w:space="0" w:color="auto"/>
        <w:bottom w:val="none" w:sz="0" w:space="0" w:color="auto"/>
        <w:right w:val="none" w:sz="0" w:space="0" w:color="auto"/>
      </w:divBdr>
    </w:div>
    <w:div w:id="560795960">
      <w:bodyDiv w:val="1"/>
      <w:marLeft w:val="0"/>
      <w:marRight w:val="0"/>
      <w:marTop w:val="0"/>
      <w:marBottom w:val="0"/>
      <w:divBdr>
        <w:top w:val="none" w:sz="0" w:space="0" w:color="auto"/>
        <w:left w:val="none" w:sz="0" w:space="0" w:color="auto"/>
        <w:bottom w:val="none" w:sz="0" w:space="0" w:color="auto"/>
        <w:right w:val="none" w:sz="0" w:space="0" w:color="auto"/>
      </w:divBdr>
    </w:div>
    <w:div w:id="563679960">
      <w:bodyDiv w:val="1"/>
      <w:marLeft w:val="0"/>
      <w:marRight w:val="0"/>
      <w:marTop w:val="0"/>
      <w:marBottom w:val="0"/>
      <w:divBdr>
        <w:top w:val="none" w:sz="0" w:space="0" w:color="auto"/>
        <w:left w:val="none" w:sz="0" w:space="0" w:color="auto"/>
        <w:bottom w:val="none" w:sz="0" w:space="0" w:color="auto"/>
        <w:right w:val="none" w:sz="0" w:space="0" w:color="auto"/>
      </w:divBdr>
    </w:div>
    <w:div w:id="566111019">
      <w:bodyDiv w:val="1"/>
      <w:marLeft w:val="0"/>
      <w:marRight w:val="0"/>
      <w:marTop w:val="0"/>
      <w:marBottom w:val="0"/>
      <w:divBdr>
        <w:top w:val="none" w:sz="0" w:space="0" w:color="auto"/>
        <w:left w:val="none" w:sz="0" w:space="0" w:color="auto"/>
        <w:bottom w:val="none" w:sz="0" w:space="0" w:color="auto"/>
        <w:right w:val="none" w:sz="0" w:space="0" w:color="auto"/>
      </w:divBdr>
    </w:div>
    <w:div w:id="568998138">
      <w:bodyDiv w:val="1"/>
      <w:marLeft w:val="0"/>
      <w:marRight w:val="0"/>
      <w:marTop w:val="0"/>
      <w:marBottom w:val="0"/>
      <w:divBdr>
        <w:top w:val="none" w:sz="0" w:space="0" w:color="auto"/>
        <w:left w:val="none" w:sz="0" w:space="0" w:color="auto"/>
        <w:bottom w:val="none" w:sz="0" w:space="0" w:color="auto"/>
        <w:right w:val="none" w:sz="0" w:space="0" w:color="auto"/>
      </w:divBdr>
    </w:div>
    <w:div w:id="594943713">
      <w:bodyDiv w:val="1"/>
      <w:marLeft w:val="0"/>
      <w:marRight w:val="0"/>
      <w:marTop w:val="0"/>
      <w:marBottom w:val="0"/>
      <w:divBdr>
        <w:top w:val="none" w:sz="0" w:space="0" w:color="auto"/>
        <w:left w:val="none" w:sz="0" w:space="0" w:color="auto"/>
        <w:bottom w:val="none" w:sz="0" w:space="0" w:color="auto"/>
        <w:right w:val="none" w:sz="0" w:space="0" w:color="auto"/>
      </w:divBdr>
    </w:div>
    <w:div w:id="602615033">
      <w:bodyDiv w:val="1"/>
      <w:marLeft w:val="0"/>
      <w:marRight w:val="0"/>
      <w:marTop w:val="0"/>
      <w:marBottom w:val="0"/>
      <w:divBdr>
        <w:top w:val="none" w:sz="0" w:space="0" w:color="auto"/>
        <w:left w:val="none" w:sz="0" w:space="0" w:color="auto"/>
        <w:bottom w:val="none" w:sz="0" w:space="0" w:color="auto"/>
        <w:right w:val="none" w:sz="0" w:space="0" w:color="auto"/>
      </w:divBdr>
    </w:div>
    <w:div w:id="615018168">
      <w:bodyDiv w:val="1"/>
      <w:marLeft w:val="0"/>
      <w:marRight w:val="0"/>
      <w:marTop w:val="0"/>
      <w:marBottom w:val="0"/>
      <w:divBdr>
        <w:top w:val="none" w:sz="0" w:space="0" w:color="auto"/>
        <w:left w:val="none" w:sz="0" w:space="0" w:color="auto"/>
        <w:bottom w:val="none" w:sz="0" w:space="0" w:color="auto"/>
        <w:right w:val="none" w:sz="0" w:space="0" w:color="auto"/>
      </w:divBdr>
    </w:div>
    <w:div w:id="621300309">
      <w:bodyDiv w:val="1"/>
      <w:marLeft w:val="0"/>
      <w:marRight w:val="0"/>
      <w:marTop w:val="0"/>
      <w:marBottom w:val="0"/>
      <w:divBdr>
        <w:top w:val="none" w:sz="0" w:space="0" w:color="auto"/>
        <w:left w:val="none" w:sz="0" w:space="0" w:color="auto"/>
        <w:bottom w:val="none" w:sz="0" w:space="0" w:color="auto"/>
        <w:right w:val="none" w:sz="0" w:space="0" w:color="auto"/>
      </w:divBdr>
    </w:div>
    <w:div w:id="625821460">
      <w:bodyDiv w:val="1"/>
      <w:marLeft w:val="0"/>
      <w:marRight w:val="0"/>
      <w:marTop w:val="0"/>
      <w:marBottom w:val="0"/>
      <w:divBdr>
        <w:top w:val="none" w:sz="0" w:space="0" w:color="auto"/>
        <w:left w:val="none" w:sz="0" w:space="0" w:color="auto"/>
        <w:bottom w:val="none" w:sz="0" w:space="0" w:color="auto"/>
        <w:right w:val="none" w:sz="0" w:space="0" w:color="auto"/>
      </w:divBdr>
    </w:div>
    <w:div w:id="632828812">
      <w:bodyDiv w:val="1"/>
      <w:marLeft w:val="0"/>
      <w:marRight w:val="0"/>
      <w:marTop w:val="0"/>
      <w:marBottom w:val="0"/>
      <w:divBdr>
        <w:top w:val="none" w:sz="0" w:space="0" w:color="auto"/>
        <w:left w:val="none" w:sz="0" w:space="0" w:color="auto"/>
        <w:bottom w:val="none" w:sz="0" w:space="0" w:color="auto"/>
        <w:right w:val="none" w:sz="0" w:space="0" w:color="auto"/>
      </w:divBdr>
    </w:div>
    <w:div w:id="639920773">
      <w:bodyDiv w:val="1"/>
      <w:marLeft w:val="0"/>
      <w:marRight w:val="0"/>
      <w:marTop w:val="0"/>
      <w:marBottom w:val="0"/>
      <w:divBdr>
        <w:top w:val="none" w:sz="0" w:space="0" w:color="auto"/>
        <w:left w:val="none" w:sz="0" w:space="0" w:color="auto"/>
        <w:bottom w:val="none" w:sz="0" w:space="0" w:color="auto"/>
        <w:right w:val="none" w:sz="0" w:space="0" w:color="auto"/>
      </w:divBdr>
      <w:divsChild>
        <w:div w:id="125466907">
          <w:marLeft w:val="0"/>
          <w:marRight w:val="0"/>
          <w:marTop w:val="0"/>
          <w:marBottom w:val="0"/>
          <w:divBdr>
            <w:top w:val="none" w:sz="0" w:space="0" w:color="auto"/>
            <w:left w:val="none" w:sz="0" w:space="0" w:color="auto"/>
            <w:bottom w:val="none" w:sz="0" w:space="0" w:color="auto"/>
            <w:right w:val="none" w:sz="0" w:space="0" w:color="auto"/>
          </w:divBdr>
        </w:div>
        <w:div w:id="1242717721">
          <w:marLeft w:val="0"/>
          <w:marRight w:val="0"/>
          <w:marTop w:val="0"/>
          <w:marBottom w:val="0"/>
          <w:divBdr>
            <w:top w:val="none" w:sz="0" w:space="0" w:color="auto"/>
            <w:left w:val="none" w:sz="0" w:space="0" w:color="auto"/>
            <w:bottom w:val="none" w:sz="0" w:space="0" w:color="auto"/>
            <w:right w:val="none" w:sz="0" w:space="0" w:color="auto"/>
          </w:divBdr>
        </w:div>
        <w:div w:id="1595019585">
          <w:marLeft w:val="0"/>
          <w:marRight w:val="0"/>
          <w:marTop w:val="0"/>
          <w:marBottom w:val="0"/>
          <w:divBdr>
            <w:top w:val="none" w:sz="0" w:space="0" w:color="auto"/>
            <w:left w:val="none" w:sz="0" w:space="0" w:color="auto"/>
            <w:bottom w:val="none" w:sz="0" w:space="0" w:color="auto"/>
            <w:right w:val="none" w:sz="0" w:space="0" w:color="auto"/>
          </w:divBdr>
        </w:div>
        <w:div w:id="2036418547">
          <w:marLeft w:val="0"/>
          <w:marRight w:val="0"/>
          <w:marTop w:val="0"/>
          <w:marBottom w:val="0"/>
          <w:divBdr>
            <w:top w:val="none" w:sz="0" w:space="0" w:color="auto"/>
            <w:left w:val="none" w:sz="0" w:space="0" w:color="auto"/>
            <w:bottom w:val="none" w:sz="0" w:space="0" w:color="auto"/>
            <w:right w:val="none" w:sz="0" w:space="0" w:color="auto"/>
          </w:divBdr>
        </w:div>
      </w:divsChild>
    </w:div>
    <w:div w:id="664632525">
      <w:bodyDiv w:val="1"/>
      <w:marLeft w:val="0"/>
      <w:marRight w:val="0"/>
      <w:marTop w:val="0"/>
      <w:marBottom w:val="0"/>
      <w:divBdr>
        <w:top w:val="none" w:sz="0" w:space="0" w:color="auto"/>
        <w:left w:val="none" w:sz="0" w:space="0" w:color="auto"/>
        <w:bottom w:val="none" w:sz="0" w:space="0" w:color="auto"/>
        <w:right w:val="none" w:sz="0" w:space="0" w:color="auto"/>
      </w:divBdr>
    </w:div>
    <w:div w:id="666902325">
      <w:bodyDiv w:val="1"/>
      <w:marLeft w:val="0"/>
      <w:marRight w:val="0"/>
      <w:marTop w:val="0"/>
      <w:marBottom w:val="0"/>
      <w:divBdr>
        <w:top w:val="none" w:sz="0" w:space="0" w:color="auto"/>
        <w:left w:val="none" w:sz="0" w:space="0" w:color="auto"/>
        <w:bottom w:val="none" w:sz="0" w:space="0" w:color="auto"/>
        <w:right w:val="none" w:sz="0" w:space="0" w:color="auto"/>
      </w:divBdr>
    </w:div>
    <w:div w:id="709261274">
      <w:bodyDiv w:val="1"/>
      <w:marLeft w:val="0"/>
      <w:marRight w:val="0"/>
      <w:marTop w:val="0"/>
      <w:marBottom w:val="0"/>
      <w:divBdr>
        <w:top w:val="none" w:sz="0" w:space="0" w:color="auto"/>
        <w:left w:val="none" w:sz="0" w:space="0" w:color="auto"/>
        <w:bottom w:val="none" w:sz="0" w:space="0" w:color="auto"/>
        <w:right w:val="none" w:sz="0" w:space="0" w:color="auto"/>
      </w:divBdr>
    </w:div>
    <w:div w:id="714936537">
      <w:bodyDiv w:val="1"/>
      <w:marLeft w:val="0"/>
      <w:marRight w:val="0"/>
      <w:marTop w:val="0"/>
      <w:marBottom w:val="0"/>
      <w:divBdr>
        <w:top w:val="none" w:sz="0" w:space="0" w:color="auto"/>
        <w:left w:val="none" w:sz="0" w:space="0" w:color="auto"/>
        <w:bottom w:val="none" w:sz="0" w:space="0" w:color="auto"/>
        <w:right w:val="none" w:sz="0" w:space="0" w:color="auto"/>
      </w:divBdr>
    </w:div>
    <w:div w:id="722943593">
      <w:bodyDiv w:val="1"/>
      <w:marLeft w:val="0"/>
      <w:marRight w:val="0"/>
      <w:marTop w:val="0"/>
      <w:marBottom w:val="0"/>
      <w:divBdr>
        <w:top w:val="none" w:sz="0" w:space="0" w:color="auto"/>
        <w:left w:val="none" w:sz="0" w:space="0" w:color="auto"/>
        <w:bottom w:val="none" w:sz="0" w:space="0" w:color="auto"/>
        <w:right w:val="none" w:sz="0" w:space="0" w:color="auto"/>
      </w:divBdr>
      <w:divsChild>
        <w:div w:id="659383722">
          <w:marLeft w:val="547"/>
          <w:marRight w:val="0"/>
          <w:marTop w:val="0"/>
          <w:marBottom w:val="0"/>
          <w:divBdr>
            <w:top w:val="none" w:sz="0" w:space="0" w:color="auto"/>
            <w:left w:val="none" w:sz="0" w:space="0" w:color="auto"/>
            <w:bottom w:val="none" w:sz="0" w:space="0" w:color="auto"/>
            <w:right w:val="none" w:sz="0" w:space="0" w:color="auto"/>
          </w:divBdr>
        </w:div>
        <w:div w:id="845943507">
          <w:marLeft w:val="446"/>
          <w:marRight w:val="0"/>
          <w:marTop w:val="0"/>
          <w:marBottom w:val="0"/>
          <w:divBdr>
            <w:top w:val="none" w:sz="0" w:space="0" w:color="auto"/>
            <w:left w:val="none" w:sz="0" w:space="0" w:color="auto"/>
            <w:bottom w:val="none" w:sz="0" w:space="0" w:color="auto"/>
            <w:right w:val="none" w:sz="0" w:space="0" w:color="auto"/>
          </w:divBdr>
        </w:div>
        <w:div w:id="1578637851">
          <w:marLeft w:val="547"/>
          <w:marRight w:val="0"/>
          <w:marTop w:val="0"/>
          <w:marBottom w:val="0"/>
          <w:divBdr>
            <w:top w:val="none" w:sz="0" w:space="0" w:color="auto"/>
            <w:left w:val="none" w:sz="0" w:space="0" w:color="auto"/>
            <w:bottom w:val="none" w:sz="0" w:space="0" w:color="auto"/>
            <w:right w:val="none" w:sz="0" w:space="0" w:color="auto"/>
          </w:divBdr>
        </w:div>
        <w:div w:id="1607687416">
          <w:marLeft w:val="547"/>
          <w:marRight w:val="0"/>
          <w:marTop w:val="0"/>
          <w:marBottom w:val="0"/>
          <w:divBdr>
            <w:top w:val="none" w:sz="0" w:space="0" w:color="auto"/>
            <w:left w:val="none" w:sz="0" w:space="0" w:color="auto"/>
            <w:bottom w:val="none" w:sz="0" w:space="0" w:color="auto"/>
            <w:right w:val="none" w:sz="0" w:space="0" w:color="auto"/>
          </w:divBdr>
        </w:div>
        <w:div w:id="1986086253">
          <w:marLeft w:val="547"/>
          <w:marRight w:val="0"/>
          <w:marTop w:val="0"/>
          <w:marBottom w:val="0"/>
          <w:divBdr>
            <w:top w:val="none" w:sz="0" w:space="0" w:color="auto"/>
            <w:left w:val="none" w:sz="0" w:space="0" w:color="auto"/>
            <w:bottom w:val="none" w:sz="0" w:space="0" w:color="auto"/>
            <w:right w:val="none" w:sz="0" w:space="0" w:color="auto"/>
          </w:divBdr>
        </w:div>
      </w:divsChild>
    </w:div>
    <w:div w:id="728070068">
      <w:bodyDiv w:val="1"/>
      <w:marLeft w:val="0"/>
      <w:marRight w:val="0"/>
      <w:marTop w:val="0"/>
      <w:marBottom w:val="0"/>
      <w:divBdr>
        <w:top w:val="none" w:sz="0" w:space="0" w:color="auto"/>
        <w:left w:val="none" w:sz="0" w:space="0" w:color="auto"/>
        <w:bottom w:val="none" w:sz="0" w:space="0" w:color="auto"/>
        <w:right w:val="none" w:sz="0" w:space="0" w:color="auto"/>
      </w:divBdr>
    </w:div>
    <w:div w:id="777262561">
      <w:bodyDiv w:val="1"/>
      <w:marLeft w:val="0"/>
      <w:marRight w:val="0"/>
      <w:marTop w:val="0"/>
      <w:marBottom w:val="0"/>
      <w:divBdr>
        <w:top w:val="none" w:sz="0" w:space="0" w:color="auto"/>
        <w:left w:val="none" w:sz="0" w:space="0" w:color="auto"/>
        <w:bottom w:val="none" w:sz="0" w:space="0" w:color="auto"/>
        <w:right w:val="none" w:sz="0" w:space="0" w:color="auto"/>
      </w:divBdr>
    </w:div>
    <w:div w:id="786779548">
      <w:bodyDiv w:val="1"/>
      <w:marLeft w:val="0"/>
      <w:marRight w:val="0"/>
      <w:marTop w:val="0"/>
      <w:marBottom w:val="0"/>
      <w:divBdr>
        <w:top w:val="none" w:sz="0" w:space="0" w:color="auto"/>
        <w:left w:val="none" w:sz="0" w:space="0" w:color="auto"/>
        <w:bottom w:val="none" w:sz="0" w:space="0" w:color="auto"/>
        <w:right w:val="none" w:sz="0" w:space="0" w:color="auto"/>
      </w:divBdr>
    </w:div>
    <w:div w:id="798650179">
      <w:bodyDiv w:val="1"/>
      <w:marLeft w:val="0"/>
      <w:marRight w:val="0"/>
      <w:marTop w:val="0"/>
      <w:marBottom w:val="0"/>
      <w:divBdr>
        <w:top w:val="none" w:sz="0" w:space="0" w:color="auto"/>
        <w:left w:val="none" w:sz="0" w:space="0" w:color="auto"/>
        <w:bottom w:val="none" w:sz="0" w:space="0" w:color="auto"/>
        <w:right w:val="none" w:sz="0" w:space="0" w:color="auto"/>
      </w:divBdr>
    </w:div>
    <w:div w:id="805857830">
      <w:bodyDiv w:val="1"/>
      <w:marLeft w:val="0"/>
      <w:marRight w:val="0"/>
      <w:marTop w:val="0"/>
      <w:marBottom w:val="0"/>
      <w:divBdr>
        <w:top w:val="none" w:sz="0" w:space="0" w:color="auto"/>
        <w:left w:val="none" w:sz="0" w:space="0" w:color="auto"/>
        <w:bottom w:val="none" w:sz="0" w:space="0" w:color="auto"/>
        <w:right w:val="none" w:sz="0" w:space="0" w:color="auto"/>
      </w:divBdr>
    </w:div>
    <w:div w:id="809980786">
      <w:bodyDiv w:val="1"/>
      <w:marLeft w:val="0"/>
      <w:marRight w:val="0"/>
      <w:marTop w:val="0"/>
      <w:marBottom w:val="0"/>
      <w:divBdr>
        <w:top w:val="none" w:sz="0" w:space="0" w:color="auto"/>
        <w:left w:val="none" w:sz="0" w:space="0" w:color="auto"/>
        <w:bottom w:val="none" w:sz="0" w:space="0" w:color="auto"/>
        <w:right w:val="none" w:sz="0" w:space="0" w:color="auto"/>
      </w:divBdr>
    </w:div>
    <w:div w:id="810289449">
      <w:bodyDiv w:val="1"/>
      <w:marLeft w:val="0"/>
      <w:marRight w:val="0"/>
      <w:marTop w:val="0"/>
      <w:marBottom w:val="0"/>
      <w:divBdr>
        <w:top w:val="none" w:sz="0" w:space="0" w:color="auto"/>
        <w:left w:val="none" w:sz="0" w:space="0" w:color="auto"/>
        <w:bottom w:val="none" w:sz="0" w:space="0" w:color="auto"/>
        <w:right w:val="none" w:sz="0" w:space="0" w:color="auto"/>
      </w:divBdr>
    </w:div>
    <w:div w:id="812142564">
      <w:bodyDiv w:val="1"/>
      <w:marLeft w:val="0"/>
      <w:marRight w:val="0"/>
      <w:marTop w:val="0"/>
      <w:marBottom w:val="0"/>
      <w:divBdr>
        <w:top w:val="none" w:sz="0" w:space="0" w:color="auto"/>
        <w:left w:val="none" w:sz="0" w:space="0" w:color="auto"/>
        <w:bottom w:val="none" w:sz="0" w:space="0" w:color="auto"/>
        <w:right w:val="none" w:sz="0" w:space="0" w:color="auto"/>
      </w:divBdr>
    </w:div>
    <w:div w:id="818107084">
      <w:bodyDiv w:val="1"/>
      <w:marLeft w:val="0"/>
      <w:marRight w:val="0"/>
      <w:marTop w:val="0"/>
      <w:marBottom w:val="0"/>
      <w:divBdr>
        <w:top w:val="none" w:sz="0" w:space="0" w:color="auto"/>
        <w:left w:val="none" w:sz="0" w:space="0" w:color="auto"/>
        <w:bottom w:val="none" w:sz="0" w:space="0" w:color="auto"/>
        <w:right w:val="none" w:sz="0" w:space="0" w:color="auto"/>
      </w:divBdr>
    </w:div>
    <w:div w:id="821701015">
      <w:bodyDiv w:val="1"/>
      <w:marLeft w:val="0"/>
      <w:marRight w:val="0"/>
      <w:marTop w:val="0"/>
      <w:marBottom w:val="0"/>
      <w:divBdr>
        <w:top w:val="none" w:sz="0" w:space="0" w:color="auto"/>
        <w:left w:val="none" w:sz="0" w:space="0" w:color="auto"/>
        <w:bottom w:val="none" w:sz="0" w:space="0" w:color="auto"/>
        <w:right w:val="none" w:sz="0" w:space="0" w:color="auto"/>
      </w:divBdr>
      <w:divsChild>
        <w:div w:id="410274252">
          <w:marLeft w:val="1166"/>
          <w:marRight w:val="0"/>
          <w:marTop w:val="60"/>
          <w:marBottom w:val="60"/>
          <w:divBdr>
            <w:top w:val="none" w:sz="0" w:space="0" w:color="auto"/>
            <w:left w:val="none" w:sz="0" w:space="0" w:color="auto"/>
            <w:bottom w:val="none" w:sz="0" w:space="0" w:color="auto"/>
            <w:right w:val="none" w:sz="0" w:space="0" w:color="auto"/>
          </w:divBdr>
        </w:div>
        <w:div w:id="630746262">
          <w:marLeft w:val="1166"/>
          <w:marRight w:val="0"/>
          <w:marTop w:val="60"/>
          <w:marBottom w:val="60"/>
          <w:divBdr>
            <w:top w:val="none" w:sz="0" w:space="0" w:color="auto"/>
            <w:left w:val="none" w:sz="0" w:space="0" w:color="auto"/>
            <w:bottom w:val="none" w:sz="0" w:space="0" w:color="auto"/>
            <w:right w:val="none" w:sz="0" w:space="0" w:color="auto"/>
          </w:divBdr>
        </w:div>
        <w:div w:id="646323151">
          <w:marLeft w:val="1166"/>
          <w:marRight w:val="0"/>
          <w:marTop w:val="60"/>
          <w:marBottom w:val="60"/>
          <w:divBdr>
            <w:top w:val="none" w:sz="0" w:space="0" w:color="auto"/>
            <w:left w:val="none" w:sz="0" w:space="0" w:color="auto"/>
            <w:bottom w:val="none" w:sz="0" w:space="0" w:color="auto"/>
            <w:right w:val="none" w:sz="0" w:space="0" w:color="auto"/>
          </w:divBdr>
        </w:div>
        <w:div w:id="856820287">
          <w:marLeft w:val="1166"/>
          <w:marRight w:val="0"/>
          <w:marTop w:val="60"/>
          <w:marBottom w:val="60"/>
          <w:divBdr>
            <w:top w:val="none" w:sz="0" w:space="0" w:color="auto"/>
            <w:left w:val="none" w:sz="0" w:space="0" w:color="auto"/>
            <w:bottom w:val="none" w:sz="0" w:space="0" w:color="auto"/>
            <w:right w:val="none" w:sz="0" w:space="0" w:color="auto"/>
          </w:divBdr>
        </w:div>
        <w:div w:id="1292251107">
          <w:marLeft w:val="1166"/>
          <w:marRight w:val="0"/>
          <w:marTop w:val="60"/>
          <w:marBottom w:val="60"/>
          <w:divBdr>
            <w:top w:val="none" w:sz="0" w:space="0" w:color="auto"/>
            <w:left w:val="none" w:sz="0" w:space="0" w:color="auto"/>
            <w:bottom w:val="none" w:sz="0" w:space="0" w:color="auto"/>
            <w:right w:val="none" w:sz="0" w:space="0" w:color="auto"/>
          </w:divBdr>
        </w:div>
        <w:div w:id="1958216562">
          <w:marLeft w:val="1166"/>
          <w:marRight w:val="0"/>
          <w:marTop w:val="60"/>
          <w:marBottom w:val="60"/>
          <w:divBdr>
            <w:top w:val="none" w:sz="0" w:space="0" w:color="auto"/>
            <w:left w:val="none" w:sz="0" w:space="0" w:color="auto"/>
            <w:bottom w:val="none" w:sz="0" w:space="0" w:color="auto"/>
            <w:right w:val="none" w:sz="0" w:space="0" w:color="auto"/>
          </w:divBdr>
        </w:div>
      </w:divsChild>
    </w:div>
    <w:div w:id="834952451">
      <w:bodyDiv w:val="1"/>
      <w:marLeft w:val="0"/>
      <w:marRight w:val="0"/>
      <w:marTop w:val="0"/>
      <w:marBottom w:val="0"/>
      <w:divBdr>
        <w:top w:val="none" w:sz="0" w:space="0" w:color="auto"/>
        <w:left w:val="none" w:sz="0" w:space="0" w:color="auto"/>
        <w:bottom w:val="none" w:sz="0" w:space="0" w:color="auto"/>
        <w:right w:val="none" w:sz="0" w:space="0" w:color="auto"/>
      </w:divBdr>
    </w:div>
    <w:div w:id="860170392">
      <w:bodyDiv w:val="1"/>
      <w:marLeft w:val="0"/>
      <w:marRight w:val="0"/>
      <w:marTop w:val="0"/>
      <w:marBottom w:val="0"/>
      <w:divBdr>
        <w:top w:val="none" w:sz="0" w:space="0" w:color="auto"/>
        <w:left w:val="none" w:sz="0" w:space="0" w:color="auto"/>
        <w:bottom w:val="none" w:sz="0" w:space="0" w:color="auto"/>
        <w:right w:val="none" w:sz="0" w:space="0" w:color="auto"/>
      </w:divBdr>
    </w:div>
    <w:div w:id="871959630">
      <w:bodyDiv w:val="1"/>
      <w:marLeft w:val="0"/>
      <w:marRight w:val="0"/>
      <w:marTop w:val="0"/>
      <w:marBottom w:val="0"/>
      <w:divBdr>
        <w:top w:val="none" w:sz="0" w:space="0" w:color="auto"/>
        <w:left w:val="none" w:sz="0" w:space="0" w:color="auto"/>
        <w:bottom w:val="none" w:sz="0" w:space="0" w:color="auto"/>
        <w:right w:val="none" w:sz="0" w:space="0" w:color="auto"/>
      </w:divBdr>
    </w:div>
    <w:div w:id="924388145">
      <w:bodyDiv w:val="1"/>
      <w:marLeft w:val="0"/>
      <w:marRight w:val="0"/>
      <w:marTop w:val="0"/>
      <w:marBottom w:val="0"/>
      <w:divBdr>
        <w:top w:val="none" w:sz="0" w:space="0" w:color="auto"/>
        <w:left w:val="none" w:sz="0" w:space="0" w:color="auto"/>
        <w:bottom w:val="none" w:sz="0" w:space="0" w:color="auto"/>
        <w:right w:val="none" w:sz="0" w:space="0" w:color="auto"/>
      </w:divBdr>
    </w:div>
    <w:div w:id="931671341">
      <w:bodyDiv w:val="1"/>
      <w:marLeft w:val="0"/>
      <w:marRight w:val="0"/>
      <w:marTop w:val="0"/>
      <w:marBottom w:val="0"/>
      <w:divBdr>
        <w:top w:val="none" w:sz="0" w:space="0" w:color="auto"/>
        <w:left w:val="none" w:sz="0" w:space="0" w:color="auto"/>
        <w:bottom w:val="none" w:sz="0" w:space="0" w:color="auto"/>
        <w:right w:val="none" w:sz="0" w:space="0" w:color="auto"/>
      </w:divBdr>
    </w:div>
    <w:div w:id="944919837">
      <w:bodyDiv w:val="1"/>
      <w:marLeft w:val="0"/>
      <w:marRight w:val="0"/>
      <w:marTop w:val="0"/>
      <w:marBottom w:val="0"/>
      <w:divBdr>
        <w:top w:val="none" w:sz="0" w:space="0" w:color="auto"/>
        <w:left w:val="none" w:sz="0" w:space="0" w:color="auto"/>
        <w:bottom w:val="none" w:sz="0" w:space="0" w:color="auto"/>
        <w:right w:val="none" w:sz="0" w:space="0" w:color="auto"/>
      </w:divBdr>
    </w:div>
    <w:div w:id="958146321">
      <w:bodyDiv w:val="1"/>
      <w:marLeft w:val="0"/>
      <w:marRight w:val="0"/>
      <w:marTop w:val="0"/>
      <w:marBottom w:val="0"/>
      <w:divBdr>
        <w:top w:val="none" w:sz="0" w:space="0" w:color="auto"/>
        <w:left w:val="none" w:sz="0" w:space="0" w:color="auto"/>
        <w:bottom w:val="none" w:sz="0" w:space="0" w:color="auto"/>
        <w:right w:val="none" w:sz="0" w:space="0" w:color="auto"/>
      </w:divBdr>
    </w:div>
    <w:div w:id="963579575">
      <w:bodyDiv w:val="1"/>
      <w:marLeft w:val="0"/>
      <w:marRight w:val="0"/>
      <w:marTop w:val="0"/>
      <w:marBottom w:val="0"/>
      <w:divBdr>
        <w:top w:val="none" w:sz="0" w:space="0" w:color="auto"/>
        <w:left w:val="none" w:sz="0" w:space="0" w:color="auto"/>
        <w:bottom w:val="none" w:sz="0" w:space="0" w:color="auto"/>
        <w:right w:val="none" w:sz="0" w:space="0" w:color="auto"/>
      </w:divBdr>
    </w:div>
    <w:div w:id="969045076">
      <w:bodyDiv w:val="1"/>
      <w:marLeft w:val="0"/>
      <w:marRight w:val="0"/>
      <w:marTop w:val="0"/>
      <w:marBottom w:val="0"/>
      <w:divBdr>
        <w:top w:val="none" w:sz="0" w:space="0" w:color="auto"/>
        <w:left w:val="none" w:sz="0" w:space="0" w:color="auto"/>
        <w:bottom w:val="none" w:sz="0" w:space="0" w:color="auto"/>
        <w:right w:val="none" w:sz="0" w:space="0" w:color="auto"/>
      </w:divBdr>
    </w:div>
    <w:div w:id="986055988">
      <w:bodyDiv w:val="1"/>
      <w:marLeft w:val="0"/>
      <w:marRight w:val="0"/>
      <w:marTop w:val="0"/>
      <w:marBottom w:val="0"/>
      <w:divBdr>
        <w:top w:val="none" w:sz="0" w:space="0" w:color="auto"/>
        <w:left w:val="none" w:sz="0" w:space="0" w:color="auto"/>
        <w:bottom w:val="none" w:sz="0" w:space="0" w:color="auto"/>
        <w:right w:val="none" w:sz="0" w:space="0" w:color="auto"/>
      </w:divBdr>
      <w:divsChild>
        <w:div w:id="1661542476">
          <w:marLeft w:val="274"/>
          <w:marRight w:val="0"/>
          <w:marTop w:val="0"/>
          <w:marBottom w:val="0"/>
          <w:divBdr>
            <w:top w:val="none" w:sz="0" w:space="0" w:color="auto"/>
            <w:left w:val="none" w:sz="0" w:space="0" w:color="auto"/>
            <w:bottom w:val="none" w:sz="0" w:space="0" w:color="auto"/>
            <w:right w:val="none" w:sz="0" w:space="0" w:color="auto"/>
          </w:divBdr>
        </w:div>
        <w:div w:id="1923366478">
          <w:marLeft w:val="274"/>
          <w:marRight w:val="0"/>
          <w:marTop w:val="0"/>
          <w:marBottom w:val="0"/>
          <w:divBdr>
            <w:top w:val="none" w:sz="0" w:space="0" w:color="auto"/>
            <w:left w:val="none" w:sz="0" w:space="0" w:color="auto"/>
            <w:bottom w:val="none" w:sz="0" w:space="0" w:color="auto"/>
            <w:right w:val="none" w:sz="0" w:space="0" w:color="auto"/>
          </w:divBdr>
        </w:div>
      </w:divsChild>
    </w:div>
    <w:div w:id="986469342">
      <w:bodyDiv w:val="1"/>
      <w:marLeft w:val="0"/>
      <w:marRight w:val="0"/>
      <w:marTop w:val="0"/>
      <w:marBottom w:val="0"/>
      <w:divBdr>
        <w:top w:val="none" w:sz="0" w:space="0" w:color="auto"/>
        <w:left w:val="none" w:sz="0" w:space="0" w:color="auto"/>
        <w:bottom w:val="none" w:sz="0" w:space="0" w:color="auto"/>
        <w:right w:val="none" w:sz="0" w:space="0" w:color="auto"/>
      </w:divBdr>
    </w:div>
    <w:div w:id="987979829">
      <w:bodyDiv w:val="1"/>
      <w:marLeft w:val="0"/>
      <w:marRight w:val="0"/>
      <w:marTop w:val="0"/>
      <w:marBottom w:val="0"/>
      <w:divBdr>
        <w:top w:val="none" w:sz="0" w:space="0" w:color="auto"/>
        <w:left w:val="none" w:sz="0" w:space="0" w:color="auto"/>
        <w:bottom w:val="none" w:sz="0" w:space="0" w:color="auto"/>
        <w:right w:val="none" w:sz="0" w:space="0" w:color="auto"/>
      </w:divBdr>
    </w:div>
    <w:div w:id="988902737">
      <w:bodyDiv w:val="1"/>
      <w:marLeft w:val="0"/>
      <w:marRight w:val="0"/>
      <w:marTop w:val="0"/>
      <w:marBottom w:val="0"/>
      <w:divBdr>
        <w:top w:val="none" w:sz="0" w:space="0" w:color="auto"/>
        <w:left w:val="none" w:sz="0" w:space="0" w:color="auto"/>
        <w:bottom w:val="none" w:sz="0" w:space="0" w:color="auto"/>
        <w:right w:val="none" w:sz="0" w:space="0" w:color="auto"/>
      </w:divBdr>
    </w:div>
    <w:div w:id="996033706">
      <w:bodyDiv w:val="1"/>
      <w:marLeft w:val="0"/>
      <w:marRight w:val="0"/>
      <w:marTop w:val="0"/>
      <w:marBottom w:val="0"/>
      <w:divBdr>
        <w:top w:val="none" w:sz="0" w:space="0" w:color="auto"/>
        <w:left w:val="none" w:sz="0" w:space="0" w:color="auto"/>
        <w:bottom w:val="none" w:sz="0" w:space="0" w:color="auto"/>
        <w:right w:val="none" w:sz="0" w:space="0" w:color="auto"/>
      </w:divBdr>
    </w:div>
    <w:div w:id="1009016404">
      <w:bodyDiv w:val="1"/>
      <w:marLeft w:val="0"/>
      <w:marRight w:val="0"/>
      <w:marTop w:val="0"/>
      <w:marBottom w:val="0"/>
      <w:divBdr>
        <w:top w:val="none" w:sz="0" w:space="0" w:color="auto"/>
        <w:left w:val="none" w:sz="0" w:space="0" w:color="auto"/>
        <w:bottom w:val="none" w:sz="0" w:space="0" w:color="auto"/>
        <w:right w:val="none" w:sz="0" w:space="0" w:color="auto"/>
      </w:divBdr>
    </w:div>
    <w:div w:id="1013000096">
      <w:bodyDiv w:val="1"/>
      <w:marLeft w:val="0"/>
      <w:marRight w:val="0"/>
      <w:marTop w:val="0"/>
      <w:marBottom w:val="0"/>
      <w:divBdr>
        <w:top w:val="none" w:sz="0" w:space="0" w:color="auto"/>
        <w:left w:val="none" w:sz="0" w:space="0" w:color="auto"/>
        <w:bottom w:val="none" w:sz="0" w:space="0" w:color="auto"/>
        <w:right w:val="none" w:sz="0" w:space="0" w:color="auto"/>
      </w:divBdr>
      <w:divsChild>
        <w:div w:id="650912571">
          <w:marLeft w:val="547"/>
          <w:marRight w:val="0"/>
          <w:marTop w:val="0"/>
          <w:marBottom w:val="0"/>
          <w:divBdr>
            <w:top w:val="none" w:sz="0" w:space="0" w:color="auto"/>
            <w:left w:val="none" w:sz="0" w:space="0" w:color="auto"/>
            <w:bottom w:val="none" w:sz="0" w:space="0" w:color="auto"/>
            <w:right w:val="none" w:sz="0" w:space="0" w:color="auto"/>
          </w:divBdr>
        </w:div>
        <w:div w:id="1497258140">
          <w:marLeft w:val="547"/>
          <w:marRight w:val="0"/>
          <w:marTop w:val="0"/>
          <w:marBottom w:val="0"/>
          <w:divBdr>
            <w:top w:val="none" w:sz="0" w:space="0" w:color="auto"/>
            <w:left w:val="none" w:sz="0" w:space="0" w:color="auto"/>
            <w:bottom w:val="none" w:sz="0" w:space="0" w:color="auto"/>
            <w:right w:val="none" w:sz="0" w:space="0" w:color="auto"/>
          </w:divBdr>
        </w:div>
        <w:div w:id="1692220916">
          <w:marLeft w:val="547"/>
          <w:marRight w:val="0"/>
          <w:marTop w:val="0"/>
          <w:marBottom w:val="0"/>
          <w:divBdr>
            <w:top w:val="none" w:sz="0" w:space="0" w:color="auto"/>
            <w:left w:val="none" w:sz="0" w:space="0" w:color="auto"/>
            <w:bottom w:val="none" w:sz="0" w:space="0" w:color="auto"/>
            <w:right w:val="none" w:sz="0" w:space="0" w:color="auto"/>
          </w:divBdr>
        </w:div>
        <w:div w:id="2035417399">
          <w:marLeft w:val="446"/>
          <w:marRight w:val="0"/>
          <w:marTop w:val="0"/>
          <w:marBottom w:val="0"/>
          <w:divBdr>
            <w:top w:val="none" w:sz="0" w:space="0" w:color="auto"/>
            <w:left w:val="none" w:sz="0" w:space="0" w:color="auto"/>
            <w:bottom w:val="none" w:sz="0" w:space="0" w:color="auto"/>
            <w:right w:val="none" w:sz="0" w:space="0" w:color="auto"/>
          </w:divBdr>
        </w:div>
        <w:div w:id="2039160316">
          <w:marLeft w:val="547"/>
          <w:marRight w:val="0"/>
          <w:marTop w:val="0"/>
          <w:marBottom w:val="0"/>
          <w:divBdr>
            <w:top w:val="none" w:sz="0" w:space="0" w:color="auto"/>
            <w:left w:val="none" w:sz="0" w:space="0" w:color="auto"/>
            <w:bottom w:val="none" w:sz="0" w:space="0" w:color="auto"/>
            <w:right w:val="none" w:sz="0" w:space="0" w:color="auto"/>
          </w:divBdr>
        </w:div>
      </w:divsChild>
    </w:div>
    <w:div w:id="1013266800">
      <w:bodyDiv w:val="1"/>
      <w:marLeft w:val="0"/>
      <w:marRight w:val="0"/>
      <w:marTop w:val="0"/>
      <w:marBottom w:val="0"/>
      <w:divBdr>
        <w:top w:val="none" w:sz="0" w:space="0" w:color="auto"/>
        <w:left w:val="none" w:sz="0" w:space="0" w:color="auto"/>
        <w:bottom w:val="none" w:sz="0" w:space="0" w:color="auto"/>
        <w:right w:val="none" w:sz="0" w:space="0" w:color="auto"/>
      </w:divBdr>
    </w:div>
    <w:div w:id="1016812377">
      <w:bodyDiv w:val="1"/>
      <w:marLeft w:val="0"/>
      <w:marRight w:val="0"/>
      <w:marTop w:val="0"/>
      <w:marBottom w:val="0"/>
      <w:divBdr>
        <w:top w:val="none" w:sz="0" w:space="0" w:color="auto"/>
        <w:left w:val="none" w:sz="0" w:space="0" w:color="auto"/>
        <w:bottom w:val="none" w:sz="0" w:space="0" w:color="auto"/>
        <w:right w:val="none" w:sz="0" w:space="0" w:color="auto"/>
      </w:divBdr>
    </w:div>
    <w:div w:id="1106922414">
      <w:bodyDiv w:val="1"/>
      <w:marLeft w:val="0"/>
      <w:marRight w:val="0"/>
      <w:marTop w:val="0"/>
      <w:marBottom w:val="0"/>
      <w:divBdr>
        <w:top w:val="none" w:sz="0" w:space="0" w:color="auto"/>
        <w:left w:val="none" w:sz="0" w:space="0" w:color="auto"/>
        <w:bottom w:val="none" w:sz="0" w:space="0" w:color="auto"/>
        <w:right w:val="none" w:sz="0" w:space="0" w:color="auto"/>
      </w:divBdr>
    </w:div>
    <w:div w:id="1134718520">
      <w:bodyDiv w:val="1"/>
      <w:marLeft w:val="0"/>
      <w:marRight w:val="0"/>
      <w:marTop w:val="0"/>
      <w:marBottom w:val="0"/>
      <w:divBdr>
        <w:top w:val="none" w:sz="0" w:space="0" w:color="auto"/>
        <w:left w:val="none" w:sz="0" w:space="0" w:color="auto"/>
        <w:bottom w:val="none" w:sz="0" w:space="0" w:color="auto"/>
        <w:right w:val="none" w:sz="0" w:space="0" w:color="auto"/>
      </w:divBdr>
    </w:div>
    <w:div w:id="1144540603">
      <w:bodyDiv w:val="1"/>
      <w:marLeft w:val="0"/>
      <w:marRight w:val="0"/>
      <w:marTop w:val="0"/>
      <w:marBottom w:val="0"/>
      <w:divBdr>
        <w:top w:val="none" w:sz="0" w:space="0" w:color="auto"/>
        <w:left w:val="none" w:sz="0" w:space="0" w:color="auto"/>
        <w:bottom w:val="none" w:sz="0" w:space="0" w:color="auto"/>
        <w:right w:val="none" w:sz="0" w:space="0" w:color="auto"/>
      </w:divBdr>
    </w:div>
    <w:div w:id="1163085130">
      <w:bodyDiv w:val="1"/>
      <w:marLeft w:val="0"/>
      <w:marRight w:val="0"/>
      <w:marTop w:val="0"/>
      <w:marBottom w:val="0"/>
      <w:divBdr>
        <w:top w:val="none" w:sz="0" w:space="0" w:color="auto"/>
        <w:left w:val="none" w:sz="0" w:space="0" w:color="auto"/>
        <w:bottom w:val="none" w:sz="0" w:space="0" w:color="auto"/>
        <w:right w:val="none" w:sz="0" w:space="0" w:color="auto"/>
      </w:divBdr>
    </w:div>
    <w:div w:id="1173766195">
      <w:bodyDiv w:val="1"/>
      <w:marLeft w:val="0"/>
      <w:marRight w:val="0"/>
      <w:marTop w:val="0"/>
      <w:marBottom w:val="0"/>
      <w:divBdr>
        <w:top w:val="none" w:sz="0" w:space="0" w:color="auto"/>
        <w:left w:val="none" w:sz="0" w:space="0" w:color="auto"/>
        <w:bottom w:val="none" w:sz="0" w:space="0" w:color="auto"/>
        <w:right w:val="none" w:sz="0" w:space="0" w:color="auto"/>
      </w:divBdr>
    </w:div>
    <w:div w:id="1177769509">
      <w:bodyDiv w:val="1"/>
      <w:marLeft w:val="0"/>
      <w:marRight w:val="0"/>
      <w:marTop w:val="0"/>
      <w:marBottom w:val="0"/>
      <w:divBdr>
        <w:top w:val="none" w:sz="0" w:space="0" w:color="auto"/>
        <w:left w:val="none" w:sz="0" w:space="0" w:color="auto"/>
        <w:bottom w:val="none" w:sz="0" w:space="0" w:color="auto"/>
        <w:right w:val="none" w:sz="0" w:space="0" w:color="auto"/>
      </w:divBdr>
      <w:divsChild>
        <w:div w:id="573855578">
          <w:marLeft w:val="547"/>
          <w:marRight w:val="0"/>
          <w:marTop w:val="120"/>
          <w:marBottom w:val="120"/>
          <w:divBdr>
            <w:top w:val="none" w:sz="0" w:space="0" w:color="auto"/>
            <w:left w:val="none" w:sz="0" w:space="0" w:color="auto"/>
            <w:bottom w:val="none" w:sz="0" w:space="0" w:color="auto"/>
            <w:right w:val="none" w:sz="0" w:space="0" w:color="auto"/>
          </w:divBdr>
        </w:div>
        <w:div w:id="810756492">
          <w:marLeft w:val="547"/>
          <w:marRight w:val="0"/>
          <w:marTop w:val="120"/>
          <w:marBottom w:val="120"/>
          <w:divBdr>
            <w:top w:val="none" w:sz="0" w:space="0" w:color="auto"/>
            <w:left w:val="none" w:sz="0" w:space="0" w:color="auto"/>
            <w:bottom w:val="none" w:sz="0" w:space="0" w:color="auto"/>
            <w:right w:val="none" w:sz="0" w:space="0" w:color="auto"/>
          </w:divBdr>
        </w:div>
        <w:div w:id="1024283232">
          <w:marLeft w:val="547"/>
          <w:marRight w:val="0"/>
          <w:marTop w:val="120"/>
          <w:marBottom w:val="120"/>
          <w:divBdr>
            <w:top w:val="none" w:sz="0" w:space="0" w:color="auto"/>
            <w:left w:val="none" w:sz="0" w:space="0" w:color="auto"/>
            <w:bottom w:val="none" w:sz="0" w:space="0" w:color="auto"/>
            <w:right w:val="none" w:sz="0" w:space="0" w:color="auto"/>
          </w:divBdr>
        </w:div>
        <w:div w:id="1719933542">
          <w:marLeft w:val="547"/>
          <w:marRight w:val="0"/>
          <w:marTop w:val="120"/>
          <w:marBottom w:val="120"/>
          <w:divBdr>
            <w:top w:val="none" w:sz="0" w:space="0" w:color="auto"/>
            <w:left w:val="none" w:sz="0" w:space="0" w:color="auto"/>
            <w:bottom w:val="none" w:sz="0" w:space="0" w:color="auto"/>
            <w:right w:val="none" w:sz="0" w:space="0" w:color="auto"/>
          </w:divBdr>
        </w:div>
        <w:div w:id="2071154107">
          <w:marLeft w:val="547"/>
          <w:marRight w:val="0"/>
          <w:marTop w:val="120"/>
          <w:marBottom w:val="120"/>
          <w:divBdr>
            <w:top w:val="none" w:sz="0" w:space="0" w:color="auto"/>
            <w:left w:val="none" w:sz="0" w:space="0" w:color="auto"/>
            <w:bottom w:val="none" w:sz="0" w:space="0" w:color="auto"/>
            <w:right w:val="none" w:sz="0" w:space="0" w:color="auto"/>
          </w:divBdr>
        </w:div>
      </w:divsChild>
    </w:div>
    <w:div w:id="1180042259">
      <w:bodyDiv w:val="1"/>
      <w:marLeft w:val="0"/>
      <w:marRight w:val="0"/>
      <w:marTop w:val="0"/>
      <w:marBottom w:val="0"/>
      <w:divBdr>
        <w:top w:val="none" w:sz="0" w:space="0" w:color="auto"/>
        <w:left w:val="none" w:sz="0" w:space="0" w:color="auto"/>
        <w:bottom w:val="none" w:sz="0" w:space="0" w:color="auto"/>
        <w:right w:val="none" w:sz="0" w:space="0" w:color="auto"/>
      </w:divBdr>
    </w:div>
    <w:div w:id="1219589619">
      <w:bodyDiv w:val="1"/>
      <w:marLeft w:val="0"/>
      <w:marRight w:val="0"/>
      <w:marTop w:val="0"/>
      <w:marBottom w:val="0"/>
      <w:divBdr>
        <w:top w:val="none" w:sz="0" w:space="0" w:color="auto"/>
        <w:left w:val="none" w:sz="0" w:space="0" w:color="auto"/>
        <w:bottom w:val="none" w:sz="0" w:space="0" w:color="auto"/>
        <w:right w:val="none" w:sz="0" w:space="0" w:color="auto"/>
      </w:divBdr>
    </w:div>
    <w:div w:id="1246842142">
      <w:bodyDiv w:val="1"/>
      <w:marLeft w:val="0"/>
      <w:marRight w:val="0"/>
      <w:marTop w:val="0"/>
      <w:marBottom w:val="0"/>
      <w:divBdr>
        <w:top w:val="none" w:sz="0" w:space="0" w:color="auto"/>
        <w:left w:val="none" w:sz="0" w:space="0" w:color="auto"/>
        <w:bottom w:val="none" w:sz="0" w:space="0" w:color="auto"/>
        <w:right w:val="none" w:sz="0" w:space="0" w:color="auto"/>
      </w:divBdr>
    </w:div>
    <w:div w:id="1269659892">
      <w:bodyDiv w:val="1"/>
      <w:marLeft w:val="0"/>
      <w:marRight w:val="0"/>
      <w:marTop w:val="0"/>
      <w:marBottom w:val="0"/>
      <w:divBdr>
        <w:top w:val="none" w:sz="0" w:space="0" w:color="auto"/>
        <w:left w:val="none" w:sz="0" w:space="0" w:color="auto"/>
        <w:bottom w:val="none" w:sz="0" w:space="0" w:color="auto"/>
        <w:right w:val="none" w:sz="0" w:space="0" w:color="auto"/>
      </w:divBdr>
    </w:div>
    <w:div w:id="1271083504">
      <w:bodyDiv w:val="1"/>
      <w:marLeft w:val="0"/>
      <w:marRight w:val="0"/>
      <w:marTop w:val="0"/>
      <w:marBottom w:val="0"/>
      <w:divBdr>
        <w:top w:val="none" w:sz="0" w:space="0" w:color="auto"/>
        <w:left w:val="none" w:sz="0" w:space="0" w:color="auto"/>
        <w:bottom w:val="none" w:sz="0" w:space="0" w:color="auto"/>
        <w:right w:val="none" w:sz="0" w:space="0" w:color="auto"/>
      </w:divBdr>
    </w:div>
    <w:div w:id="1273703859">
      <w:bodyDiv w:val="1"/>
      <w:marLeft w:val="0"/>
      <w:marRight w:val="0"/>
      <w:marTop w:val="0"/>
      <w:marBottom w:val="0"/>
      <w:divBdr>
        <w:top w:val="none" w:sz="0" w:space="0" w:color="auto"/>
        <w:left w:val="none" w:sz="0" w:space="0" w:color="auto"/>
        <w:bottom w:val="none" w:sz="0" w:space="0" w:color="auto"/>
        <w:right w:val="none" w:sz="0" w:space="0" w:color="auto"/>
      </w:divBdr>
      <w:divsChild>
        <w:div w:id="20859237">
          <w:marLeft w:val="446"/>
          <w:marRight w:val="0"/>
          <w:marTop w:val="120"/>
          <w:marBottom w:val="240"/>
          <w:divBdr>
            <w:top w:val="none" w:sz="0" w:space="0" w:color="auto"/>
            <w:left w:val="none" w:sz="0" w:space="0" w:color="auto"/>
            <w:bottom w:val="none" w:sz="0" w:space="0" w:color="auto"/>
            <w:right w:val="none" w:sz="0" w:space="0" w:color="auto"/>
          </w:divBdr>
        </w:div>
      </w:divsChild>
    </w:div>
    <w:div w:id="1318267177">
      <w:bodyDiv w:val="1"/>
      <w:marLeft w:val="0"/>
      <w:marRight w:val="0"/>
      <w:marTop w:val="0"/>
      <w:marBottom w:val="0"/>
      <w:divBdr>
        <w:top w:val="none" w:sz="0" w:space="0" w:color="auto"/>
        <w:left w:val="none" w:sz="0" w:space="0" w:color="auto"/>
        <w:bottom w:val="none" w:sz="0" w:space="0" w:color="auto"/>
        <w:right w:val="none" w:sz="0" w:space="0" w:color="auto"/>
      </w:divBdr>
      <w:divsChild>
        <w:div w:id="1261450986">
          <w:blockQuote w:val="1"/>
          <w:marLeft w:val="0"/>
          <w:marRight w:val="0"/>
          <w:marTop w:val="0"/>
          <w:marBottom w:val="0"/>
          <w:divBdr>
            <w:top w:val="none" w:sz="0" w:space="0" w:color="auto"/>
            <w:left w:val="none" w:sz="0" w:space="0" w:color="auto"/>
            <w:bottom w:val="none" w:sz="0" w:space="0" w:color="auto"/>
            <w:right w:val="none" w:sz="0" w:space="0" w:color="auto"/>
          </w:divBdr>
          <w:divsChild>
            <w:div w:id="372274566">
              <w:blockQuote w:val="1"/>
              <w:marLeft w:val="0"/>
              <w:marRight w:val="0"/>
              <w:marTop w:val="0"/>
              <w:marBottom w:val="0"/>
              <w:divBdr>
                <w:top w:val="none" w:sz="0" w:space="0" w:color="auto"/>
                <w:left w:val="none" w:sz="0" w:space="0" w:color="auto"/>
                <w:bottom w:val="none" w:sz="0" w:space="0" w:color="auto"/>
                <w:right w:val="none" w:sz="0" w:space="0" w:color="auto"/>
              </w:divBdr>
              <w:divsChild>
                <w:div w:id="289286044">
                  <w:blockQuote w:val="1"/>
                  <w:marLeft w:val="0"/>
                  <w:marRight w:val="0"/>
                  <w:marTop w:val="0"/>
                  <w:marBottom w:val="0"/>
                  <w:divBdr>
                    <w:top w:val="none" w:sz="0" w:space="0" w:color="auto"/>
                    <w:left w:val="none" w:sz="0" w:space="0" w:color="auto"/>
                    <w:bottom w:val="none" w:sz="0" w:space="0" w:color="auto"/>
                    <w:right w:val="none" w:sz="0" w:space="0" w:color="auto"/>
                  </w:divBdr>
                  <w:divsChild>
                    <w:div w:id="1462193595">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8920404">
      <w:bodyDiv w:val="1"/>
      <w:marLeft w:val="0"/>
      <w:marRight w:val="0"/>
      <w:marTop w:val="0"/>
      <w:marBottom w:val="0"/>
      <w:divBdr>
        <w:top w:val="none" w:sz="0" w:space="0" w:color="auto"/>
        <w:left w:val="none" w:sz="0" w:space="0" w:color="auto"/>
        <w:bottom w:val="none" w:sz="0" w:space="0" w:color="auto"/>
        <w:right w:val="none" w:sz="0" w:space="0" w:color="auto"/>
      </w:divBdr>
    </w:div>
    <w:div w:id="1329408283">
      <w:bodyDiv w:val="1"/>
      <w:marLeft w:val="0"/>
      <w:marRight w:val="0"/>
      <w:marTop w:val="0"/>
      <w:marBottom w:val="0"/>
      <w:divBdr>
        <w:top w:val="none" w:sz="0" w:space="0" w:color="auto"/>
        <w:left w:val="none" w:sz="0" w:space="0" w:color="auto"/>
        <w:bottom w:val="none" w:sz="0" w:space="0" w:color="auto"/>
        <w:right w:val="none" w:sz="0" w:space="0" w:color="auto"/>
      </w:divBdr>
    </w:div>
    <w:div w:id="1330908500">
      <w:bodyDiv w:val="1"/>
      <w:marLeft w:val="0"/>
      <w:marRight w:val="0"/>
      <w:marTop w:val="0"/>
      <w:marBottom w:val="0"/>
      <w:divBdr>
        <w:top w:val="none" w:sz="0" w:space="0" w:color="auto"/>
        <w:left w:val="none" w:sz="0" w:space="0" w:color="auto"/>
        <w:bottom w:val="none" w:sz="0" w:space="0" w:color="auto"/>
        <w:right w:val="none" w:sz="0" w:space="0" w:color="auto"/>
      </w:divBdr>
      <w:divsChild>
        <w:div w:id="1502937300">
          <w:marLeft w:val="446"/>
          <w:marRight w:val="0"/>
          <w:marTop w:val="120"/>
          <w:marBottom w:val="240"/>
          <w:divBdr>
            <w:top w:val="none" w:sz="0" w:space="0" w:color="auto"/>
            <w:left w:val="none" w:sz="0" w:space="0" w:color="auto"/>
            <w:bottom w:val="none" w:sz="0" w:space="0" w:color="auto"/>
            <w:right w:val="none" w:sz="0" w:space="0" w:color="auto"/>
          </w:divBdr>
        </w:div>
      </w:divsChild>
    </w:div>
    <w:div w:id="1330908741">
      <w:bodyDiv w:val="1"/>
      <w:marLeft w:val="0"/>
      <w:marRight w:val="0"/>
      <w:marTop w:val="0"/>
      <w:marBottom w:val="0"/>
      <w:divBdr>
        <w:top w:val="none" w:sz="0" w:space="0" w:color="auto"/>
        <w:left w:val="none" w:sz="0" w:space="0" w:color="auto"/>
        <w:bottom w:val="none" w:sz="0" w:space="0" w:color="auto"/>
        <w:right w:val="none" w:sz="0" w:space="0" w:color="auto"/>
      </w:divBdr>
    </w:div>
    <w:div w:id="1344622921">
      <w:bodyDiv w:val="1"/>
      <w:marLeft w:val="0"/>
      <w:marRight w:val="0"/>
      <w:marTop w:val="0"/>
      <w:marBottom w:val="0"/>
      <w:divBdr>
        <w:top w:val="none" w:sz="0" w:space="0" w:color="auto"/>
        <w:left w:val="none" w:sz="0" w:space="0" w:color="auto"/>
        <w:bottom w:val="none" w:sz="0" w:space="0" w:color="auto"/>
        <w:right w:val="none" w:sz="0" w:space="0" w:color="auto"/>
      </w:divBdr>
    </w:div>
    <w:div w:id="1367216685">
      <w:bodyDiv w:val="1"/>
      <w:marLeft w:val="0"/>
      <w:marRight w:val="0"/>
      <w:marTop w:val="0"/>
      <w:marBottom w:val="0"/>
      <w:divBdr>
        <w:top w:val="none" w:sz="0" w:space="0" w:color="auto"/>
        <w:left w:val="none" w:sz="0" w:space="0" w:color="auto"/>
        <w:bottom w:val="none" w:sz="0" w:space="0" w:color="auto"/>
        <w:right w:val="none" w:sz="0" w:space="0" w:color="auto"/>
      </w:divBdr>
    </w:div>
    <w:div w:id="1382359432">
      <w:bodyDiv w:val="1"/>
      <w:marLeft w:val="0"/>
      <w:marRight w:val="0"/>
      <w:marTop w:val="0"/>
      <w:marBottom w:val="0"/>
      <w:divBdr>
        <w:top w:val="none" w:sz="0" w:space="0" w:color="auto"/>
        <w:left w:val="none" w:sz="0" w:space="0" w:color="auto"/>
        <w:bottom w:val="none" w:sz="0" w:space="0" w:color="auto"/>
        <w:right w:val="none" w:sz="0" w:space="0" w:color="auto"/>
      </w:divBdr>
    </w:div>
    <w:div w:id="1389839438">
      <w:bodyDiv w:val="1"/>
      <w:marLeft w:val="0"/>
      <w:marRight w:val="0"/>
      <w:marTop w:val="0"/>
      <w:marBottom w:val="0"/>
      <w:divBdr>
        <w:top w:val="none" w:sz="0" w:space="0" w:color="auto"/>
        <w:left w:val="none" w:sz="0" w:space="0" w:color="auto"/>
        <w:bottom w:val="none" w:sz="0" w:space="0" w:color="auto"/>
        <w:right w:val="none" w:sz="0" w:space="0" w:color="auto"/>
      </w:divBdr>
    </w:div>
    <w:div w:id="1407456469">
      <w:bodyDiv w:val="1"/>
      <w:marLeft w:val="0"/>
      <w:marRight w:val="0"/>
      <w:marTop w:val="0"/>
      <w:marBottom w:val="0"/>
      <w:divBdr>
        <w:top w:val="none" w:sz="0" w:space="0" w:color="auto"/>
        <w:left w:val="none" w:sz="0" w:space="0" w:color="auto"/>
        <w:bottom w:val="none" w:sz="0" w:space="0" w:color="auto"/>
        <w:right w:val="none" w:sz="0" w:space="0" w:color="auto"/>
      </w:divBdr>
    </w:div>
    <w:div w:id="1418399803">
      <w:bodyDiv w:val="1"/>
      <w:marLeft w:val="0"/>
      <w:marRight w:val="0"/>
      <w:marTop w:val="0"/>
      <w:marBottom w:val="0"/>
      <w:divBdr>
        <w:top w:val="none" w:sz="0" w:space="0" w:color="auto"/>
        <w:left w:val="none" w:sz="0" w:space="0" w:color="auto"/>
        <w:bottom w:val="none" w:sz="0" w:space="0" w:color="auto"/>
        <w:right w:val="none" w:sz="0" w:space="0" w:color="auto"/>
      </w:divBdr>
      <w:divsChild>
        <w:div w:id="977076517">
          <w:marLeft w:val="288"/>
          <w:marRight w:val="0"/>
          <w:marTop w:val="0"/>
          <w:marBottom w:val="0"/>
          <w:divBdr>
            <w:top w:val="none" w:sz="0" w:space="0" w:color="auto"/>
            <w:left w:val="none" w:sz="0" w:space="0" w:color="auto"/>
            <w:bottom w:val="none" w:sz="0" w:space="0" w:color="auto"/>
            <w:right w:val="none" w:sz="0" w:space="0" w:color="auto"/>
          </w:divBdr>
        </w:div>
        <w:div w:id="1017578473">
          <w:marLeft w:val="288"/>
          <w:marRight w:val="0"/>
          <w:marTop w:val="0"/>
          <w:marBottom w:val="0"/>
          <w:divBdr>
            <w:top w:val="none" w:sz="0" w:space="0" w:color="auto"/>
            <w:left w:val="none" w:sz="0" w:space="0" w:color="auto"/>
            <w:bottom w:val="none" w:sz="0" w:space="0" w:color="auto"/>
            <w:right w:val="none" w:sz="0" w:space="0" w:color="auto"/>
          </w:divBdr>
        </w:div>
        <w:div w:id="1277639204">
          <w:marLeft w:val="288"/>
          <w:marRight w:val="0"/>
          <w:marTop w:val="0"/>
          <w:marBottom w:val="0"/>
          <w:divBdr>
            <w:top w:val="none" w:sz="0" w:space="0" w:color="auto"/>
            <w:left w:val="none" w:sz="0" w:space="0" w:color="auto"/>
            <w:bottom w:val="none" w:sz="0" w:space="0" w:color="auto"/>
            <w:right w:val="none" w:sz="0" w:space="0" w:color="auto"/>
          </w:divBdr>
        </w:div>
        <w:div w:id="1669140583">
          <w:marLeft w:val="288"/>
          <w:marRight w:val="0"/>
          <w:marTop w:val="0"/>
          <w:marBottom w:val="0"/>
          <w:divBdr>
            <w:top w:val="none" w:sz="0" w:space="0" w:color="auto"/>
            <w:left w:val="none" w:sz="0" w:space="0" w:color="auto"/>
            <w:bottom w:val="none" w:sz="0" w:space="0" w:color="auto"/>
            <w:right w:val="none" w:sz="0" w:space="0" w:color="auto"/>
          </w:divBdr>
        </w:div>
      </w:divsChild>
    </w:div>
    <w:div w:id="1419250426">
      <w:bodyDiv w:val="1"/>
      <w:marLeft w:val="0"/>
      <w:marRight w:val="0"/>
      <w:marTop w:val="0"/>
      <w:marBottom w:val="0"/>
      <w:divBdr>
        <w:top w:val="none" w:sz="0" w:space="0" w:color="auto"/>
        <w:left w:val="none" w:sz="0" w:space="0" w:color="auto"/>
        <w:bottom w:val="none" w:sz="0" w:space="0" w:color="auto"/>
        <w:right w:val="none" w:sz="0" w:space="0" w:color="auto"/>
      </w:divBdr>
    </w:div>
    <w:div w:id="1420367651">
      <w:bodyDiv w:val="1"/>
      <w:marLeft w:val="0"/>
      <w:marRight w:val="0"/>
      <w:marTop w:val="0"/>
      <w:marBottom w:val="0"/>
      <w:divBdr>
        <w:top w:val="none" w:sz="0" w:space="0" w:color="auto"/>
        <w:left w:val="none" w:sz="0" w:space="0" w:color="auto"/>
        <w:bottom w:val="none" w:sz="0" w:space="0" w:color="auto"/>
        <w:right w:val="none" w:sz="0" w:space="0" w:color="auto"/>
      </w:divBdr>
    </w:div>
    <w:div w:id="1431392624">
      <w:bodyDiv w:val="1"/>
      <w:marLeft w:val="0"/>
      <w:marRight w:val="0"/>
      <w:marTop w:val="0"/>
      <w:marBottom w:val="0"/>
      <w:divBdr>
        <w:top w:val="none" w:sz="0" w:space="0" w:color="auto"/>
        <w:left w:val="none" w:sz="0" w:space="0" w:color="auto"/>
        <w:bottom w:val="none" w:sz="0" w:space="0" w:color="auto"/>
        <w:right w:val="none" w:sz="0" w:space="0" w:color="auto"/>
      </w:divBdr>
    </w:div>
    <w:div w:id="1431896945">
      <w:bodyDiv w:val="1"/>
      <w:marLeft w:val="0"/>
      <w:marRight w:val="0"/>
      <w:marTop w:val="0"/>
      <w:marBottom w:val="0"/>
      <w:divBdr>
        <w:top w:val="none" w:sz="0" w:space="0" w:color="auto"/>
        <w:left w:val="none" w:sz="0" w:space="0" w:color="auto"/>
        <w:bottom w:val="none" w:sz="0" w:space="0" w:color="auto"/>
        <w:right w:val="none" w:sz="0" w:space="0" w:color="auto"/>
      </w:divBdr>
    </w:div>
    <w:div w:id="1434856735">
      <w:bodyDiv w:val="1"/>
      <w:marLeft w:val="0"/>
      <w:marRight w:val="0"/>
      <w:marTop w:val="0"/>
      <w:marBottom w:val="0"/>
      <w:divBdr>
        <w:top w:val="none" w:sz="0" w:space="0" w:color="auto"/>
        <w:left w:val="none" w:sz="0" w:space="0" w:color="auto"/>
        <w:bottom w:val="none" w:sz="0" w:space="0" w:color="auto"/>
        <w:right w:val="none" w:sz="0" w:space="0" w:color="auto"/>
      </w:divBdr>
    </w:div>
    <w:div w:id="1457018953">
      <w:bodyDiv w:val="1"/>
      <w:marLeft w:val="0"/>
      <w:marRight w:val="0"/>
      <w:marTop w:val="0"/>
      <w:marBottom w:val="0"/>
      <w:divBdr>
        <w:top w:val="none" w:sz="0" w:space="0" w:color="auto"/>
        <w:left w:val="none" w:sz="0" w:space="0" w:color="auto"/>
        <w:bottom w:val="none" w:sz="0" w:space="0" w:color="auto"/>
        <w:right w:val="none" w:sz="0" w:space="0" w:color="auto"/>
      </w:divBdr>
      <w:divsChild>
        <w:div w:id="13924296">
          <w:marLeft w:val="274"/>
          <w:marRight w:val="0"/>
          <w:marTop w:val="0"/>
          <w:marBottom w:val="0"/>
          <w:divBdr>
            <w:top w:val="none" w:sz="0" w:space="0" w:color="auto"/>
            <w:left w:val="none" w:sz="0" w:space="0" w:color="auto"/>
            <w:bottom w:val="none" w:sz="0" w:space="0" w:color="auto"/>
            <w:right w:val="none" w:sz="0" w:space="0" w:color="auto"/>
          </w:divBdr>
        </w:div>
      </w:divsChild>
    </w:div>
    <w:div w:id="1473018863">
      <w:bodyDiv w:val="1"/>
      <w:marLeft w:val="0"/>
      <w:marRight w:val="0"/>
      <w:marTop w:val="0"/>
      <w:marBottom w:val="0"/>
      <w:divBdr>
        <w:top w:val="none" w:sz="0" w:space="0" w:color="auto"/>
        <w:left w:val="none" w:sz="0" w:space="0" w:color="auto"/>
        <w:bottom w:val="none" w:sz="0" w:space="0" w:color="auto"/>
        <w:right w:val="none" w:sz="0" w:space="0" w:color="auto"/>
      </w:divBdr>
    </w:div>
    <w:div w:id="1529030226">
      <w:bodyDiv w:val="1"/>
      <w:marLeft w:val="0"/>
      <w:marRight w:val="0"/>
      <w:marTop w:val="0"/>
      <w:marBottom w:val="0"/>
      <w:divBdr>
        <w:top w:val="none" w:sz="0" w:space="0" w:color="auto"/>
        <w:left w:val="none" w:sz="0" w:space="0" w:color="auto"/>
        <w:bottom w:val="none" w:sz="0" w:space="0" w:color="auto"/>
        <w:right w:val="none" w:sz="0" w:space="0" w:color="auto"/>
      </w:divBdr>
    </w:div>
    <w:div w:id="1532838204">
      <w:bodyDiv w:val="1"/>
      <w:marLeft w:val="0"/>
      <w:marRight w:val="0"/>
      <w:marTop w:val="0"/>
      <w:marBottom w:val="0"/>
      <w:divBdr>
        <w:top w:val="none" w:sz="0" w:space="0" w:color="auto"/>
        <w:left w:val="none" w:sz="0" w:space="0" w:color="auto"/>
        <w:bottom w:val="none" w:sz="0" w:space="0" w:color="auto"/>
        <w:right w:val="none" w:sz="0" w:space="0" w:color="auto"/>
      </w:divBdr>
    </w:div>
    <w:div w:id="1537351199">
      <w:bodyDiv w:val="1"/>
      <w:marLeft w:val="0"/>
      <w:marRight w:val="0"/>
      <w:marTop w:val="0"/>
      <w:marBottom w:val="0"/>
      <w:divBdr>
        <w:top w:val="none" w:sz="0" w:space="0" w:color="auto"/>
        <w:left w:val="none" w:sz="0" w:space="0" w:color="auto"/>
        <w:bottom w:val="none" w:sz="0" w:space="0" w:color="auto"/>
        <w:right w:val="none" w:sz="0" w:space="0" w:color="auto"/>
      </w:divBdr>
    </w:div>
    <w:div w:id="1560246663">
      <w:bodyDiv w:val="1"/>
      <w:marLeft w:val="0"/>
      <w:marRight w:val="0"/>
      <w:marTop w:val="0"/>
      <w:marBottom w:val="0"/>
      <w:divBdr>
        <w:top w:val="none" w:sz="0" w:space="0" w:color="auto"/>
        <w:left w:val="none" w:sz="0" w:space="0" w:color="auto"/>
        <w:bottom w:val="none" w:sz="0" w:space="0" w:color="auto"/>
        <w:right w:val="none" w:sz="0" w:space="0" w:color="auto"/>
      </w:divBdr>
    </w:div>
    <w:div w:id="1561092470">
      <w:bodyDiv w:val="1"/>
      <w:marLeft w:val="0"/>
      <w:marRight w:val="0"/>
      <w:marTop w:val="0"/>
      <w:marBottom w:val="0"/>
      <w:divBdr>
        <w:top w:val="none" w:sz="0" w:space="0" w:color="auto"/>
        <w:left w:val="none" w:sz="0" w:space="0" w:color="auto"/>
        <w:bottom w:val="none" w:sz="0" w:space="0" w:color="auto"/>
        <w:right w:val="none" w:sz="0" w:space="0" w:color="auto"/>
      </w:divBdr>
      <w:divsChild>
        <w:div w:id="897057519">
          <w:marLeft w:val="446"/>
          <w:marRight w:val="0"/>
          <w:marTop w:val="0"/>
          <w:marBottom w:val="0"/>
          <w:divBdr>
            <w:top w:val="none" w:sz="0" w:space="0" w:color="auto"/>
            <w:left w:val="none" w:sz="0" w:space="0" w:color="auto"/>
            <w:bottom w:val="none" w:sz="0" w:space="0" w:color="auto"/>
            <w:right w:val="none" w:sz="0" w:space="0" w:color="auto"/>
          </w:divBdr>
        </w:div>
        <w:div w:id="1342898349">
          <w:marLeft w:val="446"/>
          <w:marRight w:val="0"/>
          <w:marTop w:val="0"/>
          <w:marBottom w:val="0"/>
          <w:divBdr>
            <w:top w:val="none" w:sz="0" w:space="0" w:color="auto"/>
            <w:left w:val="none" w:sz="0" w:space="0" w:color="auto"/>
            <w:bottom w:val="none" w:sz="0" w:space="0" w:color="auto"/>
            <w:right w:val="none" w:sz="0" w:space="0" w:color="auto"/>
          </w:divBdr>
        </w:div>
      </w:divsChild>
    </w:div>
    <w:div w:id="1565221332">
      <w:bodyDiv w:val="1"/>
      <w:marLeft w:val="0"/>
      <w:marRight w:val="0"/>
      <w:marTop w:val="0"/>
      <w:marBottom w:val="0"/>
      <w:divBdr>
        <w:top w:val="none" w:sz="0" w:space="0" w:color="auto"/>
        <w:left w:val="none" w:sz="0" w:space="0" w:color="auto"/>
        <w:bottom w:val="none" w:sz="0" w:space="0" w:color="auto"/>
        <w:right w:val="none" w:sz="0" w:space="0" w:color="auto"/>
      </w:divBdr>
    </w:div>
    <w:div w:id="1571386800">
      <w:bodyDiv w:val="1"/>
      <w:marLeft w:val="0"/>
      <w:marRight w:val="0"/>
      <w:marTop w:val="0"/>
      <w:marBottom w:val="0"/>
      <w:divBdr>
        <w:top w:val="none" w:sz="0" w:space="0" w:color="auto"/>
        <w:left w:val="none" w:sz="0" w:space="0" w:color="auto"/>
        <w:bottom w:val="none" w:sz="0" w:space="0" w:color="auto"/>
        <w:right w:val="none" w:sz="0" w:space="0" w:color="auto"/>
      </w:divBdr>
    </w:div>
    <w:div w:id="1573732850">
      <w:bodyDiv w:val="1"/>
      <w:marLeft w:val="0"/>
      <w:marRight w:val="0"/>
      <w:marTop w:val="0"/>
      <w:marBottom w:val="0"/>
      <w:divBdr>
        <w:top w:val="none" w:sz="0" w:space="0" w:color="auto"/>
        <w:left w:val="none" w:sz="0" w:space="0" w:color="auto"/>
        <w:bottom w:val="none" w:sz="0" w:space="0" w:color="auto"/>
        <w:right w:val="none" w:sz="0" w:space="0" w:color="auto"/>
      </w:divBdr>
      <w:divsChild>
        <w:div w:id="291330614">
          <w:marLeft w:val="446"/>
          <w:marRight w:val="0"/>
          <w:marTop w:val="0"/>
          <w:marBottom w:val="0"/>
          <w:divBdr>
            <w:top w:val="none" w:sz="0" w:space="0" w:color="auto"/>
            <w:left w:val="none" w:sz="0" w:space="0" w:color="auto"/>
            <w:bottom w:val="none" w:sz="0" w:space="0" w:color="auto"/>
            <w:right w:val="none" w:sz="0" w:space="0" w:color="auto"/>
          </w:divBdr>
        </w:div>
        <w:div w:id="1164591368">
          <w:marLeft w:val="446"/>
          <w:marRight w:val="0"/>
          <w:marTop w:val="0"/>
          <w:marBottom w:val="0"/>
          <w:divBdr>
            <w:top w:val="none" w:sz="0" w:space="0" w:color="auto"/>
            <w:left w:val="none" w:sz="0" w:space="0" w:color="auto"/>
            <w:bottom w:val="none" w:sz="0" w:space="0" w:color="auto"/>
            <w:right w:val="none" w:sz="0" w:space="0" w:color="auto"/>
          </w:divBdr>
        </w:div>
        <w:div w:id="1481575762">
          <w:marLeft w:val="446"/>
          <w:marRight w:val="0"/>
          <w:marTop w:val="0"/>
          <w:marBottom w:val="0"/>
          <w:divBdr>
            <w:top w:val="none" w:sz="0" w:space="0" w:color="auto"/>
            <w:left w:val="none" w:sz="0" w:space="0" w:color="auto"/>
            <w:bottom w:val="none" w:sz="0" w:space="0" w:color="auto"/>
            <w:right w:val="none" w:sz="0" w:space="0" w:color="auto"/>
          </w:divBdr>
        </w:div>
        <w:div w:id="1976593199">
          <w:marLeft w:val="446"/>
          <w:marRight w:val="0"/>
          <w:marTop w:val="0"/>
          <w:marBottom w:val="0"/>
          <w:divBdr>
            <w:top w:val="none" w:sz="0" w:space="0" w:color="auto"/>
            <w:left w:val="none" w:sz="0" w:space="0" w:color="auto"/>
            <w:bottom w:val="none" w:sz="0" w:space="0" w:color="auto"/>
            <w:right w:val="none" w:sz="0" w:space="0" w:color="auto"/>
          </w:divBdr>
        </w:div>
        <w:div w:id="2067876857">
          <w:marLeft w:val="446"/>
          <w:marRight w:val="0"/>
          <w:marTop w:val="0"/>
          <w:marBottom w:val="0"/>
          <w:divBdr>
            <w:top w:val="none" w:sz="0" w:space="0" w:color="auto"/>
            <w:left w:val="none" w:sz="0" w:space="0" w:color="auto"/>
            <w:bottom w:val="none" w:sz="0" w:space="0" w:color="auto"/>
            <w:right w:val="none" w:sz="0" w:space="0" w:color="auto"/>
          </w:divBdr>
        </w:div>
        <w:div w:id="2135362044">
          <w:marLeft w:val="446"/>
          <w:marRight w:val="0"/>
          <w:marTop w:val="0"/>
          <w:marBottom w:val="0"/>
          <w:divBdr>
            <w:top w:val="none" w:sz="0" w:space="0" w:color="auto"/>
            <w:left w:val="none" w:sz="0" w:space="0" w:color="auto"/>
            <w:bottom w:val="none" w:sz="0" w:space="0" w:color="auto"/>
            <w:right w:val="none" w:sz="0" w:space="0" w:color="auto"/>
          </w:divBdr>
        </w:div>
      </w:divsChild>
    </w:div>
    <w:div w:id="1587180898">
      <w:bodyDiv w:val="1"/>
      <w:marLeft w:val="0"/>
      <w:marRight w:val="0"/>
      <w:marTop w:val="0"/>
      <w:marBottom w:val="0"/>
      <w:divBdr>
        <w:top w:val="none" w:sz="0" w:space="0" w:color="auto"/>
        <w:left w:val="none" w:sz="0" w:space="0" w:color="auto"/>
        <w:bottom w:val="none" w:sz="0" w:space="0" w:color="auto"/>
        <w:right w:val="none" w:sz="0" w:space="0" w:color="auto"/>
      </w:divBdr>
    </w:div>
    <w:div w:id="1615285458">
      <w:bodyDiv w:val="1"/>
      <w:marLeft w:val="0"/>
      <w:marRight w:val="0"/>
      <w:marTop w:val="0"/>
      <w:marBottom w:val="0"/>
      <w:divBdr>
        <w:top w:val="none" w:sz="0" w:space="0" w:color="auto"/>
        <w:left w:val="none" w:sz="0" w:space="0" w:color="auto"/>
        <w:bottom w:val="none" w:sz="0" w:space="0" w:color="auto"/>
        <w:right w:val="none" w:sz="0" w:space="0" w:color="auto"/>
      </w:divBdr>
    </w:div>
    <w:div w:id="1618902019">
      <w:bodyDiv w:val="1"/>
      <w:marLeft w:val="0"/>
      <w:marRight w:val="0"/>
      <w:marTop w:val="0"/>
      <w:marBottom w:val="0"/>
      <w:divBdr>
        <w:top w:val="none" w:sz="0" w:space="0" w:color="auto"/>
        <w:left w:val="none" w:sz="0" w:space="0" w:color="auto"/>
        <w:bottom w:val="none" w:sz="0" w:space="0" w:color="auto"/>
        <w:right w:val="none" w:sz="0" w:space="0" w:color="auto"/>
      </w:divBdr>
      <w:divsChild>
        <w:div w:id="125005313">
          <w:marLeft w:val="547"/>
          <w:marRight w:val="0"/>
          <w:marTop w:val="120"/>
          <w:marBottom w:val="120"/>
          <w:divBdr>
            <w:top w:val="none" w:sz="0" w:space="0" w:color="auto"/>
            <w:left w:val="none" w:sz="0" w:space="0" w:color="auto"/>
            <w:bottom w:val="none" w:sz="0" w:space="0" w:color="auto"/>
            <w:right w:val="none" w:sz="0" w:space="0" w:color="auto"/>
          </w:divBdr>
        </w:div>
        <w:div w:id="1603341936">
          <w:marLeft w:val="547"/>
          <w:marRight w:val="0"/>
          <w:marTop w:val="120"/>
          <w:marBottom w:val="120"/>
          <w:divBdr>
            <w:top w:val="none" w:sz="0" w:space="0" w:color="auto"/>
            <w:left w:val="none" w:sz="0" w:space="0" w:color="auto"/>
            <w:bottom w:val="none" w:sz="0" w:space="0" w:color="auto"/>
            <w:right w:val="none" w:sz="0" w:space="0" w:color="auto"/>
          </w:divBdr>
        </w:div>
      </w:divsChild>
    </w:div>
    <w:div w:id="1625042980">
      <w:bodyDiv w:val="1"/>
      <w:marLeft w:val="0"/>
      <w:marRight w:val="0"/>
      <w:marTop w:val="0"/>
      <w:marBottom w:val="0"/>
      <w:divBdr>
        <w:top w:val="none" w:sz="0" w:space="0" w:color="auto"/>
        <w:left w:val="none" w:sz="0" w:space="0" w:color="auto"/>
        <w:bottom w:val="none" w:sz="0" w:space="0" w:color="auto"/>
        <w:right w:val="none" w:sz="0" w:space="0" w:color="auto"/>
      </w:divBdr>
    </w:div>
    <w:div w:id="1635871437">
      <w:bodyDiv w:val="1"/>
      <w:marLeft w:val="0"/>
      <w:marRight w:val="0"/>
      <w:marTop w:val="0"/>
      <w:marBottom w:val="0"/>
      <w:divBdr>
        <w:top w:val="none" w:sz="0" w:space="0" w:color="auto"/>
        <w:left w:val="none" w:sz="0" w:space="0" w:color="auto"/>
        <w:bottom w:val="none" w:sz="0" w:space="0" w:color="auto"/>
        <w:right w:val="none" w:sz="0" w:space="0" w:color="auto"/>
      </w:divBdr>
      <w:divsChild>
        <w:div w:id="1118837494">
          <w:marLeft w:val="0"/>
          <w:marRight w:val="0"/>
          <w:marTop w:val="0"/>
          <w:marBottom w:val="0"/>
          <w:divBdr>
            <w:top w:val="none" w:sz="0" w:space="0" w:color="auto"/>
            <w:left w:val="none" w:sz="0" w:space="0" w:color="auto"/>
            <w:bottom w:val="none" w:sz="0" w:space="0" w:color="auto"/>
            <w:right w:val="none" w:sz="0" w:space="0" w:color="auto"/>
          </w:divBdr>
          <w:divsChild>
            <w:div w:id="29573070">
              <w:marLeft w:val="0"/>
              <w:marRight w:val="0"/>
              <w:marTop w:val="0"/>
              <w:marBottom w:val="0"/>
              <w:divBdr>
                <w:top w:val="none" w:sz="0" w:space="0" w:color="auto"/>
                <w:left w:val="none" w:sz="0" w:space="0" w:color="auto"/>
                <w:bottom w:val="none" w:sz="0" w:space="0" w:color="auto"/>
                <w:right w:val="none" w:sz="0" w:space="0" w:color="auto"/>
              </w:divBdr>
            </w:div>
            <w:div w:id="53433939">
              <w:marLeft w:val="0"/>
              <w:marRight w:val="0"/>
              <w:marTop w:val="0"/>
              <w:marBottom w:val="0"/>
              <w:divBdr>
                <w:top w:val="none" w:sz="0" w:space="0" w:color="auto"/>
                <w:left w:val="none" w:sz="0" w:space="0" w:color="auto"/>
                <w:bottom w:val="none" w:sz="0" w:space="0" w:color="auto"/>
                <w:right w:val="none" w:sz="0" w:space="0" w:color="auto"/>
              </w:divBdr>
            </w:div>
            <w:div w:id="66542812">
              <w:marLeft w:val="0"/>
              <w:marRight w:val="0"/>
              <w:marTop w:val="0"/>
              <w:marBottom w:val="0"/>
              <w:divBdr>
                <w:top w:val="none" w:sz="0" w:space="0" w:color="auto"/>
                <w:left w:val="none" w:sz="0" w:space="0" w:color="auto"/>
                <w:bottom w:val="none" w:sz="0" w:space="0" w:color="auto"/>
                <w:right w:val="none" w:sz="0" w:space="0" w:color="auto"/>
              </w:divBdr>
            </w:div>
            <w:div w:id="98726352">
              <w:marLeft w:val="0"/>
              <w:marRight w:val="0"/>
              <w:marTop w:val="0"/>
              <w:marBottom w:val="0"/>
              <w:divBdr>
                <w:top w:val="none" w:sz="0" w:space="0" w:color="auto"/>
                <w:left w:val="none" w:sz="0" w:space="0" w:color="auto"/>
                <w:bottom w:val="none" w:sz="0" w:space="0" w:color="auto"/>
                <w:right w:val="none" w:sz="0" w:space="0" w:color="auto"/>
              </w:divBdr>
            </w:div>
            <w:div w:id="104807421">
              <w:marLeft w:val="0"/>
              <w:marRight w:val="0"/>
              <w:marTop w:val="0"/>
              <w:marBottom w:val="0"/>
              <w:divBdr>
                <w:top w:val="none" w:sz="0" w:space="0" w:color="auto"/>
                <w:left w:val="none" w:sz="0" w:space="0" w:color="auto"/>
                <w:bottom w:val="none" w:sz="0" w:space="0" w:color="auto"/>
                <w:right w:val="none" w:sz="0" w:space="0" w:color="auto"/>
              </w:divBdr>
            </w:div>
            <w:div w:id="182785564">
              <w:marLeft w:val="0"/>
              <w:marRight w:val="0"/>
              <w:marTop w:val="0"/>
              <w:marBottom w:val="0"/>
              <w:divBdr>
                <w:top w:val="none" w:sz="0" w:space="0" w:color="auto"/>
                <w:left w:val="none" w:sz="0" w:space="0" w:color="auto"/>
                <w:bottom w:val="none" w:sz="0" w:space="0" w:color="auto"/>
                <w:right w:val="none" w:sz="0" w:space="0" w:color="auto"/>
              </w:divBdr>
            </w:div>
            <w:div w:id="234098192">
              <w:marLeft w:val="0"/>
              <w:marRight w:val="0"/>
              <w:marTop w:val="0"/>
              <w:marBottom w:val="0"/>
              <w:divBdr>
                <w:top w:val="none" w:sz="0" w:space="0" w:color="auto"/>
                <w:left w:val="none" w:sz="0" w:space="0" w:color="auto"/>
                <w:bottom w:val="none" w:sz="0" w:space="0" w:color="auto"/>
                <w:right w:val="none" w:sz="0" w:space="0" w:color="auto"/>
              </w:divBdr>
            </w:div>
            <w:div w:id="286816260">
              <w:marLeft w:val="0"/>
              <w:marRight w:val="0"/>
              <w:marTop w:val="0"/>
              <w:marBottom w:val="0"/>
              <w:divBdr>
                <w:top w:val="none" w:sz="0" w:space="0" w:color="auto"/>
                <w:left w:val="none" w:sz="0" w:space="0" w:color="auto"/>
                <w:bottom w:val="none" w:sz="0" w:space="0" w:color="auto"/>
                <w:right w:val="none" w:sz="0" w:space="0" w:color="auto"/>
              </w:divBdr>
            </w:div>
            <w:div w:id="392196455">
              <w:marLeft w:val="0"/>
              <w:marRight w:val="0"/>
              <w:marTop w:val="0"/>
              <w:marBottom w:val="0"/>
              <w:divBdr>
                <w:top w:val="none" w:sz="0" w:space="0" w:color="auto"/>
                <w:left w:val="none" w:sz="0" w:space="0" w:color="auto"/>
                <w:bottom w:val="none" w:sz="0" w:space="0" w:color="auto"/>
                <w:right w:val="none" w:sz="0" w:space="0" w:color="auto"/>
              </w:divBdr>
            </w:div>
            <w:div w:id="490828468">
              <w:marLeft w:val="0"/>
              <w:marRight w:val="0"/>
              <w:marTop w:val="0"/>
              <w:marBottom w:val="0"/>
              <w:divBdr>
                <w:top w:val="none" w:sz="0" w:space="0" w:color="auto"/>
                <w:left w:val="none" w:sz="0" w:space="0" w:color="auto"/>
                <w:bottom w:val="none" w:sz="0" w:space="0" w:color="auto"/>
                <w:right w:val="none" w:sz="0" w:space="0" w:color="auto"/>
              </w:divBdr>
            </w:div>
            <w:div w:id="505247532">
              <w:marLeft w:val="0"/>
              <w:marRight w:val="0"/>
              <w:marTop w:val="0"/>
              <w:marBottom w:val="0"/>
              <w:divBdr>
                <w:top w:val="none" w:sz="0" w:space="0" w:color="auto"/>
                <w:left w:val="none" w:sz="0" w:space="0" w:color="auto"/>
                <w:bottom w:val="none" w:sz="0" w:space="0" w:color="auto"/>
                <w:right w:val="none" w:sz="0" w:space="0" w:color="auto"/>
              </w:divBdr>
            </w:div>
            <w:div w:id="525606697">
              <w:marLeft w:val="0"/>
              <w:marRight w:val="0"/>
              <w:marTop w:val="0"/>
              <w:marBottom w:val="0"/>
              <w:divBdr>
                <w:top w:val="none" w:sz="0" w:space="0" w:color="auto"/>
                <w:left w:val="none" w:sz="0" w:space="0" w:color="auto"/>
                <w:bottom w:val="none" w:sz="0" w:space="0" w:color="auto"/>
                <w:right w:val="none" w:sz="0" w:space="0" w:color="auto"/>
              </w:divBdr>
            </w:div>
            <w:div w:id="531768290">
              <w:marLeft w:val="0"/>
              <w:marRight w:val="0"/>
              <w:marTop w:val="0"/>
              <w:marBottom w:val="0"/>
              <w:divBdr>
                <w:top w:val="none" w:sz="0" w:space="0" w:color="auto"/>
                <w:left w:val="none" w:sz="0" w:space="0" w:color="auto"/>
                <w:bottom w:val="none" w:sz="0" w:space="0" w:color="auto"/>
                <w:right w:val="none" w:sz="0" w:space="0" w:color="auto"/>
              </w:divBdr>
            </w:div>
            <w:div w:id="588660516">
              <w:marLeft w:val="0"/>
              <w:marRight w:val="0"/>
              <w:marTop w:val="0"/>
              <w:marBottom w:val="0"/>
              <w:divBdr>
                <w:top w:val="none" w:sz="0" w:space="0" w:color="auto"/>
                <w:left w:val="none" w:sz="0" w:space="0" w:color="auto"/>
                <w:bottom w:val="none" w:sz="0" w:space="0" w:color="auto"/>
                <w:right w:val="none" w:sz="0" w:space="0" w:color="auto"/>
              </w:divBdr>
            </w:div>
            <w:div w:id="735712510">
              <w:marLeft w:val="0"/>
              <w:marRight w:val="0"/>
              <w:marTop w:val="0"/>
              <w:marBottom w:val="0"/>
              <w:divBdr>
                <w:top w:val="none" w:sz="0" w:space="0" w:color="auto"/>
                <w:left w:val="none" w:sz="0" w:space="0" w:color="auto"/>
                <w:bottom w:val="none" w:sz="0" w:space="0" w:color="auto"/>
                <w:right w:val="none" w:sz="0" w:space="0" w:color="auto"/>
              </w:divBdr>
            </w:div>
            <w:div w:id="925572147">
              <w:marLeft w:val="0"/>
              <w:marRight w:val="0"/>
              <w:marTop w:val="0"/>
              <w:marBottom w:val="0"/>
              <w:divBdr>
                <w:top w:val="none" w:sz="0" w:space="0" w:color="auto"/>
                <w:left w:val="none" w:sz="0" w:space="0" w:color="auto"/>
                <w:bottom w:val="none" w:sz="0" w:space="0" w:color="auto"/>
                <w:right w:val="none" w:sz="0" w:space="0" w:color="auto"/>
              </w:divBdr>
            </w:div>
            <w:div w:id="973094666">
              <w:marLeft w:val="0"/>
              <w:marRight w:val="0"/>
              <w:marTop w:val="0"/>
              <w:marBottom w:val="0"/>
              <w:divBdr>
                <w:top w:val="none" w:sz="0" w:space="0" w:color="auto"/>
                <w:left w:val="none" w:sz="0" w:space="0" w:color="auto"/>
                <w:bottom w:val="none" w:sz="0" w:space="0" w:color="auto"/>
                <w:right w:val="none" w:sz="0" w:space="0" w:color="auto"/>
              </w:divBdr>
            </w:div>
            <w:div w:id="1124692753">
              <w:marLeft w:val="0"/>
              <w:marRight w:val="0"/>
              <w:marTop w:val="0"/>
              <w:marBottom w:val="0"/>
              <w:divBdr>
                <w:top w:val="none" w:sz="0" w:space="0" w:color="auto"/>
                <w:left w:val="none" w:sz="0" w:space="0" w:color="auto"/>
                <w:bottom w:val="none" w:sz="0" w:space="0" w:color="auto"/>
                <w:right w:val="none" w:sz="0" w:space="0" w:color="auto"/>
              </w:divBdr>
            </w:div>
            <w:div w:id="1160852710">
              <w:marLeft w:val="0"/>
              <w:marRight w:val="0"/>
              <w:marTop w:val="0"/>
              <w:marBottom w:val="0"/>
              <w:divBdr>
                <w:top w:val="none" w:sz="0" w:space="0" w:color="auto"/>
                <w:left w:val="none" w:sz="0" w:space="0" w:color="auto"/>
                <w:bottom w:val="none" w:sz="0" w:space="0" w:color="auto"/>
                <w:right w:val="none" w:sz="0" w:space="0" w:color="auto"/>
              </w:divBdr>
            </w:div>
            <w:div w:id="1172259743">
              <w:marLeft w:val="0"/>
              <w:marRight w:val="0"/>
              <w:marTop w:val="0"/>
              <w:marBottom w:val="0"/>
              <w:divBdr>
                <w:top w:val="none" w:sz="0" w:space="0" w:color="auto"/>
                <w:left w:val="none" w:sz="0" w:space="0" w:color="auto"/>
                <w:bottom w:val="none" w:sz="0" w:space="0" w:color="auto"/>
                <w:right w:val="none" w:sz="0" w:space="0" w:color="auto"/>
              </w:divBdr>
            </w:div>
            <w:div w:id="1185823183">
              <w:marLeft w:val="0"/>
              <w:marRight w:val="0"/>
              <w:marTop w:val="0"/>
              <w:marBottom w:val="0"/>
              <w:divBdr>
                <w:top w:val="none" w:sz="0" w:space="0" w:color="auto"/>
                <w:left w:val="none" w:sz="0" w:space="0" w:color="auto"/>
                <w:bottom w:val="none" w:sz="0" w:space="0" w:color="auto"/>
                <w:right w:val="none" w:sz="0" w:space="0" w:color="auto"/>
              </w:divBdr>
            </w:div>
            <w:div w:id="1199053914">
              <w:marLeft w:val="0"/>
              <w:marRight w:val="0"/>
              <w:marTop w:val="0"/>
              <w:marBottom w:val="0"/>
              <w:divBdr>
                <w:top w:val="none" w:sz="0" w:space="0" w:color="auto"/>
                <w:left w:val="none" w:sz="0" w:space="0" w:color="auto"/>
                <w:bottom w:val="none" w:sz="0" w:space="0" w:color="auto"/>
                <w:right w:val="none" w:sz="0" w:space="0" w:color="auto"/>
              </w:divBdr>
            </w:div>
            <w:div w:id="1209606972">
              <w:marLeft w:val="0"/>
              <w:marRight w:val="0"/>
              <w:marTop w:val="0"/>
              <w:marBottom w:val="0"/>
              <w:divBdr>
                <w:top w:val="none" w:sz="0" w:space="0" w:color="auto"/>
                <w:left w:val="none" w:sz="0" w:space="0" w:color="auto"/>
                <w:bottom w:val="none" w:sz="0" w:space="0" w:color="auto"/>
                <w:right w:val="none" w:sz="0" w:space="0" w:color="auto"/>
              </w:divBdr>
            </w:div>
            <w:div w:id="1236090093">
              <w:marLeft w:val="0"/>
              <w:marRight w:val="0"/>
              <w:marTop w:val="0"/>
              <w:marBottom w:val="0"/>
              <w:divBdr>
                <w:top w:val="none" w:sz="0" w:space="0" w:color="auto"/>
                <w:left w:val="none" w:sz="0" w:space="0" w:color="auto"/>
                <w:bottom w:val="none" w:sz="0" w:space="0" w:color="auto"/>
                <w:right w:val="none" w:sz="0" w:space="0" w:color="auto"/>
              </w:divBdr>
            </w:div>
            <w:div w:id="1341809517">
              <w:marLeft w:val="0"/>
              <w:marRight w:val="0"/>
              <w:marTop w:val="0"/>
              <w:marBottom w:val="0"/>
              <w:divBdr>
                <w:top w:val="none" w:sz="0" w:space="0" w:color="auto"/>
                <w:left w:val="none" w:sz="0" w:space="0" w:color="auto"/>
                <w:bottom w:val="none" w:sz="0" w:space="0" w:color="auto"/>
                <w:right w:val="none" w:sz="0" w:space="0" w:color="auto"/>
              </w:divBdr>
            </w:div>
            <w:div w:id="1422877117">
              <w:marLeft w:val="0"/>
              <w:marRight w:val="0"/>
              <w:marTop w:val="0"/>
              <w:marBottom w:val="0"/>
              <w:divBdr>
                <w:top w:val="none" w:sz="0" w:space="0" w:color="auto"/>
                <w:left w:val="none" w:sz="0" w:space="0" w:color="auto"/>
                <w:bottom w:val="none" w:sz="0" w:space="0" w:color="auto"/>
                <w:right w:val="none" w:sz="0" w:space="0" w:color="auto"/>
              </w:divBdr>
            </w:div>
            <w:div w:id="1434549304">
              <w:marLeft w:val="0"/>
              <w:marRight w:val="0"/>
              <w:marTop w:val="0"/>
              <w:marBottom w:val="0"/>
              <w:divBdr>
                <w:top w:val="none" w:sz="0" w:space="0" w:color="auto"/>
                <w:left w:val="none" w:sz="0" w:space="0" w:color="auto"/>
                <w:bottom w:val="none" w:sz="0" w:space="0" w:color="auto"/>
                <w:right w:val="none" w:sz="0" w:space="0" w:color="auto"/>
              </w:divBdr>
            </w:div>
            <w:div w:id="1436054875">
              <w:marLeft w:val="0"/>
              <w:marRight w:val="0"/>
              <w:marTop w:val="0"/>
              <w:marBottom w:val="0"/>
              <w:divBdr>
                <w:top w:val="none" w:sz="0" w:space="0" w:color="auto"/>
                <w:left w:val="none" w:sz="0" w:space="0" w:color="auto"/>
                <w:bottom w:val="none" w:sz="0" w:space="0" w:color="auto"/>
                <w:right w:val="none" w:sz="0" w:space="0" w:color="auto"/>
              </w:divBdr>
            </w:div>
            <w:div w:id="1487278330">
              <w:marLeft w:val="0"/>
              <w:marRight w:val="0"/>
              <w:marTop w:val="0"/>
              <w:marBottom w:val="0"/>
              <w:divBdr>
                <w:top w:val="none" w:sz="0" w:space="0" w:color="auto"/>
                <w:left w:val="none" w:sz="0" w:space="0" w:color="auto"/>
                <w:bottom w:val="none" w:sz="0" w:space="0" w:color="auto"/>
                <w:right w:val="none" w:sz="0" w:space="0" w:color="auto"/>
              </w:divBdr>
            </w:div>
            <w:div w:id="1502887782">
              <w:marLeft w:val="0"/>
              <w:marRight w:val="0"/>
              <w:marTop w:val="0"/>
              <w:marBottom w:val="0"/>
              <w:divBdr>
                <w:top w:val="none" w:sz="0" w:space="0" w:color="auto"/>
                <w:left w:val="none" w:sz="0" w:space="0" w:color="auto"/>
                <w:bottom w:val="none" w:sz="0" w:space="0" w:color="auto"/>
                <w:right w:val="none" w:sz="0" w:space="0" w:color="auto"/>
              </w:divBdr>
            </w:div>
            <w:div w:id="1590847420">
              <w:marLeft w:val="0"/>
              <w:marRight w:val="0"/>
              <w:marTop w:val="0"/>
              <w:marBottom w:val="0"/>
              <w:divBdr>
                <w:top w:val="none" w:sz="0" w:space="0" w:color="auto"/>
                <w:left w:val="none" w:sz="0" w:space="0" w:color="auto"/>
                <w:bottom w:val="none" w:sz="0" w:space="0" w:color="auto"/>
                <w:right w:val="none" w:sz="0" w:space="0" w:color="auto"/>
              </w:divBdr>
            </w:div>
            <w:div w:id="1628313025">
              <w:marLeft w:val="0"/>
              <w:marRight w:val="0"/>
              <w:marTop w:val="0"/>
              <w:marBottom w:val="0"/>
              <w:divBdr>
                <w:top w:val="none" w:sz="0" w:space="0" w:color="auto"/>
                <w:left w:val="none" w:sz="0" w:space="0" w:color="auto"/>
                <w:bottom w:val="none" w:sz="0" w:space="0" w:color="auto"/>
                <w:right w:val="none" w:sz="0" w:space="0" w:color="auto"/>
              </w:divBdr>
            </w:div>
            <w:div w:id="1630668750">
              <w:marLeft w:val="0"/>
              <w:marRight w:val="0"/>
              <w:marTop w:val="0"/>
              <w:marBottom w:val="0"/>
              <w:divBdr>
                <w:top w:val="none" w:sz="0" w:space="0" w:color="auto"/>
                <w:left w:val="none" w:sz="0" w:space="0" w:color="auto"/>
                <w:bottom w:val="none" w:sz="0" w:space="0" w:color="auto"/>
                <w:right w:val="none" w:sz="0" w:space="0" w:color="auto"/>
              </w:divBdr>
            </w:div>
            <w:div w:id="1700080600">
              <w:marLeft w:val="0"/>
              <w:marRight w:val="0"/>
              <w:marTop w:val="0"/>
              <w:marBottom w:val="0"/>
              <w:divBdr>
                <w:top w:val="none" w:sz="0" w:space="0" w:color="auto"/>
                <w:left w:val="none" w:sz="0" w:space="0" w:color="auto"/>
                <w:bottom w:val="none" w:sz="0" w:space="0" w:color="auto"/>
                <w:right w:val="none" w:sz="0" w:space="0" w:color="auto"/>
              </w:divBdr>
            </w:div>
            <w:div w:id="1798528473">
              <w:marLeft w:val="0"/>
              <w:marRight w:val="0"/>
              <w:marTop w:val="0"/>
              <w:marBottom w:val="0"/>
              <w:divBdr>
                <w:top w:val="none" w:sz="0" w:space="0" w:color="auto"/>
                <w:left w:val="none" w:sz="0" w:space="0" w:color="auto"/>
                <w:bottom w:val="none" w:sz="0" w:space="0" w:color="auto"/>
                <w:right w:val="none" w:sz="0" w:space="0" w:color="auto"/>
              </w:divBdr>
            </w:div>
            <w:div w:id="1954630760">
              <w:marLeft w:val="0"/>
              <w:marRight w:val="0"/>
              <w:marTop w:val="0"/>
              <w:marBottom w:val="0"/>
              <w:divBdr>
                <w:top w:val="none" w:sz="0" w:space="0" w:color="auto"/>
                <w:left w:val="none" w:sz="0" w:space="0" w:color="auto"/>
                <w:bottom w:val="none" w:sz="0" w:space="0" w:color="auto"/>
                <w:right w:val="none" w:sz="0" w:space="0" w:color="auto"/>
              </w:divBdr>
            </w:div>
            <w:div w:id="1979143979">
              <w:marLeft w:val="0"/>
              <w:marRight w:val="0"/>
              <w:marTop w:val="0"/>
              <w:marBottom w:val="0"/>
              <w:divBdr>
                <w:top w:val="none" w:sz="0" w:space="0" w:color="auto"/>
                <w:left w:val="none" w:sz="0" w:space="0" w:color="auto"/>
                <w:bottom w:val="none" w:sz="0" w:space="0" w:color="auto"/>
                <w:right w:val="none" w:sz="0" w:space="0" w:color="auto"/>
              </w:divBdr>
            </w:div>
            <w:div w:id="2041322254">
              <w:marLeft w:val="0"/>
              <w:marRight w:val="0"/>
              <w:marTop w:val="0"/>
              <w:marBottom w:val="0"/>
              <w:divBdr>
                <w:top w:val="none" w:sz="0" w:space="0" w:color="auto"/>
                <w:left w:val="none" w:sz="0" w:space="0" w:color="auto"/>
                <w:bottom w:val="none" w:sz="0" w:space="0" w:color="auto"/>
                <w:right w:val="none" w:sz="0" w:space="0" w:color="auto"/>
              </w:divBdr>
            </w:div>
            <w:div w:id="2111194198">
              <w:marLeft w:val="0"/>
              <w:marRight w:val="0"/>
              <w:marTop w:val="0"/>
              <w:marBottom w:val="0"/>
              <w:divBdr>
                <w:top w:val="none" w:sz="0" w:space="0" w:color="auto"/>
                <w:left w:val="none" w:sz="0" w:space="0" w:color="auto"/>
                <w:bottom w:val="none" w:sz="0" w:space="0" w:color="auto"/>
                <w:right w:val="none" w:sz="0" w:space="0" w:color="auto"/>
              </w:divBdr>
            </w:div>
            <w:div w:id="214250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518433">
      <w:bodyDiv w:val="1"/>
      <w:marLeft w:val="0"/>
      <w:marRight w:val="0"/>
      <w:marTop w:val="0"/>
      <w:marBottom w:val="0"/>
      <w:divBdr>
        <w:top w:val="none" w:sz="0" w:space="0" w:color="auto"/>
        <w:left w:val="none" w:sz="0" w:space="0" w:color="auto"/>
        <w:bottom w:val="none" w:sz="0" w:space="0" w:color="auto"/>
        <w:right w:val="none" w:sz="0" w:space="0" w:color="auto"/>
      </w:divBdr>
    </w:div>
    <w:div w:id="1669820827">
      <w:bodyDiv w:val="1"/>
      <w:marLeft w:val="0"/>
      <w:marRight w:val="0"/>
      <w:marTop w:val="0"/>
      <w:marBottom w:val="0"/>
      <w:divBdr>
        <w:top w:val="none" w:sz="0" w:space="0" w:color="auto"/>
        <w:left w:val="none" w:sz="0" w:space="0" w:color="auto"/>
        <w:bottom w:val="none" w:sz="0" w:space="0" w:color="auto"/>
        <w:right w:val="none" w:sz="0" w:space="0" w:color="auto"/>
      </w:divBdr>
    </w:div>
    <w:div w:id="1692879789">
      <w:bodyDiv w:val="1"/>
      <w:marLeft w:val="0"/>
      <w:marRight w:val="0"/>
      <w:marTop w:val="0"/>
      <w:marBottom w:val="0"/>
      <w:divBdr>
        <w:top w:val="none" w:sz="0" w:space="0" w:color="auto"/>
        <w:left w:val="none" w:sz="0" w:space="0" w:color="auto"/>
        <w:bottom w:val="none" w:sz="0" w:space="0" w:color="auto"/>
        <w:right w:val="none" w:sz="0" w:space="0" w:color="auto"/>
      </w:divBdr>
    </w:div>
    <w:div w:id="1693921623">
      <w:bodyDiv w:val="1"/>
      <w:marLeft w:val="0"/>
      <w:marRight w:val="0"/>
      <w:marTop w:val="0"/>
      <w:marBottom w:val="0"/>
      <w:divBdr>
        <w:top w:val="none" w:sz="0" w:space="0" w:color="auto"/>
        <w:left w:val="none" w:sz="0" w:space="0" w:color="auto"/>
        <w:bottom w:val="none" w:sz="0" w:space="0" w:color="auto"/>
        <w:right w:val="none" w:sz="0" w:space="0" w:color="auto"/>
      </w:divBdr>
    </w:div>
    <w:div w:id="1698461910">
      <w:bodyDiv w:val="1"/>
      <w:marLeft w:val="0"/>
      <w:marRight w:val="0"/>
      <w:marTop w:val="0"/>
      <w:marBottom w:val="0"/>
      <w:divBdr>
        <w:top w:val="none" w:sz="0" w:space="0" w:color="auto"/>
        <w:left w:val="none" w:sz="0" w:space="0" w:color="auto"/>
        <w:bottom w:val="none" w:sz="0" w:space="0" w:color="auto"/>
        <w:right w:val="none" w:sz="0" w:space="0" w:color="auto"/>
      </w:divBdr>
    </w:div>
    <w:div w:id="1716734386">
      <w:bodyDiv w:val="1"/>
      <w:marLeft w:val="0"/>
      <w:marRight w:val="0"/>
      <w:marTop w:val="0"/>
      <w:marBottom w:val="0"/>
      <w:divBdr>
        <w:top w:val="none" w:sz="0" w:space="0" w:color="auto"/>
        <w:left w:val="none" w:sz="0" w:space="0" w:color="auto"/>
        <w:bottom w:val="none" w:sz="0" w:space="0" w:color="auto"/>
        <w:right w:val="none" w:sz="0" w:space="0" w:color="auto"/>
      </w:divBdr>
      <w:divsChild>
        <w:div w:id="557397622">
          <w:marLeft w:val="547"/>
          <w:marRight w:val="0"/>
          <w:marTop w:val="0"/>
          <w:marBottom w:val="0"/>
          <w:divBdr>
            <w:top w:val="none" w:sz="0" w:space="0" w:color="auto"/>
            <w:left w:val="none" w:sz="0" w:space="0" w:color="auto"/>
            <w:bottom w:val="none" w:sz="0" w:space="0" w:color="auto"/>
            <w:right w:val="none" w:sz="0" w:space="0" w:color="auto"/>
          </w:divBdr>
        </w:div>
      </w:divsChild>
    </w:div>
    <w:div w:id="1716930293">
      <w:bodyDiv w:val="1"/>
      <w:marLeft w:val="0"/>
      <w:marRight w:val="0"/>
      <w:marTop w:val="0"/>
      <w:marBottom w:val="0"/>
      <w:divBdr>
        <w:top w:val="none" w:sz="0" w:space="0" w:color="auto"/>
        <w:left w:val="none" w:sz="0" w:space="0" w:color="auto"/>
        <w:bottom w:val="none" w:sz="0" w:space="0" w:color="auto"/>
        <w:right w:val="none" w:sz="0" w:space="0" w:color="auto"/>
      </w:divBdr>
      <w:divsChild>
        <w:div w:id="230312200">
          <w:marLeft w:val="547"/>
          <w:marRight w:val="0"/>
          <w:marTop w:val="0"/>
          <w:marBottom w:val="120"/>
          <w:divBdr>
            <w:top w:val="none" w:sz="0" w:space="0" w:color="auto"/>
            <w:left w:val="none" w:sz="0" w:space="0" w:color="auto"/>
            <w:bottom w:val="none" w:sz="0" w:space="0" w:color="auto"/>
            <w:right w:val="none" w:sz="0" w:space="0" w:color="auto"/>
          </w:divBdr>
        </w:div>
        <w:div w:id="392041997">
          <w:marLeft w:val="547"/>
          <w:marRight w:val="0"/>
          <w:marTop w:val="0"/>
          <w:marBottom w:val="120"/>
          <w:divBdr>
            <w:top w:val="none" w:sz="0" w:space="0" w:color="auto"/>
            <w:left w:val="none" w:sz="0" w:space="0" w:color="auto"/>
            <w:bottom w:val="none" w:sz="0" w:space="0" w:color="auto"/>
            <w:right w:val="none" w:sz="0" w:space="0" w:color="auto"/>
          </w:divBdr>
        </w:div>
        <w:div w:id="685866716">
          <w:marLeft w:val="547"/>
          <w:marRight w:val="0"/>
          <w:marTop w:val="0"/>
          <w:marBottom w:val="120"/>
          <w:divBdr>
            <w:top w:val="none" w:sz="0" w:space="0" w:color="auto"/>
            <w:left w:val="none" w:sz="0" w:space="0" w:color="auto"/>
            <w:bottom w:val="none" w:sz="0" w:space="0" w:color="auto"/>
            <w:right w:val="none" w:sz="0" w:space="0" w:color="auto"/>
          </w:divBdr>
        </w:div>
        <w:div w:id="725494991">
          <w:marLeft w:val="547"/>
          <w:marRight w:val="0"/>
          <w:marTop w:val="0"/>
          <w:marBottom w:val="120"/>
          <w:divBdr>
            <w:top w:val="none" w:sz="0" w:space="0" w:color="auto"/>
            <w:left w:val="none" w:sz="0" w:space="0" w:color="auto"/>
            <w:bottom w:val="none" w:sz="0" w:space="0" w:color="auto"/>
            <w:right w:val="none" w:sz="0" w:space="0" w:color="auto"/>
          </w:divBdr>
        </w:div>
        <w:div w:id="906695052">
          <w:marLeft w:val="547"/>
          <w:marRight w:val="0"/>
          <w:marTop w:val="0"/>
          <w:marBottom w:val="120"/>
          <w:divBdr>
            <w:top w:val="none" w:sz="0" w:space="0" w:color="auto"/>
            <w:left w:val="none" w:sz="0" w:space="0" w:color="auto"/>
            <w:bottom w:val="none" w:sz="0" w:space="0" w:color="auto"/>
            <w:right w:val="none" w:sz="0" w:space="0" w:color="auto"/>
          </w:divBdr>
        </w:div>
        <w:div w:id="933629473">
          <w:marLeft w:val="547"/>
          <w:marRight w:val="0"/>
          <w:marTop w:val="0"/>
          <w:marBottom w:val="120"/>
          <w:divBdr>
            <w:top w:val="none" w:sz="0" w:space="0" w:color="auto"/>
            <w:left w:val="none" w:sz="0" w:space="0" w:color="auto"/>
            <w:bottom w:val="none" w:sz="0" w:space="0" w:color="auto"/>
            <w:right w:val="none" w:sz="0" w:space="0" w:color="auto"/>
          </w:divBdr>
        </w:div>
        <w:div w:id="1033650251">
          <w:marLeft w:val="547"/>
          <w:marRight w:val="0"/>
          <w:marTop w:val="0"/>
          <w:marBottom w:val="120"/>
          <w:divBdr>
            <w:top w:val="none" w:sz="0" w:space="0" w:color="auto"/>
            <w:left w:val="none" w:sz="0" w:space="0" w:color="auto"/>
            <w:bottom w:val="none" w:sz="0" w:space="0" w:color="auto"/>
            <w:right w:val="none" w:sz="0" w:space="0" w:color="auto"/>
          </w:divBdr>
        </w:div>
        <w:div w:id="1390301464">
          <w:marLeft w:val="547"/>
          <w:marRight w:val="0"/>
          <w:marTop w:val="0"/>
          <w:marBottom w:val="120"/>
          <w:divBdr>
            <w:top w:val="none" w:sz="0" w:space="0" w:color="auto"/>
            <w:left w:val="none" w:sz="0" w:space="0" w:color="auto"/>
            <w:bottom w:val="none" w:sz="0" w:space="0" w:color="auto"/>
            <w:right w:val="none" w:sz="0" w:space="0" w:color="auto"/>
          </w:divBdr>
        </w:div>
        <w:div w:id="1395666877">
          <w:marLeft w:val="547"/>
          <w:marRight w:val="0"/>
          <w:marTop w:val="0"/>
          <w:marBottom w:val="120"/>
          <w:divBdr>
            <w:top w:val="none" w:sz="0" w:space="0" w:color="auto"/>
            <w:left w:val="none" w:sz="0" w:space="0" w:color="auto"/>
            <w:bottom w:val="none" w:sz="0" w:space="0" w:color="auto"/>
            <w:right w:val="none" w:sz="0" w:space="0" w:color="auto"/>
          </w:divBdr>
        </w:div>
        <w:div w:id="1458378704">
          <w:marLeft w:val="547"/>
          <w:marRight w:val="0"/>
          <w:marTop w:val="0"/>
          <w:marBottom w:val="120"/>
          <w:divBdr>
            <w:top w:val="none" w:sz="0" w:space="0" w:color="auto"/>
            <w:left w:val="none" w:sz="0" w:space="0" w:color="auto"/>
            <w:bottom w:val="none" w:sz="0" w:space="0" w:color="auto"/>
            <w:right w:val="none" w:sz="0" w:space="0" w:color="auto"/>
          </w:divBdr>
        </w:div>
        <w:div w:id="1714768167">
          <w:marLeft w:val="547"/>
          <w:marRight w:val="0"/>
          <w:marTop w:val="0"/>
          <w:marBottom w:val="120"/>
          <w:divBdr>
            <w:top w:val="none" w:sz="0" w:space="0" w:color="auto"/>
            <w:left w:val="none" w:sz="0" w:space="0" w:color="auto"/>
            <w:bottom w:val="none" w:sz="0" w:space="0" w:color="auto"/>
            <w:right w:val="none" w:sz="0" w:space="0" w:color="auto"/>
          </w:divBdr>
        </w:div>
        <w:div w:id="1798720783">
          <w:marLeft w:val="547"/>
          <w:marRight w:val="0"/>
          <w:marTop w:val="0"/>
          <w:marBottom w:val="120"/>
          <w:divBdr>
            <w:top w:val="none" w:sz="0" w:space="0" w:color="auto"/>
            <w:left w:val="none" w:sz="0" w:space="0" w:color="auto"/>
            <w:bottom w:val="none" w:sz="0" w:space="0" w:color="auto"/>
            <w:right w:val="none" w:sz="0" w:space="0" w:color="auto"/>
          </w:divBdr>
        </w:div>
        <w:div w:id="1857574582">
          <w:marLeft w:val="547"/>
          <w:marRight w:val="0"/>
          <w:marTop w:val="0"/>
          <w:marBottom w:val="120"/>
          <w:divBdr>
            <w:top w:val="none" w:sz="0" w:space="0" w:color="auto"/>
            <w:left w:val="none" w:sz="0" w:space="0" w:color="auto"/>
            <w:bottom w:val="none" w:sz="0" w:space="0" w:color="auto"/>
            <w:right w:val="none" w:sz="0" w:space="0" w:color="auto"/>
          </w:divBdr>
        </w:div>
        <w:div w:id="2081633915">
          <w:marLeft w:val="547"/>
          <w:marRight w:val="0"/>
          <w:marTop w:val="0"/>
          <w:marBottom w:val="120"/>
          <w:divBdr>
            <w:top w:val="none" w:sz="0" w:space="0" w:color="auto"/>
            <w:left w:val="none" w:sz="0" w:space="0" w:color="auto"/>
            <w:bottom w:val="none" w:sz="0" w:space="0" w:color="auto"/>
            <w:right w:val="none" w:sz="0" w:space="0" w:color="auto"/>
          </w:divBdr>
        </w:div>
      </w:divsChild>
    </w:div>
    <w:div w:id="1729256419">
      <w:bodyDiv w:val="1"/>
      <w:marLeft w:val="0"/>
      <w:marRight w:val="0"/>
      <w:marTop w:val="0"/>
      <w:marBottom w:val="0"/>
      <w:divBdr>
        <w:top w:val="none" w:sz="0" w:space="0" w:color="auto"/>
        <w:left w:val="none" w:sz="0" w:space="0" w:color="auto"/>
        <w:bottom w:val="none" w:sz="0" w:space="0" w:color="auto"/>
        <w:right w:val="none" w:sz="0" w:space="0" w:color="auto"/>
      </w:divBdr>
      <w:divsChild>
        <w:div w:id="459031324">
          <w:marLeft w:val="1354"/>
          <w:marRight w:val="0"/>
          <w:marTop w:val="60"/>
          <w:marBottom w:val="60"/>
          <w:divBdr>
            <w:top w:val="none" w:sz="0" w:space="0" w:color="auto"/>
            <w:left w:val="none" w:sz="0" w:space="0" w:color="auto"/>
            <w:bottom w:val="none" w:sz="0" w:space="0" w:color="auto"/>
            <w:right w:val="none" w:sz="0" w:space="0" w:color="auto"/>
          </w:divBdr>
        </w:div>
        <w:div w:id="481234180">
          <w:marLeft w:val="1886"/>
          <w:marRight w:val="0"/>
          <w:marTop w:val="60"/>
          <w:marBottom w:val="60"/>
          <w:divBdr>
            <w:top w:val="none" w:sz="0" w:space="0" w:color="auto"/>
            <w:left w:val="none" w:sz="0" w:space="0" w:color="auto"/>
            <w:bottom w:val="none" w:sz="0" w:space="0" w:color="auto"/>
            <w:right w:val="none" w:sz="0" w:space="0" w:color="auto"/>
          </w:divBdr>
        </w:div>
        <w:div w:id="751244235">
          <w:marLeft w:val="1886"/>
          <w:marRight w:val="0"/>
          <w:marTop w:val="60"/>
          <w:marBottom w:val="60"/>
          <w:divBdr>
            <w:top w:val="none" w:sz="0" w:space="0" w:color="auto"/>
            <w:left w:val="none" w:sz="0" w:space="0" w:color="auto"/>
            <w:bottom w:val="none" w:sz="0" w:space="0" w:color="auto"/>
            <w:right w:val="none" w:sz="0" w:space="0" w:color="auto"/>
          </w:divBdr>
        </w:div>
        <w:div w:id="778842684">
          <w:marLeft w:val="1354"/>
          <w:marRight w:val="0"/>
          <w:marTop w:val="60"/>
          <w:marBottom w:val="60"/>
          <w:divBdr>
            <w:top w:val="none" w:sz="0" w:space="0" w:color="auto"/>
            <w:left w:val="none" w:sz="0" w:space="0" w:color="auto"/>
            <w:bottom w:val="none" w:sz="0" w:space="0" w:color="auto"/>
            <w:right w:val="none" w:sz="0" w:space="0" w:color="auto"/>
          </w:divBdr>
        </w:div>
        <w:div w:id="833912519">
          <w:marLeft w:val="1886"/>
          <w:marRight w:val="0"/>
          <w:marTop w:val="60"/>
          <w:marBottom w:val="60"/>
          <w:divBdr>
            <w:top w:val="none" w:sz="0" w:space="0" w:color="auto"/>
            <w:left w:val="none" w:sz="0" w:space="0" w:color="auto"/>
            <w:bottom w:val="none" w:sz="0" w:space="0" w:color="auto"/>
            <w:right w:val="none" w:sz="0" w:space="0" w:color="auto"/>
          </w:divBdr>
        </w:div>
        <w:div w:id="919869957">
          <w:marLeft w:val="1354"/>
          <w:marRight w:val="0"/>
          <w:marTop w:val="60"/>
          <w:marBottom w:val="60"/>
          <w:divBdr>
            <w:top w:val="none" w:sz="0" w:space="0" w:color="auto"/>
            <w:left w:val="none" w:sz="0" w:space="0" w:color="auto"/>
            <w:bottom w:val="none" w:sz="0" w:space="0" w:color="auto"/>
            <w:right w:val="none" w:sz="0" w:space="0" w:color="auto"/>
          </w:divBdr>
        </w:div>
        <w:div w:id="1428958711">
          <w:marLeft w:val="1886"/>
          <w:marRight w:val="0"/>
          <w:marTop w:val="60"/>
          <w:marBottom w:val="60"/>
          <w:divBdr>
            <w:top w:val="none" w:sz="0" w:space="0" w:color="auto"/>
            <w:left w:val="none" w:sz="0" w:space="0" w:color="auto"/>
            <w:bottom w:val="none" w:sz="0" w:space="0" w:color="auto"/>
            <w:right w:val="none" w:sz="0" w:space="0" w:color="auto"/>
          </w:divBdr>
        </w:div>
        <w:div w:id="1442647294">
          <w:marLeft w:val="1886"/>
          <w:marRight w:val="0"/>
          <w:marTop w:val="60"/>
          <w:marBottom w:val="60"/>
          <w:divBdr>
            <w:top w:val="none" w:sz="0" w:space="0" w:color="auto"/>
            <w:left w:val="none" w:sz="0" w:space="0" w:color="auto"/>
            <w:bottom w:val="none" w:sz="0" w:space="0" w:color="auto"/>
            <w:right w:val="none" w:sz="0" w:space="0" w:color="auto"/>
          </w:divBdr>
        </w:div>
        <w:div w:id="1890455932">
          <w:marLeft w:val="1886"/>
          <w:marRight w:val="0"/>
          <w:marTop w:val="60"/>
          <w:marBottom w:val="60"/>
          <w:divBdr>
            <w:top w:val="none" w:sz="0" w:space="0" w:color="auto"/>
            <w:left w:val="none" w:sz="0" w:space="0" w:color="auto"/>
            <w:bottom w:val="none" w:sz="0" w:space="0" w:color="auto"/>
            <w:right w:val="none" w:sz="0" w:space="0" w:color="auto"/>
          </w:divBdr>
        </w:div>
        <w:div w:id="1967351998">
          <w:marLeft w:val="1354"/>
          <w:marRight w:val="0"/>
          <w:marTop w:val="60"/>
          <w:marBottom w:val="60"/>
          <w:divBdr>
            <w:top w:val="none" w:sz="0" w:space="0" w:color="auto"/>
            <w:left w:val="none" w:sz="0" w:space="0" w:color="auto"/>
            <w:bottom w:val="none" w:sz="0" w:space="0" w:color="auto"/>
            <w:right w:val="none" w:sz="0" w:space="0" w:color="auto"/>
          </w:divBdr>
        </w:div>
      </w:divsChild>
    </w:div>
    <w:div w:id="1735272728">
      <w:bodyDiv w:val="1"/>
      <w:marLeft w:val="0"/>
      <w:marRight w:val="0"/>
      <w:marTop w:val="0"/>
      <w:marBottom w:val="0"/>
      <w:divBdr>
        <w:top w:val="none" w:sz="0" w:space="0" w:color="auto"/>
        <w:left w:val="none" w:sz="0" w:space="0" w:color="auto"/>
        <w:bottom w:val="none" w:sz="0" w:space="0" w:color="auto"/>
        <w:right w:val="none" w:sz="0" w:space="0" w:color="auto"/>
      </w:divBdr>
    </w:div>
    <w:div w:id="1740209790">
      <w:bodyDiv w:val="1"/>
      <w:marLeft w:val="0"/>
      <w:marRight w:val="0"/>
      <w:marTop w:val="0"/>
      <w:marBottom w:val="0"/>
      <w:divBdr>
        <w:top w:val="none" w:sz="0" w:space="0" w:color="auto"/>
        <w:left w:val="none" w:sz="0" w:space="0" w:color="auto"/>
        <w:bottom w:val="none" w:sz="0" w:space="0" w:color="auto"/>
        <w:right w:val="none" w:sz="0" w:space="0" w:color="auto"/>
      </w:divBdr>
    </w:div>
    <w:div w:id="1746995367">
      <w:bodyDiv w:val="1"/>
      <w:marLeft w:val="0"/>
      <w:marRight w:val="0"/>
      <w:marTop w:val="0"/>
      <w:marBottom w:val="0"/>
      <w:divBdr>
        <w:top w:val="none" w:sz="0" w:space="0" w:color="auto"/>
        <w:left w:val="none" w:sz="0" w:space="0" w:color="auto"/>
        <w:bottom w:val="none" w:sz="0" w:space="0" w:color="auto"/>
        <w:right w:val="none" w:sz="0" w:space="0" w:color="auto"/>
      </w:divBdr>
    </w:div>
    <w:div w:id="1762486311">
      <w:bodyDiv w:val="1"/>
      <w:marLeft w:val="0"/>
      <w:marRight w:val="0"/>
      <w:marTop w:val="0"/>
      <w:marBottom w:val="0"/>
      <w:divBdr>
        <w:top w:val="none" w:sz="0" w:space="0" w:color="auto"/>
        <w:left w:val="none" w:sz="0" w:space="0" w:color="auto"/>
        <w:bottom w:val="none" w:sz="0" w:space="0" w:color="auto"/>
        <w:right w:val="none" w:sz="0" w:space="0" w:color="auto"/>
      </w:divBdr>
    </w:div>
    <w:div w:id="1769154188">
      <w:bodyDiv w:val="1"/>
      <w:marLeft w:val="0"/>
      <w:marRight w:val="0"/>
      <w:marTop w:val="0"/>
      <w:marBottom w:val="0"/>
      <w:divBdr>
        <w:top w:val="none" w:sz="0" w:space="0" w:color="auto"/>
        <w:left w:val="none" w:sz="0" w:space="0" w:color="auto"/>
        <w:bottom w:val="none" w:sz="0" w:space="0" w:color="auto"/>
        <w:right w:val="none" w:sz="0" w:space="0" w:color="auto"/>
      </w:divBdr>
      <w:divsChild>
        <w:div w:id="720599665">
          <w:marLeft w:val="274"/>
          <w:marRight w:val="0"/>
          <w:marTop w:val="0"/>
          <w:marBottom w:val="0"/>
          <w:divBdr>
            <w:top w:val="none" w:sz="0" w:space="0" w:color="auto"/>
            <w:left w:val="none" w:sz="0" w:space="0" w:color="auto"/>
            <w:bottom w:val="none" w:sz="0" w:space="0" w:color="auto"/>
            <w:right w:val="none" w:sz="0" w:space="0" w:color="auto"/>
          </w:divBdr>
        </w:div>
      </w:divsChild>
    </w:div>
    <w:div w:id="1776899785">
      <w:bodyDiv w:val="1"/>
      <w:marLeft w:val="0"/>
      <w:marRight w:val="0"/>
      <w:marTop w:val="0"/>
      <w:marBottom w:val="0"/>
      <w:divBdr>
        <w:top w:val="none" w:sz="0" w:space="0" w:color="auto"/>
        <w:left w:val="none" w:sz="0" w:space="0" w:color="auto"/>
        <w:bottom w:val="none" w:sz="0" w:space="0" w:color="auto"/>
        <w:right w:val="none" w:sz="0" w:space="0" w:color="auto"/>
      </w:divBdr>
    </w:div>
    <w:div w:id="1778066125">
      <w:bodyDiv w:val="1"/>
      <w:marLeft w:val="0"/>
      <w:marRight w:val="0"/>
      <w:marTop w:val="0"/>
      <w:marBottom w:val="0"/>
      <w:divBdr>
        <w:top w:val="none" w:sz="0" w:space="0" w:color="auto"/>
        <w:left w:val="none" w:sz="0" w:space="0" w:color="auto"/>
        <w:bottom w:val="none" w:sz="0" w:space="0" w:color="auto"/>
        <w:right w:val="none" w:sz="0" w:space="0" w:color="auto"/>
      </w:divBdr>
    </w:div>
    <w:div w:id="1794132278">
      <w:bodyDiv w:val="1"/>
      <w:marLeft w:val="0"/>
      <w:marRight w:val="0"/>
      <w:marTop w:val="0"/>
      <w:marBottom w:val="0"/>
      <w:divBdr>
        <w:top w:val="none" w:sz="0" w:space="0" w:color="auto"/>
        <w:left w:val="none" w:sz="0" w:space="0" w:color="auto"/>
        <w:bottom w:val="none" w:sz="0" w:space="0" w:color="auto"/>
        <w:right w:val="none" w:sz="0" w:space="0" w:color="auto"/>
      </w:divBdr>
      <w:divsChild>
        <w:div w:id="293022829">
          <w:marLeft w:val="547"/>
          <w:marRight w:val="0"/>
          <w:marTop w:val="120"/>
          <w:marBottom w:val="120"/>
          <w:divBdr>
            <w:top w:val="none" w:sz="0" w:space="0" w:color="auto"/>
            <w:left w:val="none" w:sz="0" w:space="0" w:color="auto"/>
            <w:bottom w:val="none" w:sz="0" w:space="0" w:color="auto"/>
            <w:right w:val="none" w:sz="0" w:space="0" w:color="auto"/>
          </w:divBdr>
        </w:div>
      </w:divsChild>
    </w:div>
    <w:div w:id="1799251585">
      <w:bodyDiv w:val="1"/>
      <w:marLeft w:val="0"/>
      <w:marRight w:val="0"/>
      <w:marTop w:val="0"/>
      <w:marBottom w:val="0"/>
      <w:divBdr>
        <w:top w:val="none" w:sz="0" w:space="0" w:color="auto"/>
        <w:left w:val="none" w:sz="0" w:space="0" w:color="auto"/>
        <w:bottom w:val="none" w:sz="0" w:space="0" w:color="auto"/>
        <w:right w:val="none" w:sz="0" w:space="0" w:color="auto"/>
      </w:divBdr>
      <w:divsChild>
        <w:div w:id="1016226452">
          <w:marLeft w:val="446"/>
          <w:marRight w:val="0"/>
          <w:marTop w:val="0"/>
          <w:marBottom w:val="0"/>
          <w:divBdr>
            <w:top w:val="none" w:sz="0" w:space="0" w:color="auto"/>
            <w:left w:val="none" w:sz="0" w:space="0" w:color="auto"/>
            <w:bottom w:val="none" w:sz="0" w:space="0" w:color="auto"/>
            <w:right w:val="none" w:sz="0" w:space="0" w:color="auto"/>
          </w:divBdr>
        </w:div>
      </w:divsChild>
    </w:div>
    <w:div w:id="1842502227">
      <w:bodyDiv w:val="1"/>
      <w:marLeft w:val="0"/>
      <w:marRight w:val="0"/>
      <w:marTop w:val="0"/>
      <w:marBottom w:val="0"/>
      <w:divBdr>
        <w:top w:val="none" w:sz="0" w:space="0" w:color="auto"/>
        <w:left w:val="none" w:sz="0" w:space="0" w:color="auto"/>
        <w:bottom w:val="none" w:sz="0" w:space="0" w:color="auto"/>
        <w:right w:val="none" w:sz="0" w:space="0" w:color="auto"/>
      </w:divBdr>
      <w:divsChild>
        <w:div w:id="1588615033">
          <w:marLeft w:val="547"/>
          <w:marRight w:val="0"/>
          <w:marTop w:val="0"/>
          <w:marBottom w:val="120"/>
          <w:divBdr>
            <w:top w:val="none" w:sz="0" w:space="0" w:color="auto"/>
            <w:left w:val="none" w:sz="0" w:space="0" w:color="auto"/>
            <w:bottom w:val="none" w:sz="0" w:space="0" w:color="auto"/>
            <w:right w:val="none" w:sz="0" w:space="0" w:color="auto"/>
          </w:divBdr>
        </w:div>
      </w:divsChild>
    </w:div>
    <w:div w:id="1854613761">
      <w:bodyDiv w:val="1"/>
      <w:marLeft w:val="0"/>
      <w:marRight w:val="0"/>
      <w:marTop w:val="0"/>
      <w:marBottom w:val="0"/>
      <w:divBdr>
        <w:top w:val="none" w:sz="0" w:space="0" w:color="auto"/>
        <w:left w:val="none" w:sz="0" w:space="0" w:color="auto"/>
        <w:bottom w:val="none" w:sz="0" w:space="0" w:color="auto"/>
        <w:right w:val="none" w:sz="0" w:space="0" w:color="auto"/>
      </w:divBdr>
    </w:div>
    <w:div w:id="1856457309">
      <w:bodyDiv w:val="1"/>
      <w:marLeft w:val="0"/>
      <w:marRight w:val="0"/>
      <w:marTop w:val="0"/>
      <w:marBottom w:val="0"/>
      <w:divBdr>
        <w:top w:val="none" w:sz="0" w:space="0" w:color="auto"/>
        <w:left w:val="none" w:sz="0" w:space="0" w:color="auto"/>
        <w:bottom w:val="none" w:sz="0" w:space="0" w:color="auto"/>
        <w:right w:val="none" w:sz="0" w:space="0" w:color="auto"/>
      </w:divBdr>
    </w:div>
    <w:div w:id="1858037046">
      <w:bodyDiv w:val="1"/>
      <w:marLeft w:val="0"/>
      <w:marRight w:val="0"/>
      <w:marTop w:val="0"/>
      <w:marBottom w:val="0"/>
      <w:divBdr>
        <w:top w:val="none" w:sz="0" w:space="0" w:color="auto"/>
        <w:left w:val="none" w:sz="0" w:space="0" w:color="auto"/>
        <w:bottom w:val="none" w:sz="0" w:space="0" w:color="auto"/>
        <w:right w:val="none" w:sz="0" w:space="0" w:color="auto"/>
      </w:divBdr>
    </w:div>
    <w:div w:id="1873569782">
      <w:bodyDiv w:val="1"/>
      <w:marLeft w:val="0"/>
      <w:marRight w:val="0"/>
      <w:marTop w:val="0"/>
      <w:marBottom w:val="0"/>
      <w:divBdr>
        <w:top w:val="none" w:sz="0" w:space="0" w:color="auto"/>
        <w:left w:val="none" w:sz="0" w:space="0" w:color="auto"/>
        <w:bottom w:val="none" w:sz="0" w:space="0" w:color="auto"/>
        <w:right w:val="none" w:sz="0" w:space="0" w:color="auto"/>
      </w:divBdr>
    </w:div>
    <w:div w:id="1890651872">
      <w:bodyDiv w:val="1"/>
      <w:marLeft w:val="0"/>
      <w:marRight w:val="0"/>
      <w:marTop w:val="0"/>
      <w:marBottom w:val="0"/>
      <w:divBdr>
        <w:top w:val="none" w:sz="0" w:space="0" w:color="auto"/>
        <w:left w:val="none" w:sz="0" w:space="0" w:color="auto"/>
        <w:bottom w:val="none" w:sz="0" w:space="0" w:color="auto"/>
        <w:right w:val="none" w:sz="0" w:space="0" w:color="auto"/>
      </w:divBdr>
    </w:div>
    <w:div w:id="1917981539">
      <w:bodyDiv w:val="1"/>
      <w:marLeft w:val="0"/>
      <w:marRight w:val="0"/>
      <w:marTop w:val="0"/>
      <w:marBottom w:val="0"/>
      <w:divBdr>
        <w:top w:val="none" w:sz="0" w:space="0" w:color="auto"/>
        <w:left w:val="none" w:sz="0" w:space="0" w:color="auto"/>
        <w:bottom w:val="none" w:sz="0" w:space="0" w:color="auto"/>
        <w:right w:val="none" w:sz="0" w:space="0" w:color="auto"/>
      </w:divBdr>
    </w:div>
    <w:div w:id="1918976109">
      <w:bodyDiv w:val="1"/>
      <w:marLeft w:val="0"/>
      <w:marRight w:val="0"/>
      <w:marTop w:val="0"/>
      <w:marBottom w:val="0"/>
      <w:divBdr>
        <w:top w:val="none" w:sz="0" w:space="0" w:color="auto"/>
        <w:left w:val="none" w:sz="0" w:space="0" w:color="auto"/>
        <w:bottom w:val="none" w:sz="0" w:space="0" w:color="auto"/>
        <w:right w:val="none" w:sz="0" w:space="0" w:color="auto"/>
      </w:divBdr>
    </w:div>
    <w:div w:id="1946688820">
      <w:bodyDiv w:val="1"/>
      <w:marLeft w:val="0"/>
      <w:marRight w:val="0"/>
      <w:marTop w:val="0"/>
      <w:marBottom w:val="0"/>
      <w:divBdr>
        <w:top w:val="none" w:sz="0" w:space="0" w:color="auto"/>
        <w:left w:val="none" w:sz="0" w:space="0" w:color="auto"/>
        <w:bottom w:val="none" w:sz="0" w:space="0" w:color="auto"/>
        <w:right w:val="none" w:sz="0" w:space="0" w:color="auto"/>
      </w:divBdr>
    </w:div>
    <w:div w:id="1965573716">
      <w:bodyDiv w:val="1"/>
      <w:marLeft w:val="0"/>
      <w:marRight w:val="0"/>
      <w:marTop w:val="0"/>
      <w:marBottom w:val="0"/>
      <w:divBdr>
        <w:top w:val="none" w:sz="0" w:space="0" w:color="auto"/>
        <w:left w:val="none" w:sz="0" w:space="0" w:color="auto"/>
        <w:bottom w:val="none" w:sz="0" w:space="0" w:color="auto"/>
        <w:right w:val="none" w:sz="0" w:space="0" w:color="auto"/>
      </w:divBdr>
    </w:div>
    <w:div w:id="1969898203">
      <w:bodyDiv w:val="1"/>
      <w:marLeft w:val="0"/>
      <w:marRight w:val="0"/>
      <w:marTop w:val="0"/>
      <w:marBottom w:val="0"/>
      <w:divBdr>
        <w:top w:val="none" w:sz="0" w:space="0" w:color="auto"/>
        <w:left w:val="none" w:sz="0" w:space="0" w:color="auto"/>
        <w:bottom w:val="none" w:sz="0" w:space="0" w:color="auto"/>
        <w:right w:val="none" w:sz="0" w:space="0" w:color="auto"/>
      </w:divBdr>
    </w:div>
    <w:div w:id="1978875542">
      <w:bodyDiv w:val="1"/>
      <w:marLeft w:val="0"/>
      <w:marRight w:val="0"/>
      <w:marTop w:val="0"/>
      <w:marBottom w:val="0"/>
      <w:divBdr>
        <w:top w:val="none" w:sz="0" w:space="0" w:color="auto"/>
        <w:left w:val="none" w:sz="0" w:space="0" w:color="auto"/>
        <w:bottom w:val="none" w:sz="0" w:space="0" w:color="auto"/>
        <w:right w:val="none" w:sz="0" w:space="0" w:color="auto"/>
      </w:divBdr>
    </w:div>
    <w:div w:id="2009554249">
      <w:bodyDiv w:val="1"/>
      <w:marLeft w:val="0"/>
      <w:marRight w:val="0"/>
      <w:marTop w:val="0"/>
      <w:marBottom w:val="0"/>
      <w:divBdr>
        <w:top w:val="none" w:sz="0" w:space="0" w:color="auto"/>
        <w:left w:val="none" w:sz="0" w:space="0" w:color="auto"/>
        <w:bottom w:val="none" w:sz="0" w:space="0" w:color="auto"/>
        <w:right w:val="none" w:sz="0" w:space="0" w:color="auto"/>
      </w:divBdr>
    </w:div>
    <w:div w:id="2023243127">
      <w:bodyDiv w:val="1"/>
      <w:marLeft w:val="0"/>
      <w:marRight w:val="0"/>
      <w:marTop w:val="0"/>
      <w:marBottom w:val="0"/>
      <w:divBdr>
        <w:top w:val="none" w:sz="0" w:space="0" w:color="auto"/>
        <w:left w:val="none" w:sz="0" w:space="0" w:color="auto"/>
        <w:bottom w:val="none" w:sz="0" w:space="0" w:color="auto"/>
        <w:right w:val="none" w:sz="0" w:space="0" w:color="auto"/>
      </w:divBdr>
    </w:div>
    <w:div w:id="2056850756">
      <w:bodyDiv w:val="1"/>
      <w:marLeft w:val="0"/>
      <w:marRight w:val="0"/>
      <w:marTop w:val="0"/>
      <w:marBottom w:val="0"/>
      <w:divBdr>
        <w:top w:val="none" w:sz="0" w:space="0" w:color="auto"/>
        <w:left w:val="none" w:sz="0" w:space="0" w:color="auto"/>
        <w:bottom w:val="none" w:sz="0" w:space="0" w:color="auto"/>
        <w:right w:val="none" w:sz="0" w:space="0" w:color="auto"/>
      </w:divBdr>
    </w:div>
    <w:div w:id="2057579557">
      <w:bodyDiv w:val="1"/>
      <w:marLeft w:val="0"/>
      <w:marRight w:val="0"/>
      <w:marTop w:val="0"/>
      <w:marBottom w:val="0"/>
      <w:divBdr>
        <w:top w:val="none" w:sz="0" w:space="0" w:color="auto"/>
        <w:left w:val="none" w:sz="0" w:space="0" w:color="auto"/>
        <w:bottom w:val="none" w:sz="0" w:space="0" w:color="auto"/>
        <w:right w:val="none" w:sz="0" w:space="0" w:color="auto"/>
      </w:divBdr>
    </w:div>
    <w:div w:id="2065904463">
      <w:bodyDiv w:val="1"/>
      <w:marLeft w:val="0"/>
      <w:marRight w:val="0"/>
      <w:marTop w:val="0"/>
      <w:marBottom w:val="0"/>
      <w:divBdr>
        <w:top w:val="none" w:sz="0" w:space="0" w:color="auto"/>
        <w:left w:val="none" w:sz="0" w:space="0" w:color="auto"/>
        <w:bottom w:val="none" w:sz="0" w:space="0" w:color="auto"/>
        <w:right w:val="none" w:sz="0" w:space="0" w:color="auto"/>
      </w:divBdr>
    </w:div>
    <w:div w:id="2074621935">
      <w:bodyDiv w:val="1"/>
      <w:marLeft w:val="0"/>
      <w:marRight w:val="0"/>
      <w:marTop w:val="0"/>
      <w:marBottom w:val="0"/>
      <w:divBdr>
        <w:top w:val="none" w:sz="0" w:space="0" w:color="auto"/>
        <w:left w:val="none" w:sz="0" w:space="0" w:color="auto"/>
        <w:bottom w:val="none" w:sz="0" w:space="0" w:color="auto"/>
        <w:right w:val="none" w:sz="0" w:space="0" w:color="auto"/>
      </w:divBdr>
    </w:div>
    <w:div w:id="2090275058">
      <w:bodyDiv w:val="1"/>
      <w:marLeft w:val="0"/>
      <w:marRight w:val="0"/>
      <w:marTop w:val="0"/>
      <w:marBottom w:val="0"/>
      <w:divBdr>
        <w:top w:val="none" w:sz="0" w:space="0" w:color="auto"/>
        <w:left w:val="none" w:sz="0" w:space="0" w:color="auto"/>
        <w:bottom w:val="none" w:sz="0" w:space="0" w:color="auto"/>
        <w:right w:val="none" w:sz="0" w:space="0" w:color="auto"/>
      </w:divBdr>
    </w:div>
    <w:div w:id="2091147958">
      <w:bodyDiv w:val="1"/>
      <w:marLeft w:val="0"/>
      <w:marRight w:val="0"/>
      <w:marTop w:val="0"/>
      <w:marBottom w:val="0"/>
      <w:divBdr>
        <w:top w:val="none" w:sz="0" w:space="0" w:color="auto"/>
        <w:left w:val="none" w:sz="0" w:space="0" w:color="auto"/>
        <w:bottom w:val="none" w:sz="0" w:space="0" w:color="auto"/>
        <w:right w:val="none" w:sz="0" w:space="0" w:color="auto"/>
      </w:divBdr>
    </w:div>
    <w:div w:id="2113697632">
      <w:bodyDiv w:val="1"/>
      <w:marLeft w:val="0"/>
      <w:marRight w:val="0"/>
      <w:marTop w:val="0"/>
      <w:marBottom w:val="0"/>
      <w:divBdr>
        <w:top w:val="none" w:sz="0" w:space="0" w:color="auto"/>
        <w:left w:val="none" w:sz="0" w:space="0" w:color="auto"/>
        <w:bottom w:val="none" w:sz="0" w:space="0" w:color="auto"/>
        <w:right w:val="none" w:sz="0" w:space="0" w:color="auto"/>
      </w:divBdr>
    </w:div>
    <w:div w:id="2123259709">
      <w:bodyDiv w:val="1"/>
      <w:marLeft w:val="0"/>
      <w:marRight w:val="0"/>
      <w:marTop w:val="0"/>
      <w:marBottom w:val="0"/>
      <w:divBdr>
        <w:top w:val="none" w:sz="0" w:space="0" w:color="auto"/>
        <w:left w:val="none" w:sz="0" w:space="0" w:color="auto"/>
        <w:bottom w:val="none" w:sz="0" w:space="0" w:color="auto"/>
        <w:right w:val="none" w:sz="0" w:space="0" w:color="auto"/>
      </w:divBdr>
    </w:div>
    <w:div w:id="2129005435">
      <w:bodyDiv w:val="1"/>
      <w:marLeft w:val="0"/>
      <w:marRight w:val="0"/>
      <w:marTop w:val="0"/>
      <w:marBottom w:val="0"/>
      <w:divBdr>
        <w:top w:val="none" w:sz="0" w:space="0" w:color="auto"/>
        <w:left w:val="none" w:sz="0" w:space="0" w:color="auto"/>
        <w:bottom w:val="none" w:sz="0" w:space="0" w:color="auto"/>
        <w:right w:val="none" w:sz="0" w:space="0" w:color="auto"/>
      </w:divBdr>
    </w:div>
    <w:div w:id="2133596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s-finanzas.hidalgo.gob.mx/servicios/informacinFinancieraSRFT.html" TargetMode="External"/><Relationship Id="rId21" Type="http://schemas.openxmlformats.org/officeDocument/2006/relationships/hyperlink" Target="https://www.hidalgo.gob.mx/" TargetMode="External"/><Relationship Id="rId34" Type="http://schemas.openxmlformats.org/officeDocument/2006/relationships/hyperlink" Target="http://dof.gob.mx/nota_detalle.php?codigo=5420652&amp;fecha=18/12/2015" TargetMode="External"/><Relationship Id="rId42" Type="http://schemas.openxmlformats.org/officeDocument/2006/relationships/hyperlink" Target="http://www.diputados.gob.mx/LeyesBiblio/pdf/31_300118.pdf" TargetMode="External"/><Relationship Id="rId47" Type="http://schemas.openxmlformats.org/officeDocument/2006/relationships/hyperlink" Target="https://s-finanzas.hidalgo.gob.mx/descargables/uted/Manual_Construccion_Indicadores.pdf" TargetMode="External"/><Relationship Id="rId50" Type="http://schemas.openxmlformats.org/officeDocument/2006/relationships/header" Target="header3.xml"/><Relationship Id="rId55" Type="http://schemas.openxmlformats.org/officeDocument/2006/relationships/image" Target="media/image5.emf"/><Relationship Id="rId63" Type="http://schemas.openxmlformats.org/officeDocument/2006/relationships/footer" Target="footer7.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s-finanzas.hidalgo.gob.mx/servicios/informacinFinancieraSRFT.html" TargetMode="External"/><Relationship Id="rId29" Type="http://schemas.openxmlformats.org/officeDocument/2006/relationships/hyperlink" Target="https://www.gob.mx/cms/uploads/attachment/file/541072/Oficio_No._419-A-19-0788_VQZ.SE.164.19.pdf" TargetMode="External"/><Relationship Id="rId11" Type="http://schemas.openxmlformats.org/officeDocument/2006/relationships/footer" Target="footer2.xml"/><Relationship Id="rId24" Type="http://schemas.openxmlformats.org/officeDocument/2006/relationships/hyperlink" Target="https://s-finanzas.hidalgo.gob.mx/pag/presupuestoBasadoResultados.html" TargetMode="External"/><Relationship Id="rId32" Type="http://schemas.openxmlformats.org/officeDocument/2006/relationships/hyperlink" Target="https://www.dof.gob.mx/nota_detalle.php?codigo=5327835&amp;fecha=24/12/2013" TargetMode="External"/><Relationship Id="rId37" Type="http://schemas.openxmlformats.org/officeDocument/2006/relationships/hyperlink" Target="https://dof.gob.mx/nota_detalle.php?codigo=5297066&amp;fecha=25/04/2013" TargetMode="External"/><Relationship Id="rId40" Type="http://schemas.openxmlformats.org/officeDocument/2006/relationships/hyperlink" Target="https://s-finanzas.hidalgo.gob.mx/pag/presupuestoBasadoResultados.html" TargetMode="External"/><Relationship Id="rId45" Type="http://schemas.openxmlformats.org/officeDocument/2006/relationships/hyperlink" Target="https://www.transparenciapresupuestaria.gob.mx/es/PTP/Datos_Abiertos" TargetMode="External"/><Relationship Id="rId53" Type="http://schemas.openxmlformats.org/officeDocument/2006/relationships/footer" Target="footer4.xml"/><Relationship Id="rId58" Type="http://schemas.openxmlformats.org/officeDocument/2006/relationships/header" Target="header5.xml"/><Relationship Id="rId66"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footer" Target="footer6.xml"/><Relationship Id="rId19" Type="http://schemas.openxmlformats.org/officeDocument/2006/relationships/hyperlink" Target="https://s-finanzas.hidalgo.gob.mx/servicios/informacinFinancieraSRFT.html" TargetMode="External"/><Relationship Id="rId14" Type="http://schemas.openxmlformats.org/officeDocument/2006/relationships/hyperlink" Target="http://s-finanzas.hidalgo.gob.mx/pag/presupuestoBasadoResultados.html" TargetMode="External"/><Relationship Id="rId22" Type="http://schemas.openxmlformats.org/officeDocument/2006/relationships/hyperlink" Target="http://s-finanzas.hidalgo.gob.mx/pag/presupuestoBasadoResultados.html" TargetMode="External"/><Relationship Id="rId27" Type="http://schemas.openxmlformats.org/officeDocument/2006/relationships/hyperlink" Target="https://sif.hidalgo.gob.mx/WebCPublica2018/tomo3.html" TargetMode="External"/><Relationship Id="rId30" Type="http://schemas.openxmlformats.org/officeDocument/2006/relationships/hyperlink" Target="https://www.coneval.org.mx/Evaluacion/Paginas/Glosario-EVALUACION.aspx" TargetMode="External"/><Relationship Id="rId35" Type="http://schemas.openxmlformats.org/officeDocument/2006/relationships/hyperlink" Target="http://www.dof.gob.mx/nota_detalle.php?codigo=5466319&amp;fecha=21/12/2016" TargetMode="External"/><Relationship Id="rId43" Type="http://schemas.openxmlformats.org/officeDocument/2006/relationships/hyperlink" Target="http://www.diputados.gob.mx/LeyesBiblio/pdf/LGCG_300118.pdf" TargetMode="External"/><Relationship Id="rId48" Type="http://schemas.openxmlformats.org/officeDocument/2006/relationships/hyperlink" Target="https://www.transparenciapresupuestaria.gob.mx/work/models/PTP/Entidades_Federativas/SFU/Guia%20_de%20criterios%20_SFU%20VF_2.pdf" TargetMode="External"/><Relationship Id="rId56" Type="http://schemas.openxmlformats.org/officeDocument/2006/relationships/image" Target="media/image6.emf"/><Relationship Id="rId64" Type="http://schemas.openxmlformats.org/officeDocument/2006/relationships/chart" Target="charts/chart1.xml"/><Relationship Id="rId8" Type="http://schemas.openxmlformats.org/officeDocument/2006/relationships/header" Target="header1.xml"/><Relationship Id="rId51" Type="http://schemas.openxmlformats.org/officeDocument/2006/relationships/footer" Target="footer3.xml"/><Relationship Id="rId3" Type="http://schemas.openxmlformats.org/officeDocument/2006/relationships/styles" Target="styles.xml"/><Relationship Id="rId12" Type="http://schemas.openxmlformats.org/officeDocument/2006/relationships/hyperlink" Target="https://s-finanzas.hidalgo.gob.mx/servicios/informacinFinancieraSRFT.html" TargetMode="External"/><Relationship Id="rId17" Type="http://schemas.openxmlformats.org/officeDocument/2006/relationships/hyperlink" Target="https://s-finanzas.hidalgo.gob.mx/pag/presupuestoBasadoResultados.html" TargetMode="External"/><Relationship Id="rId25" Type="http://schemas.openxmlformats.org/officeDocument/2006/relationships/hyperlink" Target="https://s-finanzas.hidalgo.gob.mx/transparenciaFinanciera/transparenciaFinancieraPorTema.html" TargetMode="External"/><Relationship Id="rId33" Type="http://schemas.openxmlformats.org/officeDocument/2006/relationships/hyperlink" Target="http://www.dof.gob.mx/nota_detalle.php?codigo=5376981&amp;fecha=23/12/2014" TargetMode="External"/><Relationship Id="rId38" Type="http://schemas.openxmlformats.org/officeDocument/2006/relationships/hyperlink" Target="https://s-finanzas.hidalgo.gob.mx/servicios/informacinFinancieraSRFT.html" TargetMode="External"/><Relationship Id="rId46" Type="http://schemas.openxmlformats.org/officeDocument/2006/relationships/hyperlink" Target="https://s-finanzas.hidalgo.gob.mx/descargables/uted/Criterios%20para%20el%20Registro%20y%20Validacion%20MIR%202019.pdf" TargetMode="External"/><Relationship Id="rId59" Type="http://schemas.openxmlformats.org/officeDocument/2006/relationships/footer" Target="footer5.xml"/><Relationship Id="rId67" Type="http://schemas.openxmlformats.org/officeDocument/2006/relationships/theme" Target="theme/theme1.xml"/><Relationship Id="rId20" Type="http://schemas.openxmlformats.org/officeDocument/2006/relationships/hyperlink" Target="http://s-finanzas.hidalgo.gob.mx/pag/presupuestoBasadoResultados.html" TargetMode="External"/><Relationship Id="rId41" Type="http://schemas.openxmlformats.org/officeDocument/2006/relationships/hyperlink" Target="https://repositorio.cepal.org/bitstream/handle/11362/5507/1/S1100211_es.pdf" TargetMode="External"/><Relationship Id="rId54" Type="http://schemas.openxmlformats.org/officeDocument/2006/relationships/hyperlink" Target="https://www.gob.mx/cms/uploads/attachment/file/56904/Gu_a_para_la_Optimizaci_n__Estandarizaci_n_y_Mejora_Continua_de_Procesos.pdf" TargetMode="External"/><Relationship Id="rId62"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emf"/><Relationship Id="rId23" Type="http://schemas.openxmlformats.org/officeDocument/2006/relationships/hyperlink" Target="https://s-finanzas.hidalgo.gob.mx/transparenciaFinanciera/transparenciaFinancieraPorTema.html" TargetMode="External"/><Relationship Id="rId28" Type="http://schemas.openxmlformats.org/officeDocument/2006/relationships/hyperlink" Target="https://www.coneval.org.mx/Evaluacion/IEPSM/Documents/Estudio_descentralizacion_1997_2017.pdf" TargetMode="External"/><Relationship Id="rId36" Type="http://schemas.openxmlformats.org/officeDocument/2006/relationships/hyperlink" Target="https://www.dof.gob.mx/nota_detalle.php?codigo=5508435&amp;fecha=20/12/2017" TargetMode="External"/><Relationship Id="rId49" Type="http://schemas.openxmlformats.org/officeDocument/2006/relationships/hyperlink" Target="http://www.gob.mx/shcp/documentos/guia-para-el-diseno-de-la-matriz-de-indicadores-para-resultados" TargetMode="External"/><Relationship Id="rId57" Type="http://schemas.openxmlformats.org/officeDocument/2006/relationships/image" Target="media/image7.png"/><Relationship Id="rId10" Type="http://schemas.openxmlformats.org/officeDocument/2006/relationships/header" Target="header2.xml"/><Relationship Id="rId31" Type="http://schemas.openxmlformats.org/officeDocument/2006/relationships/hyperlink" Target="https://www.coneval.org.mx/Evaluacion/NME/Documents/PAE_2018.pdf" TargetMode="External"/><Relationship Id="rId44" Type="http://schemas.openxmlformats.org/officeDocument/2006/relationships/hyperlink" Target="http://h-periodico.hidalgo.gob.mx/pod/services/visualiza.php?doc=2018_dic_31_alc0_53&amp;format=pdf&amp;subfolder=&amp;page=%5b*,0" TargetMode="External"/><Relationship Id="rId52" Type="http://schemas.openxmlformats.org/officeDocument/2006/relationships/header" Target="header4.xml"/><Relationship Id="rId60" Type="http://schemas.openxmlformats.org/officeDocument/2006/relationships/header" Target="header6.xml"/><Relationship Id="rId65" Type="http://schemas.openxmlformats.org/officeDocument/2006/relationships/header" Target="header8.xm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yperlink" Target="https://s-finanzas.hidalgo.gob.mx/pag/presupuestoBasadoResultados.html" TargetMode="External"/><Relationship Id="rId18" Type="http://schemas.openxmlformats.org/officeDocument/2006/relationships/hyperlink" Target="https://s-finanzas.hidalgo.gob.mx/transparenciaFinanciera/transparenciaFinancieraPorTema.html" TargetMode="External"/><Relationship Id="rId39" Type="http://schemas.openxmlformats.org/officeDocument/2006/relationships/hyperlink" Target="http://hidalgo.gob.mx/Plan%20Estatal%20de%20Desarrollo%201%20Feb%202017.pdf"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s-finanzas.hidalgo.gob.mx/descargables/uted/2019/matrices/GUIA%20PARA%20EL%20INGRESO%20DE%20METAS%20DE%20INDICADORES%20DE%20DESEMPE%C3%91O%20Y%20REPORTE%20DE%20AVANCE%202019.pdf" TargetMode="External"/><Relationship Id="rId13" Type="http://schemas.openxmlformats.org/officeDocument/2006/relationships/hyperlink" Target="http://www.congreso&#9472;hidalgo.gob.mx/biblioteca_legislativa/Leyes/35Ley%20de%20Deuda%20Publica%20del%20Estado%20de%20Hidalgo.pdf" TargetMode="External"/><Relationship Id="rId3" Type="http://schemas.openxmlformats.org/officeDocument/2006/relationships/hyperlink" Target="https://s-finanzas.hidalgo.gob.mx/presupuesto/matricesIndicadores2018.html" TargetMode="External"/><Relationship Id="rId7" Type="http://schemas.openxmlformats.org/officeDocument/2006/relationships/hyperlink" Target="https://s-finanzas.hidalgo.gob.mx/descargables/uted/Manual_Construccion_Indicadores.pdf" TargetMode="External"/><Relationship Id="rId12" Type="http://schemas.openxmlformats.org/officeDocument/2006/relationships/hyperlink" Target="https://s-finanzas.hidalgo.gob.mx/descargables/2018/Ejercicio%20del%20Ppto%202018/Manual%20de%20Normas%20y%20Lineamientos%20para%20el%20Ejercicio%20de%20los%20Recursos%20del%20Programa%20de%20Inversion%202018.pdf" TargetMode="External"/><Relationship Id="rId2" Type="http://schemas.openxmlformats.org/officeDocument/2006/relationships/hyperlink" Target="http://www.diputados.gob.mx/LeyesBiblio/pdf/31_300118.pdf" TargetMode="External"/><Relationship Id="rId16" Type="http://schemas.openxmlformats.org/officeDocument/2006/relationships/hyperlink" Target="https://www.coneval.org.mx/Evaluacion/Paginas/Glosario-EVALUACION.aspx" TargetMode="External"/><Relationship Id="rId1" Type="http://schemas.openxmlformats.org/officeDocument/2006/relationships/hyperlink" Target="https://s-finanzas.hidalgo.gob.mx/descargables/uted/Manual_Construccion_Indicadores.pdf" TargetMode="External"/><Relationship Id="rId6" Type="http://schemas.openxmlformats.org/officeDocument/2006/relationships/hyperlink" Target="http://s&#9472;finanzas.hidalgo.gob.mx/pag/presupuestoBasadoResultados.html" TargetMode="External"/><Relationship Id="rId11" Type="http://schemas.openxmlformats.org/officeDocument/2006/relationships/hyperlink" Target="https://s-finanzas.hidalgo.gob.mx/descargables/2018/Ejercicio%20del%20Ppto%202018/Manual%20de%20Normas%20y%20Lineamientos%20para%20el%20Ejercicio%20de%20los%20Recursos%20del%20Programa%20de%20Inversion%202018.pdf" TargetMode="External"/><Relationship Id="rId5" Type="http://schemas.openxmlformats.org/officeDocument/2006/relationships/hyperlink" Target="https://s-finanzas.hidalgo.gob.mx/servicios/informacinFinancieraSRFT.html" TargetMode="External"/><Relationship Id="rId15" Type="http://schemas.openxmlformats.org/officeDocument/2006/relationships/hyperlink" Target="http://sfinanzas.hidalgo.gob.mx/pag/presupuestoBasadoResultados.html" TargetMode="External"/><Relationship Id="rId10" Type="http://schemas.openxmlformats.org/officeDocument/2006/relationships/hyperlink" Target="http://transparencia.hidalgo.gob.mx/descargables/dependencias/obrasp/48%20Fracciones/4%20POA/2018/f2_POA%202018.pdf" TargetMode="External"/><Relationship Id="rId4" Type="http://schemas.openxmlformats.org/officeDocument/2006/relationships/hyperlink" Target="https://www.gob.mx/cms/uploads/attachment/file/541072/Oficio_No._419-A-19-0788_VQZ.SE.164.19.pdf" TargetMode="External"/><Relationship Id="rId9" Type="http://schemas.openxmlformats.org/officeDocument/2006/relationships/hyperlink" Target="https://www.gob.mx/cms/uploads/attachment/file/541072/Oficio_No._419-A-19-0788_VQZ.SE.164.19.pdf" TargetMode="External"/><Relationship Id="rId14" Type="http://schemas.openxmlformats.org/officeDocument/2006/relationships/hyperlink" Target="http://transparencia.hidalgo.gob.mx/TRANSCENTRAL/TRANSPFINANCIERA/Lineamientos1"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oleObject" Target="file:///C:\Users\marib\Desktop\SHCP_010320\HIDALGO%20AVALADO\Anexo%2010.%20%20Valoraci&#243;n%20del%20Fondo%20Hidalgo.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radarChart>
        <c:radarStyle val="marker"/>
        <c:varyColors val="0"/>
        <c:ser>
          <c:idx val="0"/>
          <c:order val="0"/>
          <c:spPr>
            <a:ln w="28575" cap="rnd">
              <a:solidFill>
                <a:schemeClr val="accent1"/>
              </a:solidFill>
              <a:round/>
            </a:ln>
            <a:effectLst/>
          </c:spPr>
          <c:marker>
            <c:symbol val="none"/>
          </c:marker>
          <c:dLbls>
            <c:dLbl>
              <c:idx val="1"/>
              <c:layout>
                <c:manualLayout>
                  <c:x val="-6.5836794733056508E-2"/>
                  <c:y val="1.355986638299853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2B8F-40CC-953C-842CECB1981F}"/>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tx1">
                        <a:lumMod val="75000"/>
                        <a:lumOff val="25000"/>
                      </a:schemeClr>
                    </a:solidFill>
                    <a:latin typeface="+mn-lt"/>
                    <a:ea typeface="+mn-ea"/>
                    <a:cs typeface="+mn-cs"/>
                  </a:defRPr>
                </a:pPr>
                <a:endParaRPr lang="es-MX"/>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'Gráfica Tlaxcala'!$A$3:$A$9</c:f>
              <c:strCache>
                <c:ptCount val="7"/>
                <c:pt idx="0">
                  <c:v>1. Justificación del diseño del Fondo y de su mecanismo de intervención</c:v>
                </c:pt>
                <c:pt idx="1">
                  <c:v>2. Matriz de Indicadores para Resultados</c:v>
                </c:pt>
                <c:pt idx="2">
                  <c:v>3. Consistencia entre los elementos del diseño</c:v>
                </c:pt>
                <c:pt idx="3">
                  <c:v>4. Alineación del Fondo a la Planeación Nacional y a los Objetivos de Desarrollo Sostenible</c:v>
                </c:pt>
                <c:pt idx="4">
                  <c:v>5. Mecanismos de coordinación</c:v>
                </c:pt>
                <c:pt idx="5">
                  <c:v>6. Complementariedad y coincidencias</c:v>
                </c:pt>
                <c:pt idx="6">
                  <c:v>7. Calidad de la información</c:v>
                </c:pt>
              </c:strCache>
            </c:strRef>
          </c:cat>
          <c:val>
            <c:numRef>
              <c:f>'Gráfica Tlaxcala'!$B$3:$B$9</c:f>
              <c:numCache>
                <c:formatCode>General</c:formatCode>
                <c:ptCount val="7"/>
                <c:pt idx="0" formatCode="0.000">
                  <c:v>0.125</c:v>
                </c:pt>
                <c:pt idx="1">
                  <c:v>0.75</c:v>
                </c:pt>
                <c:pt idx="2" formatCode="0.00">
                  <c:v>0.5</c:v>
                </c:pt>
                <c:pt idx="4" formatCode="0">
                  <c:v>0</c:v>
                </c:pt>
                <c:pt idx="6" formatCode="0.00">
                  <c:v>0.42</c:v>
                </c:pt>
              </c:numCache>
            </c:numRef>
          </c:val>
          <c:extLst>
            <c:ext xmlns:c16="http://schemas.microsoft.com/office/drawing/2014/chart" uri="{C3380CC4-5D6E-409C-BE32-E72D297353CC}">
              <c16:uniqueId val="{00000001-2B8F-40CC-953C-842CECB1981F}"/>
            </c:ext>
          </c:extLst>
        </c:ser>
        <c:dLbls>
          <c:showLegendKey val="0"/>
          <c:showVal val="0"/>
          <c:showCatName val="0"/>
          <c:showSerName val="0"/>
          <c:showPercent val="0"/>
          <c:showBubbleSize val="0"/>
        </c:dLbls>
        <c:axId val="-1579249136"/>
        <c:axId val="-1579267088"/>
      </c:radarChart>
      <c:catAx>
        <c:axId val="-1579249136"/>
        <c:scaling>
          <c:orientation val="minMax"/>
        </c:scaling>
        <c:delete val="0"/>
        <c:axPos val="b"/>
        <c:numFmt formatCode="General" sourceLinked="1"/>
        <c:majorTickMark val="none"/>
        <c:minorTickMark val="none"/>
        <c:tickLblPos val="nextTo"/>
        <c:spPr>
          <a:solidFill>
            <a:schemeClr val="bg2">
              <a:lumMod val="90000"/>
            </a:schemeClr>
          </a:solid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es-MX"/>
          </a:p>
        </c:txPr>
        <c:crossAx val="-1579267088"/>
        <c:crosses val="autoZero"/>
        <c:auto val="1"/>
        <c:lblAlgn val="ctr"/>
        <c:lblOffset val="100"/>
        <c:noMultiLvlLbl val="0"/>
      </c:catAx>
      <c:valAx>
        <c:axId val="-1579267088"/>
        <c:scaling>
          <c:orientation val="minMax"/>
        </c:scaling>
        <c:delete val="0"/>
        <c:axPos val="l"/>
        <c:majorGridlines>
          <c:spPr>
            <a:ln w="9525" cap="flat" cmpd="sng" algn="ctr">
              <a:solidFill>
                <a:srgbClr val="D9D9D9"/>
              </a:solidFill>
              <a:round/>
            </a:ln>
            <a:effectLst/>
          </c:spPr>
        </c:majorGridlines>
        <c:numFmt formatCode="0.00" sourceLinked="0"/>
        <c:majorTickMark val="none"/>
        <c:minorTickMark val="none"/>
        <c:tickLblPos val="nextTo"/>
        <c:spPr>
          <a:noFill/>
          <a:ln>
            <a:noFill/>
          </a:ln>
          <a:effectLst/>
        </c:spPr>
        <c:txPr>
          <a:bodyPr rot="-60000000" spcFirstLastPara="1" vertOverflow="ellipsis" vert="horz" wrap="square" anchor="ctr" anchorCtr="1"/>
          <a:lstStyle/>
          <a:p>
            <a:pPr>
              <a:defRPr sz="1050" b="0" i="0" u="none" strike="noStrike" kern="1200" baseline="0">
                <a:solidFill>
                  <a:schemeClr val="tx1">
                    <a:lumMod val="65000"/>
                    <a:lumOff val="35000"/>
                  </a:schemeClr>
                </a:solidFill>
                <a:latin typeface="+mn-lt"/>
                <a:ea typeface="+mn-ea"/>
                <a:cs typeface="+mn-cs"/>
              </a:defRPr>
            </a:pPr>
            <a:endParaRPr lang="es-MX"/>
          </a:p>
        </c:txPr>
        <c:crossAx val="-157924913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MX"/>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1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B3AD6F-444F-4170-82FF-6F61F3573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122</Pages>
  <Words>50635</Words>
  <Characters>278493</Characters>
  <Application>Microsoft Office Word</Application>
  <DocSecurity>0</DocSecurity>
  <Lines>2320</Lines>
  <Paragraphs>656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328472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 Ángel</dc:creator>
  <cp:keywords/>
  <dc:description/>
  <cp:lastModifiedBy>SERVICIOS PROFESIONALES PARA EL DESARROLLO ECONOMICO S.C.</cp:lastModifiedBy>
  <cp:revision>53</cp:revision>
  <cp:lastPrinted>2017-05-03T18:22:00Z</cp:lastPrinted>
  <dcterms:created xsi:type="dcterms:W3CDTF">2020-11-20T19:31:00Z</dcterms:created>
  <dcterms:modified xsi:type="dcterms:W3CDTF">2021-01-16T02:04:00Z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zotero-version="4.0.26.4"&gt;&lt;session id="pzyXrVgR"/&gt;&lt;style id="http://www.zotero.org/styles/apa" hasBibliography="1" bibliographyStyleHasBeenSet="0"/&gt;&lt;prefs&gt;&lt;pref name="fieldType" value="Field"/&gt;&lt;pref name="storeReferences" value="tru</vt:lpwstr>
  </property>
  <property fmtid="{D5CDD505-2E9C-101B-9397-08002B2CF9AE}" pid="3" name="ZOTERO_PREF_2">
    <vt:lpwstr>e"/&gt;&lt;pref name="automaticJournalAbbreviations" value="true"/&gt;&lt;pref name="noteType" value="0"/&gt;&lt;/prefs&gt;&lt;/data&gt;</vt:lpwstr>
  </property>
</Properties>
</file>