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71C" w:rsidRDefault="003C50CF" w:rsidP="00E360D4">
      <w:pPr>
        <w:pStyle w:val="Cdetexto"/>
        <w:rPr>
          <w:rFonts w:ascii="Montserrat" w:hAnsi="Montserrat"/>
          <w:b/>
          <w:sz w:val="26"/>
          <w:szCs w:val="26"/>
        </w:rPr>
      </w:pPr>
      <w:bookmarkStart w:id="0" w:name="_Toc526857279"/>
      <w:bookmarkStart w:id="1" w:name="_GoBack"/>
      <w:r>
        <w:rPr>
          <w:rFonts w:ascii="Montserrat" w:hAnsi="Montserrat"/>
          <w:b/>
          <w:sz w:val="26"/>
          <w:szCs w:val="26"/>
        </w:rPr>
        <w:t>XVI</w:t>
      </w:r>
      <w:r w:rsidR="0053654C">
        <w:rPr>
          <w:rFonts w:ascii="Montserrat" w:hAnsi="Montserrat"/>
          <w:b/>
          <w:sz w:val="26"/>
          <w:szCs w:val="26"/>
        </w:rPr>
        <w:t>I</w:t>
      </w:r>
      <w:r w:rsidR="00E360D4" w:rsidRPr="00E360D4">
        <w:rPr>
          <w:rFonts w:ascii="Montserrat" w:hAnsi="Montserrat"/>
          <w:b/>
          <w:sz w:val="26"/>
          <w:szCs w:val="26"/>
        </w:rPr>
        <w:t xml:space="preserve">. </w:t>
      </w:r>
      <w:r w:rsidR="008A771C" w:rsidRPr="008A771C">
        <w:rPr>
          <w:rFonts w:ascii="Montserrat" w:hAnsi="Montserrat"/>
          <w:b/>
          <w:sz w:val="26"/>
          <w:szCs w:val="26"/>
        </w:rPr>
        <w:t>EVALUACIÓN DE POLÍTICAS Y PROGRAMAS FEDERALES DE LA ADMINISTRACIÓN PÚBLICA FEDERAL</w:t>
      </w:r>
    </w:p>
    <w:bookmarkEnd w:id="1" w:displacedByCustomXml="next"/>
    <w:sdt>
      <w:sdtPr>
        <w:rPr>
          <w:rFonts w:ascii="Montserrat" w:eastAsia="MS Mincho" w:hAnsi="Montserrat"/>
          <w:b w:val="0"/>
          <w:bCs w:val="0"/>
          <w:color w:val="auto"/>
          <w:sz w:val="20"/>
          <w:szCs w:val="20"/>
          <w:lang w:val="es-ES" w:eastAsia="es-ES"/>
        </w:rPr>
        <w:id w:val="-2011984929"/>
        <w:docPartObj>
          <w:docPartGallery w:val="Table of Contents"/>
          <w:docPartUnique/>
        </w:docPartObj>
      </w:sdtPr>
      <w:sdtEndPr/>
      <w:sdtContent>
        <w:p w:rsidR="00E360D4" w:rsidRPr="003C50CF" w:rsidRDefault="00E360D4">
          <w:pPr>
            <w:pStyle w:val="TtuloTDC"/>
            <w:rPr>
              <w:rFonts w:ascii="Montserrat" w:hAnsi="Montserrat"/>
              <w:color w:val="auto"/>
              <w:sz w:val="22"/>
              <w:szCs w:val="22"/>
            </w:rPr>
          </w:pPr>
          <w:r w:rsidRPr="003C50CF">
            <w:rPr>
              <w:rFonts w:ascii="Montserrat" w:hAnsi="Montserrat"/>
              <w:color w:val="auto"/>
              <w:sz w:val="22"/>
              <w:szCs w:val="22"/>
              <w:lang w:val="es-ES"/>
            </w:rPr>
            <w:t>Contenido</w:t>
          </w:r>
        </w:p>
        <w:p w:rsidR="003C50CF" w:rsidRPr="003C50CF" w:rsidRDefault="00E360D4">
          <w:pPr>
            <w:pStyle w:val="TDC2"/>
            <w:tabs>
              <w:tab w:val="right" w:leader="dot" w:pos="9962"/>
            </w:tabs>
            <w:rPr>
              <w:rFonts w:ascii="Montserrat" w:eastAsiaTheme="minorEastAsia" w:hAnsi="Montserrat" w:cstheme="minorBidi"/>
              <w:b w:val="0"/>
              <w:bCs w:val="0"/>
              <w:noProof/>
              <w:lang w:val="es-MX" w:eastAsia="es-MX"/>
            </w:rPr>
          </w:pPr>
          <w:r w:rsidRPr="003C50CF">
            <w:rPr>
              <w:rFonts w:ascii="Montserrat" w:hAnsi="Montserrat"/>
            </w:rPr>
            <w:fldChar w:fldCharType="begin"/>
          </w:r>
          <w:r w:rsidRPr="003C50CF">
            <w:rPr>
              <w:rFonts w:ascii="Montserrat" w:hAnsi="Montserrat"/>
            </w:rPr>
            <w:instrText xml:space="preserve"> TOC \o "1-3" \h \z \u </w:instrText>
          </w:r>
          <w:r w:rsidRPr="003C50CF">
            <w:rPr>
              <w:rFonts w:ascii="Montserrat" w:hAnsi="Montserrat"/>
            </w:rPr>
            <w:fldChar w:fldCharType="separate"/>
          </w:r>
          <w:hyperlink w:anchor="_Toc7032622" w:history="1">
            <w:r w:rsidR="003C50CF" w:rsidRPr="003C50CF">
              <w:rPr>
                <w:rStyle w:val="Hipervnculo"/>
                <w:rFonts w:ascii="Montserrat" w:eastAsia="MS Gothic" w:hAnsi="Montserrat"/>
                <w:noProof/>
                <w:lang w:val="es-MX"/>
              </w:rPr>
              <w:t>EVALUACIONES EN EL PRIMER TRIMESTRE DE 2019</w:t>
            </w:r>
            <w:r w:rsidR="003C50CF" w:rsidRPr="003C50CF">
              <w:rPr>
                <w:rFonts w:ascii="Montserrat" w:hAnsi="Montserrat"/>
                <w:noProof/>
                <w:webHidden/>
              </w:rPr>
              <w:tab/>
            </w:r>
            <w:r w:rsidR="003C50CF" w:rsidRPr="003C50CF">
              <w:rPr>
                <w:rFonts w:ascii="Montserrat" w:hAnsi="Montserrat"/>
                <w:noProof/>
                <w:webHidden/>
              </w:rPr>
              <w:fldChar w:fldCharType="begin"/>
            </w:r>
            <w:r w:rsidR="003C50CF" w:rsidRPr="003C50CF">
              <w:rPr>
                <w:rFonts w:ascii="Montserrat" w:hAnsi="Montserrat"/>
                <w:noProof/>
                <w:webHidden/>
              </w:rPr>
              <w:instrText xml:space="preserve"> PAGEREF _Toc7032622 \h </w:instrText>
            </w:r>
            <w:r w:rsidR="003C50CF" w:rsidRPr="003C50CF">
              <w:rPr>
                <w:rFonts w:ascii="Montserrat" w:hAnsi="Montserrat"/>
                <w:noProof/>
                <w:webHidden/>
              </w:rPr>
            </w:r>
            <w:r w:rsidR="003C50CF" w:rsidRPr="003C50CF">
              <w:rPr>
                <w:rFonts w:ascii="Montserrat" w:hAnsi="Montserrat"/>
                <w:noProof/>
                <w:webHidden/>
              </w:rPr>
              <w:fldChar w:fldCharType="separate"/>
            </w:r>
            <w:r w:rsidR="003C50CF" w:rsidRPr="003C50CF">
              <w:rPr>
                <w:rFonts w:ascii="Montserrat" w:hAnsi="Montserrat"/>
                <w:noProof/>
                <w:webHidden/>
              </w:rPr>
              <w:t>2</w:t>
            </w:r>
            <w:r w:rsidR="003C50CF" w:rsidRPr="003C50CF">
              <w:rPr>
                <w:rFonts w:ascii="Montserrat" w:hAnsi="Montserrat"/>
                <w:noProof/>
                <w:webHidden/>
              </w:rPr>
              <w:fldChar w:fldCharType="end"/>
            </w:r>
          </w:hyperlink>
        </w:p>
        <w:p w:rsidR="003C50CF" w:rsidRPr="003C50CF" w:rsidRDefault="00AE1D1C">
          <w:pPr>
            <w:pStyle w:val="TDC2"/>
            <w:tabs>
              <w:tab w:val="right" w:leader="dot" w:pos="9962"/>
            </w:tabs>
            <w:rPr>
              <w:rFonts w:asciiTheme="minorHAnsi" w:eastAsiaTheme="minorEastAsia" w:hAnsiTheme="minorHAnsi" w:cstheme="minorBidi"/>
              <w:b w:val="0"/>
              <w:bCs w:val="0"/>
              <w:noProof/>
              <w:lang w:val="es-MX" w:eastAsia="es-MX"/>
            </w:rPr>
          </w:pPr>
          <w:hyperlink w:anchor="_Toc7032623" w:history="1">
            <w:r w:rsidR="003C50CF" w:rsidRPr="003C50CF">
              <w:rPr>
                <w:rStyle w:val="Hipervnculo"/>
                <w:rFonts w:ascii="Montserrat" w:eastAsia="MS Gothic" w:hAnsi="Montserrat"/>
                <w:noProof/>
                <w:lang w:val="es-MX"/>
              </w:rPr>
              <w:t>ASPECTOS SUSCEPTIBLES DE MEJORA PRIMER TRIMESTRE DE 2019</w:t>
            </w:r>
            <w:r w:rsidR="003C50CF" w:rsidRPr="003C50CF">
              <w:rPr>
                <w:rFonts w:ascii="Montserrat" w:hAnsi="Montserrat"/>
                <w:noProof/>
                <w:webHidden/>
              </w:rPr>
              <w:tab/>
            </w:r>
            <w:r w:rsidR="003C50CF" w:rsidRPr="003C50CF">
              <w:rPr>
                <w:rFonts w:ascii="Montserrat" w:hAnsi="Montserrat"/>
                <w:noProof/>
                <w:webHidden/>
              </w:rPr>
              <w:fldChar w:fldCharType="begin"/>
            </w:r>
            <w:r w:rsidR="003C50CF" w:rsidRPr="003C50CF">
              <w:rPr>
                <w:rFonts w:ascii="Montserrat" w:hAnsi="Montserrat"/>
                <w:noProof/>
                <w:webHidden/>
              </w:rPr>
              <w:instrText xml:space="preserve"> PAGEREF _Toc7032623 \h </w:instrText>
            </w:r>
            <w:r w:rsidR="003C50CF" w:rsidRPr="003C50CF">
              <w:rPr>
                <w:rFonts w:ascii="Montserrat" w:hAnsi="Montserrat"/>
                <w:noProof/>
                <w:webHidden/>
              </w:rPr>
            </w:r>
            <w:r w:rsidR="003C50CF" w:rsidRPr="003C50CF">
              <w:rPr>
                <w:rFonts w:ascii="Montserrat" w:hAnsi="Montserrat"/>
                <w:noProof/>
                <w:webHidden/>
              </w:rPr>
              <w:fldChar w:fldCharType="separate"/>
            </w:r>
            <w:r w:rsidR="003C50CF" w:rsidRPr="003C50CF">
              <w:rPr>
                <w:rFonts w:ascii="Montserrat" w:hAnsi="Montserrat"/>
                <w:noProof/>
                <w:webHidden/>
              </w:rPr>
              <w:t>5</w:t>
            </w:r>
            <w:r w:rsidR="003C50CF" w:rsidRPr="003C50CF">
              <w:rPr>
                <w:rFonts w:ascii="Montserrat" w:hAnsi="Montserrat"/>
                <w:noProof/>
                <w:webHidden/>
              </w:rPr>
              <w:fldChar w:fldCharType="end"/>
            </w:r>
          </w:hyperlink>
        </w:p>
        <w:p w:rsidR="00E360D4" w:rsidRPr="00A41FED" w:rsidRDefault="00E360D4">
          <w:pPr>
            <w:rPr>
              <w:rFonts w:ascii="Montserrat" w:hAnsi="Montserrat"/>
              <w:sz w:val="20"/>
              <w:szCs w:val="20"/>
            </w:rPr>
          </w:pPr>
          <w:r w:rsidRPr="003C50CF">
            <w:rPr>
              <w:rFonts w:ascii="Montserrat" w:hAnsi="Montserrat"/>
              <w:b/>
              <w:bCs/>
              <w:szCs w:val="22"/>
              <w:lang w:val="es-ES"/>
            </w:rPr>
            <w:fldChar w:fldCharType="end"/>
          </w:r>
        </w:p>
      </w:sdtContent>
    </w:sdt>
    <w:p w:rsidR="00C41D50" w:rsidRDefault="00C41D50" w:rsidP="006E1A43">
      <w:pPr>
        <w:pStyle w:val="Ttulo2"/>
        <w:rPr>
          <w:lang w:val="es-MX"/>
        </w:rPr>
      </w:pPr>
    </w:p>
    <w:p w:rsidR="00C41D50" w:rsidRDefault="00C41D50" w:rsidP="006E1A43">
      <w:pPr>
        <w:pStyle w:val="Ttulo2"/>
        <w:rPr>
          <w:lang w:val="es-MX"/>
        </w:rPr>
      </w:pPr>
    </w:p>
    <w:p w:rsidR="00C41D50" w:rsidRDefault="00C41D50" w:rsidP="006E1A43">
      <w:pPr>
        <w:pStyle w:val="Ttulo2"/>
        <w:rPr>
          <w:lang w:val="es-MX"/>
        </w:rPr>
      </w:pPr>
    </w:p>
    <w:p w:rsidR="00C41D50" w:rsidRDefault="00C41D50" w:rsidP="00C41D50">
      <w:pPr>
        <w:rPr>
          <w:lang w:val="es-MX"/>
        </w:rPr>
      </w:pPr>
    </w:p>
    <w:p w:rsidR="00C41D50" w:rsidRDefault="00C41D50" w:rsidP="00C41D50">
      <w:pPr>
        <w:rPr>
          <w:lang w:val="es-MX"/>
        </w:rPr>
      </w:pPr>
    </w:p>
    <w:p w:rsidR="00C41D50" w:rsidRDefault="00C41D50" w:rsidP="00C41D50">
      <w:pPr>
        <w:rPr>
          <w:lang w:val="es-MX"/>
        </w:rPr>
      </w:pPr>
    </w:p>
    <w:p w:rsidR="00C41D50" w:rsidRPr="00C41D50" w:rsidRDefault="00C41D50" w:rsidP="00C41D50">
      <w:pPr>
        <w:rPr>
          <w:lang w:val="es-MX"/>
        </w:rPr>
      </w:pPr>
    </w:p>
    <w:p w:rsidR="00C41D50" w:rsidRDefault="00C41D50" w:rsidP="006E1A43">
      <w:pPr>
        <w:pStyle w:val="Ttulo2"/>
        <w:rPr>
          <w:lang w:val="es-MX"/>
        </w:rPr>
      </w:pPr>
    </w:p>
    <w:p w:rsidR="00C41D50" w:rsidRDefault="00C41D50" w:rsidP="006E1A43">
      <w:pPr>
        <w:pStyle w:val="Ttulo2"/>
        <w:rPr>
          <w:lang w:val="es-MX"/>
        </w:rPr>
      </w:pPr>
    </w:p>
    <w:p w:rsidR="00C41D50" w:rsidRDefault="00C41D50">
      <w:pPr>
        <w:spacing w:after="0"/>
        <w:rPr>
          <w:rFonts w:ascii="Montserrat" w:eastAsia="MS Gothic" w:hAnsi="Montserrat"/>
          <w:b/>
          <w:bCs/>
          <w:sz w:val="26"/>
          <w:szCs w:val="26"/>
          <w:lang w:val="es-MX"/>
        </w:rPr>
      </w:pPr>
      <w:bookmarkStart w:id="2" w:name="_Toc536020518"/>
      <w:r>
        <w:rPr>
          <w:lang w:val="es-MX"/>
        </w:rPr>
        <w:br w:type="page"/>
      </w:r>
    </w:p>
    <w:p w:rsidR="006E1A43" w:rsidRPr="003B6C66" w:rsidRDefault="006E1A43" w:rsidP="006E1A43">
      <w:pPr>
        <w:pStyle w:val="Ttulo2"/>
        <w:rPr>
          <w:lang w:val="es-MX"/>
        </w:rPr>
      </w:pPr>
      <w:bookmarkStart w:id="3" w:name="_Toc7032622"/>
      <w:r w:rsidRPr="003B6C66">
        <w:rPr>
          <w:lang w:val="es-MX"/>
        </w:rPr>
        <w:lastRenderedPageBreak/>
        <w:t xml:space="preserve">EVALUACIONES EN EL </w:t>
      </w:r>
      <w:r w:rsidR="008D08F6">
        <w:rPr>
          <w:lang w:val="es-MX"/>
        </w:rPr>
        <w:t>PRIMER</w:t>
      </w:r>
      <w:r>
        <w:rPr>
          <w:lang w:val="es-MX"/>
        </w:rPr>
        <w:t xml:space="preserve"> </w:t>
      </w:r>
      <w:r w:rsidRPr="003B6C66">
        <w:rPr>
          <w:lang w:val="es-MX"/>
        </w:rPr>
        <w:t>TRIMESTRE DE 201</w:t>
      </w:r>
      <w:bookmarkEnd w:id="0"/>
      <w:bookmarkEnd w:id="2"/>
      <w:r w:rsidR="008D08F6">
        <w:rPr>
          <w:lang w:val="es-MX"/>
        </w:rPr>
        <w:t>9</w:t>
      </w:r>
      <w:bookmarkEnd w:id="3"/>
    </w:p>
    <w:p w:rsidR="006E1A43" w:rsidRPr="00025652" w:rsidRDefault="006E1A43" w:rsidP="006E1A43">
      <w:pPr>
        <w:pStyle w:val="Cdetexto"/>
        <w:rPr>
          <w:lang w:val="es-MX"/>
        </w:rPr>
      </w:pPr>
      <w:r w:rsidRPr="003B6C66">
        <w:rPr>
          <w:szCs w:val="22"/>
          <w:lang w:val="es-MX"/>
        </w:rPr>
        <w:t>En cumplimiento a lo establecido en los artículos 45, 78, 85, 110 y 111 de la Ley Federal de Presupuesto y Responsabilidad Hacendaria (LFPRH), 29 del Decreto de Presupuesto de Egresos de la Federación para el Ejercicio Fiscal</w:t>
      </w:r>
      <w:r w:rsidR="00634BEE">
        <w:rPr>
          <w:szCs w:val="22"/>
          <w:lang w:val="es-MX"/>
        </w:rPr>
        <w:t xml:space="preserve"> (DPEF) 2017 </w:t>
      </w:r>
      <w:r w:rsidRPr="003B6C66">
        <w:rPr>
          <w:szCs w:val="22"/>
          <w:lang w:val="es-MX"/>
        </w:rPr>
        <w:t xml:space="preserve"> y 27 del DPEF 2018, y conforme a lo señalado en los numerales Décimo Sexto y Décimo Séptimo de los Lineamientos </w:t>
      </w:r>
      <w:r w:rsidR="00A26963">
        <w:rPr>
          <w:szCs w:val="22"/>
          <w:lang w:val="es-MX"/>
        </w:rPr>
        <w:t>G</w:t>
      </w:r>
      <w:r w:rsidRPr="003B6C66">
        <w:rPr>
          <w:szCs w:val="22"/>
          <w:lang w:val="es-MX"/>
        </w:rPr>
        <w:t xml:space="preserve">enerales para la </w:t>
      </w:r>
      <w:r w:rsidR="00A26963">
        <w:rPr>
          <w:szCs w:val="22"/>
          <w:lang w:val="es-MX"/>
        </w:rPr>
        <w:t>E</w:t>
      </w:r>
      <w:r w:rsidRPr="003B6C66">
        <w:rPr>
          <w:szCs w:val="22"/>
          <w:lang w:val="es-MX"/>
        </w:rPr>
        <w:t>valuación de los Programas Federales de la Administración Pública Federal (Lineamientos de Evaluación), publicados en el Diario Oficial de la Federación (DOF) el 30 de marzo de 2007, se informa sobre las evaluaciones externas entregadas a la Secretaría de Hacienda y Crédito Público (SHCP) por las dependencias y entidades responsables de los programas presupuestarios (</w:t>
      </w:r>
      <w:proofErr w:type="spellStart"/>
      <w:r w:rsidRPr="003B6C66">
        <w:rPr>
          <w:szCs w:val="22"/>
          <w:lang w:val="es-MX"/>
        </w:rPr>
        <w:t>Pp</w:t>
      </w:r>
      <w:proofErr w:type="spellEnd"/>
      <w:r w:rsidRPr="003B6C66">
        <w:rPr>
          <w:szCs w:val="22"/>
          <w:lang w:val="es-MX"/>
        </w:rPr>
        <w:t xml:space="preserve">) evaluados, durante el periodo comprendido entre los meses de </w:t>
      </w:r>
      <w:r w:rsidR="00025652">
        <w:rPr>
          <w:lang w:val="es-MX"/>
        </w:rPr>
        <w:t xml:space="preserve">enero </w:t>
      </w:r>
      <w:r w:rsidR="00B137CD">
        <w:rPr>
          <w:lang w:val="es-MX"/>
        </w:rPr>
        <w:t>y</w:t>
      </w:r>
      <w:r w:rsidR="00025652">
        <w:rPr>
          <w:lang w:val="es-MX"/>
        </w:rPr>
        <w:t xml:space="preserve"> marzo</w:t>
      </w:r>
      <w:r w:rsidRPr="003B6C66">
        <w:rPr>
          <w:lang w:val="es-MX"/>
        </w:rPr>
        <w:t xml:space="preserve"> </w:t>
      </w:r>
      <w:r w:rsidR="00025652">
        <w:rPr>
          <w:szCs w:val="22"/>
          <w:lang w:val="es-MX"/>
        </w:rPr>
        <w:t>de 2019</w:t>
      </w:r>
      <w:r w:rsidRPr="003B6C66">
        <w:rPr>
          <w:szCs w:val="22"/>
          <w:lang w:val="es-MX"/>
        </w:rPr>
        <w:t>.</w:t>
      </w:r>
    </w:p>
    <w:p w:rsidR="006E1A43" w:rsidRPr="003B6C66" w:rsidRDefault="006E1A43" w:rsidP="006E1A43">
      <w:pPr>
        <w:pStyle w:val="Cdetexto"/>
        <w:rPr>
          <w:szCs w:val="22"/>
          <w:lang w:val="es-MX"/>
        </w:rPr>
      </w:pPr>
      <w:r w:rsidRPr="003B6C66">
        <w:rPr>
          <w:szCs w:val="22"/>
          <w:lang w:val="es-MX"/>
        </w:rPr>
        <w:t xml:space="preserve">Dichas evaluaciones se realizaron en el marco del </w:t>
      </w:r>
      <w:r w:rsidR="00634BEE">
        <w:rPr>
          <w:szCs w:val="22"/>
          <w:lang w:val="es-MX"/>
        </w:rPr>
        <w:t>Programa Anual de Evaluación de los Programas Federales y de los Fondos de Aportaciones Federales para el Ejercicio Fiscal 2018 (</w:t>
      </w:r>
      <w:r w:rsidR="009B5095">
        <w:rPr>
          <w:szCs w:val="22"/>
          <w:lang w:val="es-MX"/>
        </w:rPr>
        <w:t>PAE 2018</w:t>
      </w:r>
      <w:r w:rsidR="00634BEE">
        <w:rPr>
          <w:szCs w:val="22"/>
          <w:lang w:val="es-MX"/>
        </w:rPr>
        <w:t>)</w:t>
      </w:r>
      <w:r w:rsidRPr="003B6C66">
        <w:rPr>
          <w:szCs w:val="22"/>
          <w:lang w:val="es-MX"/>
        </w:rPr>
        <w:t xml:space="preserve">, </w:t>
      </w:r>
      <w:r w:rsidR="00025652">
        <w:rPr>
          <w:szCs w:val="22"/>
          <w:lang w:val="es-MX"/>
        </w:rPr>
        <w:t xml:space="preserve">emitido </w:t>
      </w:r>
      <w:r w:rsidRPr="003B6C66">
        <w:rPr>
          <w:szCs w:val="22"/>
          <w:lang w:val="es-MX"/>
        </w:rPr>
        <w:t xml:space="preserve">de manera conjunta por la SHCP y </w:t>
      </w:r>
      <w:r w:rsidR="00702840">
        <w:rPr>
          <w:szCs w:val="22"/>
          <w:lang w:val="es-MX"/>
        </w:rPr>
        <w:t xml:space="preserve">por </w:t>
      </w:r>
      <w:r w:rsidRPr="003B6C66">
        <w:rPr>
          <w:szCs w:val="22"/>
          <w:lang w:val="es-MX"/>
        </w:rPr>
        <w:t>el Consejo Nacional de Evaluación de la Política de Desarrollo Social (CONEVAL).</w:t>
      </w:r>
    </w:p>
    <w:p w:rsidR="00C95DD6" w:rsidRDefault="00025652" w:rsidP="006E1A43">
      <w:pPr>
        <w:pStyle w:val="Cdetexto"/>
        <w:rPr>
          <w:szCs w:val="22"/>
          <w:lang w:val="es-MX"/>
        </w:rPr>
      </w:pPr>
      <w:r w:rsidRPr="00025652">
        <w:rPr>
          <w:szCs w:val="22"/>
          <w:lang w:val="es-MX"/>
        </w:rPr>
        <w:t>Durante el periodo de enero a marzo de 2</w:t>
      </w:r>
      <w:r w:rsidR="00E73618">
        <w:rPr>
          <w:szCs w:val="22"/>
          <w:lang w:val="es-MX"/>
        </w:rPr>
        <w:t>019, se recibieron en la SHCP 14</w:t>
      </w:r>
      <w:r w:rsidRPr="00025652">
        <w:rPr>
          <w:szCs w:val="22"/>
          <w:lang w:val="es-MX"/>
        </w:rPr>
        <w:t xml:space="preserve"> evaluaciones externas, de las cuales siete corresponden a evaluaciones en materia de Diseño, una de Consistencia y Resultados, cuatro de Procesos, una Específica de Procesos con módulo </w:t>
      </w:r>
      <w:r w:rsidR="00C95DD6">
        <w:rPr>
          <w:szCs w:val="22"/>
          <w:lang w:val="es-MX"/>
        </w:rPr>
        <w:t xml:space="preserve">completo </w:t>
      </w:r>
      <w:r w:rsidRPr="00025652">
        <w:rPr>
          <w:szCs w:val="22"/>
          <w:lang w:val="es-MX"/>
        </w:rPr>
        <w:t xml:space="preserve">de Diseño y una Estratégica de Procesos, </w:t>
      </w:r>
      <w:r w:rsidR="00E73618">
        <w:rPr>
          <w:szCs w:val="22"/>
          <w:lang w:val="es-MX"/>
        </w:rPr>
        <w:t>tal como se detalla en las</w:t>
      </w:r>
      <w:r>
        <w:rPr>
          <w:szCs w:val="22"/>
          <w:lang w:val="es-MX"/>
        </w:rPr>
        <w:t xml:space="preserve"> siguiente</w:t>
      </w:r>
      <w:r w:rsidR="00E73618">
        <w:rPr>
          <w:szCs w:val="22"/>
          <w:lang w:val="es-MX"/>
        </w:rPr>
        <w:t>s</w:t>
      </w:r>
      <w:r>
        <w:rPr>
          <w:szCs w:val="22"/>
          <w:lang w:val="es-MX"/>
        </w:rPr>
        <w:t xml:space="preserve"> tabla</w:t>
      </w:r>
      <w:r w:rsidR="00E73618">
        <w:rPr>
          <w:szCs w:val="22"/>
          <w:lang w:val="es-MX"/>
        </w:rPr>
        <w:t>s</w:t>
      </w:r>
      <w:r w:rsidR="00283490">
        <w:rPr>
          <w:szCs w:val="22"/>
          <w:lang w:val="es-MX"/>
        </w:rPr>
        <w:t>.</w:t>
      </w:r>
    </w:p>
    <w:tbl>
      <w:tblPr>
        <w:tblpPr w:leftFromText="141" w:rightFromText="141" w:vertAnchor="text" w:tblpY="1"/>
        <w:tblOverlap w:val="never"/>
        <w:tblW w:w="9962" w:type="dxa"/>
        <w:tblBorders>
          <w:bottom w:val="single" w:sz="4" w:space="0" w:color="auto"/>
        </w:tblBorders>
        <w:tblLayout w:type="fixed"/>
        <w:tblCellMar>
          <w:left w:w="70" w:type="dxa"/>
          <w:right w:w="70" w:type="dxa"/>
        </w:tblCellMar>
        <w:tblLook w:val="04A0" w:firstRow="1" w:lastRow="0" w:firstColumn="1" w:lastColumn="0" w:noHBand="0" w:noVBand="1"/>
      </w:tblPr>
      <w:tblGrid>
        <w:gridCol w:w="279"/>
        <w:gridCol w:w="567"/>
        <w:gridCol w:w="1134"/>
        <w:gridCol w:w="850"/>
        <w:gridCol w:w="1423"/>
        <w:gridCol w:w="992"/>
        <w:gridCol w:w="992"/>
        <w:gridCol w:w="567"/>
        <w:gridCol w:w="993"/>
        <w:gridCol w:w="1134"/>
        <w:gridCol w:w="1031"/>
      </w:tblGrid>
      <w:tr w:rsidR="00283490" w:rsidRPr="00283490" w:rsidTr="00F173CC">
        <w:trPr>
          <w:trHeight w:val="284"/>
          <w:tblHeader/>
        </w:trPr>
        <w:tc>
          <w:tcPr>
            <w:tcW w:w="9962" w:type="dxa"/>
            <w:gridSpan w:val="11"/>
            <w:tcBorders>
              <w:bottom w:val="single" w:sz="12" w:space="0" w:color="808080" w:themeColor="background1" w:themeShade="80"/>
            </w:tcBorders>
            <w:shd w:val="clear" w:color="auto" w:fill="auto"/>
            <w:vAlign w:val="center"/>
            <w:hideMark/>
          </w:tcPr>
          <w:p w:rsidR="005D2BFC" w:rsidRPr="00283490" w:rsidRDefault="00283490" w:rsidP="001314EA">
            <w:pPr>
              <w:spacing w:after="0"/>
              <w:rPr>
                <w:rFonts w:ascii="Montserrat" w:eastAsia="Times New Roman" w:hAnsi="Montserrat" w:cs="Calibri"/>
                <w:b/>
                <w:color w:val="000000"/>
                <w:sz w:val="16"/>
                <w:szCs w:val="16"/>
                <w:lang w:val="es-MX" w:eastAsia="es-MX"/>
              </w:rPr>
            </w:pPr>
            <w:r w:rsidRPr="00283490">
              <w:rPr>
                <w:rFonts w:ascii="Montserrat" w:eastAsia="Times New Roman" w:hAnsi="Montserrat" w:cs="Calibri"/>
                <w:b/>
                <w:color w:val="000000"/>
                <w:sz w:val="18"/>
                <w:szCs w:val="18"/>
                <w:lang w:val="es-MX" w:eastAsia="es-MX"/>
              </w:rPr>
              <w:t xml:space="preserve">Tabla 1. </w:t>
            </w:r>
            <w:r w:rsidR="00C95DD6">
              <w:rPr>
                <w:rFonts w:ascii="Montserrat" w:eastAsia="Times New Roman" w:hAnsi="Montserrat" w:cs="Calibri"/>
                <w:b/>
                <w:color w:val="000000"/>
                <w:sz w:val="18"/>
                <w:szCs w:val="18"/>
                <w:lang w:val="es-MX" w:eastAsia="es-MX"/>
              </w:rPr>
              <w:t>E</w:t>
            </w:r>
            <w:r w:rsidRPr="00283490">
              <w:rPr>
                <w:rFonts w:ascii="Montserrat" w:eastAsia="Times New Roman" w:hAnsi="Montserrat" w:cs="Calibri"/>
                <w:b/>
                <w:color w:val="000000"/>
                <w:sz w:val="18"/>
                <w:szCs w:val="18"/>
                <w:lang w:val="es-MX" w:eastAsia="es-MX"/>
              </w:rPr>
              <w:t>valuaciones</w:t>
            </w:r>
            <w:r w:rsidR="001314EA">
              <w:rPr>
                <w:rFonts w:ascii="Montserrat" w:eastAsia="Times New Roman" w:hAnsi="Montserrat" w:cs="Calibri"/>
                <w:b/>
                <w:color w:val="000000"/>
                <w:sz w:val="18"/>
                <w:szCs w:val="18"/>
                <w:lang w:val="es-MX" w:eastAsia="es-MX"/>
              </w:rPr>
              <w:t xml:space="preserve"> a </w:t>
            </w:r>
            <w:proofErr w:type="spellStart"/>
            <w:r w:rsidR="001314EA">
              <w:rPr>
                <w:rFonts w:ascii="Montserrat" w:eastAsia="Times New Roman" w:hAnsi="Montserrat" w:cs="Calibri"/>
                <w:b/>
                <w:color w:val="000000"/>
                <w:sz w:val="18"/>
                <w:szCs w:val="18"/>
                <w:lang w:val="es-MX" w:eastAsia="es-MX"/>
              </w:rPr>
              <w:t>Pp</w:t>
            </w:r>
            <w:proofErr w:type="spellEnd"/>
            <w:r w:rsidRPr="00283490">
              <w:rPr>
                <w:rFonts w:ascii="Montserrat" w:eastAsia="Times New Roman" w:hAnsi="Montserrat" w:cs="Calibri"/>
                <w:b/>
                <w:color w:val="000000"/>
                <w:sz w:val="18"/>
                <w:szCs w:val="18"/>
                <w:lang w:val="es-MX" w:eastAsia="es-MX"/>
              </w:rPr>
              <w:t xml:space="preserve"> </w:t>
            </w:r>
            <w:r w:rsidR="001314EA">
              <w:rPr>
                <w:rFonts w:ascii="Montserrat" w:eastAsia="Times New Roman" w:hAnsi="Montserrat" w:cs="Calibri"/>
                <w:b/>
                <w:color w:val="000000"/>
                <w:sz w:val="18"/>
                <w:szCs w:val="18"/>
                <w:lang w:val="es-MX" w:eastAsia="es-MX"/>
              </w:rPr>
              <w:t>entregadas a la Unidad de Evaluación del Desempeño (UED)</w:t>
            </w:r>
            <w:r w:rsidRPr="00283490">
              <w:rPr>
                <w:rFonts w:ascii="Montserrat" w:eastAsia="Times New Roman" w:hAnsi="Montserrat" w:cs="Calibri"/>
                <w:b/>
                <w:color w:val="000000"/>
                <w:sz w:val="18"/>
                <w:szCs w:val="18"/>
                <w:lang w:val="es-MX" w:eastAsia="es-MX"/>
              </w:rPr>
              <w:t xml:space="preserve"> en el </w:t>
            </w:r>
            <w:r w:rsidR="00EA09D0">
              <w:rPr>
                <w:rFonts w:ascii="Montserrat" w:eastAsia="Times New Roman" w:hAnsi="Montserrat" w:cs="Calibri"/>
                <w:b/>
                <w:color w:val="000000"/>
                <w:sz w:val="18"/>
                <w:szCs w:val="18"/>
                <w:lang w:val="es-MX" w:eastAsia="es-MX"/>
              </w:rPr>
              <w:t xml:space="preserve">primer </w:t>
            </w:r>
            <w:r w:rsidRPr="00283490">
              <w:rPr>
                <w:rFonts w:ascii="Montserrat" w:eastAsia="Times New Roman" w:hAnsi="Montserrat" w:cs="Calibri"/>
                <w:b/>
                <w:color w:val="000000"/>
                <w:sz w:val="18"/>
                <w:szCs w:val="18"/>
                <w:lang w:val="es-MX" w:eastAsia="es-MX"/>
              </w:rPr>
              <w:t>trimestre</w:t>
            </w:r>
            <w:r w:rsidR="00EA09D0">
              <w:rPr>
                <w:rFonts w:ascii="Montserrat" w:eastAsia="Times New Roman" w:hAnsi="Montserrat" w:cs="Calibri"/>
                <w:b/>
                <w:color w:val="000000"/>
                <w:sz w:val="18"/>
                <w:szCs w:val="18"/>
                <w:lang w:val="es-MX" w:eastAsia="es-MX"/>
              </w:rPr>
              <w:t xml:space="preserve"> de 2019</w:t>
            </w:r>
            <w:r w:rsidRPr="00283490">
              <w:rPr>
                <w:rFonts w:ascii="Montserrat" w:eastAsia="Times New Roman" w:hAnsi="Montserrat" w:cs="Calibri"/>
                <w:b/>
                <w:color w:val="000000"/>
                <w:sz w:val="16"/>
                <w:szCs w:val="16"/>
                <w:lang w:val="es-MX" w:eastAsia="es-MX"/>
              </w:rPr>
              <w:t>.</w:t>
            </w:r>
          </w:p>
        </w:tc>
      </w:tr>
      <w:tr w:rsidR="005D2BFC" w:rsidRPr="00283490" w:rsidTr="00F173CC">
        <w:trPr>
          <w:trHeight w:hRule="exact" w:val="57"/>
          <w:tblHeader/>
        </w:trPr>
        <w:tc>
          <w:tcPr>
            <w:tcW w:w="9962" w:type="dxa"/>
            <w:gridSpan w:val="11"/>
            <w:tcBorders>
              <w:top w:val="single" w:sz="12" w:space="0" w:color="808080" w:themeColor="background1" w:themeShade="80"/>
            </w:tcBorders>
            <w:shd w:val="clear" w:color="auto" w:fill="auto"/>
            <w:vAlign w:val="center"/>
          </w:tcPr>
          <w:p w:rsidR="005D2BFC" w:rsidRPr="005D2BFC" w:rsidRDefault="005D2BFC" w:rsidP="003502D5">
            <w:pPr>
              <w:spacing w:after="0"/>
              <w:rPr>
                <w:rFonts w:ascii="Montserrat" w:eastAsia="Times New Roman" w:hAnsi="Montserrat" w:cs="Calibri"/>
                <w:b/>
                <w:color w:val="000000"/>
                <w:sz w:val="6"/>
                <w:szCs w:val="6"/>
                <w:lang w:val="es-MX" w:eastAsia="es-MX"/>
              </w:rPr>
            </w:pPr>
          </w:p>
        </w:tc>
      </w:tr>
      <w:tr w:rsidR="00C95DD6" w:rsidRPr="00283490" w:rsidTr="00F173CC">
        <w:trPr>
          <w:trHeight w:val="210"/>
          <w:tblHeader/>
        </w:trPr>
        <w:tc>
          <w:tcPr>
            <w:tcW w:w="279" w:type="dxa"/>
            <w:shd w:val="clear" w:color="auto" w:fill="D4C19C"/>
            <w:vAlign w:val="center"/>
            <w:hideMark/>
          </w:tcPr>
          <w:p w:rsidR="00C95DD6" w:rsidRPr="00283490" w:rsidRDefault="00C95DD6" w:rsidP="003502D5">
            <w:pPr>
              <w:spacing w:after="0"/>
              <w:jc w:val="center"/>
              <w:rPr>
                <w:rFonts w:ascii="Montserrat" w:eastAsia="Times New Roman" w:hAnsi="Montserrat" w:cs="Calibri"/>
                <w:color w:val="000000"/>
                <w:sz w:val="12"/>
                <w:szCs w:val="12"/>
                <w:lang w:val="es-MX" w:eastAsia="es-MX"/>
              </w:rPr>
            </w:pPr>
          </w:p>
        </w:tc>
        <w:tc>
          <w:tcPr>
            <w:tcW w:w="1701" w:type="dxa"/>
            <w:gridSpan w:val="2"/>
            <w:vMerge w:val="restart"/>
            <w:shd w:val="clear" w:color="auto" w:fill="D4C19C"/>
            <w:vAlign w:val="center"/>
            <w:hideMark/>
          </w:tcPr>
          <w:p w:rsidR="00C95DD6" w:rsidRPr="00283490" w:rsidRDefault="00C95DD6" w:rsidP="003502D5">
            <w:pPr>
              <w:spacing w:after="0"/>
              <w:jc w:val="center"/>
              <w:rPr>
                <w:rFonts w:ascii="Montserrat" w:eastAsia="Times New Roman" w:hAnsi="Montserrat" w:cs="Calibri"/>
                <w:b/>
                <w:color w:val="FFFFFF" w:themeColor="background1"/>
                <w:sz w:val="12"/>
                <w:szCs w:val="12"/>
                <w:lang w:val="es-MX" w:eastAsia="es-MX"/>
              </w:rPr>
            </w:pPr>
            <w:r>
              <w:rPr>
                <w:rFonts w:ascii="Montserrat" w:eastAsia="Times New Roman" w:hAnsi="Montserrat" w:cs="Calibri"/>
                <w:b/>
                <w:color w:val="FFFFFF" w:themeColor="background1"/>
                <w:sz w:val="12"/>
                <w:szCs w:val="12"/>
                <w:lang w:val="es-MX" w:eastAsia="es-MX"/>
              </w:rPr>
              <w:t>Ramo</w:t>
            </w:r>
          </w:p>
        </w:tc>
        <w:tc>
          <w:tcPr>
            <w:tcW w:w="850" w:type="dxa"/>
            <w:vMerge w:val="restart"/>
            <w:shd w:val="clear" w:color="auto" w:fill="D4C19C"/>
            <w:vAlign w:val="center"/>
            <w:hideMark/>
          </w:tcPr>
          <w:p w:rsidR="00C95DD6" w:rsidRPr="00283490" w:rsidRDefault="00C95DD6" w:rsidP="003502D5">
            <w:pPr>
              <w:spacing w:after="0"/>
              <w:jc w:val="center"/>
              <w:rPr>
                <w:rFonts w:ascii="Montserrat" w:eastAsia="Times New Roman" w:hAnsi="Montserrat" w:cs="Calibri"/>
                <w:b/>
                <w:color w:val="FFFFFF" w:themeColor="background1"/>
                <w:sz w:val="12"/>
                <w:szCs w:val="12"/>
                <w:lang w:val="es-MX" w:eastAsia="es-MX"/>
              </w:rPr>
            </w:pPr>
            <w:r w:rsidRPr="00090624">
              <w:rPr>
                <w:rFonts w:ascii="Montserrat" w:eastAsia="Times New Roman" w:hAnsi="Montserrat" w:cs="Calibri"/>
                <w:b/>
                <w:color w:val="FFFFFF" w:themeColor="background1"/>
                <w:sz w:val="12"/>
                <w:szCs w:val="12"/>
                <w:lang w:val="es-MX" w:eastAsia="es-MX"/>
              </w:rPr>
              <w:t>Modalid</w:t>
            </w:r>
            <w:r w:rsidRPr="00283490">
              <w:rPr>
                <w:rFonts w:ascii="Montserrat" w:eastAsia="Times New Roman" w:hAnsi="Montserrat" w:cs="Calibri"/>
                <w:b/>
                <w:color w:val="FFFFFF" w:themeColor="background1"/>
                <w:sz w:val="12"/>
                <w:szCs w:val="12"/>
                <w:lang w:val="es-MX" w:eastAsia="es-MX"/>
              </w:rPr>
              <w:t>ad y clave</w:t>
            </w:r>
          </w:p>
        </w:tc>
        <w:tc>
          <w:tcPr>
            <w:tcW w:w="1423" w:type="dxa"/>
            <w:vMerge w:val="restart"/>
            <w:shd w:val="clear" w:color="auto" w:fill="D4C19C"/>
            <w:vAlign w:val="center"/>
            <w:hideMark/>
          </w:tcPr>
          <w:p w:rsidR="00C95DD6" w:rsidRPr="00283490" w:rsidRDefault="00C95DD6" w:rsidP="003502D5">
            <w:pPr>
              <w:spacing w:after="0"/>
              <w:jc w:val="center"/>
              <w:rPr>
                <w:rFonts w:ascii="Montserrat" w:eastAsia="Times New Roman" w:hAnsi="Montserrat" w:cs="Calibri"/>
                <w:b/>
                <w:color w:val="FFFFFF" w:themeColor="background1"/>
                <w:sz w:val="12"/>
                <w:szCs w:val="12"/>
                <w:lang w:val="es-MX" w:eastAsia="es-MX"/>
              </w:rPr>
            </w:pPr>
            <w:r w:rsidRPr="00090624">
              <w:rPr>
                <w:rFonts w:ascii="Montserrat" w:eastAsia="Times New Roman" w:hAnsi="Montserrat" w:cs="Calibri"/>
                <w:b/>
                <w:color w:val="FFFFFF" w:themeColor="background1"/>
                <w:sz w:val="12"/>
                <w:szCs w:val="12"/>
                <w:lang w:val="es-MX" w:eastAsia="es-MX"/>
              </w:rPr>
              <w:t xml:space="preserve">Nombre </w:t>
            </w:r>
            <w:proofErr w:type="spellStart"/>
            <w:r w:rsidRPr="00283490">
              <w:rPr>
                <w:rFonts w:ascii="Montserrat" w:eastAsia="Times New Roman" w:hAnsi="Montserrat" w:cs="Calibri"/>
                <w:b/>
                <w:color w:val="FFFFFF" w:themeColor="background1"/>
                <w:sz w:val="12"/>
                <w:szCs w:val="12"/>
                <w:lang w:val="es-MX" w:eastAsia="es-MX"/>
              </w:rPr>
              <w:t>Pp</w:t>
            </w:r>
            <w:proofErr w:type="spellEnd"/>
          </w:p>
        </w:tc>
        <w:tc>
          <w:tcPr>
            <w:tcW w:w="992" w:type="dxa"/>
            <w:vMerge w:val="restart"/>
            <w:shd w:val="clear" w:color="auto" w:fill="D4C19C"/>
            <w:vAlign w:val="center"/>
            <w:hideMark/>
          </w:tcPr>
          <w:p w:rsidR="00C95DD6" w:rsidRPr="00283490" w:rsidRDefault="00C95DD6" w:rsidP="003502D5">
            <w:pPr>
              <w:spacing w:after="0"/>
              <w:jc w:val="center"/>
              <w:rPr>
                <w:rFonts w:ascii="Montserrat" w:eastAsia="Times New Roman" w:hAnsi="Montserrat" w:cs="Calibri"/>
                <w:b/>
                <w:color w:val="FFFFFF" w:themeColor="background1"/>
                <w:sz w:val="12"/>
                <w:szCs w:val="12"/>
                <w:lang w:val="es-MX" w:eastAsia="es-MX"/>
              </w:rPr>
            </w:pPr>
            <w:r w:rsidRPr="00283490">
              <w:rPr>
                <w:rFonts w:ascii="Montserrat" w:eastAsia="Times New Roman" w:hAnsi="Montserrat" w:cs="Calibri"/>
                <w:b/>
                <w:color w:val="FFFFFF" w:themeColor="background1"/>
                <w:sz w:val="12"/>
                <w:szCs w:val="12"/>
                <w:lang w:val="es-MX" w:eastAsia="es-MX"/>
              </w:rPr>
              <w:t>Tipo de evaluación</w:t>
            </w:r>
          </w:p>
        </w:tc>
        <w:tc>
          <w:tcPr>
            <w:tcW w:w="992" w:type="dxa"/>
            <w:vMerge w:val="restart"/>
            <w:shd w:val="clear" w:color="auto" w:fill="D4C19C"/>
            <w:vAlign w:val="center"/>
            <w:hideMark/>
          </w:tcPr>
          <w:p w:rsidR="00C95DD6" w:rsidRPr="00283490" w:rsidRDefault="00C95DD6" w:rsidP="003502D5">
            <w:pPr>
              <w:spacing w:after="0"/>
              <w:jc w:val="center"/>
              <w:rPr>
                <w:rFonts w:ascii="Montserrat" w:eastAsia="Times New Roman" w:hAnsi="Montserrat" w:cs="Calibri"/>
                <w:b/>
                <w:color w:val="FFFFFF" w:themeColor="background1"/>
                <w:sz w:val="12"/>
                <w:szCs w:val="12"/>
                <w:lang w:val="es-MX" w:eastAsia="es-MX"/>
              </w:rPr>
            </w:pPr>
            <w:r w:rsidRPr="00283490">
              <w:rPr>
                <w:rFonts w:ascii="Montserrat" w:eastAsia="Times New Roman" w:hAnsi="Montserrat" w:cs="Calibri"/>
                <w:b/>
                <w:color w:val="FFFFFF" w:themeColor="background1"/>
                <w:sz w:val="12"/>
                <w:szCs w:val="12"/>
                <w:lang w:val="es-MX" w:eastAsia="es-MX"/>
              </w:rPr>
              <w:t>Instancia de coordinación</w:t>
            </w:r>
          </w:p>
        </w:tc>
        <w:tc>
          <w:tcPr>
            <w:tcW w:w="567" w:type="dxa"/>
            <w:vMerge w:val="restart"/>
            <w:shd w:val="clear" w:color="auto" w:fill="D4C19C"/>
            <w:vAlign w:val="center"/>
            <w:hideMark/>
          </w:tcPr>
          <w:p w:rsidR="00C95DD6" w:rsidRPr="00283490" w:rsidRDefault="00C95DD6" w:rsidP="003502D5">
            <w:pPr>
              <w:spacing w:after="0"/>
              <w:jc w:val="center"/>
              <w:rPr>
                <w:rFonts w:ascii="Montserrat" w:eastAsia="Times New Roman" w:hAnsi="Montserrat" w:cs="Calibri"/>
                <w:b/>
                <w:color w:val="FFFFFF" w:themeColor="background1"/>
                <w:sz w:val="12"/>
                <w:szCs w:val="12"/>
                <w:lang w:val="es-MX" w:eastAsia="es-MX"/>
              </w:rPr>
            </w:pPr>
            <w:r w:rsidRPr="00283490">
              <w:rPr>
                <w:rFonts w:ascii="Montserrat" w:eastAsia="Times New Roman" w:hAnsi="Montserrat" w:cs="Calibri"/>
                <w:b/>
                <w:color w:val="FFFFFF" w:themeColor="background1"/>
                <w:sz w:val="12"/>
                <w:szCs w:val="12"/>
                <w:lang w:val="es-MX" w:eastAsia="es-MX"/>
              </w:rPr>
              <w:t>PAE de origen</w:t>
            </w:r>
          </w:p>
        </w:tc>
        <w:tc>
          <w:tcPr>
            <w:tcW w:w="993" w:type="dxa"/>
            <w:vMerge w:val="restart"/>
            <w:shd w:val="clear" w:color="auto" w:fill="D4C19C"/>
            <w:vAlign w:val="center"/>
            <w:hideMark/>
          </w:tcPr>
          <w:p w:rsidR="00C95DD6" w:rsidRPr="00283490" w:rsidRDefault="00C95DD6" w:rsidP="003502D5">
            <w:pPr>
              <w:spacing w:after="0"/>
              <w:jc w:val="center"/>
              <w:rPr>
                <w:rFonts w:ascii="Montserrat" w:eastAsia="Times New Roman" w:hAnsi="Montserrat" w:cs="Calibri"/>
                <w:b/>
                <w:color w:val="FFFFFF" w:themeColor="background1"/>
                <w:sz w:val="12"/>
                <w:szCs w:val="12"/>
                <w:lang w:val="es-MX" w:eastAsia="es-MX"/>
              </w:rPr>
            </w:pPr>
            <w:r w:rsidRPr="00283490">
              <w:rPr>
                <w:rFonts w:ascii="Montserrat" w:eastAsia="Times New Roman" w:hAnsi="Montserrat" w:cs="Calibri"/>
                <w:b/>
                <w:color w:val="FFFFFF" w:themeColor="background1"/>
                <w:sz w:val="12"/>
                <w:szCs w:val="12"/>
                <w:lang w:val="es-MX" w:eastAsia="es-MX"/>
              </w:rPr>
              <w:t>Instancia evaluadora</w:t>
            </w:r>
          </w:p>
        </w:tc>
        <w:tc>
          <w:tcPr>
            <w:tcW w:w="1134" w:type="dxa"/>
            <w:vMerge w:val="restart"/>
            <w:shd w:val="clear" w:color="auto" w:fill="D4C19C"/>
            <w:vAlign w:val="center"/>
            <w:hideMark/>
          </w:tcPr>
          <w:p w:rsidR="00C95DD6" w:rsidRPr="00283490" w:rsidRDefault="00C95DD6" w:rsidP="003502D5">
            <w:pPr>
              <w:spacing w:after="0"/>
              <w:jc w:val="center"/>
              <w:rPr>
                <w:rFonts w:ascii="Montserrat" w:eastAsia="Times New Roman" w:hAnsi="Montserrat" w:cs="Calibri"/>
                <w:b/>
                <w:color w:val="FFFFFF" w:themeColor="background1"/>
                <w:sz w:val="12"/>
                <w:szCs w:val="12"/>
                <w:lang w:val="es-MX" w:eastAsia="es-MX"/>
              </w:rPr>
            </w:pPr>
            <w:r w:rsidRPr="00283490">
              <w:rPr>
                <w:rFonts w:ascii="Montserrat" w:eastAsia="Times New Roman" w:hAnsi="Montserrat" w:cs="Calibri"/>
                <w:b/>
                <w:color w:val="FFFFFF" w:themeColor="background1"/>
                <w:sz w:val="12"/>
                <w:szCs w:val="12"/>
                <w:lang w:val="es-MX" w:eastAsia="es-MX"/>
              </w:rPr>
              <w:t>Costo</w:t>
            </w:r>
          </w:p>
        </w:tc>
        <w:tc>
          <w:tcPr>
            <w:tcW w:w="1031" w:type="dxa"/>
            <w:vMerge w:val="restart"/>
            <w:shd w:val="clear" w:color="auto" w:fill="D4C19C"/>
            <w:vAlign w:val="center"/>
            <w:hideMark/>
          </w:tcPr>
          <w:p w:rsidR="00C95DD6" w:rsidRPr="00283490" w:rsidRDefault="00C95DD6" w:rsidP="003502D5">
            <w:pPr>
              <w:spacing w:after="0"/>
              <w:jc w:val="center"/>
              <w:rPr>
                <w:rFonts w:ascii="Montserrat" w:eastAsia="Times New Roman" w:hAnsi="Montserrat" w:cs="Calibri"/>
                <w:b/>
                <w:color w:val="FFFFFF" w:themeColor="background1"/>
                <w:sz w:val="12"/>
                <w:szCs w:val="12"/>
                <w:lang w:val="es-MX" w:eastAsia="es-MX"/>
              </w:rPr>
            </w:pPr>
            <w:proofErr w:type="gramStart"/>
            <w:r w:rsidRPr="00283490">
              <w:rPr>
                <w:rFonts w:ascii="Montserrat" w:eastAsia="Times New Roman" w:hAnsi="Montserrat" w:cs="Calibri"/>
                <w:b/>
                <w:color w:val="FFFFFF" w:themeColor="background1"/>
                <w:sz w:val="12"/>
                <w:szCs w:val="12"/>
                <w:lang w:val="es-MX" w:eastAsia="es-MX"/>
              </w:rPr>
              <w:t>Link</w:t>
            </w:r>
            <w:proofErr w:type="gramEnd"/>
          </w:p>
        </w:tc>
      </w:tr>
      <w:tr w:rsidR="00C95DD6" w:rsidRPr="00283490" w:rsidTr="00F173CC">
        <w:trPr>
          <w:trHeight w:val="196"/>
          <w:tblHeader/>
        </w:trPr>
        <w:tc>
          <w:tcPr>
            <w:tcW w:w="279" w:type="dxa"/>
            <w:tcBorders>
              <w:bottom w:val="nil"/>
            </w:tcBorders>
            <w:shd w:val="clear" w:color="auto" w:fill="D4C19C"/>
            <w:vAlign w:val="center"/>
            <w:hideMark/>
          </w:tcPr>
          <w:p w:rsidR="00C95DD6" w:rsidRPr="00283490" w:rsidRDefault="00C95DD6" w:rsidP="003502D5">
            <w:pPr>
              <w:spacing w:after="0"/>
              <w:jc w:val="center"/>
              <w:rPr>
                <w:rFonts w:ascii="Montserrat" w:eastAsia="Times New Roman" w:hAnsi="Montserrat" w:cs="Calibri"/>
                <w:color w:val="000000"/>
                <w:sz w:val="12"/>
                <w:szCs w:val="12"/>
                <w:lang w:val="es-MX" w:eastAsia="es-MX"/>
              </w:rPr>
            </w:pPr>
            <w:r w:rsidRPr="00C95DD6">
              <w:rPr>
                <w:rFonts w:ascii="Montserrat" w:eastAsia="Times New Roman" w:hAnsi="Montserrat" w:cs="Calibri"/>
                <w:color w:val="FFFFFF" w:themeColor="background1"/>
                <w:sz w:val="12"/>
                <w:szCs w:val="12"/>
                <w:lang w:val="es-MX" w:eastAsia="es-MX"/>
              </w:rPr>
              <w:t>#</w:t>
            </w:r>
          </w:p>
        </w:tc>
        <w:tc>
          <w:tcPr>
            <w:tcW w:w="1701" w:type="dxa"/>
            <w:gridSpan w:val="2"/>
            <w:vMerge/>
            <w:tcBorders>
              <w:bottom w:val="nil"/>
            </w:tcBorders>
            <w:shd w:val="clear" w:color="auto" w:fill="D4C19C"/>
            <w:vAlign w:val="center"/>
            <w:hideMark/>
          </w:tcPr>
          <w:p w:rsidR="00C95DD6" w:rsidRPr="00283490" w:rsidRDefault="00C95DD6" w:rsidP="003502D5">
            <w:pPr>
              <w:spacing w:after="0"/>
              <w:jc w:val="center"/>
              <w:rPr>
                <w:rFonts w:ascii="Montserrat" w:eastAsia="Times New Roman" w:hAnsi="Montserrat" w:cs="Calibri"/>
                <w:b/>
                <w:color w:val="FFFFFF" w:themeColor="background1"/>
                <w:sz w:val="12"/>
                <w:szCs w:val="12"/>
                <w:lang w:val="es-MX" w:eastAsia="es-MX"/>
              </w:rPr>
            </w:pPr>
          </w:p>
        </w:tc>
        <w:tc>
          <w:tcPr>
            <w:tcW w:w="850" w:type="dxa"/>
            <w:vMerge/>
            <w:tcBorders>
              <w:bottom w:val="nil"/>
            </w:tcBorders>
            <w:shd w:val="clear" w:color="auto" w:fill="auto"/>
            <w:vAlign w:val="center"/>
            <w:hideMark/>
          </w:tcPr>
          <w:p w:rsidR="00C95DD6" w:rsidRPr="00283490" w:rsidRDefault="00C95DD6" w:rsidP="003502D5">
            <w:pPr>
              <w:spacing w:after="0"/>
              <w:jc w:val="center"/>
              <w:rPr>
                <w:rFonts w:ascii="Montserrat" w:eastAsia="Times New Roman" w:hAnsi="Montserrat" w:cs="Calibri"/>
                <w:color w:val="000000"/>
                <w:sz w:val="12"/>
                <w:szCs w:val="12"/>
                <w:lang w:val="es-MX" w:eastAsia="es-MX"/>
              </w:rPr>
            </w:pPr>
          </w:p>
        </w:tc>
        <w:tc>
          <w:tcPr>
            <w:tcW w:w="1423" w:type="dxa"/>
            <w:vMerge/>
            <w:tcBorders>
              <w:bottom w:val="nil"/>
            </w:tcBorders>
            <w:vAlign w:val="center"/>
            <w:hideMark/>
          </w:tcPr>
          <w:p w:rsidR="00C95DD6" w:rsidRPr="00283490" w:rsidRDefault="00C95DD6" w:rsidP="003502D5">
            <w:pPr>
              <w:spacing w:after="0"/>
              <w:jc w:val="center"/>
              <w:rPr>
                <w:rFonts w:ascii="Montserrat" w:eastAsia="Times New Roman" w:hAnsi="Montserrat" w:cs="Calibri"/>
                <w:color w:val="000000"/>
                <w:sz w:val="12"/>
                <w:szCs w:val="12"/>
                <w:lang w:val="es-MX" w:eastAsia="es-MX"/>
              </w:rPr>
            </w:pPr>
          </w:p>
        </w:tc>
        <w:tc>
          <w:tcPr>
            <w:tcW w:w="992" w:type="dxa"/>
            <w:vMerge/>
            <w:tcBorders>
              <w:bottom w:val="nil"/>
            </w:tcBorders>
            <w:vAlign w:val="center"/>
            <w:hideMark/>
          </w:tcPr>
          <w:p w:rsidR="00C95DD6" w:rsidRPr="00283490" w:rsidRDefault="00C95DD6" w:rsidP="003502D5">
            <w:pPr>
              <w:spacing w:after="0"/>
              <w:jc w:val="center"/>
              <w:rPr>
                <w:rFonts w:ascii="Montserrat" w:eastAsia="Times New Roman" w:hAnsi="Montserrat" w:cs="Calibri"/>
                <w:color w:val="000000"/>
                <w:sz w:val="12"/>
                <w:szCs w:val="12"/>
                <w:lang w:val="es-MX" w:eastAsia="es-MX"/>
              </w:rPr>
            </w:pPr>
          </w:p>
        </w:tc>
        <w:tc>
          <w:tcPr>
            <w:tcW w:w="992" w:type="dxa"/>
            <w:vMerge/>
            <w:tcBorders>
              <w:bottom w:val="nil"/>
            </w:tcBorders>
            <w:vAlign w:val="center"/>
            <w:hideMark/>
          </w:tcPr>
          <w:p w:rsidR="00C95DD6" w:rsidRPr="00283490" w:rsidRDefault="00C95DD6" w:rsidP="003502D5">
            <w:pPr>
              <w:spacing w:after="0"/>
              <w:jc w:val="center"/>
              <w:rPr>
                <w:rFonts w:ascii="Montserrat" w:eastAsia="Times New Roman" w:hAnsi="Montserrat" w:cs="Calibri"/>
                <w:color w:val="000000"/>
                <w:sz w:val="10"/>
                <w:szCs w:val="10"/>
                <w:lang w:val="es-MX" w:eastAsia="es-MX"/>
              </w:rPr>
            </w:pPr>
          </w:p>
        </w:tc>
        <w:tc>
          <w:tcPr>
            <w:tcW w:w="567" w:type="dxa"/>
            <w:vMerge/>
            <w:tcBorders>
              <w:bottom w:val="nil"/>
            </w:tcBorders>
            <w:vAlign w:val="center"/>
            <w:hideMark/>
          </w:tcPr>
          <w:p w:rsidR="00C95DD6" w:rsidRPr="00283490" w:rsidRDefault="00C95DD6" w:rsidP="003502D5">
            <w:pPr>
              <w:spacing w:after="0"/>
              <w:jc w:val="center"/>
              <w:rPr>
                <w:rFonts w:ascii="Montserrat" w:eastAsia="Times New Roman" w:hAnsi="Montserrat" w:cs="Calibri"/>
                <w:color w:val="000000"/>
                <w:sz w:val="12"/>
                <w:szCs w:val="12"/>
                <w:lang w:val="es-MX" w:eastAsia="es-MX"/>
              </w:rPr>
            </w:pPr>
          </w:p>
        </w:tc>
        <w:tc>
          <w:tcPr>
            <w:tcW w:w="993" w:type="dxa"/>
            <w:vMerge/>
            <w:tcBorders>
              <w:bottom w:val="nil"/>
            </w:tcBorders>
            <w:vAlign w:val="center"/>
            <w:hideMark/>
          </w:tcPr>
          <w:p w:rsidR="00C95DD6" w:rsidRPr="00283490" w:rsidRDefault="00C95DD6" w:rsidP="003502D5">
            <w:pPr>
              <w:spacing w:after="0"/>
              <w:jc w:val="center"/>
              <w:rPr>
                <w:rFonts w:ascii="Montserrat" w:eastAsia="Times New Roman" w:hAnsi="Montserrat" w:cs="Calibri"/>
                <w:color w:val="000000"/>
                <w:sz w:val="12"/>
                <w:szCs w:val="12"/>
                <w:lang w:val="es-MX" w:eastAsia="es-MX"/>
              </w:rPr>
            </w:pPr>
          </w:p>
        </w:tc>
        <w:tc>
          <w:tcPr>
            <w:tcW w:w="1134" w:type="dxa"/>
            <w:vMerge/>
            <w:tcBorders>
              <w:bottom w:val="nil"/>
            </w:tcBorders>
            <w:vAlign w:val="center"/>
            <w:hideMark/>
          </w:tcPr>
          <w:p w:rsidR="00C95DD6" w:rsidRPr="00283490" w:rsidRDefault="00C95DD6" w:rsidP="003502D5">
            <w:pPr>
              <w:spacing w:after="0"/>
              <w:jc w:val="center"/>
              <w:rPr>
                <w:rFonts w:ascii="Montserrat" w:eastAsia="Times New Roman" w:hAnsi="Montserrat" w:cs="Calibri"/>
                <w:color w:val="000000"/>
                <w:sz w:val="12"/>
                <w:szCs w:val="12"/>
                <w:lang w:val="es-MX" w:eastAsia="es-MX"/>
              </w:rPr>
            </w:pPr>
          </w:p>
        </w:tc>
        <w:tc>
          <w:tcPr>
            <w:tcW w:w="1031" w:type="dxa"/>
            <w:vMerge/>
            <w:tcBorders>
              <w:bottom w:val="nil"/>
            </w:tcBorders>
            <w:vAlign w:val="center"/>
            <w:hideMark/>
          </w:tcPr>
          <w:p w:rsidR="00C95DD6" w:rsidRPr="00283490" w:rsidRDefault="00C95DD6" w:rsidP="003502D5">
            <w:pPr>
              <w:spacing w:after="0"/>
              <w:jc w:val="center"/>
              <w:rPr>
                <w:rFonts w:ascii="Montserrat" w:eastAsia="Times New Roman" w:hAnsi="Montserrat" w:cs="Calibri"/>
                <w:color w:val="000000"/>
                <w:sz w:val="12"/>
                <w:szCs w:val="12"/>
                <w:lang w:val="es-MX" w:eastAsia="es-MX"/>
              </w:rPr>
            </w:pPr>
          </w:p>
        </w:tc>
      </w:tr>
      <w:tr w:rsidR="005D2BFC" w:rsidRPr="00283490" w:rsidTr="00F173CC">
        <w:trPr>
          <w:trHeight w:hRule="exact" w:val="57"/>
          <w:tblHeader/>
        </w:trPr>
        <w:tc>
          <w:tcPr>
            <w:tcW w:w="279" w:type="dxa"/>
            <w:tcBorders>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FFFFFF" w:themeColor="background1"/>
                <w:sz w:val="6"/>
                <w:szCs w:val="6"/>
                <w:lang w:val="es-MX" w:eastAsia="es-MX"/>
              </w:rPr>
            </w:pPr>
          </w:p>
        </w:tc>
        <w:tc>
          <w:tcPr>
            <w:tcW w:w="1701" w:type="dxa"/>
            <w:gridSpan w:val="2"/>
            <w:tcBorders>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b/>
                <w:color w:val="FFFFFF" w:themeColor="background1"/>
                <w:sz w:val="6"/>
                <w:szCs w:val="6"/>
                <w:lang w:val="es-MX" w:eastAsia="es-MX"/>
              </w:rPr>
            </w:pPr>
          </w:p>
        </w:tc>
        <w:tc>
          <w:tcPr>
            <w:tcW w:w="850" w:type="dxa"/>
            <w:tcBorders>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000000"/>
                <w:sz w:val="6"/>
                <w:szCs w:val="6"/>
                <w:lang w:val="es-MX" w:eastAsia="es-MX"/>
              </w:rPr>
            </w:pPr>
          </w:p>
        </w:tc>
        <w:tc>
          <w:tcPr>
            <w:tcW w:w="1423" w:type="dxa"/>
            <w:tcBorders>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000000"/>
                <w:sz w:val="6"/>
                <w:szCs w:val="6"/>
                <w:lang w:val="es-MX" w:eastAsia="es-MX"/>
              </w:rPr>
            </w:pPr>
          </w:p>
        </w:tc>
        <w:tc>
          <w:tcPr>
            <w:tcW w:w="992" w:type="dxa"/>
            <w:tcBorders>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000000"/>
                <w:sz w:val="6"/>
                <w:szCs w:val="6"/>
                <w:lang w:val="es-MX" w:eastAsia="es-MX"/>
              </w:rPr>
            </w:pPr>
          </w:p>
        </w:tc>
        <w:tc>
          <w:tcPr>
            <w:tcW w:w="992" w:type="dxa"/>
            <w:tcBorders>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000000"/>
                <w:sz w:val="6"/>
                <w:szCs w:val="6"/>
                <w:lang w:val="es-MX" w:eastAsia="es-MX"/>
              </w:rPr>
            </w:pPr>
          </w:p>
        </w:tc>
        <w:tc>
          <w:tcPr>
            <w:tcW w:w="567" w:type="dxa"/>
            <w:tcBorders>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000000"/>
                <w:sz w:val="6"/>
                <w:szCs w:val="6"/>
                <w:lang w:val="es-MX" w:eastAsia="es-MX"/>
              </w:rPr>
            </w:pPr>
          </w:p>
        </w:tc>
        <w:tc>
          <w:tcPr>
            <w:tcW w:w="993" w:type="dxa"/>
            <w:tcBorders>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000000"/>
                <w:sz w:val="6"/>
                <w:szCs w:val="6"/>
                <w:lang w:val="es-MX" w:eastAsia="es-MX"/>
              </w:rPr>
            </w:pPr>
          </w:p>
        </w:tc>
        <w:tc>
          <w:tcPr>
            <w:tcW w:w="1134" w:type="dxa"/>
            <w:tcBorders>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000000"/>
                <w:sz w:val="6"/>
                <w:szCs w:val="6"/>
                <w:lang w:val="es-MX" w:eastAsia="es-MX"/>
              </w:rPr>
            </w:pPr>
          </w:p>
        </w:tc>
        <w:tc>
          <w:tcPr>
            <w:tcW w:w="1031" w:type="dxa"/>
            <w:tcBorders>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000000"/>
                <w:sz w:val="6"/>
                <w:szCs w:val="6"/>
                <w:lang w:val="es-MX" w:eastAsia="es-MX"/>
              </w:rPr>
            </w:pPr>
          </w:p>
        </w:tc>
      </w:tr>
      <w:tr w:rsidR="005D2BFC" w:rsidRPr="00283490" w:rsidTr="00F173CC">
        <w:trPr>
          <w:trHeight w:hRule="exact" w:val="57"/>
          <w:tblHeader/>
        </w:trPr>
        <w:tc>
          <w:tcPr>
            <w:tcW w:w="279" w:type="dxa"/>
            <w:tcBorders>
              <w:top w:val="single" w:sz="12" w:space="0" w:color="808080" w:themeColor="background1" w:themeShade="80"/>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FFFFFF" w:themeColor="background1"/>
                <w:sz w:val="6"/>
                <w:szCs w:val="6"/>
                <w:lang w:val="es-MX" w:eastAsia="es-MX"/>
              </w:rPr>
            </w:pPr>
          </w:p>
        </w:tc>
        <w:tc>
          <w:tcPr>
            <w:tcW w:w="1701" w:type="dxa"/>
            <w:gridSpan w:val="2"/>
            <w:tcBorders>
              <w:top w:val="single" w:sz="12" w:space="0" w:color="808080" w:themeColor="background1" w:themeShade="80"/>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b/>
                <w:color w:val="FFFFFF" w:themeColor="background1"/>
                <w:sz w:val="6"/>
                <w:szCs w:val="6"/>
                <w:lang w:val="es-MX" w:eastAsia="es-MX"/>
              </w:rPr>
            </w:pPr>
          </w:p>
        </w:tc>
        <w:tc>
          <w:tcPr>
            <w:tcW w:w="850" w:type="dxa"/>
            <w:tcBorders>
              <w:top w:val="single" w:sz="12" w:space="0" w:color="808080" w:themeColor="background1" w:themeShade="80"/>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000000"/>
                <w:sz w:val="6"/>
                <w:szCs w:val="6"/>
                <w:lang w:val="es-MX" w:eastAsia="es-MX"/>
              </w:rPr>
            </w:pPr>
          </w:p>
        </w:tc>
        <w:tc>
          <w:tcPr>
            <w:tcW w:w="1423" w:type="dxa"/>
            <w:tcBorders>
              <w:top w:val="single" w:sz="12" w:space="0" w:color="808080" w:themeColor="background1" w:themeShade="80"/>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000000"/>
                <w:sz w:val="6"/>
                <w:szCs w:val="6"/>
                <w:lang w:val="es-MX" w:eastAsia="es-MX"/>
              </w:rPr>
            </w:pPr>
          </w:p>
        </w:tc>
        <w:tc>
          <w:tcPr>
            <w:tcW w:w="992" w:type="dxa"/>
            <w:tcBorders>
              <w:top w:val="single" w:sz="12" w:space="0" w:color="808080" w:themeColor="background1" w:themeShade="80"/>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000000"/>
                <w:sz w:val="6"/>
                <w:szCs w:val="6"/>
                <w:lang w:val="es-MX" w:eastAsia="es-MX"/>
              </w:rPr>
            </w:pPr>
          </w:p>
        </w:tc>
        <w:tc>
          <w:tcPr>
            <w:tcW w:w="992" w:type="dxa"/>
            <w:tcBorders>
              <w:top w:val="single" w:sz="12" w:space="0" w:color="808080" w:themeColor="background1" w:themeShade="80"/>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000000"/>
                <w:sz w:val="6"/>
                <w:szCs w:val="6"/>
                <w:lang w:val="es-MX" w:eastAsia="es-MX"/>
              </w:rPr>
            </w:pPr>
          </w:p>
        </w:tc>
        <w:tc>
          <w:tcPr>
            <w:tcW w:w="567" w:type="dxa"/>
            <w:tcBorders>
              <w:top w:val="single" w:sz="12" w:space="0" w:color="808080" w:themeColor="background1" w:themeShade="80"/>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000000"/>
                <w:sz w:val="6"/>
                <w:szCs w:val="6"/>
                <w:lang w:val="es-MX" w:eastAsia="es-MX"/>
              </w:rPr>
            </w:pPr>
          </w:p>
        </w:tc>
        <w:tc>
          <w:tcPr>
            <w:tcW w:w="993" w:type="dxa"/>
            <w:tcBorders>
              <w:top w:val="single" w:sz="12" w:space="0" w:color="808080" w:themeColor="background1" w:themeShade="80"/>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000000"/>
                <w:sz w:val="6"/>
                <w:szCs w:val="6"/>
                <w:lang w:val="es-MX" w:eastAsia="es-MX"/>
              </w:rPr>
            </w:pPr>
          </w:p>
        </w:tc>
        <w:tc>
          <w:tcPr>
            <w:tcW w:w="1134" w:type="dxa"/>
            <w:tcBorders>
              <w:top w:val="single" w:sz="12" w:space="0" w:color="808080" w:themeColor="background1" w:themeShade="80"/>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000000"/>
                <w:sz w:val="6"/>
                <w:szCs w:val="6"/>
                <w:lang w:val="es-MX" w:eastAsia="es-MX"/>
              </w:rPr>
            </w:pPr>
          </w:p>
        </w:tc>
        <w:tc>
          <w:tcPr>
            <w:tcW w:w="1031" w:type="dxa"/>
            <w:tcBorders>
              <w:top w:val="single" w:sz="12" w:space="0" w:color="808080" w:themeColor="background1" w:themeShade="80"/>
              <w:bottom w:val="single" w:sz="12" w:space="0" w:color="808080" w:themeColor="background1" w:themeShade="80"/>
            </w:tcBorders>
            <w:shd w:val="clear" w:color="auto" w:fill="auto"/>
            <w:vAlign w:val="center"/>
          </w:tcPr>
          <w:p w:rsidR="005D2BFC" w:rsidRPr="005D2BFC" w:rsidRDefault="005D2BFC" w:rsidP="003502D5">
            <w:pPr>
              <w:spacing w:after="0"/>
              <w:jc w:val="center"/>
              <w:rPr>
                <w:rFonts w:ascii="Montserrat" w:eastAsia="Times New Roman" w:hAnsi="Montserrat" w:cs="Calibri"/>
                <w:color w:val="000000"/>
                <w:sz w:val="6"/>
                <w:szCs w:val="6"/>
                <w:lang w:val="es-MX" w:eastAsia="es-MX"/>
              </w:rPr>
            </w:pPr>
          </w:p>
        </w:tc>
      </w:tr>
      <w:tr w:rsidR="005D2BFC" w:rsidRPr="00283490" w:rsidTr="003502D5">
        <w:trPr>
          <w:trHeight w:hRule="exact" w:val="57"/>
        </w:trPr>
        <w:tc>
          <w:tcPr>
            <w:tcW w:w="279" w:type="dxa"/>
            <w:tcBorders>
              <w:top w:val="single" w:sz="12" w:space="0" w:color="808080" w:themeColor="background1" w:themeShade="80"/>
              <w:bottom w:val="nil"/>
            </w:tcBorders>
            <w:shd w:val="clear" w:color="auto" w:fill="auto"/>
            <w:vAlign w:val="center"/>
          </w:tcPr>
          <w:p w:rsidR="005D2BFC" w:rsidRPr="00C95DD6" w:rsidRDefault="005D2BFC" w:rsidP="003502D5">
            <w:pPr>
              <w:spacing w:after="0"/>
              <w:jc w:val="center"/>
              <w:rPr>
                <w:rFonts w:ascii="Montserrat" w:eastAsia="Times New Roman" w:hAnsi="Montserrat" w:cs="Calibri"/>
                <w:color w:val="FFFFFF" w:themeColor="background1"/>
                <w:sz w:val="12"/>
                <w:szCs w:val="12"/>
                <w:lang w:val="es-MX" w:eastAsia="es-MX"/>
              </w:rPr>
            </w:pPr>
          </w:p>
        </w:tc>
        <w:tc>
          <w:tcPr>
            <w:tcW w:w="1701" w:type="dxa"/>
            <w:gridSpan w:val="2"/>
            <w:tcBorders>
              <w:top w:val="single" w:sz="12" w:space="0" w:color="808080" w:themeColor="background1" w:themeShade="80"/>
              <w:bottom w:val="nil"/>
            </w:tcBorders>
            <w:shd w:val="clear" w:color="auto" w:fill="auto"/>
            <w:vAlign w:val="center"/>
          </w:tcPr>
          <w:p w:rsidR="005D2BFC" w:rsidRPr="00283490" w:rsidRDefault="005D2BFC" w:rsidP="003502D5">
            <w:pPr>
              <w:spacing w:after="0"/>
              <w:jc w:val="center"/>
              <w:rPr>
                <w:rFonts w:ascii="Montserrat" w:eastAsia="Times New Roman" w:hAnsi="Montserrat" w:cs="Calibri"/>
                <w:b/>
                <w:color w:val="FFFFFF" w:themeColor="background1"/>
                <w:sz w:val="12"/>
                <w:szCs w:val="12"/>
                <w:lang w:val="es-MX" w:eastAsia="es-MX"/>
              </w:rPr>
            </w:pPr>
          </w:p>
        </w:tc>
        <w:tc>
          <w:tcPr>
            <w:tcW w:w="850" w:type="dxa"/>
            <w:tcBorders>
              <w:top w:val="single" w:sz="12" w:space="0" w:color="808080" w:themeColor="background1" w:themeShade="80"/>
              <w:bottom w:val="nil"/>
            </w:tcBorders>
            <w:shd w:val="clear" w:color="auto" w:fill="auto"/>
            <w:vAlign w:val="center"/>
          </w:tcPr>
          <w:p w:rsidR="005D2BFC" w:rsidRPr="00283490" w:rsidRDefault="005D2BFC" w:rsidP="003502D5">
            <w:pPr>
              <w:spacing w:after="0"/>
              <w:jc w:val="center"/>
              <w:rPr>
                <w:rFonts w:ascii="Montserrat" w:eastAsia="Times New Roman" w:hAnsi="Montserrat" w:cs="Calibri"/>
                <w:color w:val="000000"/>
                <w:sz w:val="12"/>
                <w:szCs w:val="12"/>
                <w:lang w:val="es-MX" w:eastAsia="es-MX"/>
              </w:rPr>
            </w:pPr>
          </w:p>
        </w:tc>
        <w:tc>
          <w:tcPr>
            <w:tcW w:w="1423" w:type="dxa"/>
            <w:tcBorders>
              <w:top w:val="single" w:sz="12" w:space="0" w:color="808080" w:themeColor="background1" w:themeShade="80"/>
              <w:bottom w:val="nil"/>
            </w:tcBorders>
            <w:shd w:val="clear" w:color="auto" w:fill="auto"/>
            <w:vAlign w:val="center"/>
          </w:tcPr>
          <w:p w:rsidR="005D2BFC" w:rsidRPr="00283490" w:rsidRDefault="005D2BFC" w:rsidP="003502D5">
            <w:pPr>
              <w:spacing w:after="0"/>
              <w:jc w:val="center"/>
              <w:rPr>
                <w:rFonts w:ascii="Montserrat" w:eastAsia="Times New Roman" w:hAnsi="Montserrat" w:cs="Calibri"/>
                <w:color w:val="000000"/>
                <w:sz w:val="12"/>
                <w:szCs w:val="12"/>
                <w:lang w:val="es-MX" w:eastAsia="es-MX"/>
              </w:rPr>
            </w:pPr>
          </w:p>
        </w:tc>
        <w:tc>
          <w:tcPr>
            <w:tcW w:w="992" w:type="dxa"/>
            <w:tcBorders>
              <w:top w:val="single" w:sz="12" w:space="0" w:color="808080" w:themeColor="background1" w:themeShade="80"/>
              <w:bottom w:val="nil"/>
            </w:tcBorders>
            <w:shd w:val="clear" w:color="auto" w:fill="auto"/>
            <w:vAlign w:val="center"/>
          </w:tcPr>
          <w:p w:rsidR="005D2BFC" w:rsidRPr="00283490" w:rsidRDefault="005D2BFC" w:rsidP="003502D5">
            <w:pPr>
              <w:spacing w:after="0"/>
              <w:jc w:val="center"/>
              <w:rPr>
                <w:rFonts w:ascii="Montserrat" w:eastAsia="Times New Roman" w:hAnsi="Montserrat" w:cs="Calibri"/>
                <w:color w:val="000000"/>
                <w:sz w:val="12"/>
                <w:szCs w:val="12"/>
                <w:lang w:val="es-MX" w:eastAsia="es-MX"/>
              </w:rPr>
            </w:pPr>
          </w:p>
        </w:tc>
        <w:tc>
          <w:tcPr>
            <w:tcW w:w="992" w:type="dxa"/>
            <w:tcBorders>
              <w:top w:val="single" w:sz="12" w:space="0" w:color="808080" w:themeColor="background1" w:themeShade="80"/>
              <w:bottom w:val="nil"/>
            </w:tcBorders>
            <w:shd w:val="clear" w:color="auto" w:fill="auto"/>
            <w:vAlign w:val="center"/>
          </w:tcPr>
          <w:p w:rsidR="005D2BFC" w:rsidRPr="00283490" w:rsidRDefault="005D2BFC" w:rsidP="003502D5">
            <w:pPr>
              <w:spacing w:after="0"/>
              <w:jc w:val="center"/>
              <w:rPr>
                <w:rFonts w:ascii="Montserrat" w:eastAsia="Times New Roman" w:hAnsi="Montserrat" w:cs="Calibri"/>
                <w:color w:val="000000"/>
                <w:sz w:val="10"/>
                <w:szCs w:val="10"/>
                <w:lang w:val="es-MX" w:eastAsia="es-MX"/>
              </w:rPr>
            </w:pPr>
          </w:p>
        </w:tc>
        <w:tc>
          <w:tcPr>
            <w:tcW w:w="567" w:type="dxa"/>
            <w:tcBorders>
              <w:top w:val="single" w:sz="12" w:space="0" w:color="808080" w:themeColor="background1" w:themeShade="80"/>
              <w:bottom w:val="nil"/>
            </w:tcBorders>
            <w:shd w:val="clear" w:color="auto" w:fill="auto"/>
            <w:vAlign w:val="center"/>
          </w:tcPr>
          <w:p w:rsidR="005D2BFC" w:rsidRPr="00283490" w:rsidRDefault="005D2BFC" w:rsidP="003502D5">
            <w:pPr>
              <w:spacing w:after="0"/>
              <w:jc w:val="center"/>
              <w:rPr>
                <w:rFonts w:ascii="Montserrat" w:eastAsia="Times New Roman" w:hAnsi="Montserrat" w:cs="Calibri"/>
                <w:color w:val="000000"/>
                <w:sz w:val="12"/>
                <w:szCs w:val="12"/>
                <w:lang w:val="es-MX" w:eastAsia="es-MX"/>
              </w:rPr>
            </w:pPr>
          </w:p>
        </w:tc>
        <w:tc>
          <w:tcPr>
            <w:tcW w:w="993" w:type="dxa"/>
            <w:tcBorders>
              <w:top w:val="single" w:sz="12" w:space="0" w:color="808080" w:themeColor="background1" w:themeShade="80"/>
              <w:bottom w:val="nil"/>
            </w:tcBorders>
            <w:shd w:val="clear" w:color="auto" w:fill="auto"/>
            <w:vAlign w:val="center"/>
          </w:tcPr>
          <w:p w:rsidR="005D2BFC" w:rsidRPr="00283490" w:rsidRDefault="005D2BFC" w:rsidP="003502D5">
            <w:pPr>
              <w:spacing w:after="0"/>
              <w:jc w:val="center"/>
              <w:rPr>
                <w:rFonts w:ascii="Montserrat" w:eastAsia="Times New Roman" w:hAnsi="Montserrat" w:cs="Calibri"/>
                <w:color w:val="000000"/>
                <w:sz w:val="12"/>
                <w:szCs w:val="12"/>
                <w:lang w:val="es-MX" w:eastAsia="es-MX"/>
              </w:rPr>
            </w:pPr>
          </w:p>
        </w:tc>
        <w:tc>
          <w:tcPr>
            <w:tcW w:w="1134" w:type="dxa"/>
            <w:tcBorders>
              <w:top w:val="single" w:sz="12" w:space="0" w:color="808080" w:themeColor="background1" w:themeShade="80"/>
              <w:bottom w:val="nil"/>
            </w:tcBorders>
            <w:shd w:val="clear" w:color="auto" w:fill="auto"/>
            <w:vAlign w:val="center"/>
          </w:tcPr>
          <w:p w:rsidR="005D2BFC" w:rsidRPr="00283490" w:rsidRDefault="005D2BFC" w:rsidP="003502D5">
            <w:pPr>
              <w:spacing w:after="0"/>
              <w:jc w:val="center"/>
              <w:rPr>
                <w:rFonts w:ascii="Montserrat" w:eastAsia="Times New Roman" w:hAnsi="Montserrat" w:cs="Calibri"/>
                <w:color w:val="000000"/>
                <w:sz w:val="12"/>
                <w:szCs w:val="12"/>
                <w:lang w:val="es-MX" w:eastAsia="es-MX"/>
              </w:rPr>
            </w:pPr>
          </w:p>
        </w:tc>
        <w:tc>
          <w:tcPr>
            <w:tcW w:w="1031" w:type="dxa"/>
            <w:tcBorders>
              <w:top w:val="single" w:sz="12" w:space="0" w:color="808080" w:themeColor="background1" w:themeShade="80"/>
              <w:bottom w:val="nil"/>
            </w:tcBorders>
            <w:shd w:val="clear" w:color="auto" w:fill="auto"/>
            <w:vAlign w:val="center"/>
          </w:tcPr>
          <w:p w:rsidR="005D2BFC" w:rsidRPr="00283490" w:rsidRDefault="005D2BFC" w:rsidP="003502D5">
            <w:pPr>
              <w:spacing w:after="0"/>
              <w:jc w:val="center"/>
              <w:rPr>
                <w:rFonts w:ascii="Montserrat" w:eastAsia="Times New Roman" w:hAnsi="Montserrat" w:cs="Calibri"/>
                <w:color w:val="000000"/>
                <w:sz w:val="12"/>
                <w:szCs w:val="12"/>
                <w:lang w:val="es-MX" w:eastAsia="es-MX"/>
              </w:rPr>
            </w:pPr>
          </w:p>
        </w:tc>
      </w:tr>
      <w:tr w:rsidR="009E4073" w:rsidRPr="00283490" w:rsidTr="003502D5">
        <w:trPr>
          <w:trHeight w:val="482"/>
        </w:trPr>
        <w:tc>
          <w:tcPr>
            <w:tcW w:w="279" w:type="dxa"/>
            <w:tcBorders>
              <w:top w:val="nil"/>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1</w:t>
            </w:r>
          </w:p>
        </w:tc>
        <w:tc>
          <w:tcPr>
            <w:tcW w:w="567" w:type="dxa"/>
            <w:tcBorders>
              <w:top w:val="nil"/>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04</w:t>
            </w:r>
          </w:p>
        </w:tc>
        <w:tc>
          <w:tcPr>
            <w:tcW w:w="1134" w:type="dxa"/>
            <w:tcBorders>
              <w:top w:val="nil"/>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Gobernación</w:t>
            </w:r>
          </w:p>
        </w:tc>
        <w:tc>
          <w:tcPr>
            <w:tcW w:w="850" w:type="dxa"/>
            <w:tcBorders>
              <w:top w:val="nil"/>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E006</w:t>
            </w:r>
          </w:p>
        </w:tc>
        <w:tc>
          <w:tcPr>
            <w:tcW w:w="1423" w:type="dxa"/>
            <w:tcBorders>
              <w:top w:val="nil"/>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Atención a refugiados en el país</w:t>
            </w:r>
          </w:p>
        </w:tc>
        <w:tc>
          <w:tcPr>
            <w:tcW w:w="992" w:type="dxa"/>
            <w:tcBorders>
              <w:top w:val="nil"/>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Diseño</w:t>
            </w:r>
          </w:p>
        </w:tc>
        <w:tc>
          <w:tcPr>
            <w:tcW w:w="992" w:type="dxa"/>
            <w:tcBorders>
              <w:top w:val="nil"/>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SHCP</w:t>
            </w:r>
          </w:p>
        </w:tc>
        <w:tc>
          <w:tcPr>
            <w:tcW w:w="567" w:type="dxa"/>
            <w:tcBorders>
              <w:top w:val="nil"/>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2018</w:t>
            </w:r>
          </w:p>
        </w:tc>
        <w:tc>
          <w:tcPr>
            <w:tcW w:w="993" w:type="dxa"/>
            <w:tcBorders>
              <w:top w:val="nil"/>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eastAsia="es-MX"/>
              </w:rPr>
              <w:t>Grupo Asesor Vargas y CIA, S.C</w:t>
            </w:r>
          </w:p>
        </w:tc>
        <w:tc>
          <w:tcPr>
            <w:tcW w:w="1134" w:type="dxa"/>
            <w:tcBorders>
              <w:top w:val="nil"/>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     474,440.00</w:t>
            </w:r>
          </w:p>
        </w:tc>
        <w:tc>
          <w:tcPr>
            <w:tcW w:w="1031" w:type="dxa"/>
            <w:tcBorders>
              <w:top w:val="nil"/>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0"/>
                <w:szCs w:val="10"/>
                <w:lang w:val="es-MX" w:eastAsia="es-MX"/>
              </w:rPr>
            </w:pPr>
            <w:r w:rsidRPr="00283490">
              <w:rPr>
                <w:rFonts w:ascii="Montserrat" w:eastAsia="Times New Roman" w:hAnsi="Montserrat" w:cs="Calibri"/>
                <w:color w:val="000000"/>
                <w:sz w:val="10"/>
                <w:szCs w:val="10"/>
                <w:lang w:val="es-MX" w:eastAsia="es-MX"/>
              </w:rPr>
              <w:t>www.transparenciapresupuestaria.gob.mx/work/models/PTP/programas/sed/evaluaciones/2018/04e006phdi18.rar</w:t>
            </w:r>
          </w:p>
        </w:tc>
      </w:tr>
      <w:tr w:rsidR="009E4073" w:rsidRPr="00283490" w:rsidTr="003502D5">
        <w:trPr>
          <w:trHeight w:val="482"/>
        </w:trPr>
        <w:tc>
          <w:tcPr>
            <w:tcW w:w="279"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2</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05</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Relaciones Exteriores</w:t>
            </w:r>
          </w:p>
        </w:tc>
        <w:tc>
          <w:tcPr>
            <w:tcW w:w="850"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P005</w:t>
            </w:r>
          </w:p>
        </w:tc>
        <w:tc>
          <w:tcPr>
            <w:tcW w:w="142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Promoción y defensa de los intereses de México en el ámbito multilateral</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Procesos</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SHCP</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2018</w:t>
            </w:r>
          </w:p>
        </w:tc>
        <w:tc>
          <w:tcPr>
            <w:tcW w:w="99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proofErr w:type="spellStart"/>
            <w:r w:rsidRPr="00283490">
              <w:rPr>
                <w:rFonts w:ascii="Montserrat" w:eastAsia="Times New Roman" w:hAnsi="Montserrat" w:cs="Calibri"/>
                <w:color w:val="000000"/>
                <w:sz w:val="12"/>
                <w:szCs w:val="12"/>
                <w:lang w:eastAsia="es-MX"/>
              </w:rPr>
              <w:t>Perma</w:t>
            </w:r>
            <w:proofErr w:type="spellEnd"/>
            <w:r w:rsidRPr="00283490">
              <w:rPr>
                <w:rFonts w:ascii="Montserrat" w:eastAsia="Times New Roman" w:hAnsi="Montserrat" w:cs="Calibri"/>
                <w:color w:val="000000"/>
                <w:sz w:val="12"/>
                <w:szCs w:val="12"/>
                <w:lang w:eastAsia="es-MX"/>
              </w:rPr>
              <w:t xml:space="preserve"> Consultores, S.C.</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     342,200.00</w:t>
            </w:r>
          </w:p>
        </w:tc>
        <w:tc>
          <w:tcPr>
            <w:tcW w:w="1031"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0"/>
                <w:szCs w:val="10"/>
                <w:lang w:val="es-MX" w:eastAsia="es-MX"/>
              </w:rPr>
            </w:pPr>
            <w:r w:rsidRPr="00283490">
              <w:rPr>
                <w:rFonts w:ascii="Montserrat" w:eastAsia="Times New Roman" w:hAnsi="Montserrat" w:cs="Calibri"/>
                <w:color w:val="000000"/>
                <w:sz w:val="10"/>
                <w:szCs w:val="10"/>
                <w:lang w:val="es-MX" w:eastAsia="es-MX"/>
              </w:rPr>
              <w:t>www.transparenciapresupuestaria.gob.mx/work/models/PTP/programas/sed/evaluaciones/2018/06p005phdi18.rar</w:t>
            </w:r>
          </w:p>
        </w:tc>
      </w:tr>
      <w:tr w:rsidR="009E4073" w:rsidRPr="00283490" w:rsidTr="003502D5">
        <w:trPr>
          <w:trHeight w:val="482"/>
        </w:trPr>
        <w:tc>
          <w:tcPr>
            <w:tcW w:w="279"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3</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06</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Hacienda y Crédito Público</w:t>
            </w:r>
          </w:p>
        </w:tc>
        <w:tc>
          <w:tcPr>
            <w:tcW w:w="850"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F017</w:t>
            </w:r>
          </w:p>
        </w:tc>
        <w:tc>
          <w:tcPr>
            <w:tcW w:w="142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Apoyos a los Sectores Pesquero y Rural</w:t>
            </w:r>
          </w:p>
        </w:tc>
        <w:tc>
          <w:tcPr>
            <w:tcW w:w="992" w:type="dxa"/>
            <w:tcBorders>
              <w:top w:val="single" w:sz="4" w:space="0" w:color="auto"/>
              <w:bottom w:val="single" w:sz="4" w:space="0" w:color="auto"/>
            </w:tcBorders>
            <w:shd w:val="clear" w:color="auto" w:fill="F2F2F2"/>
            <w:vAlign w:val="center"/>
            <w:hideMark/>
          </w:tcPr>
          <w:p w:rsidR="00283490" w:rsidRPr="00283490" w:rsidRDefault="00C94B29" w:rsidP="003502D5">
            <w:pPr>
              <w:spacing w:after="0"/>
              <w:jc w:val="center"/>
              <w:rPr>
                <w:rFonts w:ascii="Montserrat" w:eastAsia="Times New Roman" w:hAnsi="Montserrat" w:cs="Calibri"/>
                <w:color w:val="000000"/>
                <w:sz w:val="12"/>
                <w:szCs w:val="12"/>
                <w:lang w:val="es-MX" w:eastAsia="es-MX"/>
              </w:rPr>
            </w:pPr>
            <w:r>
              <w:rPr>
                <w:rFonts w:ascii="Montserrat" w:eastAsia="Times New Roman" w:hAnsi="Montserrat" w:cs="Calibri"/>
                <w:color w:val="000000"/>
                <w:sz w:val="12"/>
                <w:szCs w:val="12"/>
                <w:lang w:val="es-MX" w:eastAsia="es-MX"/>
              </w:rPr>
              <w:t>Especifica</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SHCP</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2018</w:t>
            </w:r>
          </w:p>
        </w:tc>
        <w:tc>
          <w:tcPr>
            <w:tcW w:w="99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eastAsia="es-MX"/>
              </w:rPr>
              <w:t>AGEVALÚA, Evaluación de Política Pública SAS</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     904,800.00</w:t>
            </w:r>
          </w:p>
        </w:tc>
        <w:tc>
          <w:tcPr>
            <w:tcW w:w="1031"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0"/>
                <w:szCs w:val="10"/>
                <w:lang w:val="es-MX" w:eastAsia="es-MX"/>
              </w:rPr>
            </w:pPr>
            <w:r w:rsidRPr="00283490">
              <w:rPr>
                <w:rFonts w:ascii="Montserrat" w:eastAsia="Times New Roman" w:hAnsi="Montserrat" w:cs="Calibri"/>
                <w:color w:val="000000"/>
                <w:sz w:val="10"/>
                <w:szCs w:val="10"/>
                <w:lang w:val="es-MX" w:eastAsia="es-MX"/>
              </w:rPr>
              <w:t>www.transparenciapresupuestaria.gob.mx/work/models/PTP/programas/sed/evaluaciones/2018/06f017phes18.rar</w:t>
            </w:r>
          </w:p>
        </w:tc>
      </w:tr>
      <w:tr w:rsidR="009E4073" w:rsidRPr="00283490" w:rsidTr="003502D5">
        <w:trPr>
          <w:trHeight w:val="482"/>
        </w:trPr>
        <w:tc>
          <w:tcPr>
            <w:tcW w:w="279"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4</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06</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Hacienda y Crédito Público</w:t>
            </w:r>
          </w:p>
        </w:tc>
        <w:tc>
          <w:tcPr>
            <w:tcW w:w="850"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F035</w:t>
            </w:r>
          </w:p>
        </w:tc>
        <w:tc>
          <w:tcPr>
            <w:tcW w:w="142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Programa de Inclusión Financiera</w:t>
            </w:r>
          </w:p>
        </w:tc>
        <w:tc>
          <w:tcPr>
            <w:tcW w:w="992" w:type="dxa"/>
            <w:tcBorders>
              <w:top w:val="single" w:sz="4" w:space="0" w:color="auto"/>
              <w:bottom w:val="single" w:sz="4" w:space="0" w:color="auto"/>
            </w:tcBorders>
            <w:shd w:val="clear" w:color="auto" w:fill="F2F2F2"/>
            <w:vAlign w:val="center"/>
            <w:hideMark/>
          </w:tcPr>
          <w:p w:rsidR="00283490" w:rsidRPr="00283490" w:rsidRDefault="00C52337"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Consistencia y Resultados</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SHCP</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2018</w:t>
            </w:r>
          </w:p>
        </w:tc>
        <w:tc>
          <w:tcPr>
            <w:tcW w:w="99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eastAsia="es-MX"/>
              </w:rPr>
              <w:t>Evaluare, Expertos en Políticas Públicas S.A. de C.V.</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     300,000.00</w:t>
            </w:r>
          </w:p>
        </w:tc>
        <w:tc>
          <w:tcPr>
            <w:tcW w:w="1031"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0"/>
                <w:szCs w:val="10"/>
                <w:lang w:val="es-MX" w:eastAsia="es-MX"/>
              </w:rPr>
            </w:pPr>
            <w:r w:rsidRPr="00283490">
              <w:rPr>
                <w:rFonts w:ascii="Montserrat" w:eastAsia="Times New Roman" w:hAnsi="Montserrat" w:cs="Calibri"/>
                <w:color w:val="000000"/>
                <w:sz w:val="10"/>
                <w:szCs w:val="10"/>
                <w:lang w:val="es-MX" w:eastAsia="es-MX"/>
              </w:rPr>
              <w:t>www.transparenciapresupuestaria.gob.mx/work/models/PTP/programas/sed/evaluaciones/2018/06f035phcr18.rar</w:t>
            </w:r>
          </w:p>
        </w:tc>
      </w:tr>
      <w:tr w:rsidR="009E4073" w:rsidRPr="00283490" w:rsidTr="003502D5">
        <w:trPr>
          <w:trHeight w:val="482"/>
        </w:trPr>
        <w:tc>
          <w:tcPr>
            <w:tcW w:w="279"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5</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06</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Hacienda y Crédito Público</w:t>
            </w:r>
          </w:p>
        </w:tc>
        <w:tc>
          <w:tcPr>
            <w:tcW w:w="850"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F036</w:t>
            </w:r>
          </w:p>
        </w:tc>
        <w:tc>
          <w:tcPr>
            <w:tcW w:w="142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Fomento y promoción para el desarrollo de Zonas Económicas Especiales</w:t>
            </w:r>
          </w:p>
        </w:tc>
        <w:tc>
          <w:tcPr>
            <w:tcW w:w="992" w:type="dxa"/>
            <w:tcBorders>
              <w:top w:val="single" w:sz="4" w:space="0" w:color="auto"/>
              <w:bottom w:val="single" w:sz="4" w:space="0" w:color="auto"/>
            </w:tcBorders>
            <w:shd w:val="clear" w:color="auto" w:fill="F2F2F2"/>
            <w:vAlign w:val="center"/>
            <w:hideMark/>
          </w:tcPr>
          <w:p w:rsidR="00283490" w:rsidRPr="00283490" w:rsidRDefault="00C52337" w:rsidP="003502D5">
            <w:pPr>
              <w:spacing w:after="0"/>
              <w:jc w:val="center"/>
              <w:rPr>
                <w:rFonts w:ascii="Montserrat" w:eastAsia="Times New Roman" w:hAnsi="Montserrat" w:cs="Calibri"/>
                <w:color w:val="000000"/>
                <w:sz w:val="12"/>
                <w:szCs w:val="12"/>
                <w:lang w:val="es-MX" w:eastAsia="es-MX"/>
              </w:rPr>
            </w:pPr>
            <w:r>
              <w:rPr>
                <w:rFonts w:ascii="Montserrat" w:eastAsia="Times New Roman" w:hAnsi="Montserrat" w:cs="Calibri"/>
                <w:color w:val="000000"/>
                <w:sz w:val="12"/>
                <w:szCs w:val="12"/>
                <w:lang w:val="es-MX" w:eastAsia="es-MX"/>
              </w:rPr>
              <w:t>Diseño</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SHCP</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2018</w:t>
            </w:r>
          </w:p>
        </w:tc>
        <w:tc>
          <w:tcPr>
            <w:tcW w:w="99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eastAsia="es-MX"/>
              </w:rPr>
              <w:t>Evaluación Socioeconómica de Programas y Proyectos S.C.</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     345,680.00</w:t>
            </w:r>
          </w:p>
        </w:tc>
        <w:tc>
          <w:tcPr>
            <w:tcW w:w="1031"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0"/>
                <w:szCs w:val="10"/>
                <w:lang w:val="es-MX" w:eastAsia="es-MX"/>
              </w:rPr>
            </w:pPr>
            <w:r w:rsidRPr="00283490">
              <w:rPr>
                <w:rFonts w:ascii="Montserrat" w:eastAsia="Times New Roman" w:hAnsi="Montserrat" w:cs="Calibri"/>
                <w:color w:val="000000"/>
                <w:sz w:val="10"/>
                <w:szCs w:val="10"/>
                <w:lang w:val="es-MX" w:eastAsia="es-MX"/>
              </w:rPr>
              <w:t>www.transparenciapresupuestaria.gob.mx/work/models/PTP/programas/sed/evaluaciones/2018/06f036phdi18.rar</w:t>
            </w:r>
          </w:p>
        </w:tc>
      </w:tr>
      <w:tr w:rsidR="009E4073" w:rsidRPr="00283490" w:rsidTr="003502D5">
        <w:trPr>
          <w:trHeight w:val="482"/>
        </w:trPr>
        <w:tc>
          <w:tcPr>
            <w:tcW w:w="279" w:type="dxa"/>
            <w:tcBorders>
              <w:top w:val="single" w:sz="4" w:space="0" w:color="auto"/>
              <w:bottom w:val="nil"/>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6</w:t>
            </w:r>
          </w:p>
        </w:tc>
        <w:tc>
          <w:tcPr>
            <w:tcW w:w="567" w:type="dxa"/>
            <w:tcBorders>
              <w:top w:val="single" w:sz="4" w:space="0" w:color="auto"/>
              <w:bottom w:val="nil"/>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06</w:t>
            </w:r>
          </w:p>
        </w:tc>
        <w:tc>
          <w:tcPr>
            <w:tcW w:w="1134" w:type="dxa"/>
            <w:tcBorders>
              <w:top w:val="single" w:sz="4" w:space="0" w:color="auto"/>
              <w:bottom w:val="nil"/>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Hacienda y Crédito Público</w:t>
            </w:r>
          </w:p>
        </w:tc>
        <w:tc>
          <w:tcPr>
            <w:tcW w:w="850" w:type="dxa"/>
            <w:tcBorders>
              <w:top w:val="single" w:sz="4" w:space="0" w:color="auto"/>
              <w:bottom w:val="nil"/>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P005</w:t>
            </w:r>
          </w:p>
        </w:tc>
        <w:tc>
          <w:tcPr>
            <w:tcW w:w="1423" w:type="dxa"/>
            <w:tcBorders>
              <w:top w:val="single" w:sz="4" w:space="0" w:color="auto"/>
              <w:bottom w:val="nil"/>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Diseño y aplicación de la política pública para el desarrollo de Zonas Económicas Especiales</w:t>
            </w:r>
          </w:p>
        </w:tc>
        <w:tc>
          <w:tcPr>
            <w:tcW w:w="992" w:type="dxa"/>
            <w:tcBorders>
              <w:top w:val="single" w:sz="4" w:space="0" w:color="auto"/>
              <w:bottom w:val="nil"/>
            </w:tcBorders>
            <w:shd w:val="clear" w:color="auto" w:fill="F2F2F2"/>
            <w:vAlign w:val="center"/>
            <w:hideMark/>
          </w:tcPr>
          <w:p w:rsidR="00283490" w:rsidRPr="00283490" w:rsidRDefault="00C94B29" w:rsidP="003502D5">
            <w:pPr>
              <w:spacing w:after="0"/>
              <w:jc w:val="center"/>
              <w:rPr>
                <w:rFonts w:ascii="Montserrat" w:eastAsia="Times New Roman" w:hAnsi="Montserrat" w:cs="Calibri"/>
                <w:color w:val="000000"/>
                <w:sz w:val="12"/>
                <w:szCs w:val="12"/>
                <w:lang w:val="es-MX" w:eastAsia="es-MX"/>
              </w:rPr>
            </w:pPr>
            <w:r>
              <w:rPr>
                <w:rFonts w:ascii="Montserrat" w:eastAsia="Times New Roman" w:hAnsi="Montserrat" w:cs="Calibri"/>
                <w:color w:val="000000"/>
                <w:sz w:val="12"/>
                <w:szCs w:val="12"/>
                <w:lang w:val="es-MX" w:eastAsia="es-MX"/>
              </w:rPr>
              <w:t>Diseño</w:t>
            </w:r>
          </w:p>
        </w:tc>
        <w:tc>
          <w:tcPr>
            <w:tcW w:w="992" w:type="dxa"/>
            <w:tcBorders>
              <w:top w:val="single" w:sz="4" w:space="0" w:color="auto"/>
              <w:bottom w:val="nil"/>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SHCP</w:t>
            </w:r>
          </w:p>
        </w:tc>
        <w:tc>
          <w:tcPr>
            <w:tcW w:w="567" w:type="dxa"/>
            <w:tcBorders>
              <w:top w:val="single" w:sz="4" w:space="0" w:color="auto"/>
              <w:bottom w:val="nil"/>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2018</w:t>
            </w:r>
          </w:p>
        </w:tc>
        <w:tc>
          <w:tcPr>
            <w:tcW w:w="993" w:type="dxa"/>
            <w:tcBorders>
              <w:top w:val="single" w:sz="4" w:space="0" w:color="auto"/>
              <w:bottom w:val="nil"/>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proofErr w:type="spellStart"/>
            <w:r w:rsidRPr="00283490">
              <w:rPr>
                <w:rFonts w:ascii="Montserrat" w:eastAsia="Times New Roman" w:hAnsi="Montserrat" w:cs="Calibri"/>
                <w:color w:val="000000"/>
                <w:sz w:val="12"/>
                <w:szCs w:val="12"/>
                <w:lang w:eastAsia="es-MX"/>
              </w:rPr>
              <w:t>Perma</w:t>
            </w:r>
            <w:proofErr w:type="spellEnd"/>
            <w:r w:rsidRPr="00283490">
              <w:rPr>
                <w:rFonts w:ascii="Montserrat" w:eastAsia="Times New Roman" w:hAnsi="Montserrat" w:cs="Calibri"/>
                <w:color w:val="000000"/>
                <w:sz w:val="12"/>
                <w:szCs w:val="12"/>
                <w:lang w:eastAsia="es-MX"/>
              </w:rPr>
              <w:t xml:space="preserve"> Consultores, S.C.</w:t>
            </w:r>
          </w:p>
        </w:tc>
        <w:tc>
          <w:tcPr>
            <w:tcW w:w="1134" w:type="dxa"/>
            <w:tcBorders>
              <w:top w:val="single" w:sz="4" w:space="0" w:color="auto"/>
              <w:bottom w:val="nil"/>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     342,200.00</w:t>
            </w:r>
          </w:p>
        </w:tc>
        <w:tc>
          <w:tcPr>
            <w:tcW w:w="1031" w:type="dxa"/>
            <w:tcBorders>
              <w:top w:val="single" w:sz="4" w:space="0" w:color="auto"/>
              <w:bottom w:val="nil"/>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0"/>
                <w:szCs w:val="10"/>
                <w:lang w:val="es-MX" w:eastAsia="es-MX"/>
              </w:rPr>
            </w:pPr>
            <w:r w:rsidRPr="00283490">
              <w:rPr>
                <w:rFonts w:ascii="Montserrat" w:eastAsia="Times New Roman" w:hAnsi="Montserrat" w:cs="Calibri"/>
                <w:color w:val="000000"/>
                <w:sz w:val="10"/>
                <w:szCs w:val="10"/>
                <w:lang w:val="es-MX" w:eastAsia="es-MX"/>
              </w:rPr>
              <w:t>www.transparenciapresupuestaria.gob.mx/work/models/PTP/programas/sed/evaluaciones/2018/06p005phdi18.rar</w:t>
            </w:r>
          </w:p>
        </w:tc>
      </w:tr>
      <w:tr w:rsidR="009E4073" w:rsidRPr="00283490" w:rsidTr="003502D5">
        <w:trPr>
          <w:trHeight w:val="482"/>
        </w:trPr>
        <w:tc>
          <w:tcPr>
            <w:tcW w:w="279" w:type="dxa"/>
            <w:tcBorders>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lastRenderedPageBreak/>
              <w:t>7</w:t>
            </w:r>
          </w:p>
        </w:tc>
        <w:tc>
          <w:tcPr>
            <w:tcW w:w="567" w:type="dxa"/>
            <w:tcBorders>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06</w:t>
            </w:r>
          </w:p>
        </w:tc>
        <w:tc>
          <w:tcPr>
            <w:tcW w:w="1134" w:type="dxa"/>
            <w:tcBorders>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Hacienda y Crédito Público</w:t>
            </w:r>
          </w:p>
        </w:tc>
        <w:tc>
          <w:tcPr>
            <w:tcW w:w="850" w:type="dxa"/>
            <w:tcBorders>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O007</w:t>
            </w:r>
          </w:p>
        </w:tc>
        <w:tc>
          <w:tcPr>
            <w:tcW w:w="1423" w:type="dxa"/>
            <w:tcBorders>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Optimización de los inmuebles federales y valuación de los bienes nacionales</w:t>
            </w:r>
          </w:p>
        </w:tc>
        <w:tc>
          <w:tcPr>
            <w:tcW w:w="992" w:type="dxa"/>
            <w:tcBorders>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Procesos</w:t>
            </w:r>
          </w:p>
        </w:tc>
        <w:tc>
          <w:tcPr>
            <w:tcW w:w="992" w:type="dxa"/>
            <w:tcBorders>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SHCP</w:t>
            </w:r>
          </w:p>
        </w:tc>
        <w:tc>
          <w:tcPr>
            <w:tcW w:w="567" w:type="dxa"/>
            <w:tcBorders>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2018</w:t>
            </w:r>
          </w:p>
        </w:tc>
        <w:tc>
          <w:tcPr>
            <w:tcW w:w="993" w:type="dxa"/>
            <w:tcBorders>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eastAsia="es-MX"/>
              </w:rPr>
              <w:t>Consultores Internacionales, S.C.</w:t>
            </w:r>
          </w:p>
        </w:tc>
        <w:tc>
          <w:tcPr>
            <w:tcW w:w="1134" w:type="dxa"/>
            <w:tcBorders>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proofErr w:type="gramStart"/>
            <w:r w:rsidRPr="00283490">
              <w:rPr>
                <w:rFonts w:ascii="Montserrat" w:eastAsia="Times New Roman" w:hAnsi="Montserrat" w:cs="Calibri"/>
                <w:color w:val="000000"/>
                <w:sz w:val="12"/>
                <w:szCs w:val="12"/>
                <w:lang w:val="es-MX" w:eastAsia="es-MX"/>
              </w:rPr>
              <w:t>$  1,392,000.00</w:t>
            </w:r>
            <w:proofErr w:type="gramEnd"/>
          </w:p>
        </w:tc>
        <w:tc>
          <w:tcPr>
            <w:tcW w:w="1031" w:type="dxa"/>
            <w:tcBorders>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0"/>
                <w:szCs w:val="10"/>
                <w:lang w:val="es-MX" w:eastAsia="es-MX"/>
              </w:rPr>
            </w:pPr>
            <w:r w:rsidRPr="00283490">
              <w:rPr>
                <w:rFonts w:ascii="Montserrat" w:eastAsia="Times New Roman" w:hAnsi="Montserrat" w:cs="Calibri"/>
                <w:color w:val="000000"/>
                <w:sz w:val="10"/>
                <w:szCs w:val="10"/>
                <w:lang w:val="es-MX" w:eastAsia="es-MX"/>
              </w:rPr>
              <w:t>www.transparenciapresupuestaria.gob.mx/work/models/PTP/programas/sed/evaluaciones/2018/06o007phpr18.rar</w:t>
            </w:r>
          </w:p>
        </w:tc>
      </w:tr>
      <w:tr w:rsidR="009E4073" w:rsidRPr="00283490" w:rsidTr="003502D5">
        <w:trPr>
          <w:trHeight w:val="482"/>
        </w:trPr>
        <w:tc>
          <w:tcPr>
            <w:tcW w:w="279"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8</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08</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Agricultura y Desarrollo Rural</w:t>
            </w:r>
          </w:p>
        </w:tc>
        <w:tc>
          <w:tcPr>
            <w:tcW w:w="850"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P001</w:t>
            </w:r>
          </w:p>
        </w:tc>
        <w:tc>
          <w:tcPr>
            <w:tcW w:w="142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Diseño y Aplicación de la Política Agropecuaria</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Procesos</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SHCP</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2018</w:t>
            </w:r>
          </w:p>
        </w:tc>
        <w:tc>
          <w:tcPr>
            <w:tcW w:w="99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eastAsia="es-MX"/>
              </w:rPr>
              <w:t>Agropecuario UPOBESA A.C</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     864,000.00</w:t>
            </w:r>
          </w:p>
        </w:tc>
        <w:tc>
          <w:tcPr>
            <w:tcW w:w="1031"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0"/>
                <w:szCs w:val="10"/>
                <w:lang w:val="es-MX" w:eastAsia="es-MX"/>
              </w:rPr>
            </w:pPr>
            <w:r w:rsidRPr="00283490">
              <w:rPr>
                <w:rFonts w:ascii="Montserrat" w:eastAsia="Times New Roman" w:hAnsi="Montserrat" w:cs="Calibri"/>
                <w:color w:val="000000"/>
                <w:sz w:val="10"/>
                <w:szCs w:val="10"/>
                <w:lang w:val="es-MX" w:eastAsia="es-MX"/>
              </w:rPr>
              <w:t>www.transparenciapresupuestaria.gob.mx/work/models/PTP/programas/sed/evaluaciones/2018/08p001phpr18.rar</w:t>
            </w:r>
          </w:p>
        </w:tc>
      </w:tr>
      <w:tr w:rsidR="009E4073" w:rsidRPr="00283490" w:rsidTr="003502D5">
        <w:trPr>
          <w:trHeight w:val="482"/>
        </w:trPr>
        <w:tc>
          <w:tcPr>
            <w:tcW w:w="279"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9</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09</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Comunicaciones y Transportes</w:t>
            </w:r>
          </w:p>
        </w:tc>
        <w:tc>
          <w:tcPr>
            <w:tcW w:w="850"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E007</w:t>
            </w:r>
          </w:p>
        </w:tc>
        <w:tc>
          <w:tcPr>
            <w:tcW w:w="142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Formación del personal de la marina mercante</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Diseño</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SHCP</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2018</w:t>
            </w:r>
          </w:p>
        </w:tc>
        <w:tc>
          <w:tcPr>
            <w:tcW w:w="99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eastAsia="es-MX"/>
              </w:rPr>
              <w:t>Consultores Internacionales, S.C.</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     330,250.00</w:t>
            </w:r>
          </w:p>
        </w:tc>
        <w:tc>
          <w:tcPr>
            <w:tcW w:w="1031"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0"/>
                <w:szCs w:val="10"/>
                <w:lang w:val="es-MX" w:eastAsia="es-MX"/>
              </w:rPr>
            </w:pPr>
            <w:r w:rsidRPr="00283490">
              <w:rPr>
                <w:rFonts w:ascii="Montserrat" w:eastAsia="Times New Roman" w:hAnsi="Montserrat" w:cs="Calibri"/>
                <w:color w:val="000000"/>
                <w:sz w:val="10"/>
                <w:szCs w:val="10"/>
                <w:lang w:val="es-MX" w:eastAsia="es-MX"/>
              </w:rPr>
              <w:t>www.transparenciapresupuestaria.gob.mx/work/models/PTP/programas/sed/evaluaciones/2018/09e007phdi18.rar</w:t>
            </w:r>
          </w:p>
        </w:tc>
      </w:tr>
      <w:tr w:rsidR="009E4073" w:rsidRPr="00283490" w:rsidTr="003502D5">
        <w:trPr>
          <w:trHeight w:val="482"/>
        </w:trPr>
        <w:tc>
          <w:tcPr>
            <w:tcW w:w="279"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10</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16</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Medio Ambiente y Recursos Naturales</w:t>
            </w:r>
          </w:p>
        </w:tc>
        <w:tc>
          <w:tcPr>
            <w:tcW w:w="850"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E001</w:t>
            </w:r>
          </w:p>
        </w:tc>
        <w:tc>
          <w:tcPr>
            <w:tcW w:w="142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Operación y mantenimiento de infraestructura hídrica</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Procesos</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SHCP</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2018</w:t>
            </w:r>
          </w:p>
        </w:tc>
        <w:tc>
          <w:tcPr>
            <w:tcW w:w="99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eastAsia="es-MX"/>
              </w:rPr>
              <w:t>GR. TR., S.C.</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     818,960.00</w:t>
            </w:r>
          </w:p>
        </w:tc>
        <w:tc>
          <w:tcPr>
            <w:tcW w:w="1031"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0"/>
                <w:szCs w:val="10"/>
                <w:lang w:val="es-MX" w:eastAsia="es-MX"/>
              </w:rPr>
            </w:pPr>
            <w:r w:rsidRPr="00283490">
              <w:rPr>
                <w:rFonts w:ascii="Montserrat" w:eastAsia="Times New Roman" w:hAnsi="Montserrat" w:cs="Calibri"/>
                <w:color w:val="000000"/>
                <w:sz w:val="10"/>
                <w:szCs w:val="10"/>
                <w:lang w:val="es-MX" w:eastAsia="es-MX"/>
              </w:rPr>
              <w:t>www.transparenciapresupuestaria.gob.mx/work/models/PTP/programas/sed/evaluaciones/2018/16e001phpr18.rar</w:t>
            </w:r>
          </w:p>
        </w:tc>
      </w:tr>
      <w:tr w:rsidR="009E4073" w:rsidRPr="00283490" w:rsidTr="003502D5">
        <w:trPr>
          <w:trHeight w:val="482"/>
        </w:trPr>
        <w:tc>
          <w:tcPr>
            <w:tcW w:w="279"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11</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17</w:t>
            </w:r>
          </w:p>
        </w:tc>
        <w:tc>
          <w:tcPr>
            <w:tcW w:w="1134" w:type="dxa"/>
            <w:tcBorders>
              <w:top w:val="single" w:sz="4" w:space="0" w:color="auto"/>
              <w:bottom w:val="single" w:sz="4" w:space="0" w:color="auto"/>
            </w:tcBorders>
            <w:shd w:val="clear" w:color="auto" w:fill="F2F2F2"/>
            <w:vAlign w:val="center"/>
            <w:hideMark/>
          </w:tcPr>
          <w:p w:rsidR="00283490" w:rsidRPr="00283490" w:rsidRDefault="009E4073"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Procuraduría</w:t>
            </w:r>
            <w:r w:rsidR="00283490" w:rsidRPr="00283490">
              <w:rPr>
                <w:rFonts w:ascii="Montserrat" w:eastAsia="Times New Roman" w:hAnsi="Montserrat" w:cs="Calibri"/>
                <w:color w:val="000000"/>
                <w:sz w:val="12"/>
                <w:szCs w:val="12"/>
                <w:lang w:val="es-MX" w:eastAsia="es-MX"/>
              </w:rPr>
              <w:t xml:space="preserve"> General de la República</w:t>
            </w:r>
          </w:p>
        </w:tc>
        <w:tc>
          <w:tcPr>
            <w:tcW w:w="850"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E002</w:t>
            </w:r>
          </w:p>
        </w:tc>
        <w:tc>
          <w:tcPr>
            <w:tcW w:w="142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Investigar y perseguir los delitos del orden federal</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Diseño</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SHCP</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2018</w:t>
            </w:r>
          </w:p>
        </w:tc>
        <w:tc>
          <w:tcPr>
            <w:tcW w:w="99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eastAsia="es-MX"/>
              </w:rPr>
              <w:t>Instituto Interamericano de Cooperación para la Agricultura (IICA)</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     261,000.00</w:t>
            </w:r>
          </w:p>
        </w:tc>
        <w:tc>
          <w:tcPr>
            <w:tcW w:w="1031"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0"/>
                <w:szCs w:val="10"/>
                <w:lang w:val="es-MX" w:eastAsia="es-MX"/>
              </w:rPr>
            </w:pPr>
            <w:r w:rsidRPr="00283490">
              <w:rPr>
                <w:rFonts w:ascii="Montserrat" w:eastAsia="Times New Roman" w:hAnsi="Montserrat" w:cs="Calibri"/>
                <w:color w:val="000000"/>
                <w:sz w:val="10"/>
                <w:szCs w:val="10"/>
                <w:lang w:val="es-MX" w:eastAsia="es-MX"/>
              </w:rPr>
              <w:t>www.transparenciapresupuestaria.gob.mx/work/models/PTP/programas/sed/evaluaciones/2018/17e002phdi18.rar</w:t>
            </w:r>
          </w:p>
        </w:tc>
      </w:tr>
      <w:tr w:rsidR="009E4073" w:rsidRPr="00283490" w:rsidTr="003502D5">
        <w:trPr>
          <w:trHeight w:val="482"/>
        </w:trPr>
        <w:tc>
          <w:tcPr>
            <w:tcW w:w="279"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12</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17</w:t>
            </w:r>
          </w:p>
        </w:tc>
        <w:tc>
          <w:tcPr>
            <w:tcW w:w="1134" w:type="dxa"/>
            <w:tcBorders>
              <w:top w:val="single" w:sz="4" w:space="0" w:color="auto"/>
              <w:bottom w:val="single" w:sz="4" w:space="0" w:color="auto"/>
            </w:tcBorders>
            <w:shd w:val="clear" w:color="auto" w:fill="F2F2F2"/>
            <w:vAlign w:val="center"/>
            <w:hideMark/>
          </w:tcPr>
          <w:p w:rsidR="00283490" w:rsidRPr="00283490" w:rsidRDefault="009E4073"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Procuraduría</w:t>
            </w:r>
            <w:r w:rsidR="00283490" w:rsidRPr="00283490">
              <w:rPr>
                <w:rFonts w:ascii="Montserrat" w:eastAsia="Times New Roman" w:hAnsi="Montserrat" w:cs="Calibri"/>
                <w:color w:val="000000"/>
                <w:sz w:val="12"/>
                <w:szCs w:val="12"/>
                <w:lang w:val="es-MX" w:eastAsia="es-MX"/>
              </w:rPr>
              <w:t xml:space="preserve"> General de la República</w:t>
            </w:r>
          </w:p>
        </w:tc>
        <w:tc>
          <w:tcPr>
            <w:tcW w:w="850"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E012</w:t>
            </w:r>
          </w:p>
        </w:tc>
        <w:tc>
          <w:tcPr>
            <w:tcW w:w="142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Supervisar y vigilar la aplicación del marco legal en la investigación y persecución del delito del orden federal</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Diseño</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SHCP</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2018</w:t>
            </w:r>
          </w:p>
        </w:tc>
        <w:tc>
          <w:tcPr>
            <w:tcW w:w="99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eastAsia="es-MX"/>
              </w:rPr>
              <w:t>Servicios Profesionales para el Desarrollo Económico, S.C.</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     242,440.00</w:t>
            </w:r>
          </w:p>
        </w:tc>
        <w:tc>
          <w:tcPr>
            <w:tcW w:w="1031"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0"/>
                <w:szCs w:val="10"/>
                <w:lang w:val="es-MX" w:eastAsia="es-MX"/>
              </w:rPr>
            </w:pPr>
            <w:r w:rsidRPr="00283490">
              <w:rPr>
                <w:rFonts w:ascii="Montserrat" w:eastAsia="Times New Roman" w:hAnsi="Montserrat" w:cs="Calibri"/>
                <w:color w:val="000000"/>
                <w:sz w:val="10"/>
                <w:szCs w:val="10"/>
                <w:lang w:val="es-MX" w:eastAsia="es-MX"/>
              </w:rPr>
              <w:t>www.transparenciapresupuestaria.gob.mx/work/models/PTP/programas/sed/evaluaciones/2018/17e012phdi18.rar</w:t>
            </w:r>
          </w:p>
        </w:tc>
      </w:tr>
      <w:tr w:rsidR="009E4073" w:rsidRPr="00283490" w:rsidTr="00CA676E">
        <w:trPr>
          <w:trHeight w:val="482"/>
        </w:trPr>
        <w:tc>
          <w:tcPr>
            <w:tcW w:w="279"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13</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18</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Energía</w:t>
            </w:r>
          </w:p>
        </w:tc>
        <w:tc>
          <w:tcPr>
            <w:tcW w:w="850"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E568</w:t>
            </w:r>
          </w:p>
        </w:tc>
        <w:tc>
          <w:tcPr>
            <w:tcW w:w="142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Dirección, coordinación y control de la operación del Sistema Eléctrico Nacional</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Diseño</w:t>
            </w:r>
          </w:p>
        </w:tc>
        <w:tc>
          <w:tcPr>
            <w:tcW w:w="992"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SHCP</w:t>
            </w:r>
          </w:p>
        </w:tc>
        <w:tc>
          <w:tcPr>
            <w:tcW w:w="567"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2018</w:t>
            </w:r>
          </w:p>
        </w:tc>
        <w:tc>
          <w:tcPr>
            <w:tcW w:w="993"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n-US" w:eastAsia="es-MX"/>
              </w:rPr>
            </w:pPr>
            <w:proofErr w:type="spellStart"/>
            <w:r w:rsidRPr="00283490">
              <w:rPr>
                <w:rFonts w:ascii="Montserrat" w:eastAsia="Times New Roman" w:hAnsi="Montserrat" w:cs="Calibri"/>
                <w:color w:val="000000"/>
                <w:sz w:val="12"/>
                <w:szCs w:val="12"/>
                <w:lang w:val="en-US" w:eastAsia="es-MX"/>
              </w:rPr>
              <w:t>Althria</w:t>
            </w:r>
            <w:proofErr w:type="spellEnd"/>
            <w:r w:rsidRPr="00283490">
              <w:rPr>
                <w:rFonts w:ascii="Montserrat" w:eastAsia="Times New Roman" w:hAnsi="Montserrat" w:cs="Calibri"/>
                <w:color w:val="000000"/>
                <w:sz w:val="12"/>
                <w:szCs w:val="12"/>
                <w:lang w:val="en-US" w:eastAsia="es-MX"/>
              </w:rPr>
              <w:t xml:space="preserve"> Consulting Group S.A. de C.V.</w:t>
            </w:r>
          </w:p>
        </w:tc>
        <w:tc>
          <w:tcPr>
            <w:tcW w:w="1134"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     638,000.00</w:t>
            </w:r>
          </w:p>
        </w:tc>
        <w:tc>
          <w:tcPr>
            <w:tcW w:w="1031" w:type="dxa"/>
            <w:tcBorders>
              <w:top w:val="single" w:sz="4" w:space="0" w:color="auto"/>
              <w:bottom w:val="single" w:sz="4" w:space="0" w:color="auto"/>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0"/>
                <w:szCs w:val="10"/>
                <w:lang w:val="es-MX" w:eastAsia="es-MX"/>
              </w:rPr>
            </w:pPr>
            <w:r w:rsidRPr="00283490">
              <w:rPr>
                <w:rFonts w:ascii="Montserrat" w:eastAsia="Times New Roman" w:hAnsi="Montserrat" w:cs="Calibri"/>
                <w:color w:val="000000"/>
                <w:sz w:val="10"/>
                <w:szCs w:val="10"/>
                <w:lang w:val="es-MX" w:eastAsia="es-MX"/>
              </w:rPr>
              <w:t>www.transparenciapresupuestaria.gob.mx/work/models/PTP/programas/sed/evaluaciones/2018/18e568phdi18.rar</w:t>
            </w:r>
          </w:p>
        </w:tc>
      </w:tr>
      <w:tr w:rsidR="00EA09D0" w:rsidRPr="00283490" w:rsidTr="00CA676E">
        <w:trPr>
          <w:trHeight w:val="482"/>
        </w:trPr>
        <w:tc>
          <w:tcPr>
            <w:tcW w:w="279" w:type="dxa"/>
            <w:tcBorders>
              <w:top w:val="single" w:sz="4" w:space="0" w:color="auto"/>
              <w:bottom w:val="single" w:sz="12" w:space="0" w:color="808080" w:themeColor="background1" w:themeShade="80"/>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14</w:t>
            </w:r>
          </w:p>
        </w:tc>
        <w:tc>
          <w:tcPr>
            <w:tcW w:w="567" w:type="dxa"/>
            <w:tcBorders>
              <w:top w:val="single" w:sz="4" w:space="0" w:color="auto"/>
              <w:bottom w:val="single" w:sz="12" w:space="0" w:color="808080" w:themeColor="background1" w:themeShade="80"/>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27</w:t>
            </w:r>
          </w:p>
        </w:tc>
        <w:tc>
          <w:tcPr>
            <w:tcW w:w="1134" w:type="dxa"/>
            <w:tcBorders>
              <w:top w:val="single" w:sz="4" w:space="0" w:color="auto"/>
              <w:bottom w:val="single" w:sz="12" w:space="0" w:color="808080" w:themeColor="background1" w:themeShade="80"/>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Función Pública</w:t>
            </w:r>
          </w:p>
        </w:tc>
        <w:tc>
          <w:tcPr>
            <w:tcW w:w="850" w:type="dxa"/>
            <w:tcBorders>
              <w:top w:val="single" w:sz="4" w:space="0" w:color="auto"/>
              <w:bottom w:val="single" w:sz="12" w:space="0" w:color="808080" w:themeColor="background1" w:themeShade="80"/>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O002</w:t>
            </w:r>
          </w:p>
        </w:tc>
        <w:tc>
          <w:tcPr>
            <w:tcW w:w="1423" w:type="dxa"/>
            <w:tcBorders>
              <w:top w:val="single" w:sz="4" w:space="0" w:color="auto"/>
              <w:bottom w:val="single" w:sz="12" w:space="0" w:color="808080" w:themeColor="background1" w:themeShade="80"/>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Fiscalización a la gestión pública</w:t>
            </w:r>
          </w:p>
        </w:tc>
        <w:tc>
          <w:tcPr>
            <w:tcW w:w="992" w:type="dxa"/>
            <w:tcBorders>
              <w:top w:val="single" w:sz="4" w:space="0" w:color="auto"/>
              <w:bottom w:val="single" w:sz="12" w:space="0" w:color="808080" w:themeColor="background1" w:themeShade="80"/>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Estratégica</w:t>
            </w:r>
          </w:p>
        </w:tc>
        <w:tc>
          <w:tcPr>
            <w:tcW w:w="992" w:type="dxa"/>
            <w:tcBorders>
              <w:top w:val="single" w:sz="4" w:space="0" w:color="auto"/>
              <w:bottom w:val="single" w:sz="12" w:space="0" w:color="808080" w:themeColor="background1" w:themeShade="80"/>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SHCP</w:t>
            </w:r>
          </w:p>
        </w:tc>
        <w:tc>
          <w:tcPr>
            <w:tcW w:w="567" w:type="dxa"/>
            <w:tcBorders>
              <w:top w:val="single" w:sz="4" w:space="0" w:color="auto"/>
              <w:bottom w:val="single" w:sz="12" w:space="0" w:color="808080" w:themeColor="background1" w:themeShade="80"/>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2018</w:t>
            </w:r>
          </w:p>
        </w:tc>
        <w:tc>
          <w:tcPr>
            <w:tcW w:w="993" w:type="dxa"/>
            <w:tcBorders>
              <w:top w:val="single" w:sz="4" w:space="0" w:color="auto"/>
              <w:bottom w:val="single" w:sz="12" w:space="0" w:color="808080" w:themeColor="background1" w:themeShade="80"/>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eastAsia="es-MX"/>
              </w:rPr>
              <w:t>Servicios Profesionales para el Desarrollo Económico S.C.</w:t>
            </w:r>
          </w:p>
        </w:tc>
        <w:tc>
          <w:tcPr>
            <w:tcW w:w="1134" w:type="dxa"/>
            <w:tcBorders>
              <w:top w:val="single" w:sz="4" w:space="0" w:color="auto"/>
              <w:bottom w:val="single" w:sz="12" w:space="0" w:color="808080" w:themeColor="background1" w:themeShade="80"/>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2"/>
                <w:szCs w:val="12"/>
                <w:lang w:val="es-MX" w:eastAsia="es-MX"/>
              </w:rPr>
            </w:pPr>
            <w:r w:rsidRPr="00283490">
              <w:rPr>
                <w:rFonts w:ascii="Montserrat" w:eastAsia="Times New Roman" w:hAnsi="Montserrat" w:cs="Calibri"/>
                <w:color w:val="000000"/>
                <w:sz w:val="12"/>
                <w:szCs w:val="12"/>
                <w:lang w:val="es-MX" w:eastAsia="es-MX"/>
              </w:rPr>
              <w:t>$     418,760.00</w:t>
            </w:r>
          </w:p>
        </w:tc>
        <w:tc>
          <w:tcPr>
            <w:tcW w:w="1031" w:type="dxa"/>
            <w:tcBorders>
              <w:top w:val="single" w:sz="4" w:space="0" w:color="auto"/>
              <w:bottom w:val="single" w:sz="12" w:space="0" w:color="808080" w:themeColor="background1" w:themeShade="80"/>
            </w:tcBorders>
            <w:shd w:val="clear" w:color="auto" w:fill="F2F2F2"/>
            <w:vAlign w:val="center"/>
            <w:hideMark/>
          </w:tcPr>
          <w:p w:rsidR="00283490" w:rsidRPr="00283490" w:rsidRDefault="00283490" w:rsidP="003502D5">
            <w:pPr>
              <w:spacing w:after="0"/>
              <w:jc w:val="center"/>
              <w:rPr>
                <w:rFonts w:ascii="Montserrat" w:eastAsia="Times New Roman" w:hAnsi="Montserrat" w:cs="Calibri"/>
                <w:color w:val="000000"/>
                <w:sz w:val="10"/>
                <w:szCs w:val="10"/>
                <w:lang w:val="es-MX" w:eastAsia="es-MX"/>
              </w:rPr>
            </w:pPr>
            <w:r w:rsidRPr="00283490">
              <w:rPr>
                <w:rFonts w:ascii="Montserrat" w:eastAsia="Times New Roman" w:hAnsi="Montserrat" w:cs="Calibri"/>
                <w:color w:val="000000"/>
                <w:sz w:val="10"/>
                <w:szCs w:val="10"/>
                <w:lang w:val="es-MX" w:eastAsia="es-MX"/>
              </w:rPr>
              <w:t>www.transparenciapresupuestaria.gob.mx/work/models/PTP/programas/sed/evaluaciones/2018/27o002phet18.rar</w:t>
            </w:r>
          </w:p>
        </w:tc>
      </w:tr>
      <w:tr w:rsidR="008033B2" w:rsidRPr="00C95DD6" w:rsidTr="00CA676E">
        <w:trPr>
          <w:trHeight w:val="196"/>
        </w:trPr>
        <w:tc>
          <w:tcPr>
            <w:tcW w:w="9962" w:type="dxa"/>
            <w:gridSpan w:val="11"/>
            <w:tcBorders>
              <w:top w:val="single" w:sz="12" w:space="0" w:color="808080" w:themeColor="background1" w:themeShade="80"/>
              <w:bottom w:val="nil"/>
            </w:tcBorders>
            <w:shd w:val="clear" w:color="auto" w:fill="auto"/>
            <w:vAlign w:val="center"/>
          </w:tcPr>
          <w:p w:rsidR="008033B2" w:rsidRPr="00C95DD6" w:rsidRDefault="008033B2" w:rsidP="008033B2">
            <w:pPr>
              <w:spacing w:after="0"/>
              <w:rPr>
                <w:b/>
                <w:bCs/>
                <w:sz w:val="12"/>
                <w:szCs w:val="12"/>
              </w:rPr>
            </w:pPr>
            <w:r w:rsidRPr="00C95DD6">
              <w:rPr>
                <w:b/>
                <w:bCs/>
                <w:sz w:val="12"/>
                <w:szCs w:val="12"/>
              </w:rPr>
              <w:t>Fuente:</w:t>
            </w:r>
            <w:r w:rsidRPr="00C95DD6">
              <w:rPr>
                <w:sz w:val="12"/>
                <w:szCs w:val="12"/>
              </w:rPr>
              <w:t xml:space="preserve"> </w:t>
            </w:r>
            <w:r w:rsidR="000919D1" w:rsidRPr="005653B3">
              <w:rPr>
                <w:sz w:val="12"/>
                <w:szCs w:val="12"/>
              </w:rPr>
              <w:t xml:space="preserve"> Unidad de Evaluación del Desempeño</w:t>
            </w:r>
            <w:r w:rsidR="000919D1" w:rsidRPr="00E5536F">
              <w:rPr>
                <w:sz w:val="12"/>
                <w:szCs w:val="12"/>
              </w:rPr>
              <w:t xml:space="preserve"> </w:t>
            </w:r>
            <w:r w:rsidRPr="00C95DD6">
              <w:rPr>
                <w:sz w:val="12"/>
                <w:szCs w:val="12"/>
              </w:rPr>
              <w:t xml:space="preserve"> con información proporcionada por las dependencias y entidades de la Administración Pública Federal.</w:t>
            </w:r>
          </w:p>
        </w:tc>
      </w:tr>
    </w:tbl>
    <w:p w:rsidR="00283490" w:rsidRPr="00C95DD6" w:rsidRDefault="00283490" w:rsidP="006E1A43">
      <w:pPr>
        <w:pStyle w:val="Cdetexto"/>
        <w:rPr>
          <w:sz w:val="12"/>
          <w:szCs w:val="12"/>
          <w:lang w:val="es-MX"/>
        </w:rPr>
      </w:pPr>
    </w:p>
    <w:tbl>
      <w:tblPr>
        <w:tblW w:w="9972" w:type="dxa"/>
        <w:jc w:val="center"/>
        <w:tblCellMar>
          <w:left w:w="70" w:type="dxa"/>
          <w:right w:w="70" w:type="dxa"/>
        </w:tblCellMar>
        <w:tblLook w:val="04A0" w:firstRow="1" w:lastRow="0" w:firstColumn="1" w:lastColumn="0" w:noHBand="0" w:noVBand="1"/>
      </w:tblPr>
      <w:tblGrid>
        <w:gridCol w:w="2506"/>
        <w:gridCol w:w="1194"/>
        <w:gridCol w:w="1494"/>
        <w:gridCol w:w="1195"/>
        <w:gridCol w:w="1196"/>
        <w:gridCol w:w="1197"/>
        <w:gridCol w:w="1190"/>
      </w:tblGrid>
      <w:tr w:rsidR="009A6912" w:rsidRPr="00741C2B" w:rsidTr="005D5CC8">
        <w:trPr>
          <w:trHeight w:val="300"/>
          <w:jc w:val="center"/>
        </w:trPr>
        <w:tc>
          <w:tcPr>
            <w:tcW w:w="9972" w:type="dxa"/>
            <w:gridSpan w:val="7"/>
            <w:tcBorders>
              <w:top w:val="nil"/>
              <w:left w:val="nil"/>
              <w:bottom w:val="single" w:sz="12" w:space="0" w:color="808080" w:themeColor="background1" w:themeShade="80"/>
              <w:right w:val="nil"/>
            </w:tcBorders>
            <w:shd w:val="clear" w:color="auto" w:fill="auto"/>
            <w:vAlign w:val="bottom"/>
            <w:hideMark/>
          </w:tcPr>
          <w:p w:rsidR="009A6912" w:rsidRPr="00741C2B" w:rsidRDefault="00741C2B" w:rsidP="001314EA">
            <w:pPr>
              <w:spacing w:before="20" w:after="20"/>
              <w:rPr>
                <w:rFonts w:ascii="Montserrat" w:hAnsi="Montserrat"/>
                <w:b/>
                <w:bCs/>
                <w:sz w:val="18"/>
                <w:szCs w:val="18"/>
                <w:lang w:val="es-MX" w:eastAsia="es-MX"/>
              </w:rPr>
            </w:pPr>
            <w:bookmarkStart w:id="4" w:name="_Toc479599265"/>
            <w:bookmarkStart w:id="5" w:name="_Toc480972640"/>
            <w:bookmarkStart w:id="6" w:name="_Toc495604035"/>
            <w:r>
              <w:rPr>
                <w:rFonts w:ascii="Montserrat" w:hAnsi="Montserrat"/>
                <w:b/>
                <w:bCs/>
                <w:sz w:val="18"/>
                <w:szCs w:val="18"/>
                <w:lang w:val="es-MX" w:eastAsia="es-MX"/>
              </w:rPr>
              <w:t>Tabla 2</w:t>
            </w:r>
            <w:r w:rsidR="009A6912" w:rsidRPr="00741C2B">
              <w:rPr>
                <w:rFonts w:ascii="Montserrat" w:hAnsi="Montserrat"/>
                <w:b/>
                <w:bCs/>
                <w:sz w:val="18"/>
                <w:szCs w:val="18"/>
                <w:lang w:val="es-MX" w:eastAsia="es-MX"/>
              </w:rPr>
              <w:t xml:space="preserve">. Número de evaluaciones </w:t>
            </w:r>
            <w:r w:rsidR="001314EA">
              <w:rPr>
                <w:rFonts w:ascii="Montserrat" w:eastAsia="Times New Roman" w:hAnsi="Montserrat" w:cs="Calibri"/>
                <w:b/>
                <w:color w:val="000000"/>
                <w:sz w:val="18"/>
                <w:szCs w:val="18"/>
                <w:lang w:val="es-MX" w:eastAsia="es-MX"/>
              </w:rPr>
              <w:t xml:space="preserve">a </w:t>
            </w:r>
            <w:proofErr w:type="spellStart"/>
            <w:r w:rsidR="001314EA">
              <w:rPr>
                <w:rFonts w:ascii="Montserrat" w:eastAsia="Times New Roman" w:hAnsi="Montserrat" w:cs="Calibri"/>
                <w:b/>
                <w:color w:val="000000"/>
                <w:sz w:val="18"/>
                <w:szCs w:val="18"/>
                <w:lang w:val="es-MX" w:eastAsia="es-MX"/>
              </w:rPr>
              <w:t>Pp</w:t>
            </w:r>
            <w:proofErr w:type="spellEnd"/>
            <w:r w:rsidR="001314EA" w:rsidRPr="00283490">
              <w:rPr>
                <w:rFonts w:ascii="Montserrat" w:eastAsia="Times New Roman" w:hAnsi="Montserrat" w:cs="Calibri"/>
                <w:b/>
                <w:color w:val="000000"/>
                <w:sz w:val="18"/>
                <w:szCs w:val="18"/>
                <w:lang w:val="es-MX" w:eastAsia="es-MX"/>
              </w:rPr>
              <w:t xml:space="preserve"> </w:t>
            </w:r>
            <w:r w:rsidR="001314EA">
              <w:rPr>
                <w:rFonts w:ascii="Montserrat" w:eastAsia="Times New Roman" w:hAnsi="Montserrat" w:cs="Calibri"/>
                <w:b/>
                <w:color w:val="000000"/>
                <w:sz w:val="18"/>
                <w:szCs w:val="18"/>
                <w:lang w:val="es-MX" w:eastAsia="es-MX"/>
              </w:rPr>
              <w:t>entregadas a la UED</w:t>
            </w:r>
            <w:r w:rsidR="001314EA" w:rsidRPr="00283490">
              <w:rPr>
                <w:rFonts w:ascii="Montserrat" w:eastAsia="Times New Roman" w:hAnsi="Montserrat" w:cs="Calibri"/>
                <w:b/>
                <w:color w:val="000000"/>
                <w:sz w:val="18"/>
                <w:szCs w:val="18"/>
                <w:lang w:val="es-MX" w:eastAsia="es-MX"/>
              </w:rPr>
              <w:t xml:space="preserve"> </w:t>
            </w:r>
            <w:r w:rsidR="009A6912" w:rsidRPr="00741C2B">
              <w:rPr>
                <w:rFonts w:ascii="Montserrat" w:hAnsi="Montserrat"/>
                <w:b/>
                <w:bCs/>
                <w:sz w:val="18"/>
                <w:szCs w:val="18"/>
                <w:lang w:val="es-MX" w:eastAsia="es-MX"/>
              </w:rPr>
              <w:t>en el</w:t>
            </w:r>
            <w:r w:rsidR="00EA09D0">
              <w:rPr>
                <w:rFonts w:ascii="Montserrat" w:hAnsi="Montserrat"/>
                <w:b/>
                <w:bCs/>
                <w:sz w:val="18"/>
                <w:szCs w:val="18"/>
                <w:lang w:val="es-MX" w:eastAsia="es-MX"/>
              </w:rPr>
              <w:t xml:space="preserve"> primer</w:t>
            </w:r>
            <w:r w:rsidR="009A6912" w:rsidRPr="00741C2B">
              <w:rPr>
                <w:rFonts w:ascii="Montserrat" w:hAnsi="Montserrat"/>
                <w:b/>
                <w:bCs/>
                <w:sz w:val="18"/>
                <w:szCs w:val="18"/>
                <w:lang w:val="es-MX" w:eastAsia="es-MX"/>
              </w:rPr>
              <w:t xml:space="preserve"> trimestre </w:t>
            </w:r>
            <w:r w:rsidR="001314EA">
              <w:rPr>
                <w:rFonts w:ascii="Montserrat" w:hAnsi="Montserrat"/>
                <w:b/>
                <w:bCs/>
                <w:sz w:val="18"/>
                <w:szCs w:val="18"/>
                <w:lang w:val="es-MX" w:eastAsia="es-MX"/>
              </w:rPr>
              <w:t xml:space="preserve">de 2019, </w:t>
            </w:r>
            <w:r w:rsidR="009A6912" w:rsidRPr="00741C2B">
              <w:rPr>
                <w:rFonts w:ascii="Montserrat" w:hAnsi="Montserrat"/>
                <w:b/>
                <w:bCs/>
                <w:sz w:val="18"/>
                <w:szCs w:val="18"/>
                <w:lang w:val="es-MX" w:eastAsia="es-MX"/>
              </w:rPr>
              <w:t>por ramo y por tipo</w:t>
            </w:r>
            <w:r w:rsidR="001314EA">
              <w:rPr>
                <w:rFonts w:ascii="Montserrat" w:hAnsi="Montserrat"/>
                <w:b/>
                <w:bCs/>
                <w:sz w:val="18"/>
                <w:szCs w:val="18"/>
                <w:lang w:val="es-MX" w:eastAsia="es-MX"/>
              </w:rPr>
              <w:t xml:space="preserve"> de evaluación.</w:t>
            </w:r>
          </w:p>
        </w:tc>
      </w:tr>
      <w:tr w:rsidR="005D5CC8" w:rsidRPr="005D5CC8" w:rsidTr="00540B4D">
        <w:trPr>
          <w:trHeight w:hRule="exact" w:val="57"/>
          <w:jc w:val="center"/>
        </w:trPr>
        <w:tc>
          <w:tcPr>
            <w:tcW w:w="9972" w:type="dxa"/>
            <w:gridSpan w:val="7"/>
            <w:tcBorders>
              <w:top w:val="single" w:sz="12" w:space="0" w:color="808080" w:themeColor="background1" w:themeShade="80"/>
              <w:left w:val="nil"/>
              <w:bottom w:val="nil"/>
              <w:right w:val="nil"/>
            </w:tcBorders>
            <w:shd w:val="clear" w:color="auto" w:fill="auto"/>
            <w:vAlign w:val="bottom"/>
          </w:tcPr>
          <w:p w:rsidR="005D5CC8" w:rsidRPr="005D5CC8" w:rsidRDefault="005D5CC8" w:rsidP="00EA09D0">
            <w:pPr>
              <w:spacing w:before="20" w:after="20"/>
              <w:rPr>
                <w:rFonts w:ascii="Montserrat" w:hAnsi="Montserrat"/>
                <w:b/>
                <w:bCs/>
                <w:sz w:val="6"/>
                <w:szCs w:val="6"/>
                <w:lang w:val="es-MX" w:eastAsia="es-MX"/>
              </w:rPr>
            </w:pPr>
          </w:p>
        </w:tc>
      </w:tr>
      <w:tr w:rsidR="00E73618" w:rsidRPr="00741C2B" w:rsidTr="005D5CC8">
        <w:trPr>
          <w:trHeight w:val="80"/>
          <w:jc w:val="center"/>
        </w:trPr>
        <w:tc>
          <w:tcPr>
            <w:tcW w:w="2506" w:type="dxa"/>
            <w:vMerge w:val="restart"/>
            <w:tcBorders>
              <w:top w:val="nil"/>
              <w:left w:val="nil"/>
              <w:bottom w:val="nil"/>
              <w:right w:val="nil"/>
            </w:tcBorders>
            <w:shd w:val="clear" w:color="auto" w:fill="D4C19C"/>
            <w:vAlign w:val="center"/>
            <w:hideMark/>
          </w:tcPr>
          <w:p w:rsidR="00E73618" w:rsidRPr="00EA09D0" w:rsidRDefault="00E73618" w:rsidP="00025652">
            <w:pPr>
              <w:spacing w:before="20" w:after="20"/>
              <w:jc w:val="center"/>
              <w:rPr>
                <w:rFonts w:ascii="Montserrat" w:hAnsi="Montserrat"/>
                <w:b/>
                <w:bCs/>
                <w:color w:val="FFFFFF"/>
                <w:sz w:val="12"/>
                <w:szCs w:val="12"/>
                <w:lang w:val="es-MX" w:eastAsia="es-MX"/>
              </w:rPr>
            </w:pPr>
            <w:r w:rsidRPr="00EA09D0">
              <w:rPr>
                <w:rFonts w:ascii="Montserrat" w:hAnsi="Montserrat"/>
                <w:b/>
                <w:bCs/>
                <w:color w:val="FFFFFF"/>
                <w:sz w:val="12"/>
                <w:szCs w:val="12"/>
                <w:lang w:val="es-MX" w:eastAsia="es-MX"/>
              </w:rPr>
              <w:t>Ramo</w:t>
            </w:r>
          </w:p>
        </w:tc>
        <w:tc>
          <w:tcPr>
            <w:tcW w:w="6276" w:type="dxa"/>
            <w:gridSpan w:val="5"/>
            <w:tcBorders>
              <w:top w:val="nil"/>
              <w:left w:val="nil"/>
              <w:bottom w:val="single" w:sz="4" w:space="0" w:color="FFFFFF" w:themeColor="background1"/>
              <w:right w:val="nil"/>
            </w:tcBorders>
            <w:shd w:val="clear" w:color="auto" w:fill="D4C19C"/>
            <w:vAlign w:val="center"/>
            <w:hideMark/>
          </w:tcPr>
          <w:p w:rsidR="00E73618" w:rsidRPr="00EA09D0" w:rsidRDefault="00E73618" w:rsidP="00025652">
            <w:pPr>
              <w:spacing w:before="20" w:after="20"/>
              <w:jc w:val="center"/>
              <w:rPr>
                <w:rFonts w:ascii="Montserrat" w:hAnsi="Montserrat"/>
                <w:b/>
                <w:bCs/>
                <w:color w:val="FFFFFF"/>
                <w:sz w:val="12"/>
                <w:szCs w:val="12"/>
                <w:lang w:val="es-MX" w:eastAsia="es-MX"/>
              </w:rPr>
            </w:pPr>
            <w:r w:rsidRPr="00EA09D0">
              <w:rPr>
                <w:rFonts w:ascii="Montserrat" w:hAnsi="Montserrat"/>
                <w:b/>
                <w:bCs/>
                <w:color w:val="FFFFFF"/>
                <w:sz w:val="12"/>
                <w:szCs w:val="12"/>
                <w:lang w:val="es-MX" w:eastAsia="es-MX"/>
              </w:rPr>
              <w:t>Tipo de evaluación</w:t>
            </w:r>
          </w:p>
        </w:tc>
        <w:tc>
          <w:tcPr>
            <w:tcW w:w="1190" w:type="dxa"/>
            <w:vMerge w:val="restart"/>
            <w:tcBorders>
              <w:top w:val="nil"/>
              <w:left w:val="nil"/>
              <w:right w:val="nil"/>
            </w:tcBorders>
            <w:shd w:val="clear" w:color="auto" w:fill="D4C19C"/>
            <w:vAlign w:val="center"/>
          </w:tcPr>
          <w:p w:rsidR="00E73618" w:rsidRPr="00EA09D0" w:rsidRDefault="00E73618" w:rsidP="00E73618">
            <w:pPr>
              <w:spacing w:before="20" w:after="20"/>
              <w:jc w:val="center"/>
              <w:rPr>
                <w:rFonts w:ascii="Montserrat" w:hAnsi="Montserrat"/>
                <w:b/>
                <w:bCs/>
                <w:color w:val="FFFFFF"/>
                <w:sz w:val="12"/>
                <w:szCs w:val="12"/>
                <w:lang w:val="es-MX" w:eastAsia="es-MX"/>
              </w:rPr>
            </w:pPr>
            <w:r w:rsidRPr="00EA09D0">
              <w:rPr>
                <w:rFonts w:ascii="Montserrat" w:hAnsi="Montserrat"/>
                <w:b/>
                <w:bCs/>
                <w:color w:val="FFFFFF"/>
                <w:sz w:val="12"/>
                <w:szCs w:val="12"/>
                <w:lang w:val="es-MX" w:eastAsia="es-MX"/>
              </w:rPr>
              <w:t>Total</w:t>
            </w:r>
          </w:p>
        </w:tc>
      </w:tr>
      <w:tr w:rsidR="00E73618" w:rsidRPr="00741C2B" w:rsidTr="00EA09D0">
        <w:trPr>
          <w:trHeight w:val="365"/>
          <w:jc w:val="center"/>
        </w:trPr>
        <w:tc>
          <w:tcPr>
            <w:tcW w:w="2506" w:type="dxa"/>
            <w:vMerge/>
            <w:tcBorders>
              <w:top w:val="single" w:sz="4" w:space="0" w:color="FFFFFF" w:themeColor="background1"/>
              <w:left w:val="nil"/>
              <w:bottom w:val="nil"/>
              <w:right w:val="nil"/>
            </w:tcBorders>
            <w:shd w:val="clear" w:color="auto" w:fill="D4C19C"/>
            <w:vAlign w:val="center"/>
            <w:hideMark/>
          </w:tcPr>
          <w:p w:rsidR="00E73618" w:rsidRPr="00EA09D0" w:rsidRDefault="00E73618" w:rsidP="00025652">
            <w:pPr>
              <w:spacing w:before="20" w:after="20"/>
              <w:jc w:val="center"/>
              <w:rPr>
                <w:rFonts w:ascii="Montserrat" w:hAnsi="Montserrat"/>
                <w:b/>
                <w:bCs/>
                <w:color w:val="FFFFFF"/>
                <w:sz w:val="12"/>
                <w:szCs w:val="12"/>
                <w:lang w:val="es-MX" w:eastAsia="es-MX"/>
              </w:rPr>
            </w:pPr>
          </w:p>
        </w:tc>
        <w:tc>
          <w:tcPr>
            <w:tcW w:w="1194" w:type="dxa"/>
            <w:tcBorders>
              <w:top w:val="single" w:sz="4" w:space="0" w:color="FFFFFF" w:themeColor="background1"/>
              <w:left w:val="nil"/>
              <w:bottom w:val="nil"/>
              <w:right w:val="nil"/>
            </w:tcBorders>
            <w:shd w:val="clear" w:color="auto" w:fill="D4C19C"/>
            <w:vAlign w:val="center"/>
            <w:hideMark/>
          </w:tcPr>
          <w:p w:rsidR="00E73618" w:rsidRPr="00EA09D0" w:rsidRDefault="00E73618" w:rsidP="00025652">
            <w:pPr>
              <w:spacing w:before="20" w:after="20"/>
              <w:jc w:val="center"/>
              <w:rPr>
                <w:rFonts w:ascii="Montserrat" w:hAnsi="Montserrat"/>
                <w:b/>
                <w:bCs/>
                <w:color w:val="FFFFFF"/>
                <w:sz w:val="12"/>
                <w:szCs w:val="12"/>
                <w:lang w:val="es-MX" w:eastAsia="es-MX"/>
              </w:rPr>
            </w:pPr>
            <w:r w:rsidRPr="00EA09D0">
              <w:rPr>
                <w:rFonts w:ascii="Montserrat" w:hAnsi="Montserrat"/>
                <w:b/>
                <w:bCs/>
                <w:color w:val="FFFFFF"/>
                <w:sz w:val="12"/>
                <w:szCs w:val="12"/>
                <w:lang w:val="es-MX" w:eastAsia="es-MX"/>
              </w:rPr>
              <w:t>Diseño</w:t>
            </w:r>
          </w:p>
        </w:tc>
        <w:tc>
          <w:tcPr>
            <w:tcW w:w="1494" w:type="dxa"/>
            <w:tcBorders>
              <w:top w:val="single" w:sz="4" w:space="0" w:color="FFFFFF" w:themeColor="background1"/>
              <w:left w:val="nil"/>
              <w:bottom w:val="nil"/>
              <w:right w:val="nil"/>
            </w:tcBorders>
            <w:shd w:val="clear" w:color="auto" w:fill="D4C19C"/>
            <w:vAlign w:val="center"/>
            <w:hideMark/>
          </w:tcPr>
          <w:p w:rsidR="00E73618" w:rsidRPr="00EA09D0" w:rsidRDefault="00E73618" w:rsidP="00025652">
            <w:pPr>
              <w:spacing w:before="20" w:after="20"/>
              <w:jc w:val="center"/>
              <w:rPr>
                <w:rFonts w:ascii="Montserrat" w:hAnsi="Montserrat"/>
                <w:b/>
                <w:bCs/>
                <w:color w:val="FFFFFF"/>
                <w:sz w:val="12"/>
                <w:szCs w:val="12"/>
                <w:lang w:val="es-MX" w:eastAsia="es-MX"/>
              </w:rPr>
            </w:pPr>
            <w:r w:rsidRPr="00EA09D0">
              <w:rPr>
                <w:rFonts w:ascii="Montserrat" w:hAnsi="Montserrat"/>
                <w:b/>
                <w:bCs/>
                <w:color w:val="FFFFFF"/>
                <w:sz w:val="12"/>
                <w:szCs w:val="12"/>
                <w:lang w:val="es-MX" w:eastAsia="es-MX"/>
              </w:rPr>
              <w:t>Consistencia y Resultados</w:t>
            </w:r>
          </w:p>
        </w:tc>
        <w:tc>
          <w:tcPr>
            <w:tcW w:w="1195" w:type="dxa"/>
            <w:tcBorders>
              <w:top w:val="single" w:sz="4" w:space="0" w:color="FFFFFF" w:themeColor="background1"/>
              <w:left w:val="nil"/>
              <w:bottom w:val="nil"/>
              <w:right w:val="nil"/>
            </w:tcBorders>
            <w:shd w:val="clear" w:color="auto" w:fill="D4C19C"/>
            <w:vAlign w:val="center"/>
            <w:hideMark/>
          </w:tcPr>
          <w:p w:rsidR="00E73618" w:rsidRPr="00EA09D0" w:rsidRDefault="00E73618" w:rsidP="00025652">
            <w:pPr>
              <w:spacing w:before="20" w:after="20"/>
              <w:jc w:val="center"/>
              <w:rPr>
                <w:rFonts w:ascii="Montserrat" w:hAnsi="Montserrat"/>
                <w:b/>
                <w:bCs/>
                <w:color w:val="FFFFFF"/>
                <w:sz w:val="12"/>
                <w:szCs w:val="12"/>
                <w:lang w:val="es-MX" w:eastAsia="es-MX"/>
              </w:rPr>
            </w:pPr>
            <w:r w:rsidRPr="00EA09D0">
              <w:rPr>
                <w:rFonts w:ascii="Montserrat" w:hAnsi="Montserrat"/>
                <w:b/>
                <w:bCs/>
                <w:color w:val="FFFFFF"/>
                <w:sz w:val="12"/>
                <w:szCs w:val="12"/>
                <w:lang w:val="es-MX" w:eastAsia="es-MX"/>
              </w:rPr>
              <w:t>Procesos</w:t>
            </w:r>
          </w:p>
        </w:tc>
        <w:tc>
          <w:tcPr>
            <w:tcW w:w="1196" w:type="dxa"/>
            <w:tcBorders>
              <w:top w:val="single" w:sz="4" w:space="0" w:color="FFFFFF" w:themeColor="background1"/>
              <w:left w:val="nil"/>
              <w:bottom w:val="nil"/>
              <w:right w:val="nil"/>
            </w:tcBorders>
            <w:shd w:val="clear" w:color="auto" w:fill="D4C19C"/>
            <w:vAlign w:val="center"/>
            <w:hideMark/>
          </w:tcPr>
          <w:p w:rsidR="00E73618" w:rsidRPr="00EA09D0" w:rsidRDefault="00E73618" w:rsidP="00025652">
            <w:pPr>
              <w:spacing w:before="20" w:after="20"/>
              <w:jc w:val="center"/>
              <w:rPr>
                <w:rFonts w:ascii="Montserrat" w:hAnsi="Montserrat"/>
                <w:b/>
                <w:bCs/>
                <w:color w:val="FFFFFF"/>
                <w:sz w:val="12"/>
                <w:szCs w:val="12"/>
                <w:lang w:val="es-MX" w:eastAsia="es-MX"/>
              </w:rPr>
            </w:pPr>
            <w:r w:rsidRPr="00EA09D0">
              <w:rPr>
                <w:rFonts w:ascii="Montserrat" w:hAnsi="Montserrat"/>
                <w:b/>
                <w:bCs/>
                <w:color w:val="FFFFFF"/>
                <w:sz w:val="12"/>
                <w:szCs w:val="12"/>
                <w:lang w:val="es-MX" w:eastAsia="es-MX"/>
              </w:rPr>
              <w:t>Específica</w:t>
            </w:r>
          </w:p>
        </w:tc>
        <w:tc>
          <w:tcPr>
            <w:tcW w:w="1197" w:type="dxa"/>
            <w:tcBorders>
              <w:top w:val="single" w:sz="4" w:space="0" w:color="FFFFFF" w:themeColor="background1"/>
              <w:left w:val="nil"/>
              <w:bottom w:val="nil"/>
            </w:tcBorders>
            <w:shd w:val="clear" w:color="auto" w:fill="D4C19C"/>
            <w:vAlign w:val="center"/>
            <w:hideMark/>
          </w:tcPr>
          <w:p w:rsidR="00E73618" w:rsidRPr="00EA09D0" w:rsidRDefault="00E73618" w:rsidP="00025652">
            <w:pPr>
              <w:spacing w:before="20" w:after="20"/>
              <w:jc w:val="center"/>
              <w:rPr>
                <w:rFonts w:ascii="Montserrat" w:hAnsi="Montserrat"/>
                <w:b/>
                <w:bCs/>
                <w:color w:val="FFFFFF"/>
                <w:sz w:val="12"/>
                <w:szCs w:val="12"/>
                <w:lang w:val="es-MX" w:eastAsia="es-MX"/>
              </w:rPr>
            </w:pPr>
            <w:r w:rsidRPr="00EA09D0">
              <w:rPr>
                <w:rFonts w:ascii="Montserrat" w:hAnsi="Montserrat"/>
                <w:b/>
                <w:bCs/>
                <w:color w:val="FFFFFF"/>
                <w:sz w:val="12"/>
                <w:szCs w:val="12"/>
                <w:lang w:val="es-MX" w:eastAsia="es-MX"/>
              </w:rPr>
              <w:t>Estratégica</w:t>
            </w:r>
          </w:p>
        </w:tc>
        <w:tc>
          <w:tcPr>
            <w:tcW w:w="1190" w:type="dxa"/>
            <w:vMerge/>
            <w:shd w:val="clear" w:color="auto" w:fill="D4C19C"/>
            <w:vAlign w:val="center"/>
          </w:tcPr>
          <w:p w:rsidR="00E73618" w:rsidRPr="00EA09D0" w:rsidRDefault="00E73618" w:rsidP="00E73618">
            <w:pPr>
              <w:spacing w:before="20" w:after="20"/>
              <w:jc w:val="center"/>
              <w:rPr>
                <w:rFonts w:ascii="Montserrat" w:hAnsi="Montserrat"/>
                <w:b/>
                <w:bCs/>
                <w:color w:val="FFFFFF"/>
                <w:sz w:val="12"/>
                <w:szCs w:val="12"/>
                <w:lang w:val="es-MX" w:eastAsia="es-MX"/>
              </w:rPr>
            </w:pPr>
          </w:p>
        </w:tc>
      </w:tr>
      <w:tr w:rsidR="005D5CC8" w:rsidRPr="005D5CC8" w:rsidTr="00540B4D">
        <w:trPr>
          <w:trHeight w:hRule="exact" w:val="57"/>
          <w:jc w:val="center"/>
        </w:trPr>
        <w:tc>
          <w:tcPr>
            <w:tcW w:w="2506" w:type="dxa"/>
            <w:tcBorders>
              <w:top w:val="single" w:sz="4" w:space="0" w:color="FFFFFF" w:themeColor="background1"/>
              <w:left w:val="nil"/>
              <w:bottom w:val="single" w:sz="12" w:space="0" w:color="808080" w:themeColor="background1" w:themeShade="80"/>
              <w:right w:val="nil"/>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194" w:type="dxa"/>
            <w:tcBorders>
              <w:top w:val="single" w:sz="4" w:space="0" w:color="FFFFFF" w:themeColor="background1"/>
              <w:left w:val="nil"/>
              <w:bottom w:val="single" w:sz="12" w:space="0" w:color="808080" w:themeColor="background1" w:themeShade="80"/>
              <w:right w:val="nil"/>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494" w:type="dxa"/>
            <w:tcBorders>
              <w:top w:val="single" w:sz="4" w:space="0" w:color="FFFFFF" w:themeColor="background1"/>
              <w:left w:val="nil"/>
              <w:bottom w:val="single" w:sz="12" w:space="0" w:color="808080" w:themeColor="background1" w:themeShade="80"/>
              <w:right w:val="nil"/>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195" w:type="dxa"/>
            <w:tcBorders>
              <w:top w:val="single" w:sz="4" w:space="0" w:color="FFFFFF" w:themeColor="background1"/>
              <w:left w:val="nil"/>
              <w:bottom w:val="single" w:sz="12" w:space="0" w:color="808080" w:themeColor="background1" w:themeShade="80"/>
              <w:right w:val="nil"/>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196" w:type="dxa"/>
            <w:tcBorders>
              <w:top w:val="single" w:sz="4" w:space="0" w:color="FFFFFF" w:themeColor="background1"/>
              <w:left w:val="nil"/>
              <w:bottom w:val="single" w:sz="12" w:space="0" w:color="808080" w:themeColor="background1" w:themeShade="80"/>
              <w:right w:val="nil"/>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197" w:type="dxa"/>
            <w:tcBorders>
              <w:top w:val="single" w:sz="4" w:space="0" w:color="FFFFFF" w:themeColor="background1"/>
              <w:left w:val="nil"/>
              <w:bottom w:val="single" w:sz="12" w:space="0" w:color="808080" w:themeColor="background1" w:themeShade="80"/>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190" w:type="dxa"/>
            <w:tcBorders>
              <w:bottom w:val="single" w:sz="12" w:space="0" w:color="808080" w:themeColor="background1" w:themeShade="80"/>
            </w:tcBorders>
            <w:shd w:val="clear" w:color="auto" w:fill="auto"/>
            <w:vAlign w:val="center"/>
          </w:tcPr>
          <w:p w:rsidR="005D5CC8" w:rsidRPr="005D5CC8" w:rsidRDefault="005D5CC8" w:rsidP="00E73618">
            <w:pPr>
              <w:spacing w:before="20" w:after="20"/>
              <w:jc w:val="center"/>
              <w:rPr>
                <w:rFonts w:ascii="Montserrat" w:hAnsi="Montserrat"/>
                <w:b/>
                <w:bCs/>
                <w:color w:val="FFFFFF"/>
                <w:sz w:val="6"/>
                <w:szCs w:val="6"/>
                <w:lang w:val="es-MX" w:eastAsia="es-MX"/>
              </w:rPr>
            </w:pPr>
          </w:p>
        </w:tc>
      </w:tr>
      <w:tr w:rsidR="005D5CC8" w:rsidRPr="005D5CC8" w:rsidTr="00540B4D">
        <w:trPr>
          <w:trHeight w:hRule="exact" w:val="57"/>
          <w:jc w:val="center"/>
        </w:trPr>
        <w:tc>
          <w:tcPr>
            <w:tcW w:w="2506" w:type="dxa"/>
            <w:tcBorders>
              <w:top w:val="single" w:sz="12" w:space="0" w:color="808080" w:themeColor="background1" w:themeShade="80"/>
              <w:left w:val="nil"/>
              <w:bottom w:val="single" w:sz="12" w:space="0" w:color="808080" w:themeColor="background1" w:themeShade="80"/>
              <w:right w:val="nil"/>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194" w:type="dxa"/>
            <w:tcBorders>
              <w:top w:val="single" w:sz="12" w:space="0" w:color="808080" w:themeColor="background1" w:themeShade="80"/>
              <w:left w:val="nil"/>
              <w:bottom w:val="single" w:sz="12" w:space="0" w:color="808080" w:themeColor="background1" w:themeShade="80"/>
              <w:right w:val="nil"/>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494" w:type="dxa"/>
            <w:tcBorders>
              <w:top w:val="single" w:sz="12" w:space="0" w:color="808080" w:themeColor="background1" w:themeShade="80"/>
              <w:left w:val="nil"/>
              <w:bottom w:val="single" w:sz="12" w:space="0" w:color="808080" w:themeColor="background1" w:themeShade="80"/>
              <w:right w:val="nil"/>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195" w:type="dxa"/>
            <w:tcBorders>
              <w:top w:val="single" w:sz="12" w:space="0" w:color="808080" w:themeColor="background1" w:themeShade="80"/>
              <w:left w:val="nil"/>
              <w:bottom w:val="single" w:sz="12" w:space="0" w:color="808080" w:themeColor="background1" w:themeShade="80"/>
              <w:right w:val="nil"/>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196" w:type="dxa"/>
            <w:tcBorders>
              <w:top w:val="single" w:sz="12" w:space="0" w:color="808080" w:themeColor="background1" w:themeShade="80"/>
              <w:left w:val="nil"/>
              <w:bottom w:val="single" w:sz="12" w:space="0" w:color="808080" w:themeColor="background1" w:themeShade="80"/>
              <w:right w:val="nil"/>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197" w:type="dxa"/>
            <w:tcBorders>
              <w:top w:val="single" w:sz="12" w:space="0" w:color="808080" w:themeColor="background1" w:themeShade="80"/>
              <w:left w:val="nil"/>
              <w:bottom w:val="single" w:sz="12" w:space="0" w:color="808080" w:themeColor="background1" w:themeShade="80"/>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190" w:type="dxa"/>
            <w:tcBorders>
              <w:top w:val="single" w:sz="12" w:space="0" w:color="808080" w:themeColor="background1" w:themeShade="80"/>
              <w:bottom w:val="single" w:sz="12" w:space="0" w:color="808080" w:themeColor="background1" w:themeShade="80"/>
            </w:tcBorders>
            <w:shd w:val="clear" w:color="auto" w:fill="auto"/>
            <w:vAlign w:val="center"/>
          </w:tcPr>
          <w:p w:rsidR="005D5CC8" w:rsidRPr="005D5CC8" w:rsidRDefault="005D5CC8" w:rsidP="00E73618">
            <w:pPr>
              <w:spacing w:before="20" w:after="20"/>
              <w:jc w:val="center"/>
              <w:rPr>
                <w:rFonts w:ascii="Montserrat" w:hAnsi="Montserrat"/>
                <w:b/>
                <w:bCs/>
                <w:color w:val="FFFFFF"/>
                <w:sz w:val="6"/>
                <w:szCs w:val="6"/>
                <w:lang w:val="es-MX" w:eastAsia="es-MX"/>
              </w:rPr>
            </w:pPr>
          </w:p>
        </w:tc>
      </w:tr>
      <w:tr w:rsidR="005D5CC8" w:rsidRPr="005D5CC8" w:rsidTr="00540B4D">
        <w:trPr>
          <w:trHeight w:hRule="exact" w:val="57"/>
          <w:jc w:val="center"/>
        </w:trPr>
        <w:tc>
          <w:tcPr>
            <w:tcW w:w="2506" w:type="dxa"/>
            <w:tcBorders>
              <w:top w:val="single" w:sz="12" w:space="0" w:color="808080" w:themeColor="background1" w:themeShade="80"/>
              <w:left w:val="nil"/>
              <w:right w:val="nil"/>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194" w:type="dxa"/>
            <w:tcBorders>
              <w:top w:val="single" w:sz="12" w:space="0" w:color="808080" w:themeColor="background1" w:themeShade="80"/>
              <w:left w:val="nil"/>
              <w:right w:val="nil"/>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494" w:type="dxa"/>
            <w:tcBorders>
              <w:top w:val="single" w:sz="12" w:space="0" w:color="808080" w:themeColor="background1" w:themeShade="80"/>
              <w:left w:val="nil"/>
              <w:right w:val="nil"/>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195" w:type="dxa"/>
            <w:tcBorders>
              <w:top w:val="single" w:sz="12" w:space="0" w:color="808080" w:themeColor="background1" w:themeShade="80"/>
              <w:left w:val="nil"/>
              <w:right w:val="nil"/>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196" w:type="dxa"/>
            <w:tcBorders>
              <w:top w:val="single" w:sz="12" w:space="0" w:color="808080" w:themeColor="background1" w:themeShade="80"/>
              <w:left w:val="nil"/>
              <w:right w:val="nil"/>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197" w:type="dxa"/>
            <w:tcBorders>
              <w:top w:val="single" w:sz="12" w:space="0" w:color="808080" w:themeColor="background1" w:themeShade="80"/>
              <w:left w:val="nil"/>
            </w:tcBorders>
            <w:shd w:val="clear" w:color="auto" w:fill="auto"/>
            <w:vAlign w:val="center"/>
          </w:tcPr>
          <w:p w:rsidR="005D5CC8" w:rsidRPr="005D5CC8" w:rsidRDefault="005D5CC8" w:rsidP="00025652">
            <w:pPr>
              <w:spacing w:before="20" w:after="20"/>
              <w:jc w:val="center"/>
              <w:rPr>
                <w:rFonts w:ascii="Montserrat" w:hAnsi="Montserrat"/>
                <w:b/>
                <w:bCs/>
                <w:color w:val="FFFFFF"/>
                <w:sz w:val="6"/>
                <w:szCs w:val="6"/>
                <w:lang w:val="es-MX" w:eastAsia="es-MX"/>
              </w:rPr>
            </w:pPr>
          </w:p>
        </w:tc>
        <w:tc>
          <w:tcPr>
            <w:tcW w:w="1190" w:type="dxa"/>
            <w:tcBorders>
              <w:top w:val="single" w:sz="12" w:space="0" w:color="808080" w:themeColor="background1" w:themeShade="80"/>
            </w:tcBorders>
            <w:shd w:val="clear" w:color="auto" w:fill="auto"/>
            <w:vAlign w:val="center"/>
          </w:tcPr>
          <w:p w:rsidR="005D5CC8" w:rsidRPr="005D5CC8" w:rsidRDefault="005D5CC8" w:rsidP="00E73618">
            <w:pPr>
              <w:spacing w:before="20" w:after="20"/>
              <w:jc w:val="center"/>
              <w:rPr>
                <w:rFonts w:ascii="Montserrat" w:hAnsi="Montserrat"/>
                <w:b/>
                <w:bCs/>
                <w:color w:val="FFFFFF"/>
                <w:sz w:val="6"/>
                <w:szCs w:val="6"/>
                <w:lang w:val="es-MX" w:eastAsia="es-MX"/>
              </w:rPr>
            </w:pPr>
          </w:p>
        </w:tc>
      </w:tr>
      <w:tr w:rsidR="00E73618" w:rsidRPr="00741C2B" w:rsidTr="005D5CC8">
        <w:trPr>
          <w:trHeight w:val="300"/>
          <w:jc w:val="center"/>
        </w:trPr>
        <w:tc>
          <w:tcPr>
            <w:tcW w:w="2506" w:type="dxa"/>
            <w:tcBorders>
              <w:left w:val="nil"/>
              <w:bottom w:val="nil"/>
              <w:right w:val="nil"/>
            </w:tcBorders>
            <w:shd w:val="clear" w:color="auto" w:fill="F2F2F2"/>
            <w:vAlign w:val="center"/>
            <w:hideMark/>
          </w:tcPr>
          <w:p w:rsidR="00E73618" w:rsidRPr="00EA09D0" w:rsidRDefault="00E73618" w:rsidP="00025652">
            <w:pPr>
              <w:spacing w:before="20" w:after="20"/>
              <w:rPr>
                <w:rFonts w:ascii="Montserrat" w:hAnsi="Montserrat"/>
                <w:b/>
                <w:bCs/>
                <w:sz w:val="12"/>
                <w:szCs w:val="12"/>
                <w:lang w:val="es-MX" w:eastAsia="es-MX"/>
              </w:rPr>
            </w:pPr>
            <w:r w:rsidRPr="00EA09D0">
              <w:rPr>
                <w:rFonts w:ascii="Montserrat" w:hAnsi="Montserrat"/>
                <w:b/>
                <w:bCs/>
                <w:sz w:val="12"/>
                <w:szCs w:val="12"/>
                <w:lang w:val="es-MX" w:eastAsia="es-MX"/>
              </w:rPr>
              <w:t>PAE 2018</w:t>
            </w:r>
          </w:p>
        </w:tc>
        <w:tc>
          <w:tcPr>
            <w:tcW w:w="1194" w:type="dxa"/>
            <w:tcBorders>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
                <w:bCs/>
                <w:sz w:val="12"/>
                <w:szCs w:val="12"/>
                <w:lang w:val="es-MX" w:eastAsia="es-MX"/>
              </w:rPr>
            </w:pPr>
          </w:p>
        </w:tc>
        <w:tc>
          <w:tcPr>
            <w:tcW w:w="1494" w:type="dxa"/>
            <w:tcBorders>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
                <w:bCs/>
                <w:sz w:val="12"/>
                <w:szCs w:val="12"/>
                <w:lang w:val="es-MX" w:eastAsia="es-MX"/>
              </w:rPr>
            </w:pPr>
          </w:p>
        </w:tc>
        <w:tc>
          <w:tcPr>
            <w:tcW w:w="1195" w:type="dxa"/>
            <w:tcBorders>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
                <w:bCs/>
                <w:sz w:val="12"/>
                <w:szCs w:val="12"/>
                <w:lang w:val="es-MX" w:eastAsia="es-MX"/>
              </w:rPr>
            </w:pPr>
          </w:p>
        </w:tc>
        <w:tc>
          <w:tcPr>
            <w:tcW w:w="1196" w:type="dxa"/>
            <w:tcBorders>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
                <w:bCs/>
                <w:sz w:val="12"/>
                <w:szCs w:val="12"/>
                <w:lang w:val="es-MX" w:eastAsia="es-MX"/>
              </w:rPr>
            </w:pPr>
          </w:p>
        </w:tc>
        <w:tc>
          <w:tcPr>
            <w:tcW w:w="1197" w:type="dxa"/>
            <w:tcBorders>
              <w:left w:val="nil"/>
              <w:bottom w:val="nil"/>
            </w:tcBorders>
            <w:shd w:val="clear" w:color="auto" w:fill="F2F2F2"/>
            <w:vAlign w:val="center"/>
            <w:hideMark/>
          </w:tcPr>
          <w:p w:rsidR="00E73618" w:rsidRPr="00EA09D0" w:rsidRDefault="00E73618" w:rsidP="00025652">
            <w:pPr>
              <w:spacing w:before="20" w:after="20"/>
              <w:jc w:val="center"/>
              <w:rPr>
                <w:rFonts w:ascii="Montserrat" w:hAnsi="Montserrat"/>
                <w:b/>
                <w:bCs/>
                <w:sz w:val="12"/>
                <w:szCs w:val="12"/>
                <w:lang w:val="es-MX" w:eastAsia="es-MX"/>
              </w:rPr>
            </w:pPr>
          </w:p>
        </w:tc>
        <w:tc>
          <w:tcPr>
            <w:tcW w:w="1190" w:type="dxa"/>
            <w:tcBorders>
              <w:bottom w:val="nil"/>
            </w:tcBorders>
            <w:shd w:val="clear" w:color="auto" w:fill="F2F2F2"/>
          </w:tcPr>
          <w:p w:rsidR="00E73618" w:rsidRPr="00EA09D0" w:rsidRDefault="00E73618" w:rsidP="00025652">
            <w:pPr>
              <w:spacing w:before="20" w:after="20"/>
              <w:jc w:val="center"/>
              <w:rPr>
                <w:rFonts w:ascii="Montserrat" w:hAnsi="Montserrat"/>
                <w:b/>
                <w:bCs/>
                <w:sz w:val="12"/>
                <w:szCs w:val="12"/>
                <w:lang w:val="es-MX" w:eastAsia="es-MX"/>
              </w:rPr>
            </w:pPr>
          </w:p>
        </w:tc>
      </w:tr>
      <w:tr w:rsidR="00E73618" w:rsidRPr="00741C2B" w:rsidTr="00E73618">
        <w:trPr>
          <w:trHeight w:val="359"/>
          <w:jc w:val="center"/>
        </w:trPr>
        <w:tc>
          <w:tcPr>
            <w:tcW w:w="2506" w:type="dxa"/>
            <w:tcBorders>
              <w:top w:val="nil"/>
              <w:left w:val="nil"/>
              <w:bottom w:val="nil"/>
              <w:right w:val="nil"/>
            </w:tcBorders>
            <w:shd w:val="clear" w:color="auto" w:fill="F2F2F2"/>
            <w:vAlign w:val="center"/>
            <w:hideMark/>
          </w:tcPr>
          <w:p w:rsidR="00E73618" w:rsidRPr="00EA09D0" w:rsidRDefault="00E73618" w:rsidP="00EA09D0">
            <w:pPr>
              <w:spacing w:before="20" w:after="20"/>
              <w:rPr>
                <w:rFonts w:ascii="Montserrat" w:hAnsi="Montserrat"/>
                <w:bCs/>
                <w:sz w:val="12"/>
                <w:szCs w:val="12"/>
                <w:lang w:val="es-MX" w:eastAsia="es-MX"/>
              </w:rPr>
            </w:pPr>
            <w:r w:rsidRPr="00EA09D0">
              <w:rPr>
                <w:rFonts w:ascii="Montserrat" w:hAnsi="Montserrat"/>
                <w:bCs/>
                <w:sz w:val="12"/>
                <w:szCs w:val="12"/>
                <w:lang w:val="es-MX" w:eastAsia="es-MX"/>
              </w:rPr>
              <w:t>04</w:t>
            </w:r>
            <w:r w:rsidR="00EA09D0" w:rsidRPr="00EA09D0">
              <w:rPr>
                <w:rFonts w:ascii="Montserrat" w:hAnsi="Montserrat"/>
                <w:bCs/>
                <w:sz w:val="12"/>
                <w:szCs w:val="12"/>
                <w:lang w:val="es-MX" w:eastAsia="es-MX"/>
              </w:rPr>
              <w:t xml:space="preserve"> </w:t>
            </w:r>
            <w:r w:rsidR="00EA09D0" w:rsidRPr="00EA09D0">
              <w:rPr>
                <w:sz w:val="12"/>
                <w:szCs w:val="12"/>
              </w:rPr>
              <w:t>–</w:t>
            </w:r>
            <w:r w:rsidRPr="00EA09D0">
              <w:rPr>
                <w:rFonts w:ascii="Montserrat" w:hAnsi="Montserrat"/>
                <w:bCs/>
                <w:sz w:val="12"/>
                <w:szCs w:val="12"/>
                <w:lang w:val="es-MX" w:eastAsia="es-MX"/>
              </w:rPr>
              <w:t xml:space="preserve"> Gobernación</w:t>
            </w:r>
          </w:p>
        </w:tc>
        <w:tc>
          <w:tcPr>
            <w:tcW w:w="1194"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r w:rsidRPr="00EA09D0">
              <w:rPr>
                <w:rFonts w:ascii="Montserrat" w:hAnsi="Montserrat"/>
                <w:bCs/>
                <w:sz w:val="12"/>
                <w:szCs w:val="12"/>
                <w:lang w:val="es-MX" w:eastAsia="es-MX"/>
              </w:rPr>
              <w:t>1</w:t>
            </w:r>
          </w:p>
        </w:tc>
        <w:tc>
          <w:tcPr>
            <w:tcW w:w="1494"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5"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6"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7"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0" w:type="dxa"/>
            <w:tcBorders>
              <w:top w:val="nil"/>
              <w:left w:val="nil"/>
              <w:bottom w:val="nil"/>
              <w:right w:val="nil"/>
            </w:tcBorders>
            <w:shd w:val="clear" w:color="auto" w:fill="F2F2F2"/>
          </w:tcPr>
          <w:p w:rsidR="00E73618" w:rsidRPr="00665052" w:rsidRDefault="00E73618" w:rsidP="00025652">
            <w:pPr>
              <w:spacing w:before="20" w:after="20"/>
              <w:jc w:val="center"/>
              <w:rPr>
                <w:rFonts w:ascii="Montserrat" w:hAnsi="Montserrat"/>
                <w:b/>
                <w:bCs/>
                <w:sz w:val="12"/>
                <w:szCs w:val="12"/>
                <w:lang w:val="es-MX" w:eastAsia="es-MX"/>
              </w:rPr>
            </w:pPr>
            <w:r w:rsidRPr="00665052">
              <w:rPr>
                <w:rFonts w:ascii="Montserrat" w:hAnsi="Montserrat"/>
                <w:b/>
                <w:bCs/>
                <w:sz w:val="12"/>
                <w:szCs w:val="12"/>
                <w:lang w:val="es-MX" w:eastAsia="es-MX"/>
              </w:rPr>
              <w:t>1</w:t>
            </w:r>
          </w:p>
        </w:tc>
      </w:tr>
      <w:tr w:rsidR="00E73618" w:rsidRPr="00741C2B" w:rsidTr="00E73618">
        <w:trPr>
          <w:trHeight w:val="194"/>
          <w:jc w:val="center"/>
        </w:trPr>
        <w:tc>
          <w:tcPr>
            <w:tcW w:w="2506" w:type="dxa"/>
            <w:tcBorders>
              <w:top w:val="nil"/>
              <w:left w:val="nil"/>
              <w:bottom w:val="nil"/>
              <w:right w:val="nil"/>
            </w:tcBorders>
            <w:shd w:val="clear" w:color="auto" w:fill="F2F2F2"/>
            <w:vAlign w:val="center"/>
            <w:hideMark/>
          </w:tcPr>
          <w:p w:rsidR="00E73618" w:rsidRPr="00EA09D0" w:rsidRDefault="00E73618" w:rsidP="00EA09D0">
            <w:pPr>
              <w:spacing w:before="20" w:after="20"/>
              <w:rPr>
                <w:rFonts w:ascii="Montserrat" w:hAnsi="Montserrat"/>
                <w:bCs/>
                <w:sz w:val="12"/>
                <w:szCs w:val="12"/>
                <w:lang w:val="es-MX" w:eastAsia="es-MX"/>
              </w:rPr>
            </w:pPr>
            <w:r w:rsidRPr="00EA09D0">
              <w:rPr>
                <w:rFonts w:ascii="Montserrat" w:hAnsi="Montserrat"/>
                <w:bCs/>
                <w:sz w:val="12"/>
                <w:szCs w:val="12"/>
                <w:lang w:val="es-MX" w:eastAsia="es-MX"/>
              </w:rPr>
              <w:t>05</w:t>
            </w:r>
            <w:r w:rsidR="00EA09D0">
              <w:rPr>
                <w:rFonts w:ascii="Montserrat" w:hAnsi="Montserrat"/>
                <w:bCs/>
                <w:sz w:val="12"/>
                <w:szCs w:val="12"/>
                <w:lang w:val="es-MX" w:eastAsia="es-MX"/>
              </w:rPr>
              <w:t xml:space="preserve"> </w:t>
            </w:r>
            <w:r w:rsidR="00EA09D0" w:rsidRPr="00EA09D0">
              <w:rPr>
                <w:sz w:val="12"/>
                <w:szCs w:val="12"/>
              </w:rPr>
              <w:t>–</w:t>
            </w:r>
            <w:r w:rsidRPr="00EA09D0">
              <w:rPr>
                <w:rFonts w:ascii="Montserrat" w:hAnsi="Montserrat"/>
                <w:bCs/>
                <w:sz w:val="12"/>
                <w:szCs w:val="12"/>
                <w:lang w:val="es-MX" w:eastAsia="es-MX"/>
              </w:rPr>
              <w:t xml:space="preserve"> Relaciones Exteriores</w:t>
            </w:r>
          </w:p>
        </w:tc>
        <w:tc>
          <w:tcPr>
            <w:tcW w:w="1194"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494"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5"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r w:rsidRPr="00EA09D0">
              <w:rPr>
                <w:rFonts w:ascii="Montserrat" w:hAnsi="Montserrat"/>
                <w:bCs/>
                <w:sz w:val="12"/>
                <w:szCs w:val="12"/>
                <w:lang w:val="es-MX" w:eastAsia="es-MX"/>
              </w:rPr>
              <w:t>1</w:t>
            </w:r>
          </w:p>
        </w:tc>
        <w:tc>
          <w:tcPr>
            <w:tcW w:w="1196"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7"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0" w:type="dxa"/>
            <w:tcBorders>
              <w:top w:val="nil"/>
              <w:left w:val="nil"/>
              <w:bottom w:val="nil"/>
              <w:right w:val="nil"/>
            </w:tcBorders>
            <w:shd w:val="clear" w:color="auto" w:fill="F2F2F2"/>
          </w:tcPr>
          <w:p w:rsidR="00E73618" w:rsidRPr="00665052" w:rsidRDefault="00E73618" w:rsidP="00025652">
            <w:pPr>
              <w:spacing w:before="20" w:after="20"/>
              <w:jc w:val="center"/>
              <w:rPr>
                <w:rFonts w:ascii="Montserrat" w:hAnsi="Montserrat"/>
                <w:b/>
                <w:bCs/>
                <w:sz w:val="12"/>
                <w:szCs w:val="12"/>
                <w:lang w:val="es-MX" w:eastAsia="es-MX"/>
              </w:rPr>
            </w:pPr>
            <w:r w:rsidRPr="00665052">
              <w:rPr>
                <w:rFonts w:ascii="Montserrat" w:hAnsi="Montserrat"/>
                <w:b/>
                <w:bCs/>
                <w:sz w:val="12"/>
                <w:szCs w:val="12"/>
                <w:lang w:val="es-MX" w:eastAsia="es-MX"/>
              </w:rPr>
              <w:t>1</w:t>
            </w:r>
          </w:p>
        </w:tc>
      </w:tr>
      <w:tr w:rsidR="00E73618" w:rsidRPr="00741C2B" w:rsidTr="00E73618">
        <w:trPr>
          <w:trHeight w:val="282"/>
          <w:jc w:val="center"/>
        </w:trPr>
        <w:tc>
          <w:tcPr>
            <w:tcW w:w="2506" w:type="dxa"/>
            <w:tcBorders>
              <w:top w:val="nil"/>
              <w:left w:val="nil"/>
              <w:bottom w:val="nil"/>
              <w:right w:val="nil"/>
            </w:tcBorders>
            <w:shd w:val="clear" w:color="auto" w:fill="F2F2F2"/>
            <w:vAlign w:val="center"/>
            <w:hideMark/>
          </w:tcPr>
          <w:p w:rsidR="00E73618" w:rsidRPr="00EA09D0" w:rsidRDefault="00E73618" w:rsidP="00EA09D0">
            <w:pPr>
              <w:spacing w:before="20" w:after="20"/>
              <w:rPr>
                <w:rFonts w:ascii="Montserrat" w:hAnsi="Montserrat"/>
                <w:bCs/>
                <w:sz w:val="12"/>
                <w:szCs w:val="12"/>
                <w:lang w:val="es-MX" w:eastAsia="es-MX"/>
              </w:rPr>
            </w:pPr>
            <w:r w:rsidRPr="00EA09D0">
              <w:rPr>
                <w:rFonts w:ascii="Montserrat" w:hAnsi="Montserrat"/>
                <w:bCs/>
                <w:sz w:val="12"/>
                <w:szCs w:val="12"/>
                <w:lang w:val="es-MX" w:eastAsia="es-MX"/>
              </w:rPr>
              <w:t>06</w:t>
            </w:r>
            <w:r w:rsidR="00EA09D0">
              <w:rPr>
                <w:rFonts w:ascii="Montserrat" w:hAnsi="Montserrat"/>
                <w:bCs/>
                <w:sz w:val="12"/>
                <w:szCs w:val="12"/>
                <w:lang w:val="es-MX" w:eastAsia="es-MX"/>
              </w:rPr>
              <w:t xml:space="preserve"> </w:t>
            </w:r>
            <w:r w:rsidR="00EA09D0" w:rsidRPr="00EA09D0">
              <w:rPr>
                <w:sz w:val="12"/>
                <w:szCs w:val="12"/>
              </w:rPr>
              <w:t>–</w:t>
            </w:r>
            <w:r w:rsidRPr="00EA09D0">
              <w:rPr>
                <w:rFonts w:ascii="Montserrat" w:hAnsi="Montserrat"/>
                <w:bCs/>
                <w:sz w:val="12"/>
                <w:szCs w:val="12"/>
                <w:lang w:val="es-MX" w:eastAsia="es-MX"/>
              </w:rPr>
              <w:t xml:space="preserve"> Hacienda y Crédito Público</w:t>
            </w:r>
          </w:p>
        </w:tc>
        <w:tc>
          <w:tcPr>
            <w:tcW w:w="1194"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r w:rsidRPr="00EA09D0">
              <w:rPr>
                <w:rFonts w:ascii="Montserrat" w:hAnsi="Montserrat"/>
                <w:bCs/>
                <w:sz w:val="12"/>
                <w:szCs w:val="12"/>
                <w:lang w:val="es-MX" w:eastAsia="es-MX"/>
              </w:rPr>
              <w:t>2</w:t>
            </w:r>
          </w:p>
        </w:tc>
        <w:tc>
          <w:tcPr>
            <w:tcW w:w="1494"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r w:rsidRPr="00EA09D0">
              <w:rPr>
                <w:rFonts w:ascii="Montserrat" w:hAnsi="Montserrat"/>
                <w:bCs/>
                <w:sz w:val="12"/>
                <w:szCs w:val="12"/>
                <w:lang w:val="es-MX" w:eastAsia="es-MX"/>
              </w:rPr>
              <w:t>1</w:t>
            </w:r>
          </w:p>
        </w:tc>
        <w:tc>
          <w:tcPr>
            <w:tcW w:w="1195"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r w:rsidRPr="00EA09D0">
              <w:rPr>
                <w:rFonts w:ascii="Montserrat" w:hAnsi="Montserrat"/>
                <w:bCs/>
                <w:sz w:val="12"/>
                <w:szCs w:val="12"/>
                <w:lang w:val="es-MX" w:eastAsia="es-MX"/>
              </w:rPr>
              <w:t>1</w:t>
            </w:r>
          </w:p>
        </w:tc>
        <w:tc>
          <w:tcPr>
            <w:tcW w:w="1196"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r w:rsidRPr="00EA09D0">
              <w:rPr>
                <w:rFonts w:ascii="Montserrat" w:hAnsi="Montserrat"/>
                <w:bCs/>
                <w:sz w:val="12"/>
                <w:szCs w:val="12"/>
                <w:lang w:val="es-MX" w:eastAsia="es-MX"/>
              </w:rPr>
              <w:t>1</w:t>
            </w:r>
          </w:p>
        </w:tc>
        <w:tc>
          <w:tcPr>
            <w:tcW w:w="1197"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0" w:type="dxa"/>
            <w:tcBorders>
              <w:top w:val="nil"/>
              <w:left w:val="nil"/>
              <w:bottom w:val="nil"/>
              <w:right w:val="nil"/>
            </w:tcBorders>
            <w:shd w:val="clear" w:color="auto" w:fill="F2F2F2"/>
          </w:tcPr>
          <w:p w:rsidR="00E73618" w:rsidRPr="00665052" w:rsidRDefault="00E73618" w:rsidP="00025652">
            <w:pPr>
              <w:spacing w:before="20" w:after="20"/>
              <w:jc w:val="center"/>
              <w:rPr>
                <w:rFonts w:ascii="Montserrat" w:hAnsi="Montserrat"/>
                <w:b/>
                <w:bCs/>
                <w:sz w:val="12"/>
                <w:szCs w:val="12"/>
                <w:lang w:val="es-MX" w:eastAsia="es-MX"/>
              </w:rPr>
            </w:pPr>
            <w:r w:rsidRPr="00665052">
              <w:rPr>
                <w:rFonts w:ascii="Montserrat" w:hAnsi="Montserrat"/>
                <w:b/>
                <w:bCs/>
                <w:sz w:val="12"/>
                <w:szCs w:val="12"/>
                <w:lang w:val="es-MX" w:eastAsia="es-MX"/>
              </w:rPr>
              <w:t>5</w:t>
            </w:r>
          </w:p>
        </w:tc>
      </w:tr>
      <w:tr w:rsidR="00E73618" w:rsidRPr="00741C2B" w:rsidTr="00E73618">
        <w:trPr>
          <w:trHeight w:val="272"/>
          <w:jc w:val="center"/>
        </w:trPr>
        <w:tc>
          <w:tcPr>
            <w:tcW w:w="2506" w:type="dxa"/>
            <w:tcBorders>
              <w:top w:val="nil"/>
              <w:left w:val="nil"/>
              <w:bottom w:val="nil"/>
              <w:right w:val="nil"/>
            </w:tcBorders>
            <w:shd w:val="clear" w:color="auto" w:fill="F2F2F2"/>
            <w:vAlign w:val="center"/>
            <w:hideMark/>
          </w:tcPr>
          <w:p w:rsidR="00E73618" w:rsidRPr="00EA09D0" w:rsidRDefault="00E73618" w:rsidP="00EA09D0">
            <w:pPr>
              <w:spacing w:before="20" w:after="20"/>
              <w:rPr>
                <w:rFonts w:ascii="Montserrat" w:hAnsi="Montserrat"/>
                <w:bCs/>
                <w:sz w:val="12"/>
                <w:szCs w:val="12"/>
                <w:lang w:val="es-MX" w:eastAsia="es-MX"/>
              </w:rPr>
            </w:pPr>
            <w:r w:rsidRPr="00EA09D0">
              <w:rPr>
                <w:rFonts w:ascii="Montserrat" w:hAnsi="Montserrat"/>
                <w:bCs/>
                <w:sz w:val="12"/>
                <w:szCs w:val="12"/>
                <w:lang w:val="es-MX" w:eastAsia="es-MX"/>
              </w:rPr>
              <w:t>08</w:t>
            </w:r>
            <w:r w:rsidR="00EA09D0">
              <w:rPr>
                <w:rFonts w:ascii="Montserrat" w:hAnsi="Montserrat"/>
                <w:bCs/>
                <w:sz w:val="12"/>
                <w:szCs w:val="12"/>
                <w:lang w:val="es-MX" w:eastAsia="es-MX"/>
              </w:rPr>
              <w:t xml:space="preserve"> </w:t>
            </w:r>
            <w:r w:rsidR="00EA09D0" w:rsidRPr="00EA09D0">
              <w:rPr>
                <w:sz w:val="12"/>
                <w:szCs w:val="12"/>
              </w:rPr>
              <w:t>–</w:t>
            </w:r>
            <w:r w:rsidRPr="00EA09D0">
              <w:rPr>
                <w:rFonts w:ascii="Montserrat" w:hAnsi="Montserrat"/>
                <w:bCs/>
                <w:sz w:val="12"/>
                <w:szCs w:val="12"/>
                <w:lang w:val="es-MX" w:eastAsia="es-MX"/>
              </w:rPr>
              <w:t xml:space="preserve"> Agricultura y Desarrollo Rural</w:t>
            </w:r>
          </w:p>
        </w:tc>
        <w:tc>
          <w:tcPr>
            <w:tcW w:w="1194"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494"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5"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r w:rsidRPr="00EA09D0">
              <w:rPr>
                <w:rFonts w:ascii="Montserrat" w:hAnsi="Montserrat"/>
                <w:bCs/>
                <w:sz w:val="12"/>
                <w:szCs w:val="12"/>
                <w:lang w:val="es-MX" w:eastAsia="es-MX"/>
              </w:rPr>
              <w:t>1</w:t>
            </w:r>
          </w:p>
        </w:tc>
        <w:tc>
          <w:tcPr>
            <w:tcW w:w="1196"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7"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0" w:type="dxa"/>
            <w:tcBorders>
              <w:top w:val="nil"/>
              <w:left w:val="nil"/>
              <w:bottom w:val="nil"/>
              <w:right w:val="nil"/>
            </w:tcBorders>
            <w:shd w:val="clear" w:color="auto" w:fill="F2F2F2"/>
          </w:tcPr>
          <w:p w:rsidR="00E73618" w:rsidRPr="00665052" w:rsidRDefault="00E73618" w:rsidP="00025652">
            <w:pPr>
              <w:spacing w:before="20" w:after="20"/>
              <w:jc w:val="center"/>
              <w:rPr>
                <w:rFonts w:ascii="Montserrat" w:hAnsi="Montserrat"/>
                <w:b/>
                <w:bCs/>
                <w:sz w:val="12"/>
                <w:szCs w:val="12"/>
                <w:lang w:val="es-MX" w:eastAsia="es-MX"/>
              </w:rPr>
            </w:pPr>
            <w:r w:rsidRPr="00665052">
              <w:rPr>
                <w:rFonts w:ascii="Montserrat" w:hAnsi="Montserrat"/>
                <w:b/>
                <w:bCs/>
                <w:sz w:val="12"/>
                <w:szCs w:val="12"/>
                <w:lang w:val="es-MX" w:eastAsia="es-MX"/>
              </w:rPr>
              <w:t>1</w:t>
            </w:r>
          </w:p>
        </w:tc>
      </w:tr>
      <w:tr w:rsidR="00E73618" w:rsidRPr="00741C2B" w:rsidTr="00E73618">
        <w:trPr>
          <w:trHeight w:val="246"/>
          <w:jc w:val="center"/>
        </w:trPr>
        <w:tc>
          <w:tcPr>
            <w:tcW w:w="2506" w:type="dxa"/>
            <w:tcBorders>
              <w:top w:val="nil"/>
              <w:left w:val="nil"/>
              <w:bottom w:val="nil"/>
              <w:right w:val="nil"/>
            </w:tcBorders>
            <w:shd w:val="clear" w:color="auto" w:fill="F2F2F2"/>
            <w:vAlign w:val="center"/>
            <w:hideMark/>
          </w:tcPr>
          <w:p w:rsidR="00E73618" w:rsidRPr="00EA09D0" w:rsidRDefault="00E73618" w:rsidP="00EA09D0">
            <w:pPr>
              <w:spacing w:before="20" w:after="20"/>
              <w:rPr>
                <w:rFonts w:ascii="Montserrat" w:hAnsi="Montserrat"/>
                <w:bCs/>
                <w:sz w:val="12"/>
                <w:szCs w:val="12"/>
                <w:lang w:val="es-MX" w:eastAsia="es-MX"/>
              </w:rPr>
            </w:pPr>
            <w:r w:rsidRPr="00EA09D0">
              <w:rPr>
                <w:rFonts w:ascii="Montserrat" w:hAnsi="Montserrat"/>
                <w:bCs/>
                <w:sz w:val="12"/>
                <w:szCs w:val="12"/>
                <w:lang w:val="es-MX" w:eastAsia="es-MX"/>
              </w:rPr>
              <w:t>09</w:t>
            </w:r>
            <w:r w:rsidR="00EA09D0">
              <w:rPr>
                <w:rFonts w:ascii="Montserrat" w:hAnsi="Montserrat"/>
                <w:bCs/>
                <w:sz w:val="12"/>
                <w:szCs w:val="12"/>
                <w:lang w:val="es-MX" w:eastAsia="es-MX"/>
              </w:rPr>
              <w:t xml:space="preserve"> </w:t>
            </w:r>
            <w:r w:rsidR="00EA09D0" w:rsidRPr="00EA09D0">
              <w:rPr>
                <w:sz w:val="12"/>
                <w:szCs w:val="12"/>
              </w:rPr>
              <w:t>–</w:t>
            </w:r>
            <w:r w:rsidRPr="00EA09D0">
              <w:rPr>
                <w:rFonts w:ascii="Montserrat" w:hAnsi="Montserrat"/>
                <w:bCs/>
                <w:sz w:val="12"/>
                <w:szCs w:val="12"/>
                <w:lang w:val="es-MX" w:eastAsia="es-MX"/>
              </w:rPr>
              <w:t xml:space="preserve"> Comunicaciones y Transportes</w:t>
            </w:r>
          </w:p>
        </w:tc>
        <w:tc>
          <w:tcPr>
            <w:tcW w:w="1194"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r w:rsidRPr="00EA09D0">
              <w:rPr>
                <w:rFonts w:ascii="Montserrat" w:hAnsi="Montserrat"/>
                <w:bCs/>
                <w:sz w:val="12"/>
                <w:szCs w:val="12"/>
                <w:lang w:val="es-MX" w:eastAsia="es-MX"/>
              </w:rPr>
              <w:t>1</w:t>
            </w:r>
          </w:p>
        </w:tc>
        <w:tc>
          <w:tcPr>
            <w:tcW w:w="1494"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5"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6"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7"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0" w:type="dxa"/>
            <w:tcBorders>
              <w:top w:val="nil"/>
              <w:left w:val="nil"/>
              <w:bottom w:val="nil"/>
              <w:right w:val="nil"/>
            </w:tcBorders>
            <w:shd w:val="clear" w:color="auto" w:fill="F2F2F2"/>
          </w:tcPr>
          <w:p w:rsidR="00E73618" w:rsidRPr="00665052" w:rsidRDefault="00E73618" w:rsidP="00025652">
            <w:pPr>
              <w:spacing w:before="20" w:after="20"/>
              <w:jc w:val="center"/>
              <w:rPr>
                <w:rFonts w:ascii="Montserrat" w:hAnsi="Montserrat"/>
                <w:b/>
                <w:bCs/>
                <w:sz w:val="12"/>
                <w:szCs w:val="12"/>
                <w:lang w:val="es-MX" w:eastAsia="es-MX"/>
              </w:rPr>
            </w:pPr>
            <w:r w:rsidRPr="00665052">
              <w:rPr>
                <w:rFonts w:ascii="Montserrat" w:hAnsi="Montserrat"/>
                <w:b/>
                <w:bCs/>
                <w:sz w:val="12"/>
                <w:szCs w:val="12"/>
                <w:lang w:val="es-MX" w:eastAsia="es-MX"/>
              </w:rPr>
              <w:t>1</w:t>
            </w:r>
          </w:p>
        </w:tc>
      </w:tr>
      <w:tr w:rsidR="00E73618" w:rsidRPr="00741C2B" w:rsidTr="00E73618">
        <w:trPr>
          <w:trHeight w:val="408"/>
          <w:jc w:val="center"/>
        </w:trPr>
        <w:tc>
          <w:tcPr>
            <w:tcW w:w="2506" w:type="dxa"/>
            <w:tcBorders>
              <w:top w:val="nil"/>
              <w:left w:val="nil"/>
              <w:bottom w:val="nil"/>
              <w:right w:val="nil"/>
            </w:tcBorders>
            <w:shd w:val="clear" w:color="auto" w:fill="F2F2F2"/>
            <w:vAlign w:val="center"/>
            <w:hideMark/>
          </w:tcPr>
          <w:p w:rsidR="00E73618" w:rsidRPr="00EA09D0" w:rsidRDefault="00E73618" w:rsidP="00EA09D0">
            <w:pPr>
              <w:spacing w:before="20" w:after="20"/>
              <w:rPr>
                <w:rFonts w:ascii="Montserrat" w:hAnsi="Montserrat"/>
                <w:bCs/>
                <w:sz w:val="12"/>
                <w:szCs w:val="12"/>
                <w:lang w:val="es-MX" w:eastAsia="es-MX"/>
              </w:rPr>
            </w:pPr>
            <w:r w:rsidRPr="00EA09D0">
              <w:rPr>
                <w:rFonts w:ascii="Montserrat" w:hAnsi="Montserrat"/>
                <w:bCs/>
                <w:sz w:val="12"/>
                <w:szCs w:val="12"/>
                <w:lang w:val="es-MX" w:eastAsia="es-MX"/>
              </w:rPr>
              <w:t>16</w:t>
            </w:r>
            <w:r w:rsidR="00EA09D0">
              <w:rPr>
                <w:rFonts w:ascii="Montserrat" w:hAnsi="Montserrat"/>
                <w:bCs/>
                <w:sz w:val="12"/>
                <w:szCs w:val="12"/>
                <w:lang w:val="es-MX" w:eastAsia="es-MX"/>
              </w:rPr>
              <w:t xml:space="preserve"> </w:t>
            </w:r>
            <w:r w:rsidR="00EA09D0" w:rsidRPr="00EA09D0">
              <w:rPr>
                <w:sz w:val="12"/>
                <w:szCs w:val="12"/>
              </w:rPr>
              <w:t>–</w:t>
            </w:r>
            <w:r w:rsidRPr="00EA09D0">
              <w:rPr>
                <w:rFonts w:ascii="Montserrat" w:hAnsi="Montserrat"/>
                <w:bCs/>
                <w:sz w:val="12"/>
                <w:szCs w:val="12"/>
                <w:lang w:val="es-MX" w:eastAsia="es-MX"/>
              </w:rPr>
              <w:t xml:space="preserve"> Medio Ambiente y Recursos Naturales</w:t>
            </w:r>
          </w:p>
        </w:tc>
        <w:tc>
          <w:tcPr>
            <w:tcW w:w="1194"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494"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5"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r w:rsidRPr="00EA09D0">
              <w:rPr>
                <w:rFonts w:ascii="Montserrat" w:hAnsi="Montserrat"/>
                <w:bCs/>
                <w:sz w:val="12"/>
                <w:szCs w:val="12"/>
                <w:lang w:val="es-MX" w:eastAsia="es-MX"/>
              </w:rPr>
              <w:t>1</w:t>
            </w:r>
          </w:p>
        </w:tc>
        <w:tc>
          <w:tcPr>
            <w:tcW w:w="1196"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7"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0" w:type="dxa"/>
            <w:tcBorders>
              <w:top w:val="nil"/>
              <w:left w:val="nil"/>
              <w:bottom w:val="nil"/>
              <w:right w:val="nil"/>
            </w:tcBorders>
            <w:shd w:val="clear" w:color="auto" w:fill="F2F2F2"/>
          </w:tcPr>
          <w:p w:rsidR="00E73618" w:rsidRPr="00665052" w:rsidRDefault="00E73618" w:rsidP="00025652">
            <w:pPr>
              <w:spacing w:before="20" w:after="20"/>
              <w:jc w:val="center"/>
              <w:rPr>
                <w:rFonts w:ascii="Montserrat" w:hAnsi="Montserrat"/>
                <w:b/>
                <w:bCs/>
                <w:sz w:val="12"/>
                <w:szCs w:val="12"/>
                <w:lang w:val="es-MX" w:eastAsia="es-MX"/>
              </w:rPr>
            </w:pPr>
            <w:r w:rsidRPr="00665052">
              <w:rPr>
                <w:rFonts w:ascii="Montserrat" w:hAnsi="Montserrat"/>
                <w:b/>
                <w:bCs/>
                <w:sz w:val="12"/>
                <w:szCs w:val="12"/>
                <w:lang w:val="es-MX" w:eastAsia="es-MX"/>
              </w:rPr>
              <w:t>1</w:t>
            </w:r>
          </w:p>
        </w:tc>
      </w:tr>
      <w:tr w:rsidR="00E73618" w:rsidRPr="00741C2B" w:rsidTr="00E73618">
        <w:trPr>
          <w:trHeight w:val="425"/>
          <w:jc w:val="center"/>
        </w:trPr>
        <w:tc>
          <w:tcPr>
            <w:tcW w:w="2506" w:type="dxa"/>
            <w:tcBorders>
              <w:top w:val="nil"/>
              <w:left w:val="nil"/>
              <w:bottom w:val="nil"/>
              <w:right w:val="nil"/>
            </w:tcBorders>
            <w:shd w:val="clear" w:color="auto" w:fill="F2F2F2"/>
            <w:vAlign w:val="center"/>
            <w:hideMark/>
          </w:tcPr>
          <w:p w:rsidR="00E73618" w:rsidRPr="00EA09D0" w:rsidRDefault="00E73618" w:rsidP="00EA09D0">
            <w:pPr>
              <w:spacing w:before="20" w:after="20"/>
              <w:rPr>
                <w:rFonts w:ascii="Montserrat" w:hAnsi="Montserrat"/>
                <w:bCs/>
                <w:sz w:val="12"/>
                <w:szCs w:val="12"/>
                <w:lang w:val="es-MX" w:eastAsia="es-MX"/>
              </w:rPr>
            </w:pPr>
            <w:r w:rsidRPr="00EA09D0">
              <w:rPr>
                <w:rFonts w:ascii="Montserrat" w:hAnsi="Montserrat"/>
                <w:bCs/>
                <w:sz w:val="12"/>
                <w:szCs w:val="12"/>
                <w:lang w:val="es-MX" w:eastAsia="es-MX"/>
              </w:rPr>
              <w:t>17</w:t>
            </w:r>
            <w:r w:rsidR="00EA09D0">
              <w:rPr>
                <w:rFonts w:ascii="Montserrat" w:hAnsi="Montserrat"/>
                <w:bCs/>
                <w:sz w:val="12"/>
                <w:szCs w:val="12"/>
                <w:lang w:val="es-MX" w:eastAsia="es-MX"/>
              </w:rPr>
              <w:t xml:space="preserve"> </w:t>
            </w:r>
            <w:r w:rsidR="00EA09D0" w:rsidRPr="00EA09D0">
              <w:rPr>
                <w:sz w:val="12"/>
                <w:szCs w:val="12"/>
              </w:rPr>
              <w:t>–</w:t>
            </w:r>
            <w:r w:rsidRPr="00EA09D0">
              <w:rPr>
                <w:rFonts w:ascii="Montserrat" w:hAnsi="Montserrat"/>
                <w:bCs/>
                <w:sz w:val="12"/>
                <w:szCs w:val="12"/>
                <w:lang w:val="es-MX" w:eastAsia="es-MX"/>
              </w:rPr>
              <w:t xml:space="preserve"> Procuraduría General de la República</w:t>
            </w:r>
          </w:p>
        </w:tc>
        <w:tc>
          <w:tcPr>
            <w:tcW w:w="1194"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r w:rsidRPr="00EA09D0">
              <w:rPr>
                <w:rFonts w:ascii="Montserrat" w:hAnsi="Montserrat"/>
                <w:bCs/>
                <w:sz w:val="12"/>
                <w:szCs w:val="12"/>
                <w:lang w:val="es-MX" w:eastAsia="es-MX"/>
              </w:rPr>
              <w:t>2</w:t>
            </w:r>
          </w:p>
        </w:tc>
        <w:tc>
          <w:tcPr>
            <w:tcW w:w="1494"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5"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6"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7"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0" w:type="dxa"/>
            <w:tcBorders>
              <w:top w:val="nil"/>
              <w:left w:val="nil"/>
              <w:bottom w:val="nil"/>
              <w:right w:val="nil"/>
            </w:tcBorders>
            <w:shd w:val="clear" w:color="auto" w:fill="F2F2F2"/>
          </w:tcPr>
          <w:p w:rsidR="00E73618" w:rsidRPr="00665052" w:rsidRDefault="00E73618" w:rsidP="00025652">
            <w:pPr>
              <w:spacing w:before="20" w:after="20"/>
              <w:jc w:val="center"/>
              <w:rPr>
                <w:rFonts w:ascii="Montserrat" w:hAnsi="Montserrat"/>
                <w:b/>
                <w:bCs/>
                <w:sz w:val="12"/>
                <w:szCs w:val="12"/>
                <w:lang w:val="es-MX" w:eastAsia="es-MX"/>
              </w:rPr>
            </w:pPr>
            <w:r w:rsidRPr="00665052">
              <w:rPr>
                <w:rFonts w:ascii="Montserrat" w:hAnsi="Montserrat"/>
                <w:b/>
                <w:bCs/>
                <w:sz w:val="12"/>
                <w:szCs w:val="12"/>
                <w:lang w:val="es-MX" w:eastAsia="es-MX"/>
              </w:rPr>
              <w:t>2</w:t>
            </w:r>
          </w:p>
        </w:tc>
      </w:tr>
      <w:tr w:rsidR="00E73618" w:rsidRPr="00741C2B" w:rsidTr="004D7A10">
        <w:trPr>
          <w:trHeight w:val="234"/>
          <w:jc w:val="center"/>
        </w:trPr>
        <w:tc>
          <w:tcPr>
            <w:tcW w:w="2506" w:type="dxa"/>
            <w:tcBorders>
              <w:top w:val="nil"/>
              <w:left w:val="nil"/>
              <w:bottom w:val="nil"/>
              <w:right w:val="nil"/>
            </w:tcBorders>
            <w:shd w:val="clear" w:color="auto" w:fill="F2F2F2"/>
            <w:vAlign w:val="center"/>
            <w:hideMark/>
          </w:tcPr>
          <w:p w:rsidR="00E73618" w:rsidRPr="00EA09D0" w:rsidRDefault="00E73618" w:rsidP="00EA09D0">
            <w:pPr>
              <w:spacing w:before="20" w:after="20"/>
              <w:rPr>
                <w:rFonts w:ascii="Montserrat" w:hAnsi="Montserrat"/>
                <w:bCs/>
                <w:sz w:val="12"/>
                <w:szCs w:val="12"/>
                <w:lang w:val="es-MX" w:eastAsia="es-MX"/>
              </w:rPr>
            </w:pPr>
            <w:r w:rsidRPr="00EA09D0">
              <w:rPr>
                <w:rFonts w:ascii="Montserrat" w:hAnsi="Montserrat"/>
                <w:bCs/>
                <w:sz w:val="12"/>
                <w:szCs w:val="12"/>
                <w:lang w:val="es-MX" w:eastAsia="es-MX"/>
              </w:rPr>
              <w:t>18</w:t>
            </w:r>
            <w:r w:rsidR="00EA09D0">
              <w:rPr>
                <w:rFonts w:ascii="Montserrat" w:hAnsi="Montserrat"/>
                <w:bCs/>
                <w:sz w:val="12"/>
                <w:szCs w:val="12"/>
                <w:lang w:val="es-MX" w:eastAsia="es-MX"/>
              </w:rPr>
              <w:t xml:space="preserve"> </w:t>
            </w:r>
            <w:r w:rsidR="00EA09D0" w:rsidRPr="00EA09D0">
              <w:rPr>
                <w:sz w:val="12"/>
                <w:szCs w:val="12"/>
              </w:rPr>
              <w:t>–</w:t>
            </w:r>
            <w:r w:rsidRPr="00EA09D0">
              <w:rPr>
                <w:rFonts w:ascii="Montserrat" w:hAnsi="Montserrat"/>
                <w:bCs/>
                <w:sz w:val="12"/>
                <w:szCs w:val="12"/>
                <w:lang w:val="es-MX" w:eastAsia="es-MX"/>
              </w:rPr>
              <w:t xml:space="preserve"> Energía</w:t>
            </w:r>
          </w:p>
        </w:tc>
        <w:tc>
          <w:tcPr>
            <w:tcW w:w="1194"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r w:rsidRPr="00EA09D0">
              <w:rPr>
                <w:rFonts w:ascii="Montserrat" w:hAnsi="Montserrat"/>
                <w:bCs/>
                <w:sz w:val="12"/>
                <w:szCs w:val="12"/>
                <w:lang w:val="es-MX" w:eastAsia="es-MX"/>
              </w:rPr>
              <w:t>1</w:t>
            </w:r>
          </w:p>
        </w:tc>
        <w:tc>
          <w:tcPr>
            <w:tcW w:w="1494"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5"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6"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7" w:type="dxa"/>
            <w:tcBorders>
              <w:top w:val="nil"/>
              <w:left w:val="nil"/>
              <w:bottom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0" w:type="dxa"/>
            <w:tcBorders>
              <w:top w:val="nil"/>
              <w:left w:val="nil"/>
              <w:bottom w:val="nil"/>
              <w:right w:val="nil"/>
            </w:tcBorders>
            <w:shd w:val="clear" w:color="auto" w:fill="F2F2F2"/>
          </w:tcPr>
          <w:p w:rsidR="00E73618" w:rsidRPr="00665052" w:rsidRDefault="00E73618" w:rsidP="00025652">
            <w:pPr>
              <w:spacing w:before="20" w:after="20"/>
              <w:jc w:val="center"/>
              <w:rPr>
                <w:rFonts w:ascii="Montserrat" w:hAnsi="Montserrat"/>
                <w:b/>
                <w:bCs/>
                <w:sz w:val="12"/>
                <w:szCs w:val="12"/>
                <w:lang w:val="es-MX" w:eastAsia="es-MX"/>
              </w:rPr>
            </w:pPr>
            <w:r w:rsidRPr="00665052">
              <w:rPr>
                <w:rFonts w:ascii="Montserrat" w:hAnsi="Montserrat"/>
                <w:b/>
                <w:bCs/>
                <w:sz w:val="12"/>
                <w:szCs w:val="12"/>
                <w:lang w:val="es-MX" w:eastAsia="es-MX"/>
              </w:rPr>
              <w:t>1</w:t>
            </w:r>
          </w:p>
        </w:tc>
      </w:tr>
      <w:tr w:rsidR="00E73618" w:rsidRPr="00741C2B" w:rsidTr="00CA676E">
        <w:trPr>
          <w:trHeight w:val="210"/>
          <w:jc w:val="center"/>
        </w:trPr>
        <w:tc>
          <w:tcPr>
            <w:tcW w:w="2506" w:type="dxa"/>
            <w:tcBorders>
              <w:top w:val="nil"/>
              <w:left w:val="nil"/>
              <w:right w:val="nil"/>
            </w:tcBorders>
            <w:shd w:val="clear" w:color="auto" w:fill="F2F2F2"/>
            <w:vAlign w:val="center"/>
            <w:hideMark/>
          </w:tcPr>
          <w:p w:rsidR="00E73618" w:rsidRPr="00EA09D0" w:rsidRDefault="00E73618" w:rsidP="00EA09D0">
            <w:pPr>
              <w:spacing w:before="20" w:after="20"/>
              <w:rPr>
                <w:rFonts w:ascii="Montserrat" w:hAnsi="Montserrat"/>
                <w:bCs/>
                <w:sz w:val="12"/>
                <w:szCs w:val="12"/>
                <w:lang w:val="es-MX" w:eastAsia="es-MX"/>
              </w:rPr>
            </w:pPr>
            <w:r w:rsidRPr="00EA09D0">
              <w:rPr>
                <w:rFonts w:ascii="Montserrat" w:hAnsi="Montserrat"/>
                <w:bCs/>
                <w:sz w:val="12"/>
                <w:szCs w:val="12"/>
                <w:lang w:val="es-MX" w:eastAsia="es-MX"/>
              </w:rPr>
              <w:t>27</w:t>
            </w:r>
            <w:r w:rsidR="00EA09D0">
              <w:rPr>
                <w:rFonts w:ascii="Montserrat" w:hAnsi="Montserrat"/>
                <w:bCs/>
                <w:sz w:val="12"/>
                <w:szCs w:val="12"/>
                <w:lang w:val="es-MX" w:eastAsia="es-MX"/>
              </w:rPr>
              <w:t xml:space="preserve"> </w:t>
            </w:r>
            <w:r w:rsidR="00EA09D0" w:rsidRPr="00EA09D0">
              <w:rPr>
                <w:sz w:val="12"/>
                <w:szCs w:val="12"/>
              </w:rPr>
              <w:t>–</w:t>
            </w:r>
            <w:r w:rsidRPr="00EA09D0">
              <w:rPr>
                <w:rFonts w:ascii="Montserrat" w:hAnsi="Montserrat"/>
                <w:bCs/>
                <w:sz w:val="12"/>
                <w:szCs w:val="12"/>
                <w:lang w:val="es-MX" w:eastAsia="es-MX"/>
              </w:rPr>
              <w:t xml:space="preserve"> Función Pública</w:t>
            </w:r>
          </w:p>
        </w:tc>
        <w:tc>
          <w:tcPr>
            <w:tcW w:w="1194" w:type="dxa"/>
            <w:tcBorders>
              <w:top w:val="nil"/>
              <w:left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494" w:type="dxa"/>
            <w:tcBorders>
              <w:top w:val="nil"/>
              <w:left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5" w:type="dxa"/>
            <w:tcBorders>
              <w:top w:val="nil"/>
              <w:left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6" w:type="dxa"/>
            <w:tcBorders>
              <w:top w:val="nil"/>
              <w:left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p>
        </w:tc>
        <w:tc>
          <w:tcPr>
            <w:tcW w:w="1197" w:type="dxa"/>
            <w:tcBorders>
              <w:top w:val="nil"/>
              <w:left w:val="nil"/>
              <w:right w:val="nil"/>
            </w:tcBorders>
            <w:shd w:val="clear" w:color="auto" w:fill="F2F2F2"/>
            <w:vAlign w:val="center"/>
            <w:hideMark/>
          </w:tcPr>
          <w:p w:rsidR="00E73618" w:rsidRPr="00EA09D0" w:rsidRDefault="00E73618" w:rsidP="00025652">
            <w:pPr>
              <w:spacing w:before="20" w:after="20"/>
              <w:jc w:val="center"/>
              <w:rPr>
                <w:rFonts w:ascii="Montserrat" w:hAnsi="Montserrat"/>
                <w:bCs/>
                <w:sz w:val="12"/>
                <w:szCs w:val="12"/>
                <w:lang w:val="es-MX" w:eastAsia="es-MX"/>
              </w:rPr>
            </w:pPr>
            <w:r w:rsidRPr="00EA09D0">
              <w:rPr>
                <w:rFonts w:ascii="Montserrat" w:hAnsi="Montserrat"/>
                <w:bCs/>
                <w:sz w:val="12"/>
                <w:szCs w:val="12"/>
                <w:lang w:val="es-MX" w:eastAsia="es-MX"/>
              </w:rPr>
              <w:t>1</w:t>
            </w:r>
          </w:p>
        </w:tc>
        <w:tc>
          <w:tcPr>
            <w:tcW w:w="1190" w:type="dxa"/>
            <w:tcBorders>
              <w:top w:val="nil"/>
              <w:left w:val="nil"/>
              <w:right w:val="nil"/>
            </w:tcBorders>
            <w:shd w:val="clear" w:color="auto" w:fill="F2F2F2"/>
          </w:tcPr>
          <w:p w:rsidR="00E73618" w:rsidRPr="00665052" w:rsidRDefault="00E73618" w:rsidP="00025652">
            <w:pPr>
              <w:spacing w:before="20" w:after="20"/>
              <w:jc w:val="center"/>
              <w:rPr>
                <w:rFonts w:ascii="Montserrat" w:hAnsi="Montserrat"/>
                <w:b/>
                <w:bCs/>
                <w:sz w:val="12"/>
                <w:szCs w:val="12"/>
                <w:lang w:val="es-MX" w:eastAsia="es-MX"/>
              </w:rPr>
            </w:pPr>
            <w:r w:rsidRPr="00665052">
              <w:rPr>
                <w:rFonts w:ascii="Montserrat" w:hAnsi="Montserrat"/>
                <w:b/>
                <w:bCs/>
                <w:sz w:val="12"/>
                <w:szCs w:val="12"/>
                <w:lang w:val="es-MX" w:eastAsia="es-MX"/>
              </w:rPr>
              <w:t>1</w:t>
            </w:r>
          </w:p>
        </w:tc>
      </w:tr>
      <w:tr w:rsidR="00E73618" w:rsidRPr="00741C2B" w:rsidTr="00CA676E">
        <w:trPr>
          <w:trHeight w:val="212"/>
          <w:jc w:val="center"/>
        </w:trPr>
        <w:tc>
          <w:tcPr>
            <w:tcW w:w="2506" w:type="dxa"/>
            <w:tcBorders>
              <w:top w:val="nil"/>
              <w:left w:val="nil"/>
              <w:bottom w:val="single" w:sz="12" w:space="0" w:color="808080" w:themeColor="background1" w:themeShade="80"/>
              <w:right w:val="nil"/>
            </w:tcBorders>
            <w:shd w:val="clear" w:color="auto" w:fill="F2F2F2"/>
            <w:vAlign w:val="center"/>
          </w:tcPr>
          <w:p w:rsidR="00E73618" w:rsidRPr="00EA09D0" w:rsidRDefault="00E73618" w:rsidP="00025652">
            <w:pPr>
              <w:spacing w:before="20" w:after="20"/>
              <w:rPr>
                <w:rFonts w:ascii="Montserrat" w:hAnsi="Montserrat"/>
                <w:b/>
                <w:bCs/>
                <w:sz w:val="12"/>
                <w:szCs w:val="12"/>
                <w:lang w:val="es-MX" w:eastAsia="es-MX"/>
              </w:rPr>
            </w:pPr>
            <w:r w:rsidRPr="00EA09D0">
              <w:rPr>
                <w:rFonts w:ascii="Montserrat" w:hAnsi="Montserrat"/>
                <w:b/>
                <w:bCs/>
                <w:sz w:val="12"/>
                <w:szCs w:val="12"/>
                <w:lang w:val="es-MX" w:eastAsia="es-MX"/>
              </w:rPr>
              <w:t>Total</w:t>
            </w:r>
          </w:p>
        </w:tc>
        <w:tc>
          <w:tcPr>
            <w:tcW w:w="1194" w:type="dxa"/>
            <w:tcBorders>
              <w:top w:val="nil"/>
              <w:left w:val="nil"/>
              <w:bottom w:val="single" w:sz="12" w:space="0" w:color="808080" w:themeColor="background1" w:themeShade="80"/>
              <w:right w:val="nil"/>
            </w:tcBorders>
            <w:shd w:val="clear" w:color="auto" w:fill="F2F2F2"/>
            <w:vAlign w:val="center"/>
          </w:tcPr>
          <w:p w:rsidR="00E73618" w:rsidRPr="00EA09D0" w:rsidRDefault="00E73618" w:rsidP="00025652">
            <w:pPr>
              <w:spacing w:before="20" w:after="20"/>
              <w:jc w:val="center"/>
              <w:rPr>
                <w:rFonts w:ascii="Montserrat" w:hAnsi="Montserrat"/>
                <w:b/>
                <w:bCs/>
                <w:sz w:val="12"/>
                <w:szCs w:val="12"/>
                <w:lang w:val="es-MX" w:eastAsia="es-MX"/>
              </w:rPr>
            </w:pPr>
            <w:r w:rsidRPr="00EA09D0">
              <w:rPr>
                <w:rFonts w:ascii="Montserrat" w:hAnsi="Montserrat"/>
                <w:b/>
                <w:bCs/>
                <w:sz w:val="12"/>
                <w:szCs w:val="12"/>
                <w:lang w:val="es-MX" w:eastAsia="es-MX"/>
              </w:rPr>
              <w:t>7</w:t>
            </w:r>
          </w:p>
        </w:tc>
        <w:tc>
          <w:tcPr>
            <w:tcW w:w="1494" w:type="dxa"/>
            <w:tcBorders>
              <w:top w:val="nil"/>
              <w:left w:val="nil"/>
              <w:bottom w:val="single" w:sz="12" w:space="0" w:color="808080" w:themeColor="background1" w:themeShade="80"/>
              <w:right w:val="nil"/>
            </w:tcBorders>
            <w:shd w:val="clear" w:color="auto" w:fill="F2F2F2"/>
            <w:vAlign w:val="center"/>
          </w:tcPr>
          <w:p w:rsidR="00E73618" w:rsidRPr="00EA09D0" w:rsidRDefault="00E73618" w:rsidP="00025652">
            <w:pPr>
              <w:spacing w:before="20" w:after="20"/>
              <w:jc w:val="center"/>
              <w:rPr>
                <w:rFonts w:ascii="Montserrat" w:hAnsi="Montserrat"/>
                <w:b/>
                <w:bCs/>
                <w:sz w:val="12"/>
                <w:szCs w:val="12"/>
                <w:lang w:val="es-MX" w:eastAsia="es-MX"/>
              </w:rPr>
            </w:pPr>
            <w:r w:rsidRPr="00EA09D0">
              <w:rPr>
                <w:rFonts w:ascii="Montserrat" w:hAnsi="Montserrat"/>
                <w:b/>
                <w:bCs/>
                <w:sz w:val="12"/>
                <w:szCs w:val="12"/>
                <w:lang w:val="es-MX" w:eastAsia="es-MX"/>
              </w:rPr>
              <w:t>1</w:t>
            </w:r>
          </w:p>
        </w:tc>
        <w:tc>
          <w:tcPr>
            <w:tcW w:w="1195" w:type="dxa"/>
            <w:tcBorders>
              <w:top w:val="nil"/>
              <w:left w:val="nil"/>
              <w:bottom w:val="single" w:sz="12" w:space="0" w:color="808080" w:themeColor="background1" w:themeShade="80"/>
              <w:right w:val="nil"/>
            </w:tcBorders>
            <w:shd w:val="clear" w:color="auto" w:fill="F2F2F2"/>
            <w:vAlign w:val="center"/>
          </w:tcPr>
          <w:p w:rsidR="00E73618" w:rsidRPr="00EA09D0" w:rsidRDefault="00E73618" w:rsidP="00025652">
            <w:pPr>
              <w:spacing w:before="20" w:after="20"/>
              <w:jc w:val="center"/>
              <w:rPr>
                <w:rFonts w:ascii="Montserrat" w:hAnsi="Montserrat"/>
                <w:b/>
                <w:bCs/>
                <w:sz w:val="12"/>
                <w:szCs w:val="12"/>
                <w:lang w:val="es-MX" w:eastAsia="es-MX"/>
              </w:rPr>
            </w:pPr>
            <w:r w:rsidRPr="00EA09D0">
              <w:rPr>
                <w:rFonts w:ascii="Montserrat" w:hAnsi="Montserrat"/>
                <w:b/>
                <w:bCs/>
                <w:sz w:val="12"/>
                <w:szCs w:val="12"/>
                <w:lang w:val="es-MX" w:eastAsia="es-MX"/>
              </w:rPr>
              <w:t>4</w:t>
            </w:r>
          </w:p>
        </w:tc>
        <w:tc>
          <w:tcPr>
            <w:tcW w:w="1196" w:type="dxa"/>
            <w:tcBorders>
              <w:top w:val="nil"/>
              <w:left w:val="nil"/>
              <w:bottom w:val="single" w:sz="12" w:space="0" w:color="808080" w:themeColor="background1" w:themeShade="80"/>
              <w:right w:val="nil"/>
            </w:tcBorders>
            <w:shd w:val="clear" w:color="auto" w:fill="F2F2F2"/>
            <w:vAlign w:val="center"/>
          </w:tcPr>
          <w:p w:rsidR="00E73618" w:rsidRPr="00EA09D0" w:rsidRDefault="00E73618" w:rsidP="00025652">
            <w:pPr>
              <w:spacing w:before="20" w:after="20"/>
              <w:jc w:val="center"/>
              <w:rPr>
                <w:rFonts w:ascii="Montserrat" w:hAnsi="Montserrat"/>
                <w:b/>
                <w:bCs/>
                <w:sz w:val="12"/>
                <w:szCs w:val="12"/>
                <w:lang w:val="es-MX" w:eastAsia="es-MX"/>
              </w:rPr>
            </w:pPr>
            <w:r w:rsidRPr="00EA09D0">
              <w:rPr>
                <w:rFonts w:ascii="Montserrat" w:hAnsi="Montserrat"/>
                <w:b/>
                <w:bCs/>
                <w:sz w:val="12"/>
                <w:szCs w:val="12"/>
                <w:lang w:val="es-MX" w:eastAsia="es-MX"/>
              </w:rPr>
              <w:t>1</w:t>
            </w:r>
          </w:p>
        </w:tc>
        <w:tc>
          <w:tcPr>
            <w:tcW w:w="1197" w:type="dxa"/>
            <w:tcBorders>
              <w:top w:val="nil"/>
              <w:left w:val="nil"/>
              <w:bottom w:val="single" w:sz="12" w:space="0" w:color="808080" w:themeColor="background1" w:themeShade="80"/>
              <w:right w:val="nil"/>
            </w:tcBorders>
            <w:shd w:val="clear" w:color="auto" w:fill="F2F2F2"/>
            <w:vAlign w:val="center"/>
          </w:tcPr>
          <w:p w:rsidR="00E73618" w:rsidRPr="00EA09D0" w:rsidRDefault="00E73618" w:rsidP="00025652">
            <w:pPr>
              <w:spacing w:before="20" w:after="20"/>
              <w:jc w:val="center"/>
              <w:rPr>
                <w:rFonts w:ascii="Montserrat" w:hAnsi="Montserrat"/>
                <w:b/>
                <w:bCs/>
                <w:sz w:val="12"/>
                <w:szCs w:val="12"/>
                <w:lang w:val="es-MX" w:eastAsia="es-MX"/>
              </w:rPr>
            </w:pPr>
            <w:r w:rsidRPr="00EA09D0">
              <w:rPr>
                <w:rFonts w:ascii="Montserrat" w:hAnsi="Montserrat"/>
                <w:b/>
                <w:bCs/>
                <w:sz w:val="12"/>
                <w:szCs w:val="12"/>
                <w:lang w:val="es-MX" w:eastAsia="es-MX"/>
              </w:rPr>
              <w:t>1</w:t>
            </w:r>
          </w:p>
        </w:tc>
        <w:tc>
          <w:tcPr>
            <w:tcW w:w="1190" w:type="dxa"/>
            <w:tcBorders>
              <w:top w:val="nil"/>
              <w:left w:val="nil"/>
              <w:bottom w:val="single" w:sz="12" w:space="0" w:color="808080" w:themeColor="background1" w:themeShade="80"/>
              <w:right w:val="nil"/>
            </w:tcBorders>
            <w:shd w:val="clear" w:color="auto" w:fill="F2F2F2"/>
          </w:tcPr>
          <w:p w:rsidR="00E73618" w:rsidRPr="00EA09D0" w:rsidRDefault="00E73618" w:rsidP="00025652">
            <w:pPr>
              <w:spacing w:before="20" w:after="20"/>
              <w:jc w:val="center"/>
              <w:rPr>
                <w:rFonts w:ascii="Montserrat" w:hAnsi="Montserrat"/>
                <w:b/>
                <w:bCs/>
                <w:sz w:val="12"/>
                <w:szCs w:val="12"/>
                <w:lang w:val="es-MX" w:eastAsia="es-MX"/>
              </w:rPr>
            </w:pPr>
            <w:r w:rsidRPr="00EA09D0">
              <w:rPr>
                <w:rFonts w:ascii="Montserrat" w:hAnsi="Montserrat"/>
                <w:b/>
                <w:bCs/>
                <w:sz w:val="12"/>
                <w:szCs w:val="12"/>
                <w:lang w:val="es-MX" w:eastAsia="es-MX"/>
              </w:rPr>
              <w:t>14</w:t>
            </w:r>
          </w:p>
        </w:tc>
      </w:tr>
      <w:tr w:rsidR="008033B2" w:rsidRPr="00741C2B" w:rsidTr="00CA676E">
        <w:trPr>
          <w:trHeight w:val="300"/>
          <w:jc w:val="center"/>
        </w:trPr>
        <w:tc>
          <w:tcPr>
            <w:tcW w:w="9972" w:type="dxa"/>
            <w:gridSpan w:val="7"/>
            <w:tcBorders>
              <w:top w:val="single" w:sz="12" w:space="0" w:color="808080" w:themeColor="background1" w:themeShade="80"/>
              <w:left w:val="nil"/>
              <w:right w:val="nil"/>
            </w:tcBorders>
            <w:shd w:val="clear" w:color="auto" w:fill="auto"/>
            <w:vAlign w:val="center"/>
          </w:tcPr>
          <w:p w:rsidR="008033B2" w:rsidRPr="00EA09D0" w:rsidRDefault="008033B2" w:rsidP="001314EA">
            <w:pPr>
              <w:spacing w:before="20" w:after="20"/>
              <w:rPr>
                <w:b/>
                <w:bCs/>
                <w:sz w:val="12"/>
                <w:szCs w:val="12"/>
              </w:rPr>
            </w:pPr>
            <w:r w:rsidRPr="00EA09D0">
              <w:rPr>
                <w:b/>
                <w:bCs/>
                <w:sz w:val="12"/>
                <w:szCs w:val="12"/>
              </w:rPr>
              <w:t>Fuente:</w:t>
            </w:r>
            <w:r w:rsidRPr="00EA09D0">
              <w:rPr>
                <w:sz w:val="12"/>
                <w:szCs w:val="12"/>
              </w:rPr>
              <w:t xml:space="preserve"> </w:t>
            </w:r>
            <w:r w:rsidR="000919D1" w:rsidRPr="005653B3">
              <w:rPr>
                <w:sz w:val="12"/>
                <w:szCs w:val="12"/>
              </w:rPr>
              <w:t>Unidad de Evaluación del Desempeño</w:t>
            </w:r>
            <w:r w:rsidRPr="00EA09D0">
              <w:rPr>
                <w:sz w:val="12"/>
                <w:szCs w:val="12"/>
              </w:rPr>
              <w:t xml:space="preserve"> con información proporcionada por las dependencias y entidades de la Administración Pública Federal.</w:t>
            </w:r>
          </w:p>
        </w:tc>
      </w:tr>
    </w:tbl>
    <w:p w:rsidR="0034677D" w:rsidRDefault="009971DE" w:rsidP="009971DE">
      <w:pPr>
        <w:pStyle w:val="Cdetexto"/>
        <w:rPr>
          <w:szCs w:val="22"/>
          <w:lang w:val="es-MX"/>
        </w:rPr>
      </w:pPr>
      <w:r w:rsidRPr="008D08F6">
        <w:rPr>
          <w:szCs w:val="22"/>
          <w:lang w:val="es-MX"/>
        </w:rPr>
        <w:lastRenderedPageBreak/>
        <w:t>En la siguiente tabla se presenta adicionalmente un resumen sobre la calidad de las evalua</w:t>
      </w:r>
      <w:r w:rsidR="00EA09D0">
        <w:rPr>
          <w:szCs w:val="22"/>
          <w:lang w:val="es-MX"/>
        </w:rPr>
        <w:t>ciones recibidas, considerando cuatro</w:t>
      </w:r>
      <w:r w:rsidRPr="008D08F6">
        <w:rPr>
          <w:szCs w:val="22"/>
          <w:lang w:val="es-MX"/>
        </w:rPr>
        <w:t xml:space="preserve"> aspectos:</w:t>
      </w:r>
    </w:p>
    <w:p w:rsidR="00A4401E" w:rsidRPr="00A4401E" w:rsidRDefault="0034677D" w:rsidP="00A4401E">
      <w:pPr>
        <w:pStyle w:val="Cdetexto"/>
        <w:numPr>
          <w:ilvl w:val="0"/>
          <w:numId w:val="33"/>
        </w:numPr>
        <w:ind w:left="426"/>
        <w:rPr>
          <w:rFonts w:eastAsia="Calibri"/>
          <w:lang w:val="es-MX"/>
        </w:rPr>
      </w:pPr>
      <w:r w:rsidRPr="00A4401E">
        <w:rPr>
          <w:rFonts w:eastAsia="Calibri"/>
          <w:lang w:val="es-MX"/>
        </w:rPr>
        <w:t>C</w:t>
      </w:r>
      <w:r w:rsidR="009971DE" w:rsidRPr="00A4401E">
        <w:rPr>
          <w:rFonts w:eastAsia="Calibri"/>
          <w:lang w:val="es-MX"/>
        </w:rPr>
        <w:t>laridad</w:t>
      </w:r>
      <w:r w:rsidRPr="00A4401E">
        <w:rPr>
          <w:rFonts w:eastAsia="Calibri"/>
          <w:lang w:val="es-MX"/>
        </w:rPr>
        <w:t>. Refiere a la cualidad de «claro» en los textos asentados en la evaluación; es decir,</w:t>
      </w:r>
      <w:r w:rsidRPr="00A4401E">
        <w:rPr>
          <w:szCs w:val="22"/>
          <w:lang w:val="es-MX"/>
        </w:rPr>
        <w:t xml:space="preserve"> qué tan inteligibles, evidentes y de fácil comprensión son las ideas, descripciones, respuestas, hallazgos, argumentos, recomendaciones y valoraciones que en esta se incluyen, considerando reglas básicas de semántica, ortografía y gramática</w:t>
      </w:r>
      <w:r w:rsidR="00A4401E">
        <w:rPr>
          <w:szCs w:val="22"/>
          <w:lang w:val="es-MX"/>
        </w:rPr>
        <w:t>.</w:t>
      </w:r>
    </w:p>
    <w:p w:rsidR="00A4401E" w:rsidRPr="00A4401E" w:rsidRDefault="00A4401E" w:rsidP="005F0F2C">
      <w:pPr>
        <w:pStyle w:val="Cdetexto"/>
        <w:numPr>
          <w:ilvl w:val="0"/>
          <w:numId w:val="33"/>
        </w:numPr>
        <w:ind w:left="426"/>
        <w:rPr>
          <w:rFonts w:eastAsia="Calibri"/>
          <w:lang w:val="es-MX"/>
        </w:rPr>
      </w:pPr>
      <w:r w:rsidRPr="00A4401E">
        <w:rPr>
          <w:rFonts w:eastAsia="Calibri"/>
          <w:lang w:val="es-MX"/>
        </w:rPr>
        <w:t>O</w:t>
      </w:r>
      <w:r w:rsidR="009971DE" w:rsidRPr="00A4401E">
        <w:rPr>
          <w:rFonts w:eastAsia="Calibri"/>
          <w:lang w:val="es-MX"/>
        </w:rPr>
        <w:t>bjetividad</w:t>
      </w:r>
      <w:r w:rsidRPr="00A4401E">
        <w:rPr>
          <w:rFonts w:eastAsia="Calibri"/>
          <w:lang w:val="es-MX"/>
        </w:rPr>
        <w:t>.</w:t>
      </w:r>
      <w:r w:rsidR="009971DE" w:rsidRPr="00A4401E">
        <w:rPr>
          <w:rFonts w:eastAsia="Calibri"/>
          <w:lang w:val="es-MX"/>
        </w:rPr>
        <w:t xml:space="preserve"> </w:t>
      </w:r>
      <w:r w:rsidRPr="00A4401E">
        <w:rPr>
          <w:rFonts w:eastAsia="Calibri"/>
          <w:lang w:val="es-MX"/>
        </w:rPr>
        <w:t xml:space="preserve">Refiere a la </w:t>
      </w:r>
      <w:r w:rsidRPr="00A4401E">
        <w:rPr>
          <w:szCs w:val="22"/>
          <w:lang w:val="es-MX"/>
        </w:rPr>
        <w:t xml:space="preserve">neutralidad e imparcialidad de las valoraciones </w:t>
      </w:r>
      <w:proofErr w:type="gramStart"/>
      <w:r w:rsidR="00B137CD">
        <w:rPr>
          <w:szCs w:val="22"/>
          <w:lang w:val="es-MX"/>
        </w:rPr>
        <w:t xml:space="preserve">realizadas  </w:t>
      </w:r>
      <w:r w:rsidRPr="00A4401E">
        <w:rPr>
          <w:szCs w:val="22"/>
          <w:lang w:val="es-MX"/>
        </w:rPr>
        <w:t>en</w:t>
      </w:r>
      <w:proofErr w:type="gramEnd"/>
      <w:r w:rsidRPr="00A4401E">
        <w:rPr>
          <w:szCs w:val="22"/>
          <w:lang w:val="es-MX"/>
        </w:rPr>
        <w:t xml:space="preserve"> la evaluación; se toma en cuenta que toda valoración esté sustentada en los atributos </w:t>
      </w:r>
      <w:r w:rsidR="00B137CD">
        <w:rPr>
          <w:szCs w:val="22"/>
          <w:lang w:val="es-MX"/>
        </w:rPr>
        <w:t>existentes</w:t>
      </w:r>
      <w:r w:rsidRPr="00A4401E">
        <w:rPr>
          <w:szCs w:val="22"/>
          <w:lang w:val="es-MX"/>
        </w:rPr>
        <w:t xml:space="preserve"> o ausentes (fortalezas o debilidades) que tenga el Pp</w:t>
      </w:r>
      <w:r>
        <w:rPr>
          <w:szCs w:val="22"/>
          <w:lang w:val="es-MX"/>
        </w:rPr>
        <w:t>.</w:t>
      </w:r>
    </w:p>
    <w:p w:rsidR="00A4401E" w:rsidRDefault="00A4401E" w:rsidP="005F0F2C">
      <w:pPr>
        <w:pStyle w:val="Cdetexto"/>
        <w:numPr>
          <w:ilvl w:val="0"/>
          <w:numId w:val="33"/>
        </w:numPr>
        <w:ind w:left="426"/>
        <w:rPr>
          <w:rFonts w:eastAsia="Calibri"/>
          <w:lang w:val="es-MX"/>
        </w:rPr>
      </w:pPr>
      <w:r>
        <w:rPr>
          <w:rFonts w:eastAsia="Calibri"/>
          <w:lang w:val="es-MX"/>
        </w:rPr>
        <w:t>C</w:t>
      </w:r>
      <w:r w:rsidR="009971DE" w:rsidRPr="00A4401E">
        <w:rPr>
          <w:rFonts w:eastAsia="Calibri"/>
          <w:lang w:val="es-MX"/>
        </w:rPr>
        <w:t>onsistencia</w:t>
      </w:r>
      <w:r>
        <w:rPr>
          <w:rFonts w:eastAsia="Calibri"/>
          <w:lang w:val="es-MX"/>
        </w:rPr>
        <w:t>.</w:t>
      </w:r>
      <w:r w:rsidRPr="00A4401E">
        <w:rPr>
          <w:szCs w:val="22"/>
          <w:lang w:val="es-MX"/>
        </w:rPr>
        <w:t xml:space="preserve"> </w:t>
      </w:r>
      <w:r>
        <w:rPr>
          <w:szCs w:val="22"/>
          <w:lang w:val="es-MX"/>
        </w:rPr>
        <w:t xml:space="preserve">Refiere a la </w:t>
      </w:r>
      <w:r w:rsidRPr="0034677D">
        <w:rPr>
          <w:szCs w:val="22"/>
          <w:lang w:val="es-MX"/>
        </w:rPr>
        <w:t>coherencia, conexión o relación lógica que haya entre las diferentes ideas, descripciones, respuestas, hallazgos, argumentos y valoraciones de la evaluación; entre otros elementos, se toma en cuenta que no haya contradicciones en la evaluación o valoraciones contradictorias, disímiles o heterogéneas sobre un mismo elemento del</w:t>
      </w:r>
      <w:r>
        <w:rPr>
          <w:szCs w:val="22"/>
          <w:lang w:val="es-MX"/>
        </w:rPr>
        <w:t xml:space="preserve"> Pp.</w:t>
      </w:r>
    </w:p>
    <w:p w:rsidR="0034677D" w:rsidRPr="00A4401E" w:rsidRDefault="00A4401E" w:rsidP="009971DE">
      <w:pPr>
        <w:pStyle w:val="Cdetexto"/>
        <w:numPr>
          <w:ilvl w:val="0"/>
          <w:numId w:val="33"/>
        </w:numPr>
        <w:ind w:left="426"/>
        <w:rPr>
          <w:rFonts w:eastAsia="Calibri"/>
          <w:lang w:val="es-MX"/>
        </w:rPr>
      </w:pPr>
      <w:r>
        <w:rPr>
          <w:rFonts w:eastAsia="Calibri"/>
          <w:lang w:val="es-MX"/>
        </w:rPr>
        <w:t>S</w:t>
      </w:r>
      <w:r w:rsidR="009971DE" w:rsidRPr="00A4401E">
        <w:rPr>
          <w:rFonts w:eastAsia="Calibri"/>
          <w:lang w:val="es-MX"/>
        </w:rPr>
        <w:t xml:space="preserve">olidez </w:t>
      </w:r>
      <w:r>
        <w:rPr>
          <w:rFonts w:eastAsia="Calibri"/>
          <w:lang w:val="es-MX"/>
        </w:rPr>
        <w:t>T</w:t>
      </w:r>
      <w:r w:rsidR="009971DE" w:rsidRPr="00A4401E">
        <w:rPr>
          <w:rFonts w:eastAsia="Calibri"/>
          <w:lang w:val="es-MX"/>
        </w:rPr>
        <w:t>écnica.</w:t>
      </w:r>
      <w:r>
        <w:rPr>
          <w:rFonts w:eastAsia="Calibri"/>
          <w:lang w:val="es-MX"/>
        </w:rPr>
        <w:t xml:space="preserve"> Refiere al </w:t>
      </w:r>
      <w:r w:rsidR="0034677D" w:rsidRPr="00A4401E">
        <w:rPr>
          <w:szCs w:val="22"/>
          <w:lang w:val="es-MX"/>
        </w:rPr>
        <w:t xml:space="preserve">nivel de dominio técnico demostrado en la evaluación, en función del tipo de evaluación que se trate y del </w:t>
      </w:r>
      <w:proofErr w:type="spellStart"/>
      <w:r w:rsidR="0034677D" w:rsidRPr="00A4401E">
        <w:rPr>
          <w:szCs w:val="22"/>
          <w:lang w:val="es-MX"/>
        </w:rPr>
        <w:t>Pp</w:t>
      </w:r>
      <w:proofErr w:type="spellEnd"/>
      <w:r w:rsidR="0034677D" w:rsidRPr="00A4401E">
        <w:rPr>
          <w:szCs w:val="22"/>
          <w:lang w:val="es-MX"/>
        </w:rPr>
        <w:t xml:space="preserve"> evaluado; es decir, se debe demostrar en la evaluación que se conoce claramente la metodología de evaluación empleada y las particularidades técnicas relacionadas con el </w:t>
      </w:r>
      <w:proofErr w:type="spellStart"/>
      <w:r w:rsidR="0034677D" w:rsidRPr="00A4401E">
        <w:rPr>
          <w:szCs w:val="22"/>
          <w:lang w:val="es-MX"/>
        </w:rPr>
        <w:t>Pp</w:t>
      </w:r>
      <w:proofErr w:type="spellEnd"/>
      <w:r w:rsidR="0034677D" w:rsidRPr="00A4401E">
        <w:rPr>
          <w:szCs w:val="22"/>
          <w:lang w:val="es-MX"/>
        </w:rPr>
        <w:t xml:space="preserve"> evaluado</w:t>
      </w:r>
      <w:r>
        <w:rPr>
          <w:szCs w:val="22"/>
          <w:lang w:val="es-MX"/>
        </w:rPr>
        <w:t>.</w:t>
      </w:r>
    </w:p>
    <w:tbl>
      <w:tblPr>
        <w:tblW w:w="9923" w:type="dxa"/>
        <w:tblLayout w:type="fixed"/>
        <w:tblCellMar>
          <w:left w:w="70" w:type="dxa"/>
          <w:right w:w="70" w:type="dxa"/>
        </w:tblCellMar>
        <w:tblLook w:val="04A0" w:firstRow="1" w:lastRow="0" w:firstColumn="1" w:lastColumn="0" w:noHBand="0" w:noVBand="1"/>
      </w:tblPr>
      <w:tblGrid>
        <w:gridCol w:w="854"/>
        <w:gridCol w:w="989"/>
        <w:gridCol w:w="1276"/>
        <w:gridCol w:w="992"/>
        <w:gridCol w:w="1134"/>
        <w:gridCol w:w="1276"/>
        <w:gridCol w:w="850"/>
        <w:gridCol w:w="1134"/>
        <w:gridCol w:w="1418"/>
      </w:tblGrid>
      <w:tr w:rsidR="00EF61E0" w:rsidRPr="006E1449" w:rsidTr="005F0F2C">
        <w:trPr>
          <w:trHeight w:val="297"/>
        </w:trPr>
        <w:tc>
          <w:tcPr>
            <w:tcW w:w="9923" w:type="dxa"/>
            <w:gridSpan w:val="9"/>
            <w:tcBorders>
              <w:bottom w:val="single" w:sz="12" w:space="0" w:color="808080" w:themeColor="background1" w:themeShade="80"/>
            </w:tcBorders>
          </w:tcPr>
          <w:bookmarkEnd w:id="4"/>
          <w:bookmarkEnd w:id="5"/>
          <w:bookmarkEnd w:id="6"/>
          <w:p w:rsidR="00EF61E0" w:rsidRPr="006E1449" w:rsidRDefault="008D08F6" w:rsidP="00691AC1">
            <w:pPr>
              <w:pStyle w:val="CABEZA"/>
            </w:pPr>
            <w:r>
              <w:t xml:space="preserve"> </w:t>
            </w:r>
            <w:r w:rsidR="00EF61E0" w:rsidRPr="006E1449">
              <w:t xml:space="preserve">Tabla 3. Calidad de las evaluaciones </w:t>
            </w:r>
            <w:r w:rsidR="00DE6677">
              <w:rPr>
                <w:szCs w:val="18"/>
              </w:rPr>
              <w:t>entregadas a la UED</w:t>
            </w:r>
            <w:r w:rsidR="00DE6677" w:rsidRPr="00283490">
              <w:rPr>
                <w:szCs w:val="18"/>
              </w:rPr>
              <w:t xml:space="preserve"> </w:t>
            </w:r>
            <w:r w:rsidR="00EF61E0" w:rsidRPr="006E1449">
              <w:t>en el primer trimestre de 2019</w:t>
            </w:r>
            <w:r w:rsidR="003B6757">
              <w:t>.</w:t>
            </w:r>
          </w:p>
        </w:tc>
      </w:tr>
      <w:tr w:rsidR="0048566F" w:rsidRPr="00F05F01" w:rsidTr="00EF61E0">
        <w:trPr>
          <w:trHeight w:hRule="exact" w:val="57"/>
        </w:trPr>
        <w:tc>
          <w:tcPr>
            <w:tcW w:w="854" w:type="dxa"/>
            <w:tcBorders>
              <w:top w:val="single" w:sz="12" w:space="0" w:color="808080" w:themeColor="background1" w:themeShade="80"/>
            </w:tcBorders>
          </w:tcPr>
          <w:p w:rsidR="0048566F" w:rsidRPr="00F05F01" w:rsidRDefault="0048566F" w:rsidP="006E1449">
            <w:pPr>
              <w:spacing w:after="0"/>
              <w:rPr>
                <w:rFonts w:ascii="Montserrat" w:eastAsia="Times New Roman" w:hAnsi="Montserrat" w:cs="Calibri"/>
                <w:b/>
                <w:color w:val="000000"/>
                <w:sz w:val="6"/>
                <w:szCs w:val="6"/>
                <w:lang w:val="es-MX" w:eastAsia="es-MX"/>
              </w:rPr>
            </w:pPr>
          </w:p>
        </w:tc>
        <w:tc>
          <w:tcPr>
            <w:tcW w:w="9069" w:type="dxa"/>
            <w:gridSpan w:val="8"/>
            <w:tcBorders>
              <w:top w:val="single" w:sz="12" w:space="0" w:color="808080" w:themeColor="background1" w:themeShade="80"/>
            </w:tcBorders>
            <w:shd w:val="clear" w:color="auto" w:fill="auto"/>
            <w:vAlign w:val="bottom"/>
          </w:tcPr>
          <w:p w:rsidR="0048566F" w:rsidRPr="00F05F01" w:rsidRDefault="0048566F" w:rsidP="006E1449">
            <w:pPr>
              <w:spacing w:after="0"/>
              <w:rPr>
                <w:rFonts w:ascii="Montserrat" w:eastAsia="Times New Roman" w:hAnsi="Montserrat" w:cs="Calibri"/>
                <w:b/>
                <w:color w:val="000000"/>
                <w:sz w:val="6"/>
                <w:szCs w:val="6"/>
                <w:lang w:val="es-MX" w:eastAsia="es-MX"/>
              </w:rPr>
            </w:pPr>
          </w:p>
        </w:tc>
      </w:tr>
      <w:tr w:rsidR="0048566F" w:rsidRPr="006E1449" w:rsidTr="00481DA0">
        <w:trPr>
          <w:trHeight w:val="262"/>
        </w:trPr>
        <w:tc>
          <w:tcPr>
            <w:tcW w:w="854" w:type="dxa"/>
            <w:vMerge w:val="restart"/>
            <w:shd w:val="clear" w:color="auto" w:fill="D4C19C"/>
            <w:vAlign w:val="center"/>
          </w:tcPr>
          <w:p w:rsidR="0048566F" w:rsidRPr="00CA1E55" w:rsidRDefault="0048566F" w:rsidP="0048566F">
            <w:pPr>
              <w:spacing w:after="0"/>
              <w:jc w:val="center"/>
              <w:rPr>
                <w:rFonts w:ascii="Montserrat" w:eastAsia="Times New Roman" w:hAnsi="Montserrat" w:cs="Calibri"/>
                <w:b/>
                <w:color w:val="FFFFFF" w:themeColor="background1"/>
                <w:sz w:val="12"/>
                <w:szCs w:val="12"/>
                <w:lang w:val="es-MX" w:eastAsia="es-MX"/>
              </w:rPr>
            </w:pPr>
            <w:r w:rsidRPr="00CA1E55">
              <w:rPr>
                <w:rFonts w:ascii="Montserrat" w:eastAsia="Times New Roman" w:hAnsi="Montserrat" w:cs="Calibri"/>
                <w:b/>
                <w:color w:val="FFFFFF" w:themeColor="background1"/>
                <w:sz w:val="12"/>
                <w:szCs w:val="12"/>
                <w:lang w:val="es-MX" w:eastAsia="es-MX"/>
              </w:rPr>
              <w:t>Posición</w:t>
            </w:r>
          </w:p>
        </w:tc>
        <w:tc>
          <w:tcPr>
            <w:tcW w:w="989" w:type="dxa"/>
            <w:vMerge w:val="restart"/>
            <w:shd w:val="clear" w:color="auto" w:fill="D4C19C"/>
            <w:vAlign w:val="center"/>
            <w:hideMark/>
          </w:tcPr>
          <w:p w:rsidR="0048566F" w:rsidRPr="00CA1E55" w:rsidRDefault="0048566F" w:rsidP="006E1449">
            <w:pPr>
              <w:spacing w:after="0"/>
              <w:jc w:val="center"/>
              <w:rPr>
                <w:rFonts w:ascii="Montserrat" w:eastAsia="Times New Roman" w:hAnsi="Montserrat" w:cs="Calibri"/>
                <w:b/>
                <w:color w:val="FFFFFF" w:themeColor="background1"/>
                <w:sz w:val="12"/>
                <w:szCs w:val="12"/>
                <w:lang w:val="es-MX" w:eastAsia="es-MX"/>
              </w:rPr>
            </w:pPr>
            <w:r w:rsidRPr="00CA1E55">
              <w:rPr>
                <w:rFonts w:ascii="Montserrat" w:eastAsia="Times New Roman" w:hAnsi="Montserrat" w:cs="Calibri"/>
                <w:b/>
                <w:color w:val="FFFFFF" w:themeColor="background1"/>
                <w:sz w:val="12"/>
                <w:szCs w:val="12"/>
                <w:lang w:val="es-MX" w:eastAsia="es-MX"/>
              </w:rPr>
              <w:t>Ramo y Clave</w:t>
            </w:r>
          </w:p>
        </w:tc>
        <w:tc>
          <w:tcPr>
            <w:tcW w:w="1276" w:type="dxa"/>
            <w:vMerge w:val="restart"/>
            <w:shd w:val="clear" w:color="auto" w:fill="D4C19C"/>
            <w:vAlign w:val="center"/>
            <w:hideMark/>
          </w:tcPr>
          <w:p w:rsidR="0048566F" w:rsidRPr="00CA1E55" w:rsidRDefault="0048566F" w:rsidP="006E1449">
            <w:pPr>
              <w:spacing w:after="0"/>
              <w:jc w:val="center"/>
              <w:rPr>
                <w:rFonts w:ascii="Montserrat" w:eastAsia="Times New Roman" w:hAnsi="Montserrat" w:cs="Calibri"/>
                <w:b/>
                <w:color w:val="FFFFFF" w:themeColor="background1"/>
                <w:sz w:val="12"/>
                <w:szCs w:val="12"/>
                <w:lang w:val="es-MX" w:eastAsia="es-MX"/>
              </w:rPr>
            </w:pPr>
            <w:r w:rsidRPr="00CA1E55">
              <w:rPr>
                <w:rFonts w:ascii="Montserrat" w:eastAsia="Times New Roman" w:hAnsi="Montserrat" w:cs="Calibri"/>
                <w:b/>
                <w:color w:val="FFFFFF" w:themeColor="background1"/>
                <w:sz w:val="12"/>
                <w:szCs w:val="12"/>
                <w:lang w:val="es-MX" w:eastAsia="es-MX"/>
              </w:rPr>
              <w:t>Tipo de evaluación</w:t>
            </w:r>
          </w:p>
        </w:tc>
        <w:tc>
          <w:tcPr>
            <w:tcW w:w="5386" w:type="dxa"/>
            <w:gridSpan w:val="5"/>
            <w:tcBorders>
              <w:bottom w:val="single" w:sz="4" w:space="0" w:color="FFFFFF" w:themeColor="background1"/>
            </w:tcBorders>
            <w:shd w:val="clear" w:color="auto" w:fill="D4C19C"/>
            <w:vAlign w:val="center"/>
            <w:hideMark/>
          </w:tcPr>
          <w:p w:rsidR="0048566F" w:rsidRPr="00CA1E55" w:rsidRDefault="0048566F" w:rsidP="00925758">
            <w:pPr>
              <w:spacing w:after="0"/>
              <w:jc w:val="center"/>
              <w:rPr>
                <w:rFonts w:ascii="Montserrat" w:eastAsia="Times New Roman" w:hAnsi="Montserrat" w:cs="Calibri"/>
                <w:b/>
                <w:color w:val="FFFFFF" w:themeColor="background1"/>
                <w:sz w:val="12"/>
                <w:szCs w:val="12"/>
                <w:lang w:val="es-MX" w:eastAsia="es-MX"/>
              </w:rPr>
            </w:pPr>
            <w:r w:rsidRPr="00CA1E55">
              <w:rPr>
                <w:rFonts w:ascii="Montserrat" w:eastAsia="Times New Roman" w:hAnsi="Montserrat" w:cs="Calibri"/>
                <w:b/>
                <w:color w:val="FFFFFF" w:themeColor="background1"/>
                <w:sz w:val="12"/>
                <w:szCs w:val="12"/>
                <w:lang w:val="es-MX" w:eastAsia="es-MX"/>
              </w:rPr>
              <w:t xml:space="preserve">Aspectos </w:t>
            </w:r>
            <w:r w:rsidR="00925758" w:rsidRPr="00CA1E55">
              <w:rPr>
                <w:rFonts w:ascii="Montserrat" w:eastAsia="Times New Roman" w:hAnsi="Montserrat" w:cs="Calibri"/>
                <w:b/>
                <w:color w:val="FFFFFF" w:themeColor="background1"/>
                <w:sz w:val="12"/>
                <w:szCs w:val="12"/>
                <w:lang w:val="es-MX" w:eastAsia="es-MX"/>
              </w:rPr>
              <w:t>considerados</w:t>
            </w:r>
          </w:p>
        </w:tc>
        <w:tc>
          <w:tcPr>
            <w:tcW w:w="1418" w:type="dxa"/>
            <w:vMerge w:val="restart"/>
            <w:shd w:val="clear" w:color="auto" w:fill="D4C19C"/>
            <w:vAlign w:val="center"/>
            <w:hideMark/>
          </w:tcPr>
          <w:p w:rsidR="0048566F" w:rsidRPr="00CA1E55" w:rsidRDefault="0048566F" w:rsidP="006E1449">
            <w:pPr>
              <w:spacing w:after="0"/>
              <w:jc w:val="center"/>
              <w:rPr>
                <w:rFonts w:ascii="Montserrat" w:eastAsia="Times New Roman" w:hAnsi="Montserrat" w:cs="Calibri"/>
                <w:b/>
                <w:color w:val="FFFFFF" w:themeColor="background1"/>
                <w:sz w:val="12"/>
                <w:szCs w:val="12"/>
                <w:lang w:val="es-MX" w:eastAsia="es-MX"/>
              </w:rPr>
            </w:pPr>
            <w:r w:rsidRPr="00CA1E55">
              <w:rPr>
                <w:rFonts w:ascii="Montserrat" w:eastAsia="Times New Roman" w:hAnsi="Montserrat" w:cs="Calibri"/>
                <w:b/>
                <w:color w:val="FFFFFF" w:themeColor="background1"/>
                <w:sz w:val="12"/>
                <w:szCs w:val="12"/>
                <w:lang w:val="es-MX" w:eastAsia="es-MX"/>
              </w:rPr>
              <w:t xml:space="preserve"> </w:t>
            </w:r>
            <w:r w:rsidRPr="00CA1E55">
              <w:rPr>
                <w:rFonts w:ascii="Montserrat" w:eastAsia="Times New Roman" w:hAnsi="Montserrat" w:cs="Calibri"/>
                <w:b/>
                <w:color w:val="FFFFFF" w:themeColor="background1"/>
                <w:sz w:val="12"/>
                <w:szCs w:val="12"/>
                <w:shd w:val="clear" w:color="auto" w:fill="D4C19C"/>
                <w:lang w:val="es-MX" w:eastAsia="es-MX"/>
              </w:rPr>
              <w:t>Costo de la evaluación</w:t>
            </w:r>
            <w:r w:rsidRPr="00CA1E55">
              <w:rPr>
                <w:rFonts w:ascii="Montserrat" w:eastAsia="Times New Roman" w:hAnsi="Montserrat" w:cs="Calibri"/>
                <w:b/>
                <w:color w:val="FFFFFF" w:themeColor="background1"/>
                <w:sz w:val="12"/>
                <w:szCs w:val="12"/>
                <w:lang w:val="es-MX" w:eastAsia="es-MX"/>
              </w:rPr>
              <w:t xml:space="preserve"> </w:t>
            </w:r>
          </w:p>
        </w:tc>
      </w:tr>
      <w:tr w:rsidR="0048566F" w:rsidRPr="006E1449" w:rsidTr="005A525E">
        <w:trPr>
          <w:trHeight w:val="391"/>
        </w:trPr>
        <w:tc>
          <w:tcPr>
            <w:tcW w:w="854" w:type="dxa"/>
            <w:vMerge/>
            <w:tcBorders>
              <w:top w:val="single" w:sz="12" w:space="0" w:color="808080" w:themeColor="background1" w:themeShade="80"/>
            </w:tcBorders>
            <w:shd w:val="clear" w:color="auto" w:fill="D4C19C"/>
            <w:vAlign w:val="center"/>
          </w:tcPr>
          <w:p w:rsidR="0048566F" w:rsidRPr="00CA1E55" w:rsidRDefault="0048566F" w:rsidP="0048566F">
            <w:pPr>
              <w:spacing w:after="0"/>
              <w:jc w:val="center"/>
              <w:rPr>
                <w:rFonts w:ascii="Montserrat" w:eastAsia="Times New Roman" w:hAnsi="Montserrat" w:cs="Calibri"/>
                <w:color w:val="000000"/>
                <w:sz w:val="12"/>
                <w:szCs w:val="12"/>
                <w:lang w:val="es-MX" w:eastAsia="es-MX"/>
              </w:rPr>
            </w:pPr>
          </w:p>
        </w:tc>
        <w:tc>
          <w:tcPr>
            <w:tcW w:w="989" w:type="dxa"/>
            <w:vMerge/>
            <w:tcBorders>
              <w:top w:val="single" w:sz="12" w:space="0" w:color="808080" w:themeColor="background1" w:themeShade="80"/>
            </w:tcBorders>
            <w:shd w:val="clear" w:color="auto" w:fill="D4C19C"/>
            <w:vAlign w:val="center"/>
            <w:hideMark/>
          </w:tcPr>
          <w:p w:rsidR="0048566F" w:rsidRPr="00CA1E55" w:rsidRDefault="0048566F" w:rsidP="006E1449">
            <w:pPr>
              <w:spacing w:after="0"/>
              <w:rPr>
                <w:rFonts w:ascii="Montserrat" w:eastAsia="Times New Roman" w:hAnsi="Montserrat" w:cs="Calibri"/>
                <w:color w:val="000000"/>
                <w:sz w:val="12"/>
                <w:szCs w:val="12"/>
                <w:lang w:val="es-MX" w:eastAsia="es-MX"/>
              </w:rPr>
            </w:pPr>
          </w:p>
        </w:tc>
        <w:tc>
          <w:tcPr>
            <w:tcW w:w="1276" w:type="dxa"/>
            <w:vMerge/>
            <w:tcBorders>
              <w:top w:val="single" w:sz="12" w:space="0" w:color="FFFFFF" w:themeColor="background1"/>
            </w:tcBorders>
            <w:shd w:val="clear" w:color="auto" w:fill="D4C19C"/>
            <w:vAlign w:val="center"/>
            <w:hideMark/>
          </w:tcPr>
          <w:p w:rsidR="0048566F" w:rsidRPr="00CA1E55" w:rsidRDefault="0048566F" w:rsidP="006E1449">
            <w:pPr>
              <w:spacing w:after="0"/>
              <w:rPr>
                <w:rFonts w:ascii="Montserrat" w:eastAsia="Times New Roman" w:hAnsi="Montserrat" w:cs="Calibri"/>
                <w:color w:val="000000"/>
                <w:sz w:val="12"/>
                <w:szCs w:val="12"/>
                <w:lang w:val="es-MX" w:eastAsia="es-MX"/>
              </w:rPr>
            </w:pPr>
          </w:p>
        </w:tc>
        <w:tc>
          <w:tcPr>
            <w:tcW w:w="992" w:type="dxa"/>
            <w:tcBorders>
              <w:top w:val="single" w:sz="4" w:space="0" w:color="FFFFFF" w:themeColor="background1"/>
            </w:tcBorders>
            <w:shd w:val="clear" w:color="auto" w:fill="D4C19C"/>
            <w:vAlign w:val="center"/>
            <w:hideMark/>
          </w:tcPr>
          <w:p w:rsidR="0048566F" w:rsidRPr="00CA1E55" w:rsidRDefault="0048566F" w:rsidP="006E1449">
            <w:pPr>
              <w:spacing w:after="0"/>
              <w:rPr>
                <w:rFonts w:ascii="Montserrat" w:eastAsia="Times New Roman" w:hAnsi="Montserrat" w:cs="Calibri"/>
                <w:b/>
                <w:color w:val="FFFFFF" w:themeColor="background1"/>
                <w:sz w:val="12"/>
                <w:szCs w:val="12"/>
                <w:lang w:val="es-MX" w:eastAsia="es-MX"/>
              </w:rPr>
            </w:pPr>
            <w:r w:rsidRPr="00CA1E55">
              <w:rPr>
                <w:rFonts w:ascii="Montserrat" w:eastAsia="Times New Roman" w:hAnsi="Montserrat" w:cs="Calibri"/>
                <w:b/>
                <w:color w:val="FFFFFF" w:themeColor="background1"/>
                <w:sz w:val="12"/>
                <w:szCs w:val="12"/>
                <w:lang w:val="es-MX" w:eastAsia="es-MX"/>
              </w:rPr>
              <w:t>Claridad</w:t>
            </w:r>
          </w:p>
        </w:tc>
        <w:tc>
          <w:tcPr>
            <w:tcW w:w="1134" w:type="dxa"/>
            <w:tcBorders>
              <w:top w:val="single" w:sz="4" w:space="0" w:color="FFFFFF" w:themeColor="background1"/>
            </w:tcBorders>
            <w:shd w:val="clear" w:color="auto" w:fill="D4C19C"/>
            <w:vAlign w:val="center"/>
            <w:hideMark/>
          </w:tcPr>
          <w:p w:rsidR="0048566F" w:rsidRPr="00CA1E55" w:rsidRDefault="0048566F" w:rsidP="006E1449">
            <w:pPr>
              <w:spacing w:after="0"/>
              <w:rPr>
                <w:rFonts w:ascii="Montserrat" w:eastAsia="Times New Roman" w:hAnsi="Montserrat" w:cs="Calibri"/>
                <w:b/>
                <w:color w:val="FFFFFF" w:themeColor="background1"/>
                <w:sz w:val="12"/>
                <w:szCs w:val="12"/>
                <w:lang w:val="es-MX" w:eastAsia="es-MX"/>
              </w:rPr>
            </w:pPr>
            <w:r w:rsidRPr="00CA1E55">
              <w:rPr>
                <w:rFonts w:ascii="Montserrat" w:eastAsia="Times New Roman" w:hAnsi="Montserrat" w:cs="Calibri"/>
                <w:b/>
                <w:color w:val="FFFFFF" w:themeColor="background1"/>
                <w:sz w:val="12"/>
                <w:szCs w:val="12"/>
                <w:lang w:val="es-MX" w:eastAsia="es-MX"/>
              </w:rPr>
              <w:t xml:space="preserve">Objetividad </w:t>
            </w:r>
          </w:p>
        </w:tc>
        <w:tc>
          <w:tcPr>
            <w:tcW w:w="1276" w:type="dxa"/>
            <w:tcBorders>
              <w:top w:val="single" w:sz="4" w:space="0" w:color="FFFFFF" w:themeColor="background1"/>
            </w:tcBorders>
            <w:shd w:val="clear" w:color="auto" w:fill="D4C19C"/>
            <w:vAlign w:val="center"/>
            <w:hideMark/>
          </w:tcPr>
          <w:p w:rsidR="0048566F" w:rsidRPr="00CA1E55" w:rsidRDefault="0048566F" w:rsidP="006E1449">
            <w:pPr>
              <w:spacing w:after="0"/>
              <w:rPr>
                <w:rFonts w:ascii="Montserrat" w:eastAsia="Times New Roman" w:hAnsi="Montserrat" w:cs="Calibri"/>
                <w:b/>
                <w:color w:val="FFFFFF" w:themeColor="background1"/>
                <w:sz w:val="12"/>
                <w:szCs w:val="12"/>
                <w:lang w:val="es-MX" w:eastAsia="es-MX"/>
              </w:rPr>
            </w:pPr>
            <w:r w:rsidRPr="00CA1E55">
              <w:rPr>
                <w:rFonts w:ascii="Montserrat" w:eastAsia="Times New Roman" w:hAnsi="Montserrat" w:cs="Calibri"/>
                <w:b/>
                <w:color w:val="FFFFFF" w:themeColor="background1"/>
                <w:sz w:val="12"/>
                <w:szCs w:val="12"/>
                <w:lang w:val="es-MX" w:eastAsia="es-MX"/>
              </w:rPr>
              <w:t>Consistencia</w:t>
            </w:r>
          </w:p>
        </w:tc>
        <w:tc>
          <w:tcPr>
            <w:tcW w:w="850" w:type="dxa"/>
            <w:tcBorders>
              <w:top w:val="single" w:sz="4" w:space="0" w:color="FFFFFF" w:themeColor="background1"/>
            </w:tcBorders>
            <w:shd w:val="clear" w:color="auto" w:fill="D4C19C"/>
            <w:vAlign w:val="center"/>
            <w:hideMark/>
          </w:tcPr>
          <w:p w:rsidR="0048566F" w:rsidRPr="00CA1E55" w:rsidRDefault="0048566F" w:rsidP="006E1449">
            <w:pPr>
              <w:spacing w:after="0"/>
              <w:rPr>
                <w:rFonts w:ascii="Montserrat" w:eastAsia="Times New Roman" w:hAnsi="Montserrat" w:cs="Calibri"/>
                <w:b/>
                <w:color w:val="FFFFFF" w:themeColor="background1"/>
                <w:sz w:val="12"/>
                <w:szCs w:val="12"/>
                <w:lang w:val="es-MX" w:eastAsia="es-MX"/>
              </w:rPr>
            </w:pPr>
            <w:r w:rsidRPr="00CA1E55">
              <w:rPr>
                <w:rFonts w:ascii="Montserrat" w:eastAsia="Times New Roman" w:hAnsi="Montserrat" w:cs="Calibri"/>
                <w:b/>
                <w:color w:val="FFFFFF" w:themeColor="background1"/>
                <w:sz w:val="12"/>
                <w:szCs w:val="12"/>
                <w:lang w:val="es-MX" w:eastAsia="es-MX"/>
              </w:rPr>
              <w:t>Solidez</w:t>
            </w:r>
          </w:p>
        </w:tc>
        <w:tc>
          <w:tcPr>
            <w:tcW w:w="1134" w:type="dxa"/>
            <w:tcBorders>
              <w:top w:val="single" w:sz="4" w:space="0" w:color="FFFFFF" w:themeColor="background1"/>
            </w:tcBorders>
            <w:shd w:val="clear" w:color="auto" w:fill="D4C19C"/>
            <w:vAlign w:val="center"/>
            <w:hideMark/>
          </w:tcPr>
          <w:p w:rsidR="0048566F" w:rsidRPr="00CA1E55" w:rsidRDefault="005A525E" w:rsidP="005A525E">
            <w:pPr>
              <w:spacing w:after="0"/>
              <w:jc w:val="center"/>
              <w:rPr>
                <w:rFonts w:ascii="Montserrat" w:eastAsia="Times New Roman" w:hAnsi="Montserrat" w:cs="Calibri"/>
                <w:b/>
                <w:color w:val="FFFFFF" w:themeColor="background1"/>
                <w:sz w:val="12"/>
                <w:szCs w:val="12"/>
                <w:lang w:val="es-MX" w:eastAsia="es-MX"/>
              </w:rPr>
            </w:pPr>
            <w:r>
              <w:rPr>
                <w:rFonts w:ascii="Montserrat" w:eastAsia="Times New Roman" w:hAnsi="Montserrat" w:cs="Calibri"/>
                <w:b/>
                <w:color w:val="FFFFFF" w:themeColor="background1"/>
                <w:sz w:val="12"/>
                <w:szCs w:val="12"/>
                <w:lang w:val="es-MX" w:eastAsia="es-MX"/>
              </w:rPr>
              <w:t>Valoración</w:t>
            </w:r>
            <w:r w:rsidR="0048566F" w:rsidRPr="00CA1E55">
              <w:rPr>
                <w:rFonts w:ascii="Montserrat" w:eastAsia="Times New Roman" w:hAnsi="Montserrat" w:cs="Calibri"/>
                <w:b/>
                <w:color w:val="FFFFFF" w:themeColor="background1"/>
                <w:sz w:val="12"/>
                <w:szCs w:val="12"/>
                <w:lang w:val="es-MX" w:eastAsia="es-MX"/>
              </w:rPr>
              <w:t xml:space="preserve"> general</w:t>
            </w:r>
          </w:p>
        </w:tc>
        <w:tc>
          <w:tcPr>
            <w:tcW w:w="1418" w:type="dxa"/>
            <w:vMerge/>
            <w:vAlign w:val="center"/>
            <w:hideMark/>
          </w:tcPr>
          <w:p w:rsidR="0048566F" w:rsidRPr="00CA1E55" w:rsidRDefault="0048566F" w:rsidP="006E1449">
            <w:pPr>
              <w:spacing w:after="0"/>
              <w:rPr>
                <w:rFonts w:ascii="Montserrat" w:eastAsia="Times New Roman" w:hAnsi="Montserrat" w:cs="Calibri"/>
                <w:color w:val="000000"/>
                <w:sz w:val="12"/>
                <w:szCs w:val="12"/>
                <w:lang w:val="es-MX" w:eastAsia="es-MX"/>
              </w:rPr>
            </w:pPr>
          </w:p>
        </w:tc>
      </w:tr>
      <w:tr w:rsidR="0048566F" w:rsidRPr="00F05F01" w:rsidTr="00EF61E0">
        <w:trPr>
          <w:trHeight w:hRule="exact" w:val="57"/>
        </w:trPr>
        <w:tc>
          <w:tcPr>
            <w:tcW w:w="854" w:type="dxa"/>
            <w:tcBorders>
              <w:bottom w:val="single" w:sz="12" w:space="0" w:color="808080" w:themeColor="background1" w:themeShade="80"/>
            </w:tcBorders>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989" w:type="dxa"/>
            <w:tcBorders>
              <w:bottom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1276" w:type="dxa"/>
            <w:tcBorders>
              <w:bottom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992" w:type="dxa"/>
            <w:tcBorders>
              <w:bottom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1134" w:type="dxa"/>
            <w:tcBorders>
              <w:bottom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1276" w:type="dxa"/>
            <w:tcBorders>
              <w:bottom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850" w:type="dxa"/>
            <w:tcBorders>
              <w:bottom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1134" w:type="dxa"/>
            <w:tcBorders>
              <w:bottom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1418" w:type="dxa"/>
            <w:tcBorders>
              <w:bottom w:val="single" w:sz="12" w:space="0" w:color="808080" w:themeColor="background1" w:themeShade="80"/>
            </w:tcBorders>
            <w:shd w:val="clear" w:color="auto" w:fill="auto"/>
            <w:vAlign w:val="bottom"/>
          </w:tcPr>
          <w:p w:rsidR="0048566F" w:rsidRPr="00CA1E55" w:rsidRDefault="0048566F" w:rsidP="006E1449">
            <w:pPr>
              <w:spacing w:after="0"/>
              <w:rPr>
                <w:rFonts w:ascii="Montserrat" w:eastAsia="Times New Roman" w:hAnsi="Montserrat" w:cs="Calibri"/>
                <w:color w:val="000000"/>
                <w:sz w:val="12"/>
                <w:szCs w:val="12"/>
                <w:lang w:val="es-MX" w:eastAsia="es-MX"/>
              </w:rPr>
            </w:pPr>
          </w:p>
        </w:tc>
      </w:tr>
      <w:tr w:rsidR="0048566F" w:rsidRPr="00F05F01" w:rsidTr="00EF61E0">
        <w:trPr>
          <w:trHeight w:hRule="exact" w:val="57"/>
        </w:trPr>
        <w:tc>
          <w:tcPr>
            <w:tcW w:w="854" w:type="dxa"/>
            <w:tcBorders>
              <w:top w:val="single" w:sz="12" w:space="0" w:color="808080" w:themeColor="background1" w:themeShade="80"/>
              <w:bottom w:val="single" w:sz="12" w:space="0" w:color="808080" w:themeColor="background1" w:themeShade="80"/>
            </w:tcBorders>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989" w:type="dxa"/>
            <w:tcBorders>
              <w:top w:val="single" w:sz="12" w:space="0" w:color="808080" w:themeColor="background1" w:themeShade="80"/>
              <w:bottom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1276" w:type="dxa"/>
            <w:tcBorders>
              <w:top w:val="single" w:sz="12" w:space="0" w:color="808080" w:themeColor="background1" w:themeShade="80"/>
              <w:bottom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992" w:type="dxa"/>
            <w:tcBorders>
              <w:top w:val="single" w:sz="12" w:space="0" w:color="808080" w:themeColor="background1" w:themeShade="80"/>
              <w:bottom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1134" w:type="dxa"/>
            <w:tcBorders>
              <w:top w:val="single" w:sz="12" w:space="0" w:color="808080" w:themeColor="background1" w:themeShade="80"/>
              <w:bottom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1276" w:type="dxa"/>
            <w:tcBorders>
              <w:top w:val="single" w:sz="12" w:space="0" w:color="808080" w:themeColor="background1" w:themeShade="80"/>
              <w:bottom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850" w:type="dxa"/>
            <w:tcBorders>
              <w:top w:val="single" w:sz="12" w:space="0" w:color="808080" w:themeColor="background1" w:themeShade="80"/>
              <w:bottom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1134" w:type="dxa"/>
            <w:tcBorders>
              <w:top w:val="single" w:sz="12" w:space="0" w:color="808080" w:themeColor="background1" w:themeShade="80"/>
              <w:bottom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1418" w:type="dxa"/>
            <w:tcBorders>
              <w:top w:val="single" w:sz="12" w:space="0" w:color="808080" w:themeColor="background1" w:themeShade="80"/>
              <w:bottom w:val="single" w:sz="12" w:space="0" w:color="808080" w:themeColor="background1" w:themeShade="80"/>
            </w:tcBorders>
            <w:shd w:val="clear" w:color="auto" w:fill="auto"/>
            <w:vAlign w:val="bottom"/>
          </w:tcPr>
          <w:p w:rsidR="0048566F" w:rsidRPr="00CA1E55" w:rsidRDefault="0048566F" w:rsidP="006E1449">
            <w:pPr>
              <w:spacing w:after="0"/>
              <w:rPr>
                <w:rFonts w:ascii="Montserrat" w:eastAsia="Times New Roman" w:hAnsi="Montserrat" w:cs="Calibri"/>
                <w:color w:val="000000"/>
                <w:sz w:val="12"/>
                <w:szCs w:val="12"/>
                <w:lang w:val="es-MX" w:eastAsia="es-MX"/>
              </w:rPr>
            </w:pPr>
          </w:p>
        </w:tc>
      </w:tr>
      <w:tr w:rsidR="0048566F" w:rsidRPr="00F05F01" w:rsidTr="00EF61E0">
        <w:trPr>
          <w:trHeight w:hRule="exact" w:val="57"/>
        </w:trPr>
        <w:tc>
          <w:tcPr>
            <w:tcW w:w="854" w:type="dxa"/>
            <w:tcBorders>
              <w:top w:val="single" w:sz="12" w:space="0" w:color="808080" w:themeColor="background1" w:themeShade="80"/>
            </w:tcBorders>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989" w:type="dxa"/>
            <w:tcBorders>
              <w:top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1276" w:type="dxa"/>
            <w:tcBorders>
              <w:top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992" w:type="dxa"/>
            <w:tcBorders>
              <w:top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1134" w:type="dxa"/>
            <w:tcBorders>
              <w:top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1276" w:type="dxa"/>
            <w:tcBorders>
              <w:top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850" w:type="dxa"/>
            <w:tcBorders>
              <w:top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1134" w:type="dxa"/>
            <w:tcBorders>
              <w:top w:val="single" w:sz="12" w:space="0" w:color="808080" w:themeColor="background1" w:themeShade="80"/>
            </w:tcBorders>
            <w:shd w:val="clear" w:color="auto" w:fill="auto"/>
            <w:vAlign w:val="bottom"/>
          </w:tcPr>
          <w:p w:rsidR="0048566F" w:rsidRPr="00CA1E55" w:rsidRDefault="0048566F" w:rsidP="006E1449">
            <w:pPr>
              <w:spacing w:after="0"/>
              <w:jc w:val="center"/>
              <w:rPr>
                <w:rFonts w:ascii="Montserrat" w:eastAsia="Times New Roman" w:hAnsi="Montserrat" w:cs="Calibri"/>
                <w:color w:val="000000"/>
                <w:sz w:val="12"/>
                <w:szCs w:val="12"/>
                <w:lang w:val="es-MX" w:eastAsia="es-MX"/>
              </w:rPr>
            </w:pPr>
          </w:p>
        </w:tc>
        <w:tc>
          <w:tcPr>
            <w:tcW w:w="1418" w:type="dxa"/>
            <w:tcBorders>
              <w:top w:val="single" w:sz="12" w:space="0" w:color="808080" w:themeColor="background1" w:themeShade="80"/>
            </w:tcBorders>
            <w:shd w:val="clear" w:color="auto" w:fill="auto"/>
            <w:vAlign w:val="bottom"/>
          </w:tcPr>
          <w:p w:rsidR="0048566F" w:rsidRPr="00CA1E55" w:rsidRDefault="0048566F" w:rsidP="006E1449">
            <w:pPr>
              <w:spacing w:after="0"/>
              <w:rPr>
                <w:rFonts w:ascii="Montserrat" w:eastAsia="Times New Roman" w:hAnsi="Montserrat" w:cs="Calibri"/>
                <w:color w:val="000000"/>
                <w:sz w:val="12"/>
                <w:szCs w:val="12"/>
                <w:lang w:val="es-MX" w:eastAsia="es-MX"/>
              </w:rPr>
            </w:pPr>
          </w:p>
        </w:tc>
      </w:tr>
      <w:tr w:rsidR="0048566F" w:rsidRPr="006E1449" w:rsidTr="00CA1E55">
        <w:trPr>
          <w:trHeight w:hRule="exact" w:val="284"/>
        </w:trPr>
        <w:tc>
          <w:tcPr>
            <w:tcW w:w="854" w:type="dxa"/>
            <w:tcBorders>
              <w:bottom w:val="single" w:sz="2" w:space="0" w:color="auto"/>
            </w:tcBorders>
            <w:shd w:val="clear" w:color="auto" w:fill="F2F2F2"/>
            <w:vAlign w:val="center"/>
          </w:tcPr>
          <w:p w:rsidR="0048566F" w:rsidRPr="00CA1E55" w:rsidRDefault="0048566F" w:rsidP="0048566F">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1</w:t>
            </w:r>
          </w:p>
        </w:tc>
        <w:tc>
          <w:tcPr>
            <w:tcW w:w="989" w:type="dxa"/>
            <w:tcBorders>
              <w:bottom w:val="single" w:sz="2" w:space="0" w:color="auto"/>
            </w:tcBorders>
            <w:shd w:val="clear" w:color="auto" w:fill="F2F2F2"/>
            <w:vAlign w:val="center"/>
            <w:hideMark/>
          </w:tcPr>
          <w:p w:rsidR="0048566F" w:rsidRPr="00CA1E55" w:rsidRDefault="0048566F" w:rsidP="00F05F01">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06 - F017</w:t>
            </w:r>
          </w:p>
        </w:tc>
        <w:tc>
          <w:tcPr>
            <w:tcW w:w="1276" w:type="dxa"/>
            <w:tcBorders>
              <w:bottom w:val="single" w:sz="2" w:space="0" w:color="auto"/>
            </w:tcBorders>
            <w:shd w:val="clear" w:color="auto" w:fill="F2F2F2"/>
            <w:vAlign w:val="center"/>
            <w:hideMark/>
          </w:tcPr>
          <w:p w:rsidR="0048566F" w:rsidRPr="00CA1E55" w:rsidRDefault="00C94B29" w:rsidP="00F05F01">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Especifica</w:t>
            </w:r>
          </w:p>
        </w:tc>
        <w:tc>
          <w:tcPr>
            <w:tcW w:w="992" w:type="dxa"/>
            <w:tcBorders>
              <w:bottom w:val="single" w:sz="2" w:space="0" w:color="auto"/>
            </w:tcBorders>
            <w:shd w:val="clear" w:color="auto" w:fill="F2F2F2"/>
            <w:vAlign w:val="center"/>
            <w:hideMark/>
          </w:tcPr>
          <w:p w:rsidR="0048566F" w:rsidRPr="00CA1E55" w:rsidRDefault="0048566F" w:rsidP="00F05F01">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134" w:type="dxa"/>
            <w:tcBorders>
              <w:bottom w:val="single" w:sz="2" w:space="0" w:color="auto"/>
            </w:tcBorders>
            <w:shd w:val="clear" w:color="auto" w:fill="F2F2F2"/>
            <w:vAlign w:val="center"/>
            <w:hideMark/>
          </w:tcPr>
          <w:p w:rsidR="0048566F" w:rsidRPr="00CA1E55" w:rsidRDefault="0048566F" w:rsidP="00F05F01">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276" w:type="dxa"/>
            <w:tcBorders>
              <w:bottom w:val="single" w:sz="2" w:space="0" w:color="auto"/>
            </w:tcBorders>
            <w:shd w:val="clear" w:color="auto" w:fill="F2F2F2"/>
            <w:vAlign w:val="center"/>
            <w:hideMark/>
          </w:tcPr>
          <w:p w:rsidR="0048566F" w:rsidRPr="00CA1E55" w:rsidRDefault="0048566F" w:rsidP="00F05F01">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850" w:type="dxa"/>
            <w:tcBorders>
              <w:bottom w:val="single" w:sz="2" w:space="0" w:color="auto"/>
            </w:tcBorders>
            <w:shd w:val="clear" w:color="auto" w:fill="F2F2F2"/>
            <w:vAlign w:val="center"/>
            <w:hideMark/>
          </w:tcPr>
          <w:p w:rsidR="0048566F" w:rsidRPr="00CA1E55" w:rsidRDefault="0048566F" w:rsidP="00F05F01">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134" w:type="dxa"/>
            <w:tcBorders>
              <w:bottom w:val="single" w:sz="2" w:space="0" w:color="auto"/>
            </w:tcBorders>
            <w:shd w:val="clear" w:color="auto" w:fill="F2F2F2"/>
            <w:vAlign w:val="center"/>
            <w:hideMark/>
          </w:tcPr>
          <w:p w:rsidR="0048566F" w:rsidRPr="005A525E" w:rsidRDefault="00EF61E0" w:rsidP="00F05F01">
            <w:pPr>
              <w:spacing w:after="0"/>
              <w:jc w:val="center"/>
              <w:rPr>
                <w:rFonts w:ascii="Montserrat" w:eastAsia="Times New Roman" w:hAnsi="Montserrat" w:cs="Calibri"/>
                <w:b/>
                <w:color w:val="000000"/>
                <w:sz w:val="12"/>
                <w:szCs w:val="12"/>
                <w:lang w:val="es-MX" w:eastAsia="es-MX"/>
              </w:rPr>
            </w:pPr>
            <w:r w:rsidRPr="005A525E">
              <w:rPr>
                <w:rFonts w:ascii="Montserrat" w:eastAsia="Times New Roman" w:hAnsi="Montserrat" w:cs="Calibri"/>
                <w:b/>
                <w:color w:val="000000"/>
                <w:sz w:val="12"/>
                <w:szCs w:val="12"/>
                <w:lang w:val="es-MX" w:eastAsia="es-MX"/>
              </w:rPr>
              <w:t>Alta</w:t>
            </w:r>
          </w:p>
        </w:tc>
        <w:tc>
          <w:tcPr>
            <w:tcW w:w="1418" w:type="dxa"/>
            <w:tcBorders>
              <w:bottom w:val="single" w:sz="2" w:space="0" w:color="auto"/>
            </w:tcBorders>
            <w:shd w:val="clear" w:color="auto" w:fill="F2F2F2"/>
            <w:vAlign w:val="center"/>
            <w:hideMark/>
          </w:tcPr>
          <w:p w:rsidR="0048566F" w:rsidRPr="00CA1E55" w:rsidRDefault="0048566F" w:rsidP="00F05F01">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    904,800.00</w:t>
            </w:r>
          </w:p>
        </w:tc>
      </w:tr>
      <w:tr w:rsidR="00C52337" w:rsidRPr="006E1449" w:rsidTr="00CA1E55">
        <w:trPr>
          <w:trHeight w:hRule="exact" w:val="284"/>
        </w:trPr>
        <w:tc>
          <w:tcPr>
            <w:tcW w:w="854" w:type="dxa"/>
            <w:vMerge w:val="restart"/>
            <w:tcBorders>
              <w:top w:val="single" w:sz="2" w:space="0" w:color="auto"/>
            </w:tcBorders>
            <w:shd w:val="clear" w:color="auto" w:fill="F2F2F2"/>
            <w:vAlign w:val="center"/>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2</w:t>
            </w:r>
          </w:p>
        </w:tc>
        <w:tc>
          <w:tcPr>
            <w:tcW w:w="989" w:type="dxa"/>
            <w:tcBorders>
              <w:top w:val="single" w:sz="2" w:space="0" w:color="auto"/>
            </w:tcBorders>
            <w:shd w:val="clear" w:color="auto" w:fill="F2F2F2"/>
            <w:vAlign w:val="center"/>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09 - E007</w:t>
            </w:r>
          </w:p>
        </w:tc>
        <w:tc>
          <w:tcPr>
            <w:tcW w:w="1276" w:type="dxa"/>
            <w:tcBorders>
              <w:top w:val="single" w:sz="2" w:space="0" w:color="auto"/>
            </w:tcBorders>
            <w:shd w:val="clear" w:color="auto" w:fill="F2F2F2"/>
            <w:vAlign w:val="center"/>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Diseño</w:t>
            </w:r>
          </w:p>
        </w:tc>
        <w:tc>
          <w:tcPr>
            <w:tcW w:w="992" w:type="dxa"/>
            <w:tcBorders>
              <w:top w:val="single" w:sz="2" w:space="0" w:color="auto"/>
            </w:tcBorders>
            <w:shd w:val="clear" w:color="auto" w:fill="F2F2F2"/>
            <w:vAlign w:val="center"/>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134" w:type="dxa"/>
            <w:tcBorders>
              <w:top w:val="single" w:sz="2" w:space="0" w:color="auto"/>
            </w:tcBorders>
            <w:shd w:val="clear" w:color="auto" w:fill="F2F2F2"/>
            <w:vAlign w:val="center"/>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276" w:type="dxa"/>
            <w:tcBorders>
              <w:top w:val="single" w:sz="2" w:space="0" w:color="auto"/>
            </w:tcBorders>
            <w:shd w:val="clear" w:color="auto" w:fill="F2F2F2"/>
            <w:vAlign w:val="center"/>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850" w:type="dxa"/>
            <w:tcBorders>
              <w:top w:val="single" w:sz="2" w:space="0" w:color="auto"/>
            </w:tcBorders>
            <w:shd w:val="clear" w:color="auto" w:fill="F2F2F2"/>
            <w:vAlign w:val="center"/>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tcBorders>
              <w:top w:val="single" w:sz="2" w:space="0" w:color="auto"/>
            </w:tcBorders>
            <w:shd w:val="clear" w:color="auto" w:fill="F2F2F2"/>
            <w:vAlign w:val="center"/>
          </w:tcPr>
          <w:p w:rsidR="00C52337" w:rsidRPr="005A525E" w:rsidRDefault="00EF61E0" w:rsidP="00C52337">
            <w:pPr>
              <w:spacing w:after="0"/>
              <w:jc w:val="center"/>
              <w:rPr>
                <w:rFonts w:ascii="Montserrat" w:eastAsia="Times New Roman" w:hAnsi="Montserrat" w:cs="Calibri"/>
                <w:b/>
                <w:color w:val="000000"/>
                <w:sz w:val="12"/>
                <w:szCs w:val="12"/>
                <w:lang w:val="es-MX" w:eastAsia="es-MX"/>
              </w:rPr>
            </w:pPr>
            <w:r w:rsidRPr="005A525E">
              <w:rPr>
                <w:rFonts w:ascii="Montserrat" w:eastAsia="Times New Roman" w:hAnsi="Montserrat" w:cs="Calibri"/>
                <w:b/>
                <w:color w:val="000000"/>
                <w:sz w:val="12"/>
                <w:szCs w:val="12"/>
                <w:lang w:val="es-MX" w:eastAsia="es-MX"/>
              </w:rPr>
              <w:t>Alta</w:t>
            </w:r>
          </w:p>
        </w:tc>
        <w:tc>
          <w:tcPr>
            <w:tcW w:w="1418" w:type="dxa"/>
            <w:tcBorders>
              <w:top w:val="single" w:sz="2" w:space="0" w:color="auto"/>
            </w:tcBorders>
            <w:shd w:val="clear" w:color="auto" w:fill="F2F2F2"/>
            <w:vAlign w:val="center"/>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    330,250.00</w:t>
            </w:r>
          </w:p>
        </w:tc>
      </w:tr>
      <w:tr w:rsidR="00C52337" w:rsidRPr="006E1449" w:rsidTr="00CA1E55">
        <w:trPr>
          <w:trHeight w:hRule="exact" w:val="284"/>
        </w:trPr>
        <w:tc>
          <w:tcPr>
            <w:tcW w:w="854" w:type="dxa"/>
            <w:vMerge/>
            <w:shd w:val="clear" w:color="auto" w:fill="F2F2F2"/>
            <w:vAlign w:val="center"/>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p>
        </w:tc>
        <w:tc>
          <w:tcPr>
            <w:tcW w:w="989"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06 - F036</w:t>
            </w:r>
          </w:p>
        </w:tc>
        <w:tc>
          <w:tcPr>
            <w:tcW w:w="1276"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Diseño</w:t>
            </w:r>
          </w:p>
        </w:tc>
        <w:tc>
          <w:tcPr>
            <w:tcW w:w="992"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276"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850"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134" w:type="dxa"/>
            <w:shd w:val="clear" w:color="auto" w:fill="F2F2F2"/>
            <w:vAlign w:val="center"/>
            <w:hideMark/>
          </w:tcPr>
          <w:p w:rsidR="00C52337" w:rsidRPr="005A525E" w:rsidRDefault="00EF61E0" w:rsidP="00C52337">
            <w:pPr>
              <w:spacing w:after="0"/>
              <w:jc w:val="center"/>
              <w:rPr>
                <w:rFonts w:ascii="Montserrat" w:eastAsia="Times New Roman" w:hAnsi="Montserrat" w:cs="Calibri"/>
                <w:b/>
                <w:color w:val="000000"/>
                <w:sz w:val="12"/>
                <w:szCs w:val="12"/>
                <w:lang w:val="es-MX" w:eastAsia="es-MX"/>
              </w:rPr>
            </w:pPr>
            <w:r w:rsidRPr="005A525E">
              <w:rPr>
                <w:rFonts w:ascii="Montserrat" w:eastAsia="Times New Roman" w:hAnsi="Montserrat" w:cs="Calibri"/>
                <w:b/>
                <w:color w:val="000000"/>
                <w:sz w:val="12"/>
                <w:szCs w:val="12"/>
                <w:lang w:val="es-MX" w:eastAsia="es-MX"/>
              </w:rPr>
              <w:t>Alta</w:t>
            </w:r>
          </w:p>
        </w:tc>
        <w:tc>
          <w:tcPr>
            <w:tcW w:w="1418"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    345,680.00</w:t>
            </w:r>
          </w:p>
        </w:tc>
      </w:tr>
      <w:tr w:rsidR="00C52337" w:rsidRPr="006E1449" w:rsidTr="00CA1E55">
        <w:trPr>
          <w:trHeight w:hRule="exact" w:val="284"/>
        </w:trPr>
        <w:tc>
          <w:tcPr>
            <w:tcW w:w="854" w:type="dxa"/>
            <w:vMerge/>
            <w:shd w:val="clear" w:color="auto" w:fill="F2F2F2"/>
            <w:vAlign w:val="center"/>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p>
        </w:tc>
        <w:tc>
          <w:tcPr>
            <w:tcW w:w="989"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04 - E006</w:t>
            </w:r>
          </w:p>
        </w:tc>
        <w:tc>
          <w:tcPr>
            <w:tcW w:w="1276"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Diseño</w:t>
            </w:r>
          </w:p>
        </w:tc>
        <w:tc>
          <w:tcPr>
            <w:tcW w:w="992"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134"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276"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850"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shd w:val="clear" w:color="auto" w:fill="F2F2F2"/>
            <w:vAlign w:val="center"/>
            <w:hideMark/>
          </w:tcPr>
          <w:p w:rsidR="00C52337" w:rsidRPr="005A525E" w:rsidRDefault="00EF61E0" w:rsidP="00C52337">
            <w:pPr>
              <w:spacing w:after="0"/>
              <w:jc w:val="center"/>
              <w:rPr>
                <w:rFonts w:ascii="Montserrat" w:eastAsia="Times New Roman" w:hAnsi="Montserrat" w:cs="Calibri"/>
                <w:b/>
                <w:color w:val="000000"/>
                <w:sz w:val="12"/>
                <w:szCs w:val="12"/>
                <w:lang w:val="es-MX" w:eastAsia="es-MX"/>
              </w:rPr>
            </w:pPr>
            <w:r w:rsidRPr="005A525E">
              <w:rPr>
                <w:rFonts w:ascii="Montserrat" w:eastAsia="Times New Roman" w:hAnsi="Montserrat" w:cs="Calibri"/>
                <w:b/>
                <w:color w:val="000000"/>
                <w:sz w:val="12"/>
                <w:szCs w:val="12"/>
                <w:lang w:val="es-MX" w:eastAsia="es-MX"/>
              </w:rPr>
              <w:t>Alta</w:t>
            </w:r>
          </w:p>
        </w:tc>
        <w:tc>
          <w:tcPr>
            <w:tcW w:w="1418"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    474,440.00</w:t>
            </w:r>
          </w:p>
        </w:tc>
      </w:tr>
      <w:tr w:rsidR="00C52337" w:rsidRPr="006E1449" w:rsidTr="00CA1E55">
        <w:trPr>
          <w:trHeight w:hRule="exact" w:val="284"/>
        </w:trPr>
        <w:tc>
          <w:tcPr>
            <w:tcW w:w="854" w:type="dxa"/>
            <w:vMerge/>
            <w:shd w:val="clear" w:color="auto" w:fill="F2F2F2"/>
            <w:vAlign w:val="center"/>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p>
        </w:tc>
        <w:tc>
          <w:tcPr>
            <w:tcW w:w="989"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05 - P005</w:t>
            </w:r>
          </w:p>
        </w:tc>
        <w:tc>
          <w:tcPr>
            <w:tcW w:w="1276"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Procesos</w:t>
            </w:r>
          </w:p>
        </w:tc>
        <w:tc>
          <w:tcPr>
            <w:tcW w:w="992"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134"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276"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850"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shd w:val="clear" w:color="auto" w:fill="F2F2F2"/>
            <w:vAlign w:val="center"/>
            <w:hideMark/>
          </w:tcPr>
          <w:p w:rsidR="00C52337" w:rsidRPr="005A525E" w:rsidRDefault="00EF61E0" w:rsidP="00C52337">
            <w:pPr>
              <w:spacing w:after="0"/>
              <w:jc w:val="center"/>
              <w:rPr>
                <w:rFonts w:ascii="Montserrat" w:eastAsia="Times New Roman" w:hAnsi="Montserrat" w:cs="Calibri"/>
                <w:b/>
                <w:color w:val="000000"/>
                <w:sz w:val="12"/>
                <w:szCs w:val="12"/>
                <w:lang w:val="es-MX" w:eastAsia="es-MX"/>
              </w:rPr>
            </w:pPr>
            <w:r w:rsidRPr="005A525E">
              <w:rPr>
                <w:rFonts w:ascii="Montserrat" w:eastAsia="Times New Roman" w:hAnsi="Montserrat" w:cs="Calibri"/>
                <w:b/>
                <w:color w:val="000000"/>
                <w:sz w:val="12"/>
                <w:szCs w:val="12"/>
                <w:lang w:val="es-MX" w:eastAsia="es-MX"/>
              </w:rPr>
              <w:t>Alta</w:t>
            </w:r>
          </w:p>
        </w:tc>
        <w:tc>
          <w:tcPr>
            <w:tcW w:w="1418" w:type="dxa"/>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    342,200.00</w:t>
            </w:r>
          </w:p>
        </w:tc>
      </w:tr>
      <w:tr w:rsidR="00C52337" w:rsidRPr="006E1449" w:rsidTr="00CA1E55">
        <w:trPr>
          <w:trHeight w:hRule="exact" w:val="284"/>
        </w:trPr>
        <w:tc>
          <w:tcPr>
            <w:tcW w:w="854" w:type="dxa"/>
            <w:vMerge/>
            <w:tcBorders>
              <w:bottom w:val="single" w:sz="2" w:space="0" w:color="auto"/>
            </w:tcBorders>
            <w:shd w:val="clear" w:color="auto" w:fill="F2F2F2"/>
            <w:vAlign w:val="center"/>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p>
        </w:tc>
        <w:tc>
          <w:tcPr>
            <w:tcW w:w="989" w:type="dxa"/>
            <w:tcBorders>
              <w:bottom w:val="single" w:sz="4" w:space="0" w:color="auto"/>
            </w:tcBorders>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06 - O007</w:t>
            </w:r>
          </w:p>
        </w:tc>
        <w:tc>
          <w:tcPr>
            <w:tcW w:w="1276" w:type="dxa"/>
            <w:tcBorders>
              <w:bottom w:val="single" w:sz="4" w:space="0" w:color="auto"/>
            </w:tcBorders>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Procesos</w:t>
            </w:r>
          </w:p>
        </w:tc>
        <w:tc>
          <w:tcPr>
            <w:tcW w:w="992" w:type="dxa"/>
            <w:tcBorders>
              <w:bottom w:val="single" w:sz="4" w:space="0" w:color="auto"/>
            </w:tcBorders>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134" w:type="dxa"/>
            <w:tcBorders>
              <w:bottom w:val="single" w:sz="4" w:space="0" w:color="auto"/>
            </w:tcBorders>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276" w:type="dxa"/>
            <w:tcBorders>
              <w:bottom w:val="single" w:sz="4" w:space="0" w:color="auto"/>
            </w:tcBorders>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850" w:type="dxa"/>
            <w:tcBorders>
              <w:bottom w:val="single" w:sz="4" w:space="0" w:color="auto"/>
            </w:tcBorders>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tcBorders>
              <w:bottom w:val="single" w:sz="4" w:space="0" w:color="auto"/>
            </w:tcBorders>
            <w:shd w:val="clear" w:color="auto" w:fill="F2F2F2"/>
            <w:vAlign w:val="center"/>
            <w:hideMark/>
          </w:tcPr>
          <w:p w:rsidR="00C52337" w:rsidRPr="005A525E" w:rsidRDefault="00EF61E0" w:rsidP="00C52337">
            <w:pPr>
              <w:spacing w:after="0"/>
              <w:jc w:val="center"/>
              <w:rPr>
                <w:rFonts w:ascii="Montserrat" w:eastAsia="Times New Roman" w:hAnsi="Montserrat" w:cs="Calibri"/>
                <w:b/>
                <w:color w:val="000000"/>
                <w:sz w:val="12"/>
                <w:szCs w:val="12"/>
                <w:lang w:val="es-MX" w:eastAsia="es-MX"/>
              </w:rPr>
            </w:pPr>
            <w:r w:rsidRPr="005A525E">
              <w:rPr>
                <w:rFonts w:ascii="Montserrat" w:eastAsia="Times New Roman" w:hAnsi="Montserrat" w:cs="Calibri"/>
                <w:b/>
                <w:color w:val="000000"/>
                <w:sz w:val="12"/>
                <w:szCs w:val="12"/>
                <w:lang w:val="es-MX" w:eastAsia="es-MX"/>
              </w:rPr>
              <w:t>Alta</w:t>
            </w:r>
          </w:p>
        </w:tc>
        <w:tc>
          <w:tcPr>
            <w:tcW w:w="1418" w:type="dxa"/>
            <w:tcBorders>
              <w:bottom w:val="single" w:sz="4" w:space="0" w:color="auto"/>
            </w:tcBorders>
            <w:shd w:val="clear" w:color="auto" w:fill="F2F2F2"/>
            <w:vAlign w:val="center"/>
            <w:hideMark/>
          </w:tcPr>
          <w:p w:rsidR="00C52337" w:rsidRPr="00CA1E55" w:rsidRDefault="00C52337" w:rsidP="00C52337">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$ 1,392,000.00</w:t>
            </w:r>
          </w:p>
        </w:tc>
      </w:tr>
      <w:tr w:rsidR="00E257F7" w:rsidRPr="006E1449" w:rsidTr="00CA1E55">
        <w:trPr>
          <w:trHeight w:hRule="exact" w:val="284"/>
        </w:trPr>
        <w:tc>
          <w:tcPr>
            <w:tcW w:w="854" w:type="dxa"/>
            <w:vMerge w:val="restart"/>
            <w:tcBorders>
              <w:top w:val="single" w:sz="2"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3</w:t>
            </w:r>
          </w:p>
        </w:tc>
        <w:tc>
          <w:tcPr>
            <w:tcW w:w="989" w:type="dxa"/>
            <w:tcBorders>
              <w:top w:val="single" w:sz="4"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17 - E002</w:t>
            </w:r>
          </w:p>
        </w:tc>
        <w:tc>
          <w:tcPr>
            <w:tcW w:w="1276" w:type="dxa"/>
            <w:tcBorders>
              <w:top w:val="single" w:sz="4"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Diseño</w:t>
            </w:r>
          </w:p>
        </w:tc>
        <w:tc>
          <w:tcPr>
            <w:tcW w:w="992" w:type="dxa"/>
            <w:tcBorders>
              <w:top w:val="single" w:sz="4"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134" w:type="dxa"/>
            <w:tcBorders>
              <w:top w:val="single" w:sz="4"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276" w:type="dxa"/>
            <w:tcBorders>
              <w:top w:val="single" w:sz="4"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850" w:type="dxa"/>
            <w:tcBorders>
              <w:top w:val="single" w:sz="4"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tcBorders>
              <w:top w:val="single" w:sz="4" w:space="0" w:color="auto"/>
            </w:tcBorders>
            <w:shd w:val="clear" w:color="auto" w:fill="F2F2F2"/>
            <w:vAlign w:val="center"/>
          </w:tcPr>
          <w:p w:rsidR="00E257F7" w:rsidRPr="005A525E" w:rsidRDefault="00E257F7" w:rsidP="00EF61E0">
            <w:pPr>
              <w:spacing w:after="0"/>
              <w:jc w:val="center"/>
              <w:rPr>
                <w:rFonts w:ascii="Montserrat" w:eastAsia="Times New Roman" w:hAnsi="Montserrat" w:cs="Calibri"/>
                <w:b/>
                <w:color w:val="000000"/>
                <w:sz w:val="12"/>
                <w:szCs w:val="12"/>
                <w:lang w:val="es-MX" w:eastAsia="es-MX"/>
              </w:rPr>
            </w:pPr>
            <w:r w:rsidRPr="005A525E">
              <w:rPr>
                <w:rFonts w:ascii="Montserrat" w:eastAsia="Times New Roman" w:hAnsi="Montserrat" w:cs="Calibri"/>
                <w:b/>
                <w:color w:val="000000"/>
                <w:sz w:val="12"/>
                <w:szCs w:val="12"/>
                <w:lang w:val="es-MX" w:eastAsia="es-MX"/>
              </w:rPr>
              <w:t>Alta</w:t>
            </w:r>
          </w:p>
        </w:tc>
        <w:tc>
          <w:tcPr>
            <w:tcW w:w="1418" w:type="dxa"/>
            <w:tcBorders>
              <w:top w:val="single" w:sz="4" w:space="0" w:color="auto"/>
            </w:tcBorders>
            <w:shd w:val="clear" w:color="auto" w:fill="F2F2F2"/>
            <w:noWrap/>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    261,000.00</w:t>
            </w:r>
          </w:p>
        </w:tc>
      </w:tr>
      <w:tr w:rsidR="00E257F7" w:rsidRPr="006E1449" w:rsidTr="00CA1E55">
        <w:trPr>
          <w:trHeight w:hRule="exact" w:val="284"/>
        </w:trPr>
        <w:tc>
          <w:tcPr>
            <w:tcW w:w="854" w:type="dxa"/>
            <w:vMerge/>
            <w:tcBorders>
              <w:bottom w:val="single" w:sz="2"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p>
        </w:tc>
        <w:tc>
          <w:tcPr>
            <w:tcW w:w="989" w:type="dxa"/>
            <w:tcBorders>
              <w:bottom w:val="single" w:sz="2"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06 - P005</w:t>
            </w:r>
          </w:p>
        </w:tc>
        <w:tc>
          <w:tcPr>
            <w:tcW w:w="1276" w:type="dxa"/>
            <w:tcBorders>
              <w:bottom w:val="single" w:sz="2"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Diseño</w:t>
            </w:r>
          </w:p>
        </w:tc>
        <w:tc>
          <w:tcPr>
            <w:tcW w:w="992" w:type="dxa"/>
            <w:tcBorders>
              <w:bottom w:val="single" w:sz="2"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tcBorders>
              <w:bottom w:val="single" w:sz="2"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276" w:type="dxa"/>
            <w:tcBorders>
              <w:bottom w:val="single" w:sz="2"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850" w:type="dxa"/>
            <w:tcBorders>
              <w:bottom w:val="single" w:sz="2"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tcBorders>
              <w:bottom w:val="single" w:sz="2" w:space="0" w:color="auto"/>
            </w:tcBorders>
            <w:shd w:val="clear" w:color="auto" w:fill="F2F2F2"/>
            <w:vAlign w:val="center"/>
          </w:tcPr>
          <w:p w:rsidR="00E257F7" w:rsidRPr="005A525E" w:rsidRDefault="00E257F7" w:rsidP="00EF61E0">
            <w:pPr>
              <w:spacing w:after="0"/>
              <w:jc w:val="center"/>
              <w:rPr>
                <w:rFonts w:ascii="Montserrat" w:eastAsia="Times New Roman" w:hAnsi="Montserrat" w:cs="Calibri"/>
                <w:b/>
                <w:color w:val="000000"/>
                <w:sz w:val="12"/>
                <w:szCs w:val="12"/>
                <w:lang w:val="es-MX" w:eastAsia="es-MX"/>
              </w:rPr>
            </w:pPr>
            <w:r w:rsidRPr="005A525E">
              <w:rPr>
                <w:rFonts w:ascii="Montserrat" w:eastAsia="Times New Roman" w:hAnsi="Montserrat" w:cs="Calibri"/>
                <w:b/>
                <w:color w:val="000000"/>
                <w:sz w:val="12"/>
                <w:szCs w:val="12"/>
                <w:lang w:val="es-MX" w:eastAsia="es-MX"/>
              </w:rPr>
              <w:t>Alta</w:t>
            </w:r>
          </w:p>
        </w:tc>
        <w:tc>
          <w:tcPr>
            <w:tcW w:w="1418" w:type="dxa"/>
            <w:tcBorders>
              <w:bottom w:val="single" w:sz="2" w:space="0" w:color="auto"/>
            </w:tcBorders>
            <w:shd w:val="clear" w:color="auto" w:fill="F2F2F2"/>
            <w:noWrap/>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    342,200.00</w:t>
            </w:r>
          </w:p>
        </w:tc>
      </w:tr>
      <w:tr w:rsidR="00E257F7" w:rsidRPr="006E1449" w:rsidTr="003918B7">
        <w:trPr>
          <w:trHeight w:hRule="exact" w:val="471"/>
        </w:trPr>
        <w:tc>
          <w:tcPr>
            <w:tcW w:w="854" w:type="dxa"/>
            <w:vMerge w:val="restart"/>
            <w:tcBorders>
              <w:top w:val="single" w:sz="2" w:space="0" w:color="auto"/>
              <w:bottom w:val="single" w:sz="4"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4</w:t>
            </w:r>
          </w:p>
        </w:tc>
        <w:tc>
          <w:tcPr>
            <w:tcW w:w="989" w:type="dxa"/>
            <w:tcBorders>
              <w:top w:val="single" w:sz="2"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06 - F035</w:t>
            </w:r>
          </w:p>
        </w:tc>
        <w:tc>
          <w:tcPr>
            <w:tcW w:w="1276" w:type="dxa"/>
            <w:tcBorders>
              <w:top w:val="single" w:sz="2"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Consistencia y Resultados</w:t>
            </w:r>
          </w:p>
        </w:tc>
        <w:tc>
          <w:tcPr>
            <w:tcW w:w="992" w:type="dxa"/>
            <w:tcBorders>
              <w:top w:val="single" w:sz="2"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tcBorders>
              <w:top w:val="single" w:sz="2"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276" w:type="dxa"/>
            <w:tcBorders>
              <w:top w:val="single" w:sz="2"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850" w:type="dxa"/>
            <w:tcBorders>
              <w:top w:val="single" w:sz="2"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tcBorders>
              <w:top w:val="single" w:sz="2" w:space="0" w:color="auto"/>
            </w:tcBorders>
            <w:shd w:val="clear" w:color="auto" w:fill="F2F2F2"/>
            <w:vAlign w:val="center"/>
            <w:hideMark/>
          </w:tcPr>
          <w:p w:rsidR="00E257F7" w:rsidRPr="005A525E" w:rsidRDefault="00E257F7" w:rsidP="00EF61E0">
            <w:pPr>
              <w:spacing w:after="0"/>
              <w:jc w:val="center"/>
              <w:rPr>
                <w:rFonts w:ascii="Montserrat" w:eastAsia="Times New Roman" w:hAnsi="Montserrat" w:cs="Calibri"/>
                <w:b/>
                <w:color w:val="000000"/>
                <w:sz w:val="12"/>
                <w:szCs w:val="12"/>
                <w:lang w:val="es-MX" w:eastAsia="es-MX"/>
              </w:rPr>
            </w:pPr>
            <w:r w:rsidRPr="005A525E">
              <w:rPr>
                <w:rFonts w:ascii="Montserrat" w:eastAsia="Times New Roman" w:hAnsi="Montserrat" w:cs="Calibri"/>
                <w:b/>
                <w:color w:val="000000"/>
                <w:sz w:val="12"/>
                <w:szCs w:val="12"/>
                <w:lang w:val="es-MX" w:eastAsia="es-MX"/>
              </w:rPr>
              <w:t>Media</w:t>
            </w:r>
          </w:p>
        </w:tc>
        <w:tc>
          <w:tcPr>
            <w:tcW w:w="1418" w:type="dxa"/>
            <w:tcBorders>
              <w:top w:val="single" w:sz="2" w:space="0" w:color="auto"/>
            </w:tcBorders>
            <w:shd w:val="clear" w:color="auto" w:fill="F2F2F2"/>
            <w:noWrap/>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    300,000.00</w:t>
            </w:r>
          </w:p>
        </w:tc>
      </w:tr>
      <w:tr w:rsidR="00E257F7" w:rsidRPr="006E1449" w:rsidTr="00CA1E55">
        <w:trPr>
          <w:trHeight w:hRule="exact" w:val="284"/>
        </w:trPr>
        <w:tc>
          <w:tcPr>
            <w:tcW w:w="854" w:type="dxa"/>
            <w:vMerge/>
            <w:tcBorders>
              <w:bottom w:val="single" w:sz="4"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p>
        </w:tc>
        <w:tc>
          <w:tcPr>
            <w:tcW w:w="989" w:type="dxa"/>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17 - E012</w:t>
            </w:r>
          </w:p>
        </w:tc>
        <w:tc>
          <w:tcPr>
            <w:tcW w:w="1276" w:type="dxa"/>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Diseño</w:t>
            </w:r>
          </w:p>
        </w:tc>
        <w:tc>
          <w:tcPr>
            <w:tcW w:w="992" w:type="dxa"/>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134" w:type="dxa"/>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276" w:type="dxa"/>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850" w:type="dxa"/>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shd w:val="clear" w:color="auto" w:fill="F2F2F2"/>
            <w:vAlign w:val="center"/>
          </w:tcPr>
          <w:p w:rsidR="00E257F7" w:rsidRPr="005A525E" w:rsidRDefault="00E257F7" w:rsidP="00EF61E0">
            <w:pPr>
              <w:spacing w:after="0"/>
              <w:jc w:val="center"/>
              <w:rPr>
                <w:rFonts w:ascii="Montserrat" w:eastAsia="Times New Roman" w:hAnsi="Montserrat" w:cs="Calibri"/>
                <w:b/>
                <w:color w:val="000000"/>
                <w:sz w:val="12"/>
                <w:szCs w:val="12"/>
                <w:lang w:val="es-MX" w:eastAsia="es-MX"/>
              </w:rPr>
            </w:pPr>
            <w:r w:rsidRPr="005A525E">
              <w:rPr>
                <w:rFonts w:ascii="Montserrat" w:eastAsia="Times New Roman" w:hAnsi="Montserrat" w:cs="Calibri"/>
                <w:b/>
                <w:color w:val="000000"/>
                <w:sz w:val="12"/>
                <w:szCs w:val="12"/>
                <w:lang w:val="es-MX" w:eastAsia="es-MX"/>
              </w:rPr>
              <w:t>Media</w:t>
            </w:r>
          </w:p>
        </w:tc>
        <w:tc>
          <w:tcPr>
            <w:tcW w:w="1418" w:type="dxa"/>
            <w:shd w:val="clear" w:color="auto" w:fill="F2F2F2"/>
            <w:noWrap/>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    242,440.00</w:t>
            </w:r>
          </w:p>
        </w:tc>
      </w:tr>
      <w:tr w:rsidR="00E257F7" w:rsidRPr="006E1449" w:rsidTr="00CA1E55">
        <w:trPr>
          <w:trHeight w:hRule="exact" w:val="284"/>
        </w:trPr>
        <w:tc>
          <w:tcPr>
            <w:tcW w:w="854" w:type="dxa"/>
            <w:vMerge/>
            <w:tcBorders>
              <w:bottom w:val="single" w:sz="4"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p>
        </w:tc>
        <w:tc>
          <w:tcPr>
            <w:tcW w:w="989" w:type="dxa"/>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27- O002</w:t>
            </w:r>
          </w:p>
        </w:tc>
        <w:tc>
          <w:tcPr>
            <w:tcW w:w="1276" w:type="dxa"/>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Estratégica</w:t>
            </w:r>
          </w:p>
        </w:tc>
        <w:tc>
          <w:tcPr>
            <w:tcW w:w="992" w:type="dxa"/>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276" w:type="dxa"/>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850" w:type="dxa"/>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shd w:val="clear" w:color="auto" w:fill="F2F2F2"/>
            <w:vAlign w:val="center"/>
          </w:tcPr>
          <w:p w:rsidR="00E257F7" w:rsidRPr="005A525E" w:rsidRDefault="00E257F7" w:rsidP="00EF61E0">
            <w:pPr>
              <w:spacing w:after="0"/>
              <w:jc w:val="center"/>
              <w:rPr>
                <w:rFonts w:ascii="Montserrat" w:eastAsia="Times New Roman" w:hAnsi="Montserrat" w:cs="Calibri"/>
                <w:b/>
                <w:color w:val="000000"/>
                <w:sz w:val="12"/>
                <w:szCs w:val="12"/>
                <w:lang w:val="es-MX" w:eastAsia="es-MX"/>
              </w:rPr>
            </w:pPr>
            <w:r w:rsidRPr="005A525E">
              <w:rPr>
                <w:rFonts w:ascii="Montserrat" w:eastAsia="Times New Roman" w:hAnsi="Montserrat" w:cs="Calibri"/>
                <w:b/>
                <w:color w:val="000000"/>
                <w:sz w:val="12"/>
                <w:szCs w:val="12"/>
                <w:lang w:val="es-MX" w:eastAsia="es-MX"/>
              </w:rPr>
              <w:t>Media</w:t>
            </w:r>
          </w:p>
        </w:tc>
        <w:tc>
          <w:tcPr>
            <w:tcW w:w="1418" w:type="dxa"/>
            <w:shd w:val="clear" w:color="auto" w:fill="F2F2F2"/>
            <w:noWrap/>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    418,760.00</w:t>
            </w:r>
          </w:p>
        </w:tc>
      </w:tr>
      <w:tr w:rsidR="00E257F7" w:rsidRPr="006E1449" w:rsidTr="00CA676E">
        <w:trPr>
          <w:trHeight w:hRule="exact" w:val="284"/>
        </w:trPr>
        <w:tc>
          <w:tcPr>
            <w:tcW w:w="854" w:type="dxa"/>
            <w:vMerge/>
            <w:tcBorders>
              <w:bottom w:val="single" w:sz="4" w:space="0" w:color="auto"/>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p>
        </w:tc>
        <w:tc>
          <w:tcPr>
            <w:tcW w:w="989" w:type="dxa"/>
            <w:tcBorders>
              <w:bottom w:val="single" w:sz="4"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16 - E001</w:t>
            </w:r>
          </w:p>
        </w:tc>
        <w:tc>
          <w:tcPr>
            <w:tcW w:w="1276" w:type="dxa"/>
            <w:tcBorders>
              <w:bottom w:val="single" w:sz="4"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Procesos</w:t>
            </w:r>
          </w:p>
        </w:tc>
        <w:tc>
          <w:tcPr>
            <w:tcW w:w="992" w:type="dxa"/>
            <w:tcBorders>
              <w:bottom w:val="single" w:sz="4"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tcBorders>
              <w:bottom w:val="single" w:sz="4"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1276" w:type="dxa"/>
            <w:tcBorders>
              <w:bottom w:val="single" w:sz="4"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850" w:type="dxa"/>
            <w:tcBorders>
              <w:bottom w:val="single" w:sz="4"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tcBorders>
              <w:bottom w:val="single" w:sz="4" w:space="0" w:color="auto"/>
            </w:tcBorders>
            <w:shd w:val="clear" w:color="auto" w:fill="F2F2F2"/>
            <w:vAlign w:val="center"/>
            <w:hideMark/>
          </w:tcPr>
          <w:p w:rsidR="00E257F7" w:rsidRPr="005A525E" w:rsidRDefault="00E257F7" w:rsidP="00EF61E0">
            <w:pPr>
              <w:spacing w:after="0"/>
              <w:jc w:val="center"/>
              <w:rPr>
                <w:rFonts w:ascii="Montserrat" w:eastAsia="Times New Roman" w:hAnsi="Montserrat" w:cs="Calibri"/>
                <w:b/>
                <w:color w:val="000000"/>
                <w:sz w:val="12"/>
                <w:szCs w:val="12"/>
                <w:lang w:val="es-MX" w:eastAsia="es-MX"/>
              </w:rPr>
            </w:pPr>
            <w:r w:rsidRPr="005A525E">
              <w:rPr>
                <w:rFonts w:ascii="Montserrat" w:eastAsia="Times New Roman" w:hAnsi="Montserrat" w:cs="Calibri"/>
                <w:b/>
                <w:color w:val="000000"/>
                <w:sz w:val="12"/>
                <w:szCs w:val="12"/>
                <w:lang w:val="es-MX" w:eastAsia="es-MX"/>
              </w:rPr>
              <w:t>Media</w:t>
            </w:r>
          </w:p>
        </w:tc>
        <w:tc>
          <w:tcPr>
            <w:tcW w:w="1418" w:type="dxa"/>
            <w:tcBorders>
              <w:bottom w:val="single" w:sz="4" w:space="0" w:color="auto"/>
            </w:tcBorders>
            <w:shd w:val="clear" w:color="auto" w:fill="F2F2F2"/>
            <w:noWrap/>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    818,960.00</w:t>
            </w:r>
          </w:p>
        </w:tc>
      </w:tr>
      <w:tr w:rsidR="00E257F7" w:rsidRPr="006E1449" w:rsidTr="00CA1E55">
        <w:trPr>
          <w:trHeight w:hRule="exact" w:val="284"/>
        </w:trPr>
        <w:tc>
          <w:tcPr>
            <w:tcW w:w="854" w:type="dxa"/>
            <w:vMerge w:val="restart"/>
            <w:tcBorders>
              <w:top w:val="single" w:sz="4" w:space="0" w:color="auto"/>
              <w:bottom w:val="single" w:sz="4" w:space="0" w:color="000000" w:themeColor="text1"/>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5</w:t>
            </w:r>
          </w:p>
        </w:tc>
        <w:tc>
          <w:tcPr>
            <w:tcW w:w="989" w:type="dxa"/>
            <w:tcBorders>
              <w:top w:val="single" w:sz="4"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08 - P001</w:t>
            </w:r>
          </w:p>
        </w:tc>
        <w:tc>
          <w:tcPr>
            <w:tcW w:w="1276" w:type="dxa"/>
            <w:tcBorders>
              <w:top w:val="single" w:sz="4"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Procesos</w:t>
            </w:r>
          </w:p>
        </w:tc>
        <w:tc>
          <w:tcPr>
            <w:tcW w:w="992" w:type="dxa"/>
            <w:tcBorders>
              <w:top w:val="single" w:sz="4"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tcBorders>
              <w:top w:val="single" w:sz="4"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276" w:type="dxa"/>
            <w:tcBorders>
              <w:top w:val="single" w:sz="4"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850" w:type="dxa"/>
            <w:tcBorders>
              <w:top w:val="single" w:sz="4" w:space="0" w:color="auto"/>
            </w:tcBorders>
            <w:shd w:val="clear" w:color="auto" w:fill="F2F2F2"/>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tcBorders>
              <w:top w:val="single" w:sz="4" w:space="0" w:color="auto"/>
            </w:tcBorders>
            <w:shd w:val="clear" w:color="auto" w:fill="F2F2F2"/>
            <w:vAlign w:val="center"/>
            <w:hideMark/>
          </w:tcPr>
          <w:p w:rsidR="00E257F7" w:rsidRPr="005A525E" w:rsidRDefault="00E257F7" w:rsidP="00EF61E0">
            <w:pPr>
              <w:spacing w:after="0"/>
              <w:jc w:val="center"/>
              <w:rPr>
                <w:rFonts w:ascii="Montserrat" w:eastAsia="Times New Roman" w:hAnsi="Montserrat" w:cs="Calibri"/>
                <w:b/>
                <w:color w:val="000000"/>
                <w:sz w:val="12"/>
                <w:szCs w:val="12"/>
                <w:lang w:val="es-MX" w:eastAsia="es-MX"/>
              </w:rPr>
            </w:pPr>
            <w:r w:rsidRPr="005A525E">
              <w:rPr>
                <w:rFonts w:ascii="Montserrat" w:eastAsia="Times New Roman" w:hAnsi="Montserrat" w:cs="Calibri"/>
                <w:b/>
                <w:color w:val="000000"/>
                <w:sz w:val="12"/>
                <w:szCs w:val="12"/>
                <w:lang w:val="es-MX" w:eastAsia="es-MX"/>
              </w:rPr>
              <w:t>Media</w:t>
            </w:r>
          </w:p>
        </w:tc>
        <w:tc>
          <w:tcPr>
            <w:tcW w:w="1418" w:type="dxa"/>
            <w:tcBorders>
              <w:top w:val="single" w:sz="4" w:space="0" w:color="auto"/>
            </w:tcBorders>
            <w:shd w:val="clear" w:color="auto" w:fill="F2F2F2"/>
            <w:noWrap/>
            <w:vAlign w:val="center"/>
            <w:hideMark/>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    864,000.00</w:t>
            </w:r>
          </w:p>
        </w:tc>
      </w:tr>
      <w:tr w:rsidR="00E257F7" w:rsidRPr="006E1449" w:rsidTr="00CA676E">
        <w:trPr>
          <w:trHeight w:val="297"/>
        </w:trPr>
        <w:tc>
          <w:tcPr>
            <w:tcW w:w="854" w:type="dxa"/>
            <w:vMerge/>
            <w:tcBorders>
              <w:top w:val="single" w:sz="4" w:space="0" w:color="FFFFFF" w:themeColor="background1"/>
              <w:bottom w:val="single" w:sz="12" w:space="0" w:color="808080" w:themeColor="background1" w:themeShade="80"/>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p>
        </w:tc>
        <w:tc>
          <w:tcPr>
            <w:tcW w:w="989" w:type="dxa"/>
            <w:tcBorders>
              <w:bottom w:val="single" w:sz="12" w:space="0" w:color="808080" w:themeColor="background1" w:themeShade="80"/>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18 - E568</w:t>
            </w:r>
          </w:p>
        </w:tc>
        <w:tc>
          <w:tcPr>
            <w:tcW w:w="1276" w:type="dxa"/>
            <w:tcBorders>
              <w:bottom w:val="single" w:sz="12" w:space="0" w:color="808080" w:themeColor="background1" w:themeShade="80"/>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Diseño</w:t>
            </w:r>
          </w:p>
        </w:tc>
        <w:tc>
          <w:tcPr>
            <w:tcW w:w="992" w:type="dxa"/>
            <w:tcBorders>
              <w:bottom w:val="single" w:sz="12" w:space="0" w:color="808080" w:themeColor="background1" w:themeShade="80"/>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134" w:type="dxa"/>
            <w:tcBorders>
              <w:bottom w:val="single" w:sz="12" w:space="0" w:color="808080" w:themeColor="background1" w:themeShade="80"/>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Media</w:t>
            </w:r>
          </w:p>
        </w:tc>
        <w:tc>
          <w:tcPr>
            <w:tcW w:w="1276" w:type="dxa"/>
            <w:tcBorders>
              <w:bottom w:val="single" w:sz="12" w:space="0" w:color="808080" w:themeColor="background1" w:themeShade="80"/>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Alta</w:t>
            </w:r>
          </w:p>
        </w:tc>
        <w:tc>
          <w:tcPr>
            <w:tcW w:w="850" w:type="dxa"/>
            <w:tcBorders>
              <w:bottom w:val="single" w:sz="12" w:space="0" w:color="808080" w:themeColor="background1" w:themeShade="80"/>
            </w:tcBorders>
            <w:shd w:val="clear" w:color="auto" w:fill="F2F2F2"/>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Baja</w:t>
            </w:r>
          </w:p>
        </w:tc>
        <w:tc>
          <w:tcPr>
            <w:tcW w:w="1134" w:type="dxa"/>
            <w:tcBorders>
              <w:bottom w:val="single" w:sz="12" w:space="0" w:color="808080" w:themeColor="background1" w:themeShade="80"/>
            </w:tcBorders>
            <w:shd w:val="clear" w:color="auto" w:fill="F2F2F2"/>
            <w:vAlign w:val="center"/>
          </w:tcPr>
          <w:p w:rsidR="00E257F7" w:rsidRPr="005A525E" w:rsidRDefault="00E257F7" w:rsidP="00EF61E0">
            <w:pPr>
              <w:spacing w:after="0"/>
              <w:jc w:val="center"/>
              <w:rPr>
                <w:rFonts w:ascii="Montserrat" w:eastAsia="Times New Roman" w:hAnsi="Montserrat" w:cs="Calibri"/>
                <w:b/>
                <w:color w:val="000000"/>
                <w:sz w:val="12"/>
                <w:szCs w:val="12"/>
                <w:lang w:val="es-MX" w:eastAsia="es-MX"/>
              </w:rPr>
            </w:pPr>
            <w:r w:rsidRPr="005A525E">
              <w:rPr>
                <w:rFonts w:ascii="Montserrat" w:eastAsia="Times New Roman" w:hAnsi="Montserrat" w:cs="Calibri"/>
                <w:b/>
                <w:color w:val="000000"/>
                <w:sz w:val="12"/>
                <w:szCs w:val="12"/>
                <w:lang w:val="es-MX" w:eastAsia="es-MX"/>
              </w:rPr>
              <w:t>Media</w:t>
            </w:r>
          </w:p>
        </w:tc>
        <w:tc>
          <w:tcPr>
            <w:tcW w:w="1418" w:type="dxa"/>
            <w:tcBorders>
              <w:bottom w:val="single" w:sz="12" w:space="0" w:color="808080" w:themeColor="background1" w:themeShade="80"/>
            </w:tcBorders>
            <w:shd w:val="clear" w:color="auto" w:fill="F2F2F2"/>
            <w:noWrap/>
            <w:vAlign w:val="center"/>
          </w:tcPr>
          <w:p w:rsidR="00E257F7" w:rsidRPr="00CA1E55" w:rsidRDefault="00E257F7" w:rsidP="00EF61E0">
            <w:pPr>
              <w:spacing w:after="0"/>
              <w:jc w:val="center"/>
              <w:rPr>
                <w:rFonts w:ascii="Montserrat" w:eastAsia="Times New Roman" w:hAnsi="Montserrat" w:cs="Calibri"/>
                <w:color w:val="000000"/>
                <w:sz w:val="12"/>
                <w:szCs w:val="12"/>
                <w:lang w:val="es-MX" w:eastAsia="es-MX"/>
              </w:rPr>
            </w:pPr>
            <w:r w:rsidRPr="00CA1E55">
              <w:rPr>
                <w:rFonts w:ascii="Montserrat" w:eastAsia="Times New Roman" w:hAnsi="Montserrat" w:cs="Calibri"/>
                <w:color w:val="000000"/>
                <w:sz w:val="12"/>
                <w:szCs w:val="12"/>
                <w:lang w:val="es-MX" w:eastAsia="es-MX"/>
              </w:rPr>
              <w:t>$    638,000.00</w:t>
            </w:r>
          </w:p>
        </w:tc>
      </w:tr>
      <w:tr w:rsidR="008033B2" w:rsidRPr="006E1449" w:rsidTr="00CA676E">
        <w:trPr>
          <w:trHeight w:val="260"/>
        </w:trPr>
        <w:tc>
          <w:tcPr>
            <w:tcW w:w="9923" w:type="dxa"/>
            <w:gridSpan w:val="9"/>
            <w:tcBorders>
              <w:top w:val="single" w:sz="12" w:space="0" w:color="808080" w:themeColor="background1" w:themeShade="80"/>
            </w:tcBorders>
            <w:shd w:val="clear" w:color="auto" w:fill="auto"/>
          </w:tcPr>
          <w:p w:rsidR="00B137CD" w:rsidRDefault="008033B2" w:rsidP="008033B2">
            <w:pPr>
              <w:spacing w:after="0"/>
              <w:jc w:val="both"/>
              <w:rPr>
                <w:sz w:val="12"/>
                <w:szCs w:val="12"/>
              </w:rPr>
            </w:pPr>
            <w:r w:rsidRPr="009C3A84">
              <w:rPr>
                <w:b/>
                <w:sz w:val="12"/>
                <w:szCs w:val="12"/>
              </w:rPr>
              <w:t>Nota:</w:t>
            </w:r>
            <w:r w:rsidRPr="009C3A84">
              <w:rPr>
                <w:sz w:val="12"/>
                <w:szCs w:val="12"/>
              </w:rPr>
              <w:t xml:space="preserve"> Para definir la posición y el orden de cada evaluación se utilizaron los siguientes criterios: a) Número de aspectos valorados como «Altos», y b) Costo por tipo de la evaluación.</w:t>
            </w:r>
          </w:p>
          <w:p w:rsidR="00B137CD" w:rsidRPr="00EF61E0" w:rsidRDefault="00B137CD" w:rsidP="008033B2">
            <w:pPr>
              <w:spacing w:after="0"/>
              <w:jc w:val="both"/>
              <w:rPr>
                <w:b/>
                <w:sz w:val="12"/>
                <w:szCs w:val="12"/>
              </w:rPr>
            </w:pPr>
            <w:r>
              <w:rPr>
                <w:b/>
                <w:sz w:val="12"/>
                <w:szCs w:val="12"/>
              </w:rPr>
              <w:t xml:space="preserve">Fuente: </w:t>
            </w:r>
            <w:r w:rsidR="005653B3" w:rsidRPr="005653B3">
              <w:rPr>
                <w:sz w:val="12"/>
                <w:szCs w:val="12"/>
              </w:rPr>
              <w:t>Unidad de Evaluación del Desempeño</w:t>
            </w:r>
            <w:r w:rsidRPr="00E5536F">
              <w:rPr>
                <w:sz w:val="12"/>
                <w:szCs w:val="12"/>
              </w:rPr>
              <w:t xml:space="preserve"> a partir de la información proporcionada por </w:t>
            </w:r>
            <w:r w:rsidRPr="00B137CD">
              <w:rPr>
                <w:sz w:val="12"/>
                <w:szCs w:val="12"/>
              </w:rPr>
              <w:t>dependencias</w:t>
            </w:r>
            <w:r w:rsidRPr="00EA09D0">
              <w:rPr>
                <w:sz w:val="12"/>
                <w:szCs w:val="12"/>
              </w:rPr>
              <w:t xml:space="preserve"> y entidades de la Administración Pública Federal</w:t>
            </w:r>
            <w:r>
              <w:rPr>
                <w:sz w:val="12"/>
                <w:szCs w:val="12"/>
              </w:rPr>
              <w:t>.</w:t>
            </w:r>
          </w:p>
        </w:tc>
      </w:tr>
    </w:tbl>
    <w:p w:rsidR="00C41D50" w:rsidRDefault="00C41D50" w:rsidP="00C41D50">
      <w:pPr>
        <w:rPr>
          <w:lang w:val="es-MX"/>
        </w:rPr>
      </w:pPr>
    </w:p>
    <w:p w:rsidR="00F173CC" w:rsidRDefault="00F173CC" w:rsidP="00C41D50">
      <w:pPr>
        <w:rPr>
          <w:lang w:val="es-MX"/>
        </w:rPr>
      </w:pPr>
    </w:p>
    <w:p w:rsidR="00F173CC" w:rsidRPr="003C50CF" w:rsidRDefault="00F173CC" w:rsidP="003C50CF">
      <w:pPr>
        <w:pStyle w:val="Ttulo2"/>
        <w:rPr>
          <w:lang w:val="es-MX"/>
        </w:rPr>
      </w:pPr>
      <w:bookmarkStart w:id="7" w:name="_Toc449548676"/>
      <w:bookmarkStart w:id="8" w:name="_Toc7032623"/>
      <w:r w:rsidRPr="003C50CF">
        <w:rPr>
          <w:lang w:val="es-MX"/>
        </w:rPr>
        <w:lastRenderedPageBreak/>
        <w:t xml:space="preserve">ASPECTOS SUSCEPTIBLES DE MEJORA PARA EL PRIMER TRIMESTRE DE </w:t>
      </w:r>
      <w:bookmarkEnd w:id="7"/>
      <w:r w:rsidRPr="003C50CF">
        <w:rPr>
          <w:lang w:val="es-MX"/>
        </w:rPr>
        <w:t>2019</w:t>
      </w:r>
      <w:bookmarkEnd w:id="8"/>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 xml:space="preserve">Los </w:t>
      </w:r>
      <w:r w:rsidR="005653B3">
        <w:rPr>
          <w:rFonts w:eastAsia="Times New Roman" w:cs="Arial"/>
          <w:szCs w:val="20"/>
          <w:lang w:val="es-ES"/>
        </w:rPr>
        <w:t>Aspectos Susceptibles de Mejora (</w:t>
      </w:r>
      <w:r w:rsidRPr="00F173CC">
        <w:rPr>
          <w:rFonts w:eastAsia="Times New Roman" w:cs="Arial"/>
          <w:szCs w:val="20"/>
          <w:lang w:val="es-ES"/>
        </w:rPr>
        <w:t>ASM</w:t>
      </w:r>
      <w:r w:rsidR="005653B3">
        <w:rPr>
          <w:rFonts w:eastAsia="Times New Roman" w:cs="Arial"/>
          <w:szCs w:val="20"/>
          <w:lang w:val="es-ES"/>
        </w:rPr>
        <w:t>)</w:t>
      </w:r>
      <w:r w:rsidRPr="00F173CC">
        <w:rPr>
          <w:rFonts w:eastAsia="Times New Roman" w:cs="Arial"/>
          <w:szCs w:val="20"/>
          <w:lang w:val="es-ES"/>
        </w:rPr>
        <w:t xml:space="preserve"> son los compromisos que asumen las dependencias y entidades para introducir mejoras a una política pública o a un </w:t>
      </w:r>
      <w:proofErr w:type="spellStart"/>
      <w:r w:rsidRPr="00F173CC">
        <w:rPr>
          <w:rFonts w:eastAsia="Times New Roman" w:cs="Arial"/>
          <w:szCs w:val="20"/>
          <w:lang w:val="es-ES"/>
        </w:rPr>
        <w:t>Pp</w:t>
      </w:r>
      <w:proofErr w:type="spellEnd"/>
      <w:r w:rsidRPr="00F173CC">
        <w:rPr>
          <w:rFonts w:eastAsia="Times New Roman" w:cs="Arial"/>
          <w:szCs w:val="20"/>
          <w:lang w:val="es-ES"/>
        </w:rPr>
        <w:t>, con base en los hallazgos</w:t>
      </w:r>
      <w:r w:rsidR="00B137CD">
        <w:rPr>
          <w:rFonts w:eastAsia="Times New Roman" w:cs="Arial"/>
          <w:szCs w:val="20"/>
          <w:lang w:val="es-ES"/>
        </w:rPr>
        <w:t xml:space="preserve"> sobre</w:t>
      </w:r>
      <w:r w:rsidRPr="00F173CC">
        <w:rPr>
          <w:rFonts w:eastAsia="Times New Roman" w:cs="Arial"/>
          <w:szCs w:val="20"/>
          <w:lang w:val="es-ES"/>
        </w:rPr>
        <w:t xml:space="preserve"> debilidades, oportunidades y amenazas identificadas en una evaluación externa. Los ASM deberán ser atendidos para la mejora de los </w:t>
      </w:r>
      <w:proofErr w:type="spellStart"/>
      <w:r w:rsidRPr="00F173CC">
        <w:rPr>
          <w:rFonts w:eastAsia="Times New Roman" w:cs="Arial"/>
          <w:szCs w:val="20"/>
          <w:lang w:val="es-ES"/>
        </w:rPr>
        <w:t>Pp</w:t>
      </w:r>
      <w:proofErr w:type="spellEnd"/>
      <w:r w:rsidRPr="00F173CC">
        <w:rPr>
          <w:rFonts w:eastAsia="Times New Roman" w:cs="Arial"/>
          <w:szCs w:val="20"/>
          <w:lang w:val="es-ES"/>
        </w:rPr>
        <w:t xml:space="preserve"> con base en las recomendaciones y sugerencias señaladas por el evaluador externo.</w:t>
      </w: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 xml:space="preserve">Con el objetivo de establecer un proceso para dar seguimiento a los ASM y articular los resultados de las evaluaciones externas a los </w:t>
      </w:r>
      <w:proofErr w:type="spellStart"/>
      <w:r w:rsidRPr="00F173CC">
        <w:rPr>
          <w:rFonts w:eastAsia="Times New Roman" w:cs="Arial"/>
          <w:szCs w:val="20"/>
          <w:lang w:val="es-ES"/>
        </w:rPr>
        <w:t>Pp</w:t>
      </w:r>
      <w:proofErr w:type="spellEnd"/>
      <w:r w:rsidRPr="00F173CC">
        <w:rPr>
          <w:rFonts w:eastAsia="Times New Roman" w:cs="Arial"/>
          <w:szCs w:val="20"/>
          <w:lang w:val="es-ES"/>
        </w:rPr>
        <w:t xml:space="preserve"> en el marco del Sistema de Evaluación del Desempeño (SED), la SHCP, la SFP</w:t>
      </w:r>
      <w:r w:rsidRPr="00F173CC">
        <w:rPr>
          <w:rFonts w:eastAsia="Times New Roman" w:cs="Arial"/>
          <w:szCs w:val="20"/>
          <w:vertAlign w:val="superscript"/>
          <w:lang w:val="es-ES"/>
        </w:rPr>
        <w:footnoteReference w:customMarkFollows="1" w:id="1"/>
        <w:t>1_/</w:t>
      </w:r>
      <w:r w:rsidRPr="00F173CC">
        <w:rPr>
          <w:rFonts w:eastAsia="Times New Roman" w:cs="Arial"/>
          <w:szCs w:val="20"/>
          <w:lang w:val="es-ES"/>
        </w:rPr>
        <w:t xml:space="preserve"> y el CONEVAL emitieron en octubre de 2008 la tercera versión del “Mecanismo para el seguimiento a los aspectos susceptibles de mejora derivados de los informes y evaluaciones externas a programas federales” (Mecanismo), el cual se ha actualizado en dos ocasiones, emitiéndose en marzo de 2011 el vigente. </w:t>
      </w: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 xml:space="preserve">De acuerdo con el Mecanismo vigente, las dependencias y entidades reportaron en el mes de marzo de 2019, </w:t>
      </w:r>
      <w:r w:rsidRPr="00CB7065">
        <w:rPr>
          <w:rFonts w:eastAsia="Times New Roman" w:cs="Arial"/>
          <w:szCs w:val="20"/>
          <w:lang w:val="es-ES"/>
        </w:rPr>
        <w:t xml:space="preserve">los avances obtenidos en la implementación de las acciones comprometidas </w:t>
      </w:r>
      <w:r w:rsidR="00495E44" w:rsidRPr="00CB7065">
        <w:rPr>
          <w:rFonts w:eastAsia="Times New Roman" w:cs="Arial"/>
          <w:szCs w:val="20"/>
          <w:lang w:val="es-ES"/>
        </w:rPr>
        <w:t>en ejercicios fiscales anteriores</w:t>
      </w:r>
      <w:r w:rsidRPr="00CB7065">
        <w:rPr>
          <w:rFonts w:eastAsia="Times New Roman" w:cs="Arial"/>
          <w:szCs w:val="20"/>
          <w:lang w:val="es-ES"/>
        </w:rPr>
        <w:t>, sobre ASM derivados de evaluaciones externas concluidas en el ejercicio 2018 y anteriores.</w:t>
      </w:r>
      <w:r w:rsidRPr="00F173CC">
        <w:rPr>
          <w:rFonts w:eastAsia="Times New Roman" w:cs="Arial"/>
          <w:szCs w:val="20"/>
          <w:lang w:val="es-ES"/>
        </w:rPr>
        <w:t xml:space="preserve"> </w:t>
      </w:r>
      <w:r w:rsidR="005653B3">
        <w:rPr>
          <w:rFonts w:eastAsia="Times New Roman" w:cs="Arial"/>
          <w:szCs w:val="20"/>
          <w:lang w:val="es-ES"/>
        </w:rPr>
        <w:t xml:space="preserve">A </w:t>
      </w:r>
      <w:r w:rsidR="00CB7065">
        <w:rPr>
          <w:rFonts w:eastAsia="Times New Roman" w:cs="Arial"/>
          <w:szCs w:val="20"/>
          <w:lang w:val="es-ES"/>
        </w:rPr>
        <w:t>continuación,</w:t>
      </w:r>
      <w:r w:rsidRPr="00F173CC">
        <w:rPr>
          <w:rFonts w:eastAsia="Times New Roman" w:cs="Arial"/>
          <w:szCs w:val="20"/>
          <w:lang w:val="es-ES"/>
        </w:rPr>
        <w:t xml:space="preserve"> se presentan dichos avances registrados ante las instancias coordinadoras (SHCP y CONEVAL). </w:t>
      </w:r>
    </w:p>
    <w:p w:rsidR="00F173CC" w:rsidRPr="00F173CC" w:rsidRDefault="00F173CC" w:rsidP="00F173CC">
      <w:pPr>
        <w:jc w:val="both"/>
        <w:rPr>
          <w:rFonts w:eastAsia="Times New Roman" w:cs="Arial"/>
          <w:b/>
          <w:szCs w:val="20"/>
          <w:lang w:val="es-ES" w:eastAsia="es-MX"/>
        </w:rPr>
      </w:pPr>
      <w:r w:rsidRPr="00F173CC">
        <w:rPr>
          <w:rFonts w:eastAsia="Times New Roman" w:cs="Arial"/>
          <w:b/>
          <w:szCs w:val="20"/>
          <w:lang w:val="es-ES" w:eastAsia="es-MX"/>
        </w:rPr>
        <w:t>Resultados al primer trimestre 2019</w:t>
      </w:r>
    </w:p>
    <w:p w:rsidR="00F173CC" w:rsidRPr="00F173CC" w:rsidRDefault="00F173CC" w:rsidP="00F173CC">
      <w:pPr>
        <w:jc w:val="both"/>
        <w:rPr>
          <w:rFonts w:eastAsia="Times New Roman" w:cs="Arial"/>
          <w:szCs w:val="20"/>
          <w:lang w:val="es-ES" w:eastAsia="es-MX"/>
        </w:rPr>
      </w:pPr>
      <w:r w:rsidRPr="00F173CC">
        <w:rPr>
          <w:rFonts w:eastAsia="Times New Roman" w:cs="Arial"/>
          <w:szCs w:val="20"/>
          <w:lang w:val="es-ES" w:eastAsia="es-MX"/>
        </w:rPr>
        <w:t xml:space="preserve">Para el primer trimestre de 2019, las dependencias y entidades de la APF instrumentaron acciones correspondientes a 454 ASM, los cuales fueron reportados a las dos instancias coordinadoras. La información se presentó de conformidad con lo establecido en el proceso del Mecanismo vigente. </w:t>
      </w:r>
    </w:p>
    <w:p w:rsidR="00F173CC" w:rsidRPr="00F173CC" w:rsidRDefault="00F173CC" w:rsidP="00F173CC">
      <w:pPr>
        <w:jc w:val="both"/>
        <w:rPr>
          <w:rFonts w:eastAsia="Times New Roman" w:cs="Arial"/>
          <w:szCs w:val="20"/>
          <w:lang w:val="es-ES" w:eastAsia="es-MX"/>
        </w:rPr>
      </w:pPr>
      <w:r w:rsidRPr="00F173CC">
        <w:rPr>
          <w:rFonts w:eastAsia="Times New Roman" w:cs="Arial"/>
          <w:szCs w:val="20"/>
          <w:lang w:val="es-ES" w:eastAsia="es-MX"/>
        </w:rPr>
        <w:t xml:space="preserve">Los 454 ASM corresponden a 143 programas y acciones federales de 48 dependencias y entidades, y se distribuyen de la siguiente manera: 254 (55.9%) son del tipo específico; 188 (41.4%) pertenecen al tipo institucional; nueve (2.0%) son de tipo interinstitucional y finalmente tres (0.7%) son de tipo intergubernamental. </w:t>
      </w:r>
    </w:p>
    <w:tbl>
      <w:tblPr>
        <w:tblW w:w="5000" w:type="pct"/>
        <w:tblLayout w:type="fixed"/>
        <w:tblCellMar>
          <w:left w:w="70" w:type="dxa"/>
          <w:right w:w="70" w:type="dxa"/>
        </w:tblCellMar>
        <w:tblLook w:val="04A0" w:firstRow="1" w:lastRow="0" w:firstColumn="1" w:lastColumn="0" w:noHBand="0" w:noVBand="1"/>
      </w:tblPr>
      <w:tblGrid>
        <w:gridCol w:w="709"/>
        <w:gridCol w:w="2694"/>
        <w:gridCol w:w="991"/>
        <w:gridCol w:w="1135"/>
        <w:gridCol w:w="1416"/>
        <w:gridCol w:w="1697"/>
        <w:gridCol w:w="708"/>
        <w:gridCol w:w="622"/>
      </w:tblGrid>
      <w:tr w:rsidR="00F173CC" w:rsidRPr="00F173CC" w:rsidTr="005F0F2C">
        <w:trPr>
          <w:trHeight w:val="300"/>
          <w:tblHeader/>
        </w:trPr>
        <w:tc>
          <w:tcPr>
            <w:tcW w:w="5000" w:type="pct"/>
            <w:gridSpan w:val="8"/>
            <w:tcBorders>
              <w:top w:val="nil"/>
              <w:left w:val="nil"/>
              <w:right w:val="nil"/>
            </w:tcBorders>
            <w:shd w:val="clear" w:color="auto" w:fill="auto"/>
            <w:vAlign w:val="bottom"/>
            <w:hideMark/>
          </w:tcPr>
          <w:p w:rsidR="00F173CC" w:rsidRPr="00F173CC" w:rsidRDefault="00F173CC" w:rsidP="00691AC1">
            <w:pPr>
              <w:pStyle w:val="CABEZA"/>
            </w:pPr>
            <w:r w:rsidRPr="00F173CC">
              <w:t>Tabla 1. Tipo de ASM por Ramo y por dependencia o entidad al 31 marzo de 2019</w:t>
            </w:r>
          </w:p>
        </w:tc>
      </w:tr>
      <w:tr w:rsidR="008406FA" w:rsidRPr="00F173CC" w:rsidTr="00691AC1">
        <w:trPr>
          <w:trHeight w:hRule="exact" w:val="57"/>
          <w:tblHeader/>
        </w:trPr>
        <w:tc>
          <w:tcPr>
            <w:tcW w:w="355" w:type="pct"/>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1351" w:type="pct"/>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497" w:type="pct"/>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569" w:type="pct"/>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710" w:type="pct"/>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851" w:type="pct"/>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355" w:type="pct"/>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311" w:type="pct"/>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r>
      <w:tr w:rsidR="008406FA" w:rsidRPr="00F173CC" w:rsidTr="00691AC1">
        <w:trPr>
          <w:trHeight w:val="300"/>
          <w:tblHeader/>
        </w:trPr>
        <w:tc>
          <w:tcPr>
            <w:tcW w:w="355" w:type="pct"/>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Ramo</w:t>
            </w:r>
          </w:p>
        </w:tc>
        <w:tc>
          <w:tcPr>
            <w:tcW w:w="1351" w:type="pct"/>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Dependencia o Entidad</w:t>
            </w:r>
          </w:p>
        </w:tc>
        <w:tc>
          <w:tcPr>
            <w:tcW w:w="497" w:type="pct"/>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Específico</w:t>
            </w:r>
          </w:p>
        </w:tc>
        <w:tc>
          <w:tcPr>
            <w:tcW w:w="569" w:type="pct"/>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Institucional</w:t>
            </w:r>
          </w:p>
        </w:tc>
        <w:tc>
          <w:tcPr>
            <w:tcW w:w="710" w:type="pct"/>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Interinstitucional</w:t>
            </w:r>
          </w:p>
        </w:tc>
        <w:tc>
          <w:tcPr>
            <w:tcW w:w="851" w:type="pct"/>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Intergubernamental</w:t>
            </w:r>
          </w:p>
        </w:tc>
        <w:tc>
          <w:tcPr>
            <w:tcW w:w="355" w:type="pct"/>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Total</w:t>
            </w:r>
          </w:p>
        </w:tc>
        <w:tc>
          <w:tcPr>
            <w:tcW w:w="311" w:type="pct"/>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 del Total</w:t>
            </w:r>
          </w:p>
        </w:tc>
      </w:tr>
      <w:tr w:rsidR="008406FA" w:rsidRPr="00F173CC" w:rsidTr="00691AC1">
        <w:trPr>
          <w:trHeight w:hRule="exact" w:val="57"/>
          <w:tblHeader/>
        </w:trPr>
        <w:tc>
          <w:tcPr>
            <w:tcW w:w="355" w:type="pct"/>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351" w:type="pct"/>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497" w:type="pct"/>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569" w:type="pct"/>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710" w:type="pct"/>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851" w:type="pct"/>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355" w:type="pct"/>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311" w:type="pct"/>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8406FA" w:rsidRPr="00F173CC" w:rsidTr="00691AC1">
        <w:trPr>
          <w:trHeight w:hRule="exact" w:val="57"/>
          <w:tblHeader/>
        </w:trPr>
        <w:tc>
          <w:tcPr>
            <w:tcW w:w="355" w:type="pct"/>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351" w:type="pct"/>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497" w:type="pct"/>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569" w:type="pct"/>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710" w:type="pct"/>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851" w:type="pct"/>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355" w:type="pct"/>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311" w:type="pct"/>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8406FA" w:rsidRPr="00F173CC" w:rsidTr="00CA676E">
        <w:trPr>
          <w:trHeight w:val="300"/>
        </w:trPr>
        <w:tc>
          <w:tcPr>
            <w:tcW w:w="1706" w:type="pct"/>
            <w:gridSpan w:val="2"/>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04 </w:t>
            </w:r>
            <w:proofErr w:type="gramStart"/>
            <w:r w:rsidRPr="00691AC1">
              <w:rPr>
                <w:rFonts w:ascii="Montserrat" w:eastAsia="Times New Roman" w:hAnsi="Montserrat" w:cs="Calibri"/>
                <w:b/>
                <w:bCs/>
                <w:color w:val="000000"/>
                <w:sz w:val="12"/>
                <w:szCs w:val="12"/>
                <w:lang w:val="es-MX" w:eastAsia="es-MX"/>
              </w:rPr>
              <w:t>Gobernación</w:t>
            </w:r>
            <w:proofErr w:type="gramEnd"/>
          </w:p>
        </w:tc>
        <w:tc>
          <w:tcPr>
            <w:tcW w:w="497" w:type="pct"/>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45</w:t>
            </w:r>
          </w:p>
        </w:tc>
        <w:tc>
          <w:tcPr>
            <w:tcW w:w="569" w:type="pct"/>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24</w:t>
            </w:r>
          </w:p>
        </w:tc>
        <w:tc>
          <w:tcPr>
            <w:tcW w:w="710" w:type="pct"/>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851" w:type="pct"/>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69</w:t>
            </w:r>
          </w:p>
        </w:tc>
        <w:tc>
          <w:tcPr>
            <w:tcW w:w="311" w:type="pct"/>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15.2</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Secretaría de Gobernación (SEGOB)</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Centro Nacional de Prevención de Desastres (CENAPRED)</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21</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Secretariado Ejecutivo del Sistema Nacional de Seguridad Pública (SESNSP)</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Comisión Nacional para Prevenir y Erradicar la Violencia Contra las Mujeres (CONAVIM)</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Comisionado Nacional de Seguridad (CNS)</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lastRenderedPageBreak/>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Gobernación (SEGOB)</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21</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Consejo Nacional de Población (CONAPO)</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06 </w:t>
            </w:r>
            <w:proofErr w:type="gramStart"/>
            <w:r w:rsidRPr="00691AC1">
              <w:rPr>
                <w:rFonts w:ascii="Montserrat" w:eastAsia="Times New Roman" w:hAnsi="Montserrat" w:cs="Calibri"/>
                <w:b/>
                <w:bCs/>
                <w:color w:val="000000"/>
                <w:sz w:val="12"/>
                <w:szCs w:val="12"/>
                <w:lang w:val="es-MX" w:eastAsia="es-MX"/>
              </w:rPr>
              <w:t>Hacienda</w:t>
            </w:r>
            <w:proofErr w:type="gramEnd"/>
            <w:r w:rsidRPr="00691AC1">
              <w:rPr>
                <w:rFonts w:ascii="Montserrat" w:eastAsia="Times New Roman" w:hAnsi="Montserrat" w:cs="Calibri"/>
                <w:b/>
                <w:bCs/>
                <w:color w:val="000000"/>
                <w:sz w:val="12"/>
                <w:szCs w:val="12"/>
                <w:lang w:val="es-MX" w:eastAsia="es-MX"/>
              </w:rPr>
              <w:t xml:space="preserve"> y Crédito Público</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7</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8</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1.8</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848"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Secretaría de Hacienda y Crédito Público (SHCP)</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Tesorería de la Federación (TESOFE)</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Comisión Nacional de Seguros y Fianzas (CNSF)</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Comisión Nacional del Sistema de Ahorro para el Retiro (CONSAR)</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Aseguradora Agropecuaria Mexicana (AGROASEMEX, S.A.)</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08 </w:t>
            </w:r>
            <w:proofErr w:type="gramStart"/>
            <w:r w:rsidRPr="00691AC1">
              <w:rPr>
                <w:rFonts w:ascii="Montserrat" w:eastAsia="Times New Roman" w:hAnsi="Montserrat" w:cs="Calibri"/>
                <w:b/>
                <w:bCs/>
                <w:color w:val="000000"/>
                <w:sz w:val="12"/>
                <w:szCs w:val="12"/>
                <w:lang w:val="es-MX" w:eastAsia="es-MX"/>
              </w:rPr>
              <w:t>Agricultura</w:t>
            </w:r>
            <w:proofErr w:type="gramEnd"/>
            <w:r w:rsidRPr="00691AC1">
              <w:rPr>
                <w:rFonts w:ascii="Montserrat" w:eastAsia="Times New Roman" w:hAnsi="Montserrat" w:cs="Calibri"/>
                <w:b/>
                <w:bCs/>
                <w:color w:val="000000"/>
                <w:sz w:val="12"/>
                <w:szCs w:val="12"/>
                <w:lang w:val="es-MX" w:eastAsia="es-MX"/>
              </w:rPr>
              <w:t xml:space="preserve"> y Desarrollo Rural</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8</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1.8</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Secretaría de Agricultura y Desarrollo Rural (SADER)</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09 </w:t>
            </w:r>
            <w:proofErr w:type="gramStart"/>
            <w:r w:rsidRPr="00691AC1">
              <w:rPr>
                <w:rFonts w:ascii="Montserrat" w:eastAsia="Times New Roman" w:hAnsi="Montserrat" w:cs="Calibri"/>
                <w:b/>
                <w:bCs/>
                <w:color w:val="000000"/>
                <w:sz w:val="12"/>
                <w:szCs w:val="12"/>
                <w:lang w:val="es-MX" w:eastAsia="es-MX"/>
              </w:rPr>
              <w:t>Comunicaciones</w:t>
            </w:r>
            <w:proofErr w:type="gramEnd"/>
            <w:r w:rsidRPr="00691AC1">
              <w:rPr>
                <w:rFonts w:ascii="Montserrat" w:eastAsia="Times New Roman" w:hAnsi="Montserrat" w:cs="Calibri"/>
                <w:b/>
                <w:bCs/>
                <w:color w:val="000000"/>
                <w:sz w:val="12"/>
                <w:szCs w:val="12"/>
                <w:lang w:val="es-MX" w:eastAsia="es-MX"/>
              </w:rPr>
              <w:t xml:space="preserve"> y Transportes</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12</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2.6</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Secretaría de Comunicaciones y Transportes (SCT)</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Comunicaciones y Transporte (SCT)</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11</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11 </w:t>
            </w:r>
            <w:proofErr w:type="gramStart"/>
            <w:r w:rsidRPr="00691AC1">
              <w:rPr>
                <w:rFonts w:ascii="Montserrat" w:eastAsia="Times New Roman" w:hAnsi="Montserrat" w:cs="Calibri"/>
                <w:b/>
                <w:bCs/>
                <w:color w:val="000000"/>
                <w:sz w:val="12"/>
                <w:szCs w:val="12"/>
                <w:lang w:val="es-MX" w:eastAsia="es-MX"/>
              </w:rPr>
              <w:t>Educación</w:t>
            </w:r>
            <w:proofErr w:type="gramEnd"/>
            <w:r w:rsidRPr="00691AC1">
              <w:rPr>
                <w:rFonts w:ascii="Montserrat" w:eastAsia="Times New Roman" w:hAnsi="Montserrat" w:cs="Calibri"/>
                <w:b/>
                <w:bCs/>
                <w:color w:val="000000"/>
                <w:sz w:val="12"/>
                <w:szCs w:val="12"/>
                <w:lang w:val="es-MX" w:eastAsia="es-MX"/>
              </w:rPr>
              <w:t xml:space="preserve"> Pública</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49</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10.8</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Secretaría de Educación Pública (SEP)</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40</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Comisión Nacional de Cultura Física y Deporte (CONADE)</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12 </w:t>
            </w:r>
            <w:proofErr w:type="gramStart"/>
            <w:r w:rsidRPr="00691AC1">
              <w:rPr>
                <w:rFonts w:ascii="Montserrat" w:eastAsia="Times New Roman" w:hAnsi="Montserrat" w:cs="Calibri"/>
                <w:b/>
                <w:bCs/>
                <w:color w:val="000000"/>
                <w:sz w:val="12"/>
                <w:szCs w:val="12"/>
                <w:lang w:val="es-MX" w:eastAsia="es-MX"/>
              </w:rPr>
              <w:t>Salud</w:t>
            </w:r>
            <w:proofErr w:type="gramEnd"/>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18</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22</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4.8</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Secretaría de Salud (SALUD)</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13</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Sistema Nacional para el Desarrollo Integral de la Familia (DIF)</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Comisión Nacional de Protección Social en Salud (CNPSS)</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13 Marina</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0.2</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Secretaría de Marina (SEMAR)</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14 </w:t>
            </w:r>
            <w:proofErr w:type="gramStart"/>
            <w:r w:rsidRPr="00691AC1">
              <w:rPr>
                <w:rFonts w:ascii="Montserrat" w:eastAsia="Times New Roman" w:hAnsi="Montserrat" w:cs="Calibri"/>
                <w:b/>
                <w:bCs/>
                <w:color w:val="000000"/>
                <w:sz w:val="12"/>
                <w:szCs w:val="12"/>
                <w:lang w:val="es-MX" w:eastAsia="es-MX"/>
              </w:rPr>
              <w:t>Trabajo</w:t>
            </w:r>
            <w:proofErr w:type="gramEnd"/>
            <w:r w:rsidRPr="00691AC1">
              <w:rPr>
                <w:rFonts w:ascii="Montserrat" w:eastAsia="Times New Roman" w:hAnsi="Montserrat" w:cs="Calibri"/>
                <w:b/>
                <w:bCs/>
                <w:color w:val="000000"/>
                <w:sz w:val="12"/>
                <w:szCs w:val="12"/>
                <w:lang w:val="es-MX" w:eastAsia="es-MX"/>
              </w:rPr>
              <w:t xml:space="preserve"> y Previsión Social</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0.7</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Secretaría del Trabajo y Previsión Social (STPS)</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15 </w:t>
            </w:r>
            <w:proofErr w:type="gramStart"/>
            <w:r w:rsidRPr="00691AC1">
              <w:rPr>
                <w:rFonts w:ascii="Montserrat" w:eastAsia="Times New Roman" w:hAnsi="Montserrat" w:cs="Calibri"/>
                <w:b/>
                <w:bCs/>
                <w:color w:val="000000"/>
                <w:sz w:val="12"/>
                <w:szCs w:val="12"/>
                <w:lang w:val="es-MX" w:eastAsia="es-MX"/>
              </w:rPr>
              <w:t>Desarrollo</w:t>
            </w:r>
            <w:proofErr w:type="gramEnd"/>
            <w:r w:rsidRPr="00691AC1">
              <w:rPr>
                <w:rFonts w:ascii="Montserrat" w:eastAsia="Times New Roman" w:hAnsi="Montserrat" w:cs="Calibri"/>
                <w:b/>
                <w:bCs/>
                <w:color w:val="000000"/>
                <w:sz w:val="12"/>
                <w:szCs w:val="12"/>
                <w:lang w:val="es-MX" w:eastAsia="es-MX"/>
              </w:rPr>
              <w:t xml:space="preserve"> Agrario, Territorial y Urbano</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8</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13</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21</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4.6</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Secretaría de Desarrollo Agrario, Territorial y Urbano (SEDATU)</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Comisión Nacional de Vivienda (CONAVI)</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Registro Agrario Nacional (RAN)</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16 </w:t>
            </w:r>
            <w:proofErr w:type="gramStart"/>
            <w:r w:rsidRPr="00691AC1">
              <w:rPr>
                <w:rFonts w:ascii="Montserrat" w:eastAsia="Times New Roman" w:hAnsi="Montserrat" w:cs="Calibri"/>
                <w:b/>
                <w:bCs/>
                <w:color w:val="000000"/>
                <w:sz w:val="12"/>
                <w:szCs w:val="12"/>
                <w:lang w:val="es-MX" w:eastAsia="es-MX"/>
              </w:rPr>
              <w:t>Medio</w:t>
            </w:r>
            <w:proofErr w:type="gramEnd"/>
            <w:r w:rsidRPr="00691AC1">
              <w:rPr>
                <w:rFonts w:ascii="Montserrat" w:eastAsia="Times New Roman" w:hAnsi="Montserrat" w:cs="Calibri"/>
                <w:b/>
                <w:bCs/>
                <w:color w:val="000000"/>
                <w:sz w:val="12"/>
                <w:szCs w:val="12"/>
                <w:lang w:val="es-MX" w:eastAsia="es-MX"/>
              </w:rPr>
              <w:t xml:space="preserve"> Ambiente y Recursos Naturales</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31</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16</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50</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11.0</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Comisión Nacional del Agua (CONAGUA)</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9</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8</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Secretaría de Medio Ambiente y Recursos Naturales (SEMARNAT)</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9</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Comisión Nacional Forestal (CONAFOR)</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848"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Comisión Nacional de Áreas Naturales Protegidas (CONANP)</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Medio Ambiente y Recursos Naturales (SEMARNAT)</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18 </w:t>
            </w:r>
            <w:proofErr w:type="gramStart"/>
            <w:r w:rsidRPr="00691AC1">
              <w:rPr>
                <w:rFonts w:ascii="Montserrat" w:eastAsia="Times New Roman" w:hAnsi="Montserrat" w:cs="Calibri"/>
                <w:b/>
                <w:bCs/>
                <w:color w:val="000000"/>
                <w:sz w:val="12"/>
                <w:szCs w:val="12"/>
                <w:lang w:val="es-MX" w:eastAsia="es-MX"/>
              </w:rPr>
              <w:t>Energía</w:t>
            </w:r>
            <w:proofErr w:type="gramEnd"/>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1.1</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848"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Comisión Nacional para el Uso Eficiente de la Energía (CONUUE)</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19 </w:t>
            </w:r>
            <w:proofErr w:type="gramStart"/>
            <w:r w:rsidRPr="00691AC1">
              <w:rPr>
                <w:rFonts w:ascii="Montserrat" w:eastAsia="Times New Roman" w:hAnsi="Montserrat" w:cs="Calibri"/>
                <w:b/>
                <w:bCs/>
                <w:color w:val="000000"/>
                <w:sz w:val="12"/>
                <w:szCs w:val="12"/>
                <w:lang w:val="es-MX" w:eastAsia="es-MX"/>
              </w:rPr>
              <w:t>Aportaciones</w:t>
            </w:r>
            <w:proofErr w:type="gramEnd"/>
            <w:r w:rsidRPr="00691AC1">
              <w:rPr>
                <w:rFonts w:ascii="Montserrat" w:eastAsia="Times New Roman" w:hAnsi="Montserrat" w:cs="Calibri"/>
                <w:b/>
                <w:bCs/>
                <w:color w:val="000000"/>
                <w:sz w:val="12"/>
                <w:szCs w:val="12"/>
                <w:lang w:val="es-MX" w:eastAsia="es-MX"/>
              </w:rPr>
              <w:t xml:space="preserve"> a Seguridad Social</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6</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6</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1.3</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Instituto Mexicano del Seguro Social (IMSS)</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lastRenderedPageBreak/>
              <w:t xml:space="preserve">20 </w:t>
            </w:r>
            <w:proofErr w:type="gramStart"/>
            <w:r w:rsidRPr="00691AC1">
              <w:rPr>
                <w:rFonts w:ascii="Montserrat" w:eastAsia="Times New Roman" w:hAnsi="Montserrat" w:cs="Calibri"/>
                <w:b/>
                <w:bCs/>
                <w:color w:val="000000"/>
                <w:sz w:val="12"/>
                <w:szCs w:val="12"/>
                <w:lang w:val="es-MX" w:eastAsia="es-MX"/>
              </w:rPr>
              <w:t>Bienestar</w:t>
            </w:r>
            <w:proofErr w:type="gramEnd"/>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23</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48</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71</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15.6</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Instituto Nacional de las Personas Adultas Mayores (INAPAM)</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Instituto Mexicano de la Juventud (IMJUVE)</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Secretaría de Bienestar (Bienestar)</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31</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Liconsa, S.A. de C.V. (LICONSA)</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848"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Diconsa, S.A. de C.V. (DICONSA)</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848"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Instituto Nacional de Desarrollo Social (INDESOL)</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848"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Fondo Nacional para el Fomento de las Artesanías (FONART)</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21 </w:t>
            </w:r>
            <w:proofErr w:type="gramStart"/>
            <w:r w:rsidRPr="00691AC1">
              <w:rPr>
                <w:rFonts w:ascii="Montserrat" w:eastAsia="Times New Roman" w:hAnsi="Montserrat" w:cs="Calibri"/>
                <w:b/>
                <w:bCs/>
                <w:color w:val="000000"/>
                <w:sz w:val="12"/>
                <w:szCs w:val="12"/>
                <w:lang w:val="es-MX" w:eastAsia="es-MX"/>
              </w:rPr>
              <w:t>Turismo</w:t>
            </w:r>
            <w:proofErr w:type="gramEnd"/>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20</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20</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4.4</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Secretaría de Turismo (SECTUR)</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848"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Fondo Nacional de Fomento al Turismo (FONATUR)</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848"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Corporación de Servicios al Turista Ángeles Verdes (ANGELES VERDES)</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23 </w:t>
            </w:r>
            <w:proofErr w:type="gramStart"/>
            <w:r w:rsidRPr="00691AC1">
              <w:rPr>
                <w:rFonts w:ascii="Montserrat" w:eastAsia="Times New Roman" w:hAnsi="Montserrat" w:cs="Calibri"/>
                <w:b/>
                <w:bCs/>
                <w:color w:val="000000"/>
                <w:sz w:val="12"/>
                <w:szCs w:val="12"/>
                <w:lang w:val="es-MX" w:eastAsia="es-MX"/>
              </w:rPr>
              <w:t>Provisiones</w:t>
            </w:r>
            <w:proofErr w:type="gramEnd"/>
            <w:r w:rsidRPr="00691AC1">
              <w:rPr>
                <w:rFonts w:ascii="Montserrat" w:eastAsia="Times New Roman" w:hAnsi="Montserrat" w:cs="Calibri"/>
                <w:b/>
                <w:bCs/>
                <w:color w:val="000000"/>
                <w:sz w:val="12"/>
                <w:szCs w:val="12"/>
                <w:lang w:val="es-MX" w:eastAsia="es-MX"/>
              </w:rPr>
              <w:t xml:space="preserve"> Salariales y Económicas</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0.7</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 Secretaría de Hacienda y Crédito Público (SHCP)</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27 </w:t>
            </w:r>
            <w:proofErr w:type="gramStart"/>
            <w:r w:rsidRPr="00691AC1">
              <w:rPr>
                <w:rFonts w:ascii="Montserrat" w:eastAsia="Times New Roman" w:hAnsi="Montserrat" w:cs="Calibri"/>
                <w:b/>
                <w:bCs/>
                <w:color w:val="000000"/>
                <w:sz w:val="12"/>
                <w:szCs w:val="12"/>
                <w:lang w:val="es-MX" w:eastAsia="es-MX"/>
              </w:rPr>
              <w:t>Función</w:t>
            </w:r>
            <w:proofErr w:type="gramEnd"/>
            <w:r w:rsidRPr="00691AC1">
              <w:rPr>
                <w:rFonts w:ascii="Montserrat" w:eastAsia="Times New Roman" w:hAnsi="Montserrat" w:cs="Calibri"/>
                <w:b/>
                <w:bCs/>
                <w:color w:val="000000"/>
                <w:sz w:val="12"/>
                <w:szCs w:val="12"/>
                <w:lang w:val="es-MX" w:eastAsia="es-MX"/>
              </w:rPr>
              <w:t xml:space="preserve"> Pública</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0.4</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848"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Secretaría de la Función Pública (SFP)</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47 </w:t>
            </w:r>
            <w:proofErr w:type="gramStart"/>
            <w:r w:rsidRPr="00691AC1">
              <w:rPr>
                <w:rFonts w:ascii="Montserrat" w:eastAsia="Times New Roman" w:hAnsi="Montserrat" w:cs="Calibri"/>
                <w:b/>
                <w:bCs/>
                <w:color w:val="000000"/>
                <w:sz w:val="12"/>
                <w:szCs w:val="12"/>
                <w:lang w:val="es-MX" w:eastAsia="es-MX"/>
              </w:rPr>
              <w:t>Entidades</w:t>
            </w:r>
            <w:proofErr w:type="gramEnd"/>
            <w:r w:rsidRPr="00691AC1">
              <w:rPr>
                <w:rFonts w:ascii="Montserrat" w:eastAsia="Times New Roman" w:hAnsi="Montserrat" w:cs="Calibri"/>
                <w:b/>
                <w:bCs/>
                <w:color w:val="000000"/>
                <w:sz w:val="12"/>
                <w:szCs w:val="12"/>
                <w:lang w:val="es-MX" w:eastAsia="es-MX"/>
              </w:rPr>
              <w:t xml:space="preserve"> no Sectorizadas</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12</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48</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10.6</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Instituto Nacional de las Mujeres (INMUJERES)</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8</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Comisión Nacional para el Desarrollo de los Pueblos Indígenas (CDI)</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19</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9</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Archivo General de la Nación (AGN)</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848"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Comisión Ejecutiva de Atención a Víctimas (CEAV)</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48 </w:t>
            </w:r>
            <w:proofErr w:type="gramStart"/>
            <w:r w:rsidRPr="00691AC1">
              <w:rPr>
                <w:rFonts w:ascii="Montserrat" w:eastAsia="Times New Roman" w:hAnsi="Montserrat" w:cs="Calibri"/>
                <w:b/>
                <w:bCs/>
                <w:color w:val="000000"/>
                <w:sz w:val="12"/>
                <w:szCs w:val="12"/>
                <w:lang w:val="es-MX" w:eastAsia="es-MX"/>
              </w:rPr>
              <w:t>Cultura</w:t>
            </w:r>
            <w:proofErr w:type="gramEnd"/>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14</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3.1</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Secretaría de Cultura (CULTURA)</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848"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Instituto Nacional de Lenguas Indígenas (INALI)</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50 </w:t>
            </w:r>
            <w:proofErr w:type="gramStart"/>
            <w:r w:rsidRPr="00691AC1">
              <w:rPr>
                <w:rFonts w:ascii="Montserrat" w:eastAsia="Times New Roman" w:hAnsi="Montserrat" w:cs="Calibri"/>
                <w:b/>
                <w:bCs/>
                <w:color w:val="000000"/>
                <w:sz w:val="12"/>
                <w:szCs w:val="12"/>
                <w:lang w:val="es-MX" w:eastAsia="es-MX"/>
              </w:rPr>
              <w:t>Instituto</w:t>
            </w:r>
            <w:proofErr w:type="gramEnd"/>
            <w:r w:rsidRPr="00691AC1">
              <w:rPr>
                <w:rFonts w:ascii="Montserrat" w:eastAsia="Times New Roman" w:hAnsi="Montserrat" w:cs="Calibri"/>
                <w:b/>
                <w:bCs/>
                <w:color w:val="000000"/>
                <w:sz w:val="12"/>
                <w:szCs w:val="12"/>
                <w:lang w:val="es-MX" w:eastAsia="es-MX"/>
              </w:rPr>
              <w:t xml:space="preserve"> Mexicano del Seguro Social</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0.9</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Instituto Mexicano del Seguro Social (IMSS)</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51 </w:t>
            </w:r>
            <w:proofErr w:type="gramStart"/>
            <w:r w:rsidRPr="00691AC1">
              <w:rPr>
                <w:rFonts w:ascii="Montserrat" w:eastAsia="Times New Roman" w:hAnsi="Montserrat" w:cs="Calibri"/>
                <w:b/>
                <w:bCs/>
                <w:color w:val="000000"/>
                <w:sz w:val="12"/>
                <w:szCs w:val="12"/>
                <w:lang w:val="es-MX" w:eastAsia="es-MX"/>
              </w:rPr>
              <w:t>Instituto</w:t>
            </w:r>
            <w:proofErr w:type="gramEnd"/>
            <w:r w:rsidRPr="00691AC1">
              <w:rPr>
                <w:rFonts w:ascii="Montserrat" w:eastAsia="Times New Roman" w:hAnsi="Montserrat" w:cs="Calibri"/>
                <w:b/>
                <w:bCs/>
                <w:color w:val="000000"/>
                <w:sz w:val="12"/>
                <w:szCs w:val="12"/>
                <w:lang w:val="es-MX" w:eastAsia="es-MX"/>
              </w:rPr>
              <w:t xml:space="preserve"> de Seguridad y Servicios Sociales de los Trabajadores del Estado</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7</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11</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2.4</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3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Instituto de Seguridad y Servicios Sociales de los Trabajadores del Estado (ISSSTE)</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7</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00"/>
        </w:trPr>
        <w:tc>
          <w:tcPr>
            <w:tcW w:w="1706"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52 </w:t>
            </w:r>
            <w:proofErr w:type="gramStart"/>
            <w:r w:rsidRPr="00691AC1">
              <w:rPr>
                <w:rFonts w:ascii="Montserrat" w:eastAsia="Times New Roman" w:hAnsi="Montserrat" w:cs="Calibri"/>
                <w:b/>
                <w:bCs/>
                <w:color w:val="000000"/>
                <w:sz w:val="12"/>
                <w:szCs w:val="12"/>
                <w:lang w:val="es-MX" w:eastAsia="es-MX"/>
              </w:rPr>
              <w:t>Petróleos</w:t>
            </w:r>
            <w:proofErr w:type="gramEnd"/>
            <w:r w:rsidRPr="00691AC1">
              <w:rPr>
                <w:rFonts w:ascii="Montserrat" w:eastAsia="Times New Roman" w:hAnsi="Montserrat" w:cs="Calibri"/>
                <w:b/>
                <w:bCs/>
                <w:color w:val="000000"/>
                <w:sz w:val="12"/>
                <w:szCs w:val="12"/>
                <w:lang w:val="es-MX" w:eastAsia="es-MX"/>
              </w:rPr>
              <w:t xml:space="preserve"> Mexicanos</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27</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27</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5.9</w:t>
            </w:r>
          </w:p>
        </w:tc>
      </w:tr>
      <w:tr w:rsidR="008406FA" w:rsidRPr="00F173CC" w:rsidTr="00CA676E">
        <w:trPr>
          <w:trHeight w:val="300"/>
        </w:trPr>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848" w:type="pct"/>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Petróleos Mexicanos (Consolidado) (PEMEX)</w:t>
            </w:r>
          </w:p>
        </w:tc>
        <w:tc>
          <w:tcPr>
            <w:tcW w:w="569"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27</w:t>
            </w:r>
          </w:p>
        </w:tc>
        <w:tc>
          <w:tcPr>
            <w:tcW w:w="710"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85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5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311"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8406FA" w:rsidRPr="00F173CC" w:rsidTr="00CA676E">
        <w:trPr>
          <w:trHeight w:val="315"/>
        </w:trPr>
        <w:tc>
          <w:tcPr>
            <w:tcW w:w="1706" w:type="pct"/>
            <w:gridSpan w:val="2"/>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Total</w:t>
            </w:r>
          </w:p>
        </w:tc>
        <w:tc>
          <w:tcPr>
            <w:tcW w:w="497" w:type="pct"/>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254</w:t>
            </w:r>
          </w:p>
        </w:tc>
        <w:tc>
          <w:tcPr>
            <w:tcW w:w="569" w:type="pct"/>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188</w:t>
            </w:r>
          </w:p>
        </w:tc>
        <w:tc>
          <w:tcPr>
            <w:tcW w:w="710" w:type="pct"/>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9</w:t>
            </w:r>
          </w:p>
        </w:tc>
        <w:tc>
          <w:tcPr>
            <w:tcW w:w="851" w:type="pct"/>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355" w:type="pct"/>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454</w:t>
            </w:r>
          </w:p>
        </w:tc>
        <w:tc>
          <w:tcPr>
            <w:tcW w:w="311" w:type="pct"/>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100</w:t>
            </w:r>
          </w:p>
        </w:tc>
      </w:tr>
      <w:tr w:rsidR="00F173CC" w:rsidRPr="00F173CC" w:rsidTr="00CA676E">
        <w:trPr>
          <w:trHeight w:val="248"/>
        </w:trPr>
        <w:tc>
          <w:tcPr>
            <w:tcW w:w="5000" w:type="pct"/>
            <w:gridSpan w:val="8"/>
            <w:tcBorders>
              <w:top w:val="nil"/>
              <w:left w:val="nil"/>
              <w:bottom w:val="nil"/>
              <w:right w:val="nil"/>
            </w:tcBorders>
            <w:shd w:val="clear" w:color="auto" w:fill="auto"/>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b/>
                <w:bCs/>
                <w:color w:val="000000"/>
                <w:sz w:val="12"/>
                <w:szCs w:val="12"/>
                <w:lang w:val="es-MX" w:eastAsia="es-MX"/>
              </w:rPr>
              <w:t>Fuente:</w:t>
            </w:r>
            <w:r w:rsidRPr="00691AC1">
              <w:rPr>
                <w:rFonts w:ascii="Montserrat" w:eastAsia="Times New Roman" w:hAnsi="Montserrat" w:cs="Calibri"/>
                <w:color w:val="000000"/>
                <w:sz w:val="12"/>
                <w:szCs w:val="12"/>
                <w:lang w:val="es-MX" w:eastAsia="es-MX"/>
              </w:rPr>
              <w:t xml:space="preserve"> Unidad de Evaluación del Desempeño, con información proporcionada por las dependencias y entidades de la APF a las instancias</w:t>
            </w:r>
            <w:r w:rsidR="005F0F2C" w:rsidRPr="00691AC1">
              <w:rPr>
                <w:rFonts w:ascii="Montserrat" w:eastAsia="Times New Roman" w:hAnsi="Montserrat" w:cs="Calibri"/>
                <w:color w:val="000000"/>
                <w:sz w:val="12"/>
                <w:szCs w:val="12"/>
                <w:lang w:val="es-MX" w:eastAsia="es-MX"/>
              </w:rPr>
              <w:t xml:space="preserve"> coordinadoras</w:t>
            </w:r>
          </w:p>
        </w:tc>
      </w:tr>
    </w:tbl>
    <w:p w:rsidR="00F173CC" w:rsidRPr="00F173CC" w:rsidRDefault="00F173CC" w:rsidP="00F173CC">
      <w:pPr>
        <w:jc w:val="both"/>
        <w:rPr>
          <w:rFonts w:eastAsia="Times New Roman" w:cs="Arial"/>
          <w:szCs w:val="20"/>
        </w:rPr>
      </w:pPr>
    </w:p>
    <w:p w:rsidR="00F173CC" w:rsidRPr="00F173CC" w:rsidRDefault="00F173CC" w:rsidP="00F173CC">
      <w:pPr>
        <w:jc w:val="both"/>
        <w:rPr>
          <w:rFonts w:eastAsia="Times New Roman" w:cs="Arial"/>
          <w:szCs w:val="20"/>
        </w:rPr>
      </w:pPr>
    </w:p>
    <w:p w:rsidR="00F173CC" w:rsidRPr="00F173CC" w:rsidRDefault="00F173CC" w:rsidP="00F173CC">
      <w:pPr>
        <w:jc w:val="both"/>
        <w:rPr>
          <w:rFonts w:eastAsia="Times New Roman" w:cs="Arial"/>
          <w:szCs w:val="20"/>
        </w:rPr>
      </w:pPr>
    </w:p>
    <w:p w:rsidR="00F173CC" w:rsidRPr="00F173CC" w:rsidRDefault="00F173CC" w:rsidP="00F173CC">
      <w:pPr>
        <w:jc w:val="both"/>
        <w:rPr>
          <w:rFonts w:eastAsia="Times New Roman" w:cs="Arial"/>
          <w:szCs w:val="20"/>
        </w:rPr>
      </w:pPr>
    </w:p>
    <w:p w:rsidR="00F173CC" w:rsidRPr="00F173CC" w:rsidRDefault="00F173CC" w:rsidP="00F173CC">
      <w:pPr>
        <w:jc w:val="both"/>
        <w:rPr>
          <w:rFonts w:eastAsia="Times New Roman" w:cs="Arial"/>
          <w:szCs w:val="20"/>
        </w:rPr>
      </w:pP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lastRenderedPageBreak/>
        <w:t xml:space="preserve">Es importante destacar que la mayoría de los ASM se concentra en aspectos clasificados como específicos, </w:t>
      </w:r>
      <w:proofErr w:type="gramStart"/>
      <w:r w:rsidRPr="00F173CC">
        <w:rPr>
          <w:rFonts w:eastAsia="Times New Roman" w:cs="Arial"/>
          <w:szCs w:val="20"/>
          <w:lang w:val="es-ES"/>
        </w:rPr>
        <w:t>que</w:t>
      </w:r>
      <w:proofErr w:type="gramEnd"/>
      <w:r w:rsidRPr="00F173CC">
        <w:rPr>
          <w:rFonts w:eastAsia="Times New Roman" w:cs="Arial"/>
          <w:szCs w:val="20"/>
          <w:lang w:val="es-ES"/>
        </w:rPr>
        <w:t xml:space="preserve"> de acuerdo a lo establecido en el Mecanismo, son atendidos </w:t>
      </w:r>
      <w:r w:rsidR="005653B3">
        <w:rPr>
          <w:rFonts w:eastAsia="Times New Roman" w:cs="Arial"/>
          <w:szCs w:val="20"/>
          <w:lang w:val="es-ES"/>
        </w:rPr>
        <w:t xml:space="preserve">directamente </w:t>
      </w:r>
      <w:r w:rsidRPr="00F173CC">
        <w:rPr>
          <w:rFonts w:eastAsia="Times New Roman" w:cs="Arial"/>
          <w:szCs w:val="20"/>
          <w:lang w:val="es-ES"/>
        </w:rPr>
        <w:t xml:space="preserve">por la UR del </w:t>
      </w:r>
      <w:proofErr w:type="spellStart"/>
      <w:r w:rsidRPr="00F173CC">
        <w:rPr>
          <w:rFonts w:eastAsia="Times New Roman" w:cs="Arial"/>
          <w:szCs w:val="20"/>
          <w:lang w:val="es-ES"/>
        </w:rPr>
        <w:t>Pp</w:t>
      </w:r>
      <w:proofErr w:type="spellEnd"/>
      <w:r w:rsidR="005653B3">
        <w:rPr>
          <w:rFonts w:eastAsia="Times New Roman" w:cs="Arial"/>
          <w:szCs w:val="20"/>
          <w:lang w:val="es-ES"/>
        </w:rPr>
        <w:t xml:space="preserve"> (Gráfica 1)</w:t>
      </w:r>
      <w:r w:rsidRPr="00F173CC">
        <w:rPr>
          <w:rFonts w:eastAsia="Times New Roman" w:cs="Arial"/>
          <w:szCs w:val="20"/>
          <w:lang w:val="es-ES"/>
        </w:rPr>
        <w:t>.</w:t>
      </w:r>
    </w:p>
    <w:p w:rsidR="00F173CC" w:rsidRPr="00F173CC" w:rsidRDefault="00F173CC" w:rsidP="00F173CC">
      <w:pPr>
        <w:spacing w:before="20" w:after="0"/>
        <w:jc w:val="center"/>
        <w:rPr>
          <w:rFonts w:eastAsia="Calibri" w:cstheme="minorBidi"/>
          <w:b/>
          <w:sz w:val="12"/>
          <w:szCs w:val="22"/>
          <w:lang w:val="es-MX" w:eastAsia="en-US"/>
        </w:rPr>
      </w:pPr>
    </w:p>
    <w:p w:rsidR="00F173CC" w:rsidRPr="00F173CC" w:rsidRDefault="00F173CC" w:rsidP="00F173CC">
      <w:pPr>
        <w:jc w:val="center"/>
        <w:rPr>
          <w:rFonts w:eastAsia="Times New Roman" w:cs="Arial"/>
          <w:szCs w:val="22"/>
          <w:lang w:val="es-MX"/>
        </w:rPr>
      </w:pPr>
      <w:r w:rsidRPr="00F173CC">
        <w:rPr>
          <w:noProof/>
          <w:lang w:val="es-MX" w:eastAsia="es-MX"/>
        </w:rPr>
        <w:drawing>
          <wp:inline distT="0" distB="0" distL="0" distR="0" wp14:anchorId="7575C26A" wp14:editId="41B04C27">
            <wp:extent cx="4572000" cy="2738231"/>
            <wp:effectExtent l="0" t="0" r="0" b="5080"/>
            <wp:docPr id="1" name="Gráfico 1">
              <a:extLst xmlns:a="http://schemas.openxmlformats.org/drawingml/2006/main">
                <a:ext uri="{FF2B5EF4-FFF2-40B4-BE49-F238E27FC236}">
                  <a16:creationId xmlns:a16="http://schemas.microsoft.com/office/drawing/2014/main" id="{25166FC9-C369-4522-A2F3-6F5B538534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73CC" w:rsidRPr="00F173CC" w:rsidRDefault="00F173CC" w:rsidP="00F173CC">
      <w:pPr>
        <w:jc w:val="both"/>
        <w:rPr>
          <w:rFonts w:eastAsia="Times New Roman" w:cs="Arial"/>
          <w:szCs w:val="20"/>
          <w:lang w:val="es-MX"/>
        </w:rPr>
      </w:pP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Respecto de la coordinación para el seguimiento a la instrumentación de los ASM, 207 (45.6%) los coordina la SHCP y 247 (54.4%) son coordinados por el CONEVAL</w:t>
      </w:r>
      <w:r w:rsidR="005653B3">
        <w:rPr>
          <w:rFonts w:eastAsia="Times New Roman" w:cs="Arial"/>
          <w:szCs w:val="20"/>
          <w:lang w:val="es-ES"/>
        </w:rPr>
        <w:t xml:space="preserve"> (Gráfica 2)</w:t>
      </w:r>
      <w:r w:rsidRPr="00F173CC">
        <w:rPr>
          <w:rFonts w:eastAsia="Times New Roman" w:cs="Arial"/>
          <w:szCs w:val="20"/>
          <w:lang w:val="es-ES"/>
        </w:rPr>
        <w:t xml:space="preserve">. </w:t>
      </w:r>
    </w:p>
    <w:p w:rsidR="00F173CC" w:rsidRPr="00F173CC" w:rsidRDefault="00F173CC" w:rsidP="00F173CC">
      <w:pPr>
        <w:jc w:val="center"/>
        <w:rPr>
          <w:rFonts w:eastAsia="Times New Roman" w:cs="Arial"/>
          <w:szCs w:val="20"/>
          <w:lang w:val="es-MX"/>
        </w:rPr>
      </w:pPr>
      <w:r w:rsidRPr="00F173CC">
        <w:rPr>
          <w:noProof/>
          <w:lang w:val="es-MX" w:eastAsia="es-MX"/>
        </w:rPr>
        <w:drawing>
          <wp:inline distT="0" distB="0" distL="0" distR="0" wp14:anchorId="23664086" wp14:editId="24C60BAE">
            <wp:extent cx="4572000" cy="2738230"/>
            <wp:effectExtent l="0" t="0" r="0" b="5080"/>
            <wp:docPr id="3" name="Gráfico 3">
              <a:extLst xmlns:a="http://schemas.openxmlformats.org/drawingml/2006/main">
                <a:ext uri="{FF2B5EF4-FFF2-40B4-BE49-F238E27FC236}">
                  <a16:creationId xmlns:a16="http://schemas.microsoft.com/office/drawing/2014/main" id="{693A564C-C5B8-49AA-916E-6948DCF861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73CC" w:rsidRPr="00F173CC" w:rsidRDefault="00F173CC" w:rsidP="00F173CC">
      <w:pPr>
        <w:jc w:val="both"/>
        <w:rPr>
          <w:rFonts w:eastAsia="Times New Roman" w:cs="Arial"/>
          <w:szCs w:val="20"/>
          <w:lang w:val="es-ES"/>
        </w:rPr>
      </w:pP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 xml:space="preserve">Durante el primer trimestre de 2019, 167 ASM (36.8%) concluyeron su implementación, de los cuales 104 (62.3%) son del tipo específico, 61 (36.5%) son del tipo institucional y dos (1.2%) son del tipo interinstitucional. </w:t>
      </w: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lastRenderedPageBreak/>
        <w:t>Asimismo, de 284 (62.6%) se reportaron avances y continúan con el proceso de instrumentación, y finalmente tres ASM (0.6%) fueron reportados cancelados.</w:t>
      </w:r>
    </w:p>
    <w:p w:rsidR="00F173CC" w:rsidRPr="00F173CC" w:rsidRDefault="00F173CC" w:rsidP="00F173CC">
      <w:pPr>
        <w:spacing w:before="20" w:after="0"/>
        <w:jc w:val="center"/>
        <w:rPr>
          <w:rFonts w:eastAsia="Calibri" w:cstheme="minorBidi"/>
          <w:b/>
          <w:sz w:val="12"/>
          <w:szCs w:val="22"/>
          <w:lang w:val="es-MX" w:eastAsia="en-US"/>
        </w:rPr>
      </w:pPr>
    </w:p>
    <w:p w:rsidR="00F173CC" w:rsidRPr="00F173CC" w:rsidRDefault="00F173CC" w:rsidP="00F173CC">
      <w:pPr>
        <w:jc w:val="center"/>
        <w:rPr>
          <w:rFonts w:eastAsia="Times New Roman" w:cs="Arial"/>
          <w:szCs w:val="20"/>
          <w:lang w:val="es-MX"/>
        </w:rPr>
      </w:pPr>
    </w:p>
    <w:p w:rsidR="00F173CC" w:rsidRPr="00F173CC" w:rsidRDefault="00F173CC" w:rsidP="00F173CC">
      <w:pPr>
        <w:jc w:val="center"/>
        <w:rPr>
          <w:rFonts w:eastAsia="Times New Roman" w:cs="Arial"/>
          <w:szCs w:val="20"/>
          <w:lang w:val="es-MX"/>
        </w:rPr>
      </w:pPr>
      <w:r w:rsidRPr="00F173CC">
        <w:rPr>
          <w:noProof/>
          <w:lang w:val="es-MX" w:eastAsia="es-MX"/>
        </w:rPr>
        <w:drawing>
          <wp:inline distT="0" distB="0" distL="0" distR="0" wp14:anchorId="5CBAD220" wp14:editId="061BED25">
            <wp:extent cx="5457139" cy="2739390"/>
            <wp:effectExtent l="0" t="0" r="10795" b="3810"/>
            <wp:docPr id="9" name="Gráfico 9">
              <a:extLst xmlns:a="http://schemas.openxmlformats.org/drawingml/2006/main">
                <a:ext uri="{FF2B5EF4-FFF2-40B4-BE49-F238E27FC236}">
                  <a16:creationId xmlns:a16="http://schemas.microsoft.com/office/drawing/2014/main" id="{254C4F23-057C-4867-ADBE-4C8D70FD86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73CC" w:rsidRPr="00F173CC" w:rsidRDefault="00F173CC" w:rsidP="00F173CC">
      <w:pPr>
        <w:jc w:val="both"/>
        <w:rPr>
          <w:rFonts w:eastAsia="Times New Roman" w:cs="Arial"/>
          <w:szCs w:val="20"/>
          <w:lang w:val="es-ES"/>
        </w:rPr>
      </w:pP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D</w:t>
      </w:r>
      <w:r w:rsidRPr="00CA676E">
        <w:rPr>
          <w:rFonts w:eastAsia="Times New Roman" w:cs="Arial"/>
          <w:szCs w:val="20"/>
          <w:lang w:val="es-ES"/>
        </w:rPr>
        <w:t xml:space="preserve">e los 167 ASM reportados como concluidos al </w:t>
      </w:r>
      <w:r w:rsidR="00B323AD" w:rsidRPr="00CA676E">
        <w:rPr>
          <w:rFonts w:eastAsia="Times New Roman" w:cs="Arial"/>
          <w:szCs w:val="20"/>
          <w:lang w:val="es-ES"/>
        </w:rPr>
        <w:t xml:space="preserve">primer </w:t>
      </w:r>
      <w:r w:rsidRPr="00CA676E">
        <w:rPr>
          <w:rFonts w:eastAsia="Times New Roman" w:cs="Arial"/>
          <w:szCs w:val="20"/>
          <w:lang w:val="es-ES"/>
        </w:rPr>
        <w:t>trimestre de 2019,</w:t>
      </w:r>
      <w:r w:rsidRPr="00F173CC">
        <w:rPr>
          <w:rFonts w:eastAsia="Times New Roman" w:cs="Arial"/>
          <w:szCs w:val="20"/>
          <w:lang w:val="es-ES"/>
        </w:rPr>
        <w:t xml:space="preserve"> las dependencias y entidades que destacan son las siguientes: SEP con 37 (22.2%); BIENESTAR con 16 (9.6%), SEMARNAT con 14 (8.4%) y FONATUR con 11 (6.6%). </w:t>
      </w:r>
    </w:p>
    <w:p w:rsidR="00F173CC" w:rsidRPr="00F173CC" w:rsidRDefault="00F173CC" w:rsidP="00F173CC">
      <w:pPr>
        <w:spacing w:before="20" w:after="0"/>
        <w:jc w:val="center"/>
        <w:rPr>
          <w:rFonts w:eastAsia="Calibri" w:cstheme="minorBidi"/>
          <w:b/>
          <w:sz w:val="12"/>
          <w:szCs w:val="22"/>
          <w:lang w:val="es-MX" w:eastAsia="en-US"/>
        </w:rPr>
      </w:pPr>
      <w:r w:rsidRPr="00F173CC">
        <w:rPr>
          <w:noProof/>
          <w:lang w:val="es-MX" w:eastAsia="es-MX"/>
        </w:rPr>
        <w:lastRenderedPageBreak/>
        <w:drawing>
          <wp:inline distT="0" distB="0" distL="0" distR="0" wp14:anchorId="78655DE9" wp14:editId="63D099B2">
            <wp:extent cx="6315076" cy="6672264"/>
            <wp:effectExtent l="0" t="0" r="9525" b="14605"/>
            <wp:docPr id="14" name="Gráfico 14">
              <a:extLst xmlns:a="http://schemas.openxmlformats.org/drawingml/2006/main">
                <a:ext uri="{FF2B5EF4-FFF2-40B4-BE49-F238E27FC236}">
                  <a16:creationId xmlns:a16="http://schemas.microsoft.com/office/drawing/2014/main" id="{BD3D8355-33F0-4E2B-8510-1902CEEE7A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73CC" w:rsidRPr="00F173CC" w:rsidRDefault="00F173CC" w:rsidP="00F173CC">
      <w:pPr>
        <w:spacing w:before="20" w:after="0"/>
        <w:jc w:val="center"/>
        <w:rPr>
          <w:rFonts w:eastAsia="Times New Roman" w:cs="Arial"/>
          <w:szCs w:val="20"/>
          <w:lang w:val="es-ES"/>
        </w:rPr>
      </w:pP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 xml:space="preserve">De acuerdo al tipo de evaluación que dio origen a los ASM concluidos reportados en este trimestre, se identifican principalmente los siguientes tipos: Diseño con 35 (21.0%), Consistencia y Resultados </w:t>
      </w:r>
      <w:r w:rsidR="00401EE0">
        <w:rPr>
          <w:rFonts w:eastAsia="Times New Roman" w:cs="Arial"/>
          <w:szCs w:val="20"/>
          <w:lang w:val="es-ES"/>
        </w:rPr>
        <w:t xml:space="preserve">con 31 (18.6%) </w:t>
      </w:r>
      <w:r w:rsidRPr="00F173CC">
        <w:rPr>
          <w:rFonts w:eastAsia="Times New Roman" w:cs="Arial"/>
          <w:szCs w:val="20"/>
          <w:lang w:val="es-ES"/>
        </w:rPr>
        <w:t xml:space="preserve">y Procesos con 31 (18.6%). Es importante destacar </w:t>
      </w:r>
      <w:r w:rsidRPr="00F173CC">
        <w:rPr>
          <w:rFonts w:eastAsia="Times New Roman" w:cs="Arial"/>
          <w:szCs w:val="20"/>
          <w:lang w:val="es-ES"/>
        </w:rPr>
        <w:lastRenderedPageBreak/>
        <w:t>que 62 (37.0%) de los ASM concluidos se suscribieron a partir de Otros Informes Externos, esencialmente de Fichas de Monitoreo y Evaluación</w:t>
      </w:r>
      <w:r w:rsidR="00401EE0">
        <w:rPr>
          <w:rFonts w:eastAsia="Times New Roman" w:cs="Arial"/>
          <w:szCs w:val="20"/>
          <w:lang w:val="es-ES"/>
        </w:rPr>
        <w:t>.</w:t>
      </w:r>
      <w:r w:rsidRPr="00F173CC">
        <w:rPr>
          <w:rFonts w:eastAsia="Times New Roman" w:cs="Arial"/>
          <w:szCs w:val="20"/>
          <w:vertAlign w:val="superscript"/>
          <w:lang w:val="es-ES"/>
        </w:rPr>
        <w:footnoteReference w:customMarkFollows="1" w:id="2"/>
        <w:t>2_/</w:t>
      </w:r>
      <w:r w:rsidRPr="00F173CC">
        <w:rPr>
          <w:rFonts w:eastAsia="Times New Roman" w:cs="Arial"/>
          <w:szCs w:val="20"/>
          <w:lang w:val="es-ES"/>
        </w:rPr>
        <w:t xml:space="preserve"> </w:t>
      </w:r>
    </w:p>
    <w:tbl>
      <w:tblPr>
        <w:tblW w:w="6000" w:type="dxa"/>
        <w:jc w:val="center"/>
        <w:tblCellMar>
          <w:left w:w="70" w:type="dxa"/>
          <w:right w:w="70" w:type="dxa"/>
        </w:tblCellMar>
        <w:tblLook w:val="04A0" w:firstRow="1" w:lastRow="0" w:firstColumn="1" w:lastColumn="0" w:noHBand="0" w:noVBand="1"/>
      </w:tblPr>
      <w:tblGrid>
        <w:gridCol w:w="2819"/>
        <w:gridCol w:w="698"/>
        <w:gridCol w:w="865"/>
        <w:gridCol w:w="697"/>
        <w:gridCol w:w="930"/>
      </w:tblGrid>
      <w:tr w:rsidR="00F173CC" w:rsidRPr="00F173CC" w:rsidTr="005F0F2C">
        <w:trPr>
          <w:trHeight w:val="540"/>
          <w:jc w:val="center"/>
        </w:trPr>
        <w:tc>
          <w:tcPr>
            <w:tcW w:w="6000" w:type="dxa"/>
            <w:gridSpan w:val="5"/>
            <w:tcBorders>
              <w:top w:val="nil"/>
              <w:left w:val="nil"/>
              <w:right w:val="nil"/>
            </w:tcBorders>
            <w:shd w:val="clear" w:color="auto" w:fill="auto"/>
            <w:vAlign w:val="bottom"/>
            <w:hideMark/>
          </w:tcPr>
          <w:p w:rsidR="00F173CC" w:rsidRPr="00F173CC" w:rsidRDefault="00F173CC" w:rsidP="00691AC1">
            <w:pPr>
              <w:pStyle w:val="CABEZA"/>
            </w:pPr>
            <w:r w:rsidRPr="00F173CC">
              <w:t>Tabla 2. Cantidad de ASM concluidos por tipo de evaluación al primer trimestre de 2019</w:t>
            </w:r>
          </w:p>
        </w:tc>
      </w:tr>
      <w:tr w:rsidR="00F173CC" w:rsidRPr="00F173CC" w:rsidTr="005F0F2C">
        <w:trPr>
          <w:trHeight w:hRule="exact" w:val="57"/>
          <w:jc w:val="center"/>
        </w:trPr>
        <w:tc>
          <w:tcPr>
            <w:tcW w:w="2819" w:type="dxa"/>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698" w:type="dxa"/>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856" w:type="dxa"/>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697" w:type="dxa"/>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930" w:type="dxa"/>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r>
      <w:tr w:rsidR="00F173CC" w:rsidRPr="00F173CC" w:rsidTr="005F0F2C">
        <w:trPr>
          <w:trHeight w:val="300"/>
          <w:jc w:val="center"/>
        </w:trPr>
        <w:tc>
          <w:tcPr>
            <w:tcW w:w="2819" w:type="dxa"/>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Tipo de evaluación (Fuente de información)</w:t>
            </w:r>
          </w:p>
        </w:tc>
        <w:tc>
          <w:tcPr>
            <w:tcW w:w="698" w:type="dxa"/>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SHCP</w:t>
            </w:r>
          </w:p>
        </w:tc>
        <w:tc>
          <w:tcPr>
            <w:tcW w:w="856" w:type="dxa"/>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CONEVAL</w:t>
            </w:r>
          </w:p>
        </w:tc>
        <w:tc>
          <w:tcPr>
            <w:tcW w:w="697" w:type="dxa"/>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Total</w:t>
            </w:r>
          </w:p>
        </w:tc>
        <w:tc>
          <w:tcPr>
            <w:tcW w:w="930" w:type="dxa"/>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 del Total</w:t>
            </w:r>
          </w:p>
        </w:tc>
      </w:tr>
      <w:tr w:rsidR="00F173CC" w:rsidRPr="00F173CC" w:rsidTr="005F0F2C">
        <w:trPr>
          <w:trHeight w:hRule="exact" w:val="57"/>
          <w:jc w:val="center"/>
        </w:trPr>
        <w:tc>
          <w:tcPr>
            <w:tcW w:w="2819" w:type="dxa"/>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698" w:type="dxa"/>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856" w:type="dxa"/>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697" w:type="dxa"/>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930" w:type="dxa"/>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F173CC" w:rsidRPr="00F173CC" w:rsidTr="005F0F2C">
        <w:trPr>
          <w:trHeight w:hRule="exact" w:val="57"/>
          <w:jc w:val="center"/>
        </w:trPr>
        <w:tc>
          <w:tcPr>
            <w:tcW w:w="2819" w:type="dxa"/>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698" w:type="dxa"/>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856" w:type="dxa"/>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697" w:type="dxa"/>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930" w:type="dxa"/>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F173CC" w:rsidRPr="00F173CC" w:rsidTr="00CA676E">
        <w:trPr>
          <w:trHeight w:val="300"/>
          <w:jc w:val="center"/>
        </w:trPr>
        <w:tc>
          <w:tcPr>
            <w:tcW w:w="2819" w:type="dxa"/>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Evaluación Complementaria</w:t>
            </w:r>
          </w:p>
        </w:tc>
        <w:tc>
          <w:tcPr>
            <w:tcW w:w="698" w:type="dxa"/>
            <w:tcBorders>
              <w:top w:val="single" w:sz="12" w:space="0" w:color="808080" w:themeColor="background1" w:themeShade="80"/>
              <w:left w:val="nil"/>
              <w:bottom w:val="nil"/>
              <w:right w:val="nil"/>
            </w:tcBorders>
            <w:shd w:val="clear" w:color="auto" w:fill="F2F2F2" w:themeFill="background1" w:themeFillShade="F2"/>
            <w:vAlign w:val="center"/>
          </w:tcPr>
          <w:p w:rsidR="00F173CC" w:rsidRPr="00691AC1" w:rsidRDefault="00F173CC" w:rsidP="00F173CC">
            <w:pPr>
              <w:spacing w:after="0"/>
              <w:rPr>
                <w:rFonts w:ascii="Montserrat" w:eastAsia="Times New Roman" w:hAnsi="Montserrat" w:cs="Calibri"/>
                <w:color w:val="000000"/>
                <w:sz w:val="12"/>
                <w:szCs w:val="12"/>
                <w:lang w:val="es-MX" w:eastAsia="es-MX"/>
              </w:rPr>
            </w:pPr>
          </w:p>
        </w:tc>
        <w:tc>
          <w:tcPr>
            <w:tcW w:w="856" w:type="dxa"/>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697" w:type="dxa"/>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930" w:type="dxa"/>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1.8</w:t>
            </w:r>
          </w:p>
        </w:tc>
      </w:tr>
      <w:tr w:rsidR="00F173CC" w:rsidRPr="00F173CC" w:rsidTr="00CA676E">
        <w:trPr>
          <w:trHeight w:val="300"/>
          <w:jc w:val="center"/>
        </w:trPr>
        <w:tc>
          <w:tcPr>
            <w:tcW w:w="281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Evaluación de Consistencia y Resultados</w:t>
            </w:r>
          </w:p>
        </w:tc>
        <w:tc>
          <w:tcPr>
            <w:tcW w:w="69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24</w:t>
            </w:r>
          </w:p>
        </w:tc>
        <w:tc>
          <w:tcPr>
            <w:tcW w:w="85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7</w:t>
            </w:r>
          </w:p>
        </w:tc>
        <w:tc>
          <w:tcPr>
            <w:tcW w:w="69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31</w:t>
            </w:r>
          </w:p>
        </w:tc>
        <w:tc>
          <w:tcPr>
            <w:tcW w:w="93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18.6</w:t>
            </w:r>
          </w:p>
        </w:tc>
      </w:tr>
      <w:tr w:rsidR="00F173CC" w:rsidRPr="00F173CC" w:rsidTr="00CA676E">
        <w:trPr>
          <w:trHeight w:val="300"/>
          <w:jc w:val="center"/>
        </w:trPr>
        <w:tc>
          <w:tcPr>
            <w:tcW w:w="281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Evaluación de Diseño</w:t>
            </w:r>
          </w:p>
        </w:tc>
        <w:tc>
          <w:tcPr>
            <w:tcW w:w="69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27</w:t>
            </w:r>
          </w:p>
        </w:tc>
        <w:tc>
          <w:tcPr>
            <w:tcW w:w="85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8</w:t>
            </w:r>
          </w:p>
        </w:tc>
        <w:tc>
          <w:tcPr>
            <w:tcW w:w="69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35</w:t>
            </w:r>
          </w:p>
        </w:tc>
        <w:tc>
          <w:tcPr>
            <w:tcW w:w="93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21.0</w:t>
            </w:r>
          </w:p>
        </w:tc>
      </w:tr>
      <w:tr w:rsidR="00F173CC" w:rsidRPr="00F173CC" w:rsidTr="00CA676E">
        <w:trPr>
          <w:trHeight w:val="300"/>
          <w:jc w:val="center"/>
        </w:trPr>
        <w:tc>
          <w:tcPr>
            <w:tcW w:w="281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Evaluación de Procesos</w:t>
            </w:r>
          </w:p>
        </w:tc>
        <w:tc>
          <w:tcPr>
            <w:tcW w:w="69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17</w:t>
            </w:r>
          </w:p>
        </w:tc>
        <w:tc>
          <w:tcPr>
            <w:tcW w:w="85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14</w:t>
            </w:r>
          </w:p>
        </w:tc>
        <w:tc>
          <w:tcPr>
            <w:tcW w:w="69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31</w:t>
            </w:r>
          </w:p>
        </w:tc>
        <w:tc>
          <w:tcPr>
            <w:tcW w:w="93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18.6</w:t>
            </w:r>
          </w:p>
        </w:tc>
      </w:tr>
      <w:tr w:rsidR="00F173CC" w:rsidRPr="00F173CC" w:rsidTr="00CA676E">
        <w:trPr>
          <w:trHeight w:val="300"/>
          <w:jc w:val="center"/>
        </w:trPr>
        <w:tc>
          <w:tcPr>
            <w:tcW w:w="281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Evaluación Específica</w:t>
            </w:r>
          </w:p>
        </w:tc>
        <w:tc>
          <w:tcPr>
            <w:tcW w:w="698" w:type="dxa"/>
            <w:tcBorders>
              <w:top w:val="nil"/>
              <w:left w:val="nil"/>
              <w:bottom w:val="nil"/>
              <w:right w:val="nil"/>
            </w:tcBorders>
            <w:shd w:val="clear" w:color="auto" w:fill="F2F2F2" w:themeFill="background1" w:themeFillShade="F2"/>
            <w:vAlign w:val="center"/>
          </w:tcPr>
          <w:p w:rsidR="00F173CC" w:rsidRPr="00691AC1" w:rsidRDefault="00F173CC" w:rsidP="00F173CC">
            <w:pPr>
              <w:spacing w:after="0"/>
              <w:rPr>
                <w:rFonts w:ascii="Montserrat" w:eastAsia="Times New Roman" w:hAnsi="Montserrat" w:cs="Calibri"/>
                <w:color w:val="000000"/>
                <w:sz w:val="12"/>
                <w:szCs w:val="12"/>
                <w:lang w:val="es-MX" w:eastAsia="es-MX"/>
              </w:rPr>
            </w:pPr>
          </w:p>
        </w:tc>
        <w:tc>
          <w:tcPr>
            <w:tcW w:w="85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69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93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3.0</w:t>
            </w:r>
          </w:p>
        </w:tc>
      </w:tr>
      <w:tr w:rsidR="00F173CC" w:rsidRPr="00F173CC" w:rsidTr="00CA676E">
        <w:trPr>
          <w:trHeight w:val="300"/>
          <w:jc w:val="center"/>
        </w:trPr>
        <w:tc>
          <w:tcPr>
            <w:tcW w:w="281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Otros Informes Externos</w:t>
            </w:r>
          </w:p>
        </w:tc>
        <w:tc>
          <w:tcPr>
            <w:tcW w:w="698" w:type="dxa"/>
            <w:tcBorders>
              <w:top w:val="nil"/>
              <w:left w:val="nil"/>
              <w:bottom w:val="nil"/>
              <w:right w:val="nil"/>
            </w:tcBorders>
            <w:shd w:val="clear" w:color="auto" w:fill="F2F2F2" w:themeFill="background1" w:themeFillShade="F2"/>
            <w:vAlign w:val="center"/>
          </w:tcPr>
          <w:p w:rsidR="00F173CC" w:rsidRPr="00691AC1" w:rsidRDefault="00F173CC" w:rsidP="00F173CC">
            <w:pPr>
              <w:spacing w:after="0"/>
              <w:rPr>
                <w:rFonts w:ascii="Montserrat" w:eastAsia="Times New Roman" w:hAnsi="Montserrat" w:cs="Calibri"/>
                <w:color w:val="000000"/>
                <w:sz w:val="12"/>
                <w:szCs w:val="12"/>
                <w:lang w:val="es-MX" w:eastAsia="es-MX"/>
              </w:rPr>
            </w:pPr>
          </w:p>
        </w:tc>
        <w:tc>
          <w:tcPr>
            <w:tcW w:w="85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62</w:t>
            </w:r>
          </w:p>
        </w:tc>
        <w:tc>
          <w:tcPr>
            <w:tcW w:w="69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62</w:t>
            </w:r>
          </w:p>
        </w:tc>
        <w:tc>
          <w:tcPr>
            <w:tcW w:w="93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37.0</w:t>
            </w:r>
          </w:p>
        </w:tc>
      </w:tr>
      <w:tr w:rsidR="00F173CC" w:rsidRPr="00F173CC" w:rsidTr="00CA676E">
        <w:trPr>
          <w:trHeight w:val="300"/>
          <w:jc w:val="center"/>
        </w:trPr>
        <w:tc>
          <w:tcPr>
            <w:tcW w:w="281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Total</w:t>
            </w:r>
          </w:p>
        </w:tc>
        <w:tc>
          <w:tcPr>
            <w:tcW w:w="69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68</w:t>
            </w:r>
          </w:p>
        </w:tc>
        <w:tc>
          <w:tcPr>
            <w:tcW w:w="85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99</w:t>
            </w:r>
          </w:p>
        </w:tc>
        <w:tc>
          <w:tcPr>
            <w:tcW w:w="69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167</w:t>
            </w:r>
          </w:p>
        </w:tc>
        <w:tc>
          <w:tcPr>
            <w:tcW w:w="93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100</w:t>
            </w:r>
          </w:p>
        </w:tc>
      </w:tr>
      <w:tr w:rsidR="00F173CC" w:rsidRPr="00F173CC" w:rsidTr="00CA676E">
        <w:trPr>
          <w:trHeight w:val="315"/>
          <w:jc w:val="center"/>
        </w:trPr>
        <w:tc>
          <w:tcPr>
            <w:tcW w:w="2819"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del Total</w:t>
            </w:r>
          </w:p>
        </w:tc>
        <w:tc>
          <w:tcPr>
            <w:tcW w:w="698"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41</w:t>
            </w:r>
          </w:p>
        </w:tc>
        <w:tc>
          <w:tcPr>
            <w:tcW w:w="856"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59</w:t>
            </w:r>
          </w:p>
        </w:tc>
        <w:tc>
          <w:tcPr>
            <w:tcW w:w="697"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100</w:t>
            </w:r>
          </w:p>
        </w:tc>
        <w:tc>
          <w:tcPr>
            <w:tcW w:w="930"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r>
      <w:tr w:rsidR="00F173CC" w:rsidRPr="00F173CC" w:rsidTr="00CA676E">
        <w:trPr>
          <w:trHeight w:val="330"/>
          <w:jc w:val="center"/>
        </w:trPr>
        <w:tc>
          <w:tcPr>
            <w:tcW w:w="6000" w:type="dxa"/>
            <w:gridSpan w:val="5"/>
            <w:tcBorders>
              <w:top w:val="nil"/>
              <w:left w:val="nil"/>
              <w:bottom w:val="nil"/>
              <w:right w:val="nil"/>
            </w:tcBorders>
            <w:shd w:val="clear" w:color="auto" w:fill="auto"/>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b/>
                <w:bCs/>
                <w:color w:val="000000"/>
                <w:sz w:val="12"/>
                <w:szCs w:val="12"/>
                <w:lang w:val="es-MX" w:eastAsia="es-MX"/>
              </w:rPr>
              <w:t>Fuente:</w:t>
            </w:r>
            <w:r w:rsidRPr="00691AC1">
              <w:rPr>
                <w:rFonts w:ascii="Montserrat" w:eastAsia="Times New Roman" w:hAnsi="Montserrat" w:cs="Calibri"/>
                <w:color w:val="000000"/>
                <w:sz w:val="12"/>
                <w:szCs w:val="12"/>
                <w:lang w:val="es-MX" w:eastAsia="es-MX"/>
              </w:rPr>
              <w:t xml:space="preserve"> Unidad de Evaluación del Desempeño, con Información proporcionada por las dependencias y entidades de la APF a las instancias coordinadoras (SHCP y CONEVAL).</w:t>
            </w:r>
          </w:p>
        </w:tc>
      </w:tr>
    </w:tbl>
    <w:p w:rsidR="00F173CC" w:rsidRPr="00F173CC" w:rsidRDefault="00F173CC" w:rsidP="00F173CC">
      <w:pPr>
        <w:jc w:val="both"/>
        <w:rPr>
          <w:rFonts w:eastAsia="Times New Roman" w:cs="Arial"/>
          <w:szCs w:val="22"/>
          <w:lang w:val="es-MX"/>
        </w:rPr>
      </w:pPr>
    </w:p>
    <w:p w:rsidR="00F173CC" w:rsidRPr="00F173CC" w:rsidRDefault="00F173CC" w:rsidP="00F173CC">
      <w:pPr>
        <w:jc w:val="both"/>
        <w:rPr>
          <w:rFonts w:eastAsia="Times New Roman" w:cs="Arial"/>
          <w:szCs w:val="22"/>
          <w:lang w:val="es-ES"/>
        </w:rPr>
      </w:pPr>
      <w:r w:rsidRPr="00F173CC">
        <w:rPr>
          <w:rFonts w:eastAsia="Times New Roman" w:cs="Arial"/>
          <w:szCs w:val="22"/>
          <w:lang w:val="es-MX"/>
        </w:rPr>
        <w:t xml:space="preserve">De igual forma, </w:t>
      </w:r>
      <w:r w:rsidRPr="00F173CC">
        <w:rPr>
          <w:rFonts w:eastAsia="Times New Roman" w:cs="Arial"/>
          <w:szCs w:val="22"/>
          <w:lang w:val="es-ES"/>
        </w:rPr>
        <w:t xml:space="preserve">los dos principales temas sobre los cuales se han instrumentado los ASM fueron: </w:t>
      </w:r>
      <w:r w:rsidRPr="00F173CC">
        <w:rPr>
          <w:rFonts w:eastAsia="Times New Roman" w:cs="Arial"/>
          <w:szCs w:val="20"/>
          <w:lang w:val="es-ES"/>
        </w:rPr>
        <w:t>Diseño,</w:t>
      </w:r>
      <w:r w:rsidRPr="00F173CC">
        <w:rPr>
          <w:rFonts w:eastAsia="Times New Roman" w:cs="Arial"/>
          <w:szCs w:val="22"/>
          <w:lang w:val="es-ES"/>
        </w:rPr>
        <w:t xml:space="preserve"> </w:t>
      </w:r>
      <w:r w:rsidRPr="00F173CC">
        <w:rPr>
          <w:rFonts w:eastAsia="Times New Roman" w:cs="Arial"/>
          <w:szCs w:val="20"/>
          <w:lang w:val="es-ES"/>
        </w:rPr>
        <w:t xml:space="preserve">enfocado en la consistencia y lógica interna de los programas, </w:t>
      </w:r>
      <w:r w:rsidRPr="00F173CC">
        <w:rPr>
          <w:rFonts w:eastAsia="Times New Roman" w:cs="Arial"/>
          <w:szCs w:val="22"/>
          <w:lang w:val="es-ES"/>
        </w:rPr>
        <w:t xml:space="preserve">con 34 ASM (20.4%); </w:t>
      </w:r>
      <w:r w:rsidR="00401EE0">
        <w:rPr>
          <w:rFonts w:eastAsia="Times New Roman" w:cs="Arial"/>
          <w:szCs w:val="22"/>
          <w:lang w:val="es-ES"/>
        </w:rPr>
        <w:t xml:space="preserve">y </w:t>
      </w:r>
      <w:r w:rsidRPr="00F173CC">
        <w:rPr>
          <w:rFonts w:eastAsia="Times New Roman" w:cs="Arial"/>
          <w:szCs w:val="20"/>
          <w:lang w:val="es-ES"/>
        </w:rPr>
        <w:t>Operación,</w:t>
      </w:r>
      <w:r w:rsidRPr="00F173CC">
        <w:rPr>
          <w:rFonts w:eastAsia="Times New Roman" w:cs="Arial"/>
          <w:szCs w:val="22"/>
          <w:lang w:val="es-ES"/>
        </w:rPr>
        <w:t xml:space="preserve"> que se relacionan con las acciones de mejora y simplificación regulatoria, los mecanismos de organización y gestión, la administración financiera de los recursos, con 28 ASM (16.8%).</w:t>
      </w:r>
    </w:p>
    <w:tbl>
      <w:tblPr>
        <w:tblW w:w="72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F173CC" w:rsidRPr="00F173CC" w:rsidTr="005F0F2C">
        <w:trPr>
          <w:trHeight w:val="480"/>
          <w:tblHeader/>
          <w:jc w:val="center"/>
        </w:trPr>
        <w:tc>
          <w:tcPr>
            <w:tcW w:w="7200" w:type="dxa"/>
            <w:gridSpan w:val="6"/>
            <w:tcBorders>
              <w:top w:val="nil"/>
              <w:left w:val="nil"/>
              <w:bottom w:val="nil"/>
              <w:right w:val="nil"/>
            </w:tcBorders>
            <w:shd w:val="clear" w:color="auto" w:fill="auto"/>
            <w:vAlign w:val="bottom"/>
            <w:hideMark/>
          </w:tcPr>
          <w:p w:rsidR="00F173CC" w:rsidRPr="00F173CC" w:rsidRDefault="00F173CC" w:rsidP="00691AC1">
            <w:pPr>
              <w:pStyle w:val="CABEZA"/>
            </w:pPr>
            <w:r w:rsidRPr="00F173CC">
              <w:t>Tabla 3.  Temas a los que van dirigidos los ASM concluidos al primer trimestre de 2019</w:t>
            </w:r>
          </w:p>
        </w:tc>
      </w:tr>
      <w:tr w:rsidR="00F173CC" w:rsidRPr="00F173CC" w:rsidTr="005F0F2C">
        <w:trPr>
          <w:trHeight w:hRule="exact" w:val="57"/>
          <w:tblHeader/>
          <w:jc w:val="center"/>
        </w:trPr>
        <w:tc>
          <w:tcPr>
            <w:tcW w:w="1200" w:type="dxa"/>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200" w:type="dxa"/>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200" w:type="dxa"/>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200" w:type="dxa"/>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200" w:type="dxa"/>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200" w:type="dxa"/>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r>
      <w:tr w:rsidR="00F173CC" w:rsidRPr="00F173CC" w:rsidTr="005F0F2C">
        <w:trPr>
          <w:trHeight w:val="300"/>
          <w:tblHeader/>
          <w:jc w:val="center"/>
        </w:trPr>
        <w:tc>
          <w:tcPr>
            <w:tcW w:w="1200" w:type="dxa"/>
            <w:tcBorders>
              <w:top w:val="single" w:sz="12" w:space="0" w:color="808080" w:themeColor="background1" w:themeShade="80"/>
              <w:left w:val="nil"/>
              <w:bottom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Tema</w:t>
            </w:r>
          </w:p>
        </w:tc>
        <w:tc>
          <w:tcPr>
            <w:tcW w:w="1200" w:type="dxa"/>
            <w:tcBorders>
              <w:top w:val="single" w:sz="12" w:space="0" w:color="808080" w:themeColor="background1" w:themeShade="80"/>
              <w:left w:val="nil"/>
              <w:bottom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Baja</w:t>
            </w:r>
          </w:p>
        </w:tc>
        <w:tc>
          <w:tcPr>
            <w:tcW w:w="1200" w:type="dxa"/>
            <w:tcBorders>
              <w:top w:val="single" w:sz="12" w:space="0" w:color="808080" w:themeColor="background1" w:themeShade="80"/>
              <w:left w:val="nil"/>
              <w:bottom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Media</w:t>
            </w:r>
          </w:p>
        </w:tc>
        <w:tc>
          <w:tcPr>
            <w:tcW w:w="1200" w:type="dxa"/>
            <w:tcBorders>
              <w:top w:val="single" w:sz="12" w:space="0" w:color="808080" w:themeColor="background1" w:themeShade="80"/>
              <w:left w:val="nil"/>
              <w:bottom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Alta</w:t>
            </w:r>
          </w:p>
        </w:tc>
        <w:tc>
          <w:tcPr>
            <w:tcW w:w="1200" w:type="dxa"/>
            <w:tcBorders>
              <w:top w:val="single" w:sz="12" w:space="0" w:color="808080" w:themeColor="background1" w:themeShade="80"/>
              <w:left w:val="nil"/>
              <w:bottom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Total</w:t>
            </w:r>
          </w:p>
        </w:tc>
        <w:tc>
          <w:tcPr>
            <w:tcW w:w="1200" w:type="dxa"/>
            <w:tcBorders>
              <w:top w:val="single" w:sz="12" w:space="0" w:color="808080" w:themeColor="background1" w:themeShade="80"/>
              <w:left w:val="nil"/>
              <w:bottom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 del Total</w:t>
            </w:r>
          </w:p>
        </w:tc>
      </w:tr>
      <w:tr w:rsidR="00F173CC" w:rsidRPr="00F173CC" w:rsidTr="005F0F2C">
        <w:trPr>
          <w:trHeight w:hRule="exact" w:val="57"/>
          <w:tblHeader/>
          <w:jc w:val="center"/>
        </w:trPr>
        <w:tc>
          <w:tcPr>
            <w:tcW w:w="1200" w:type="dxa"/>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F173CC" w:rsidRPr="00F173CC" w:rsidTr="005F0F2C">
        <w:trPr>
          <w:trHeight w:hRule="exact" w:val="57"/>
          <w:tblHeader/>
          <w:jc w:val="center"/>
        </w:trPr>
        <w:tc>
          <w:tcPr>
            <w:tcW w:w="1200" w:type="dxa"/>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F173CC" w:rsidRPr="00F173CC" w:rsidTr="00CA676E">
        <w:trPr>
          <w:trHeight w:val="300"/>
          <w:jc w:val="center"/>
        </w:trPr>
        <w:tc>
          <w:tcPr>
            <w:tcW w:w="1200" w:type="dxa"/>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Cobertura</w:t>
            </w:r>
          </w:p>
        </w:tc>
        <w:tc>
          <w:tcPr>
            <w:tcW w:w="1200" w:type="dxa"/>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r w:rsidR="00401EE0">
              <w:rPr>
                <w:rFonts w:ascii="Montserrat" w:eastAsia="Times New Roman" w:hAnsi="Montserrat" w:cs="Calibri"/>
                <w:color w:val="000000"/>
                <w:sz w:val="12"/>
                <w:szCs w:val="12"/>
                <w:lang w:val="es-MX" w:eastAsia="es-MX"/>
              </w:rPr>
              <w:t>0</w:t>
            </w:r>
          </w:p>
        </w:tc>
        <w:tc>
          <w:tcPr>
            <w:tcW w:w="1200" w:type="dxa"/>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w:t>
            </w:r>
          </w:p>
        </w:tc>
        <w:tc>
          <w:tcPr>
            <w:tcW w:w="1200" w:type="dxa"/>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w:t>
            </w:r>
          </w:p>
        </w:tc>
        <w:tc>
          <w:tcPr>
            <w:tcW w:w="1200" w:type="dxa"/>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1200" w:type="dxa"/>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7.2</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Diseño</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7</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13</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14</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34</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20.4</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Ejecución</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r w:rsidR="00401EE0">
              <w:rPr>
                <w:rFonts w:ascii="Montserrat" w:eastAsia="Times New Roman" w:hAnsi="Montserrat" w:cs="Calibri"/>
                <w:color w:val="000000"/>
                <w:sz w:val="12"/>
                <w:szCs w:val="12"/>
                <w:lang w:val="es-MX" w:eastAsia="es-MX"/>
              </w:rPr>
              <w:t>0</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Evaluación</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8</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4.8</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Indicadores</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9</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7.2</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Operación</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16</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9</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28</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16.8</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Otros</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9</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18</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10.8</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Planeación</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11</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6.6</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Resultado</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3.6</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Más de un Tema</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20</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15</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36</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21.6</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Total</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25</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81</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61</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167</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100</w:t>
            </w:r>
          </w:p>
        </w:tc>
      </w:tr>
      <w:tr w:rsidR="00F173CC" w:rsidRPr="00F173CC" w:rsidTr="00CA676E">
        <w:trPr>
          <w:trHeight w:val="315"/>
          <w:jc w:val="center"/>
        </w:trPr>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del Total</w:t>
            </w:r>
          </w:p>
        </w:tc>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15</w:t>
            </w:r>
          </w:p>
        </w:tc>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49</w:t>
            </w:r>
          </w:p>
        </w:tc>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37</w:t>
            </w:r>
          </w:p>
        </w:tc>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100</w:t>
            </w:r>
          </w:p>
        </w:tc>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r>
      <w:tr w:rsidR="00F173CC" w:rsidRPr="00F173CC" w:rsidTr="00CA676E">
        <w:trPr>
          <w:trHeight w:val="315"/>
          <w:jc w:val="center"/>
        </w:trPr>
        <w:tc>
          <w:tcPr>
            <w:tcW w:w="7200" w:type="dxa"/>
            <w:gridSpan w:val="6"/>
            <w:tcBorders>
              <w:top w:val="nil"/>
              <w:left w:val="nil"/>
              <w:bottom w:val="nil"/>
              <w:right w:val="nil"/>
            </w:tcBorders>
            <w:shd w:val="clear" w:color="auto" w:fill="auto"/>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b/>
                <w:bCs/>
                <w:color w:val="000000"/>
                <w:sz w:val="12"/>
                <w:szCs w:val="12"/>
                <w:lang w:val="es-MX" w:eastAsia="es-MX"/>
              </w:rPr>
              <w:t>Fuente:</w:t>
            </w:r>
            <w:r w:rsidRPr="00691AC1">
              <w:rPr>
                <w:rFonts w:ascii="Montserrat" w:eastAsia="Times New Roman" w:hAnsi="Montserrat" w:cs="Calibri"/>
                <w:color w:val="000000"/>
                <w:sz w:val="12"/>
                <w:szCs w:val="12"/>
                <w:lang w:val="es-MX" w:eastAsia="es-MX"/>
              </w:rPr>
              <w:t xml:space="preserve"> Unidad de Evaluación del Desempeño, con Información proporcionada por las dependencias y entidades de la APF a las instancias coordinadoras (SHCP y CONEVAL).</w:t>
            </w:r>
          </w:p>
        </w:tc>
      </w:tr>
    </w:tbl>
    <w:p w:rsidR="00F173CC" w:rsidRPr="00F173CC" w:rsidRDefault="00F173CC" w:rsidP="00F173CC">
      <w:pPr>
        <w:jc w:val="both"/>
        <w:rPr>
          <w:rFonts w:eastAsia="Times New Roman" w:cs="Arial"/>
          <w:b/>
          <w:szCs w:val="20"/>
          <w:lang w:val="es-ES"/>
        </w:rPr>
      </w:pPr>
      <w:r w:rsidRPr="00F173CC">
        <w:rPr>
          <w:rFonts w:eastAsia="Times New Roman" w:cs="Arial"/>
          <w:b/>
          <w:szCs w:val="20"/>
          <w:lang w:val="es-ES"/>
        </w:rPr>
        <w:lastRenderedPageBreak/>
        <w:t xml:space="preserve">ASM derivados de las evaluaciones externas realizadas a </w:t>
      </w:r>
      <w:proofErr w:type="spellStart"/>
      <w:r w:rsidRPr="00F173CC">
        <w:rPr>
          <w:rFonts w:eastAsia="Times New Roman" w:cs="Arial"/>
          <w:b/>
          <w:szCs w:val="20"/>
          <w:lang w:val="es-ES"/>
        </w:rPr>
        <w:t>Pp</w:t>
      </w:r>
      <w:proofErr w:type="spellEnd"/>
      <w:r w:rsidRPr="00F173CC">
        <w:rPr>
          <w:rFonts w:eastAsia="Times New Roman" w:cs="Arial"/>
          <w:b/>
          <w:szCs w:val="20"/>
          <w:lang w:val="es-ES"/>
        </w:rPr>
        <w:t xml:space="preserve"> con recursos federales transferidos a entidades federativas y municipios</w:t>
      </w: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 xml:space="preserve">Para el primer trimestre de 2019, las dependencias y entidades instrumentaron acciones correspondientes a 69 ASM derivados de informes y/o evaluaciones externas realizadas a </w:t>
      </w:r>
      <w:proofErr w:type="spellStart"/>
      <w:r w:rsidRPr="00F173CC">
        <w:rPr>
          <w:rFonts w:eastAsia="Times New Roman" w:cs="Arial"/>
          <w:szCs w:val="20"/>
          <w:lang w:val="es-ES"/>
        </w:rPr>
        <w:t>Pp</w:t>
      </w:r>
      <w:proofErr w:type="spellEnd"/>
      <w:r w:rsidRPr="00F173CC">
        <w:rPr>
          <w:rFonts w:eastAsia="Times New Roman" w:cs="Arial"/>
          <w:szCs w:val="20"/>
          <w:lang w:val="es-ES"/>
        </w:rPr>
        <w:t xml:space="preserve"> que transfieren recursos a las entidades federativas y municipios a través de aportaciones federales, subsidios o convenios. </w:t>
      </w: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 xml:space="preserve">Los 69 ASM corresponden a 25 </w:t>
      </w:r>
      <w:proofErr w:type="spellStart"/>
      <w:r w:rsidRPr="00F173CC">
        <w:rPr>
          <w:rFonts w:eastAsia="Times New Roman" w:cs="Arial"/>
          <w:szCs w:val="20"/>
          <w:lang w:val="es-ES"/>
        </w:rPr>
        <w:t>Pp</w:t>
      </w:r>
      <w:proofErr w:type="spellEnd"/>
      <w:r w:rsidRPr="00F173CC">
        <w:rPr>
          <w:rFonts w:eastAsia="Times New Roman" w:cs="Arial"/>
          <w:szCs w:val="20"/>
          <w:lang w:val="es-ES"/>
        </w:rPr>
        <w:t xml:space="preserve"> de 15 dependencias y entidades, y se describen a continuación: </w:t>
      </w:r>
    </w:p>
    <w:p w:rsidR="00F173CC" w:rsidRPr="00F173CC" w:rsidRDefault="00F173CC" w:rsidP="00F173CC">
      <w:pPr>
        <w:jc w:val="both"/>
        <w:rPr>
          <w:rFonts w:eastAsia="Times New Roman" w:cs="Arial"/>
          <w:b/>
          <w:szCs w:val="20"/>
          <w:lang w:val="es-MX"/>
        </w:rPr>
      </w:pPr>
      <w:r w:rsidRPr="00F173CC" w:rsidDel="00552E03">
        <w:rPr>
          <w:rFonts w:eastAsia="Times New Roman"/>
          <w:color w:val="000000"/>
          <w:sz w:val="18"/>
          <w:szCs w:val="18"/>
          <w:lang w:val="es-MX" w:eastAsia="es-MX"/>
        </w:rPr>
        <w:t xml:space="preserve"> </w:t>
      </w:r>
    </w:p>
    <w:tbl>
      <w:tblPr>
        <w:tblW w:w="5004" w:type="pct"/>
        <w:tblLayout w:type="fixed"/>
        <w:tblCellMar>
          <w:left w:w="70" w:type="dxa"/>
          <w:right w:w="70" w:type="dxa"/>
        </w:tblCellMar>
        <w:tblLook w:val="04A0" w:firstRow="1" w:lastRow="0" w:firstColumn="1" w:lastColumn="0" w:noHBand="0" w:noVBand="1"/>
      </w:tblPr>
      <w:tblGrid>
        <w:gridCol w:w="569"/>
        <w:gridCol w:w="992"/>
        <w:gridCol w:w="569"/>
        <w:gridCol w:w="990"/>
        <w:gridCol w:w="3968"/>
        <w:gridCol w:w="1144"/>
        <w:gridCol w:w="854"/>
        <w:gridCol w:w="894"/>
      </w:tblGrid>
      <w:tr w:rsidR="00F173CC" w:rsidRPr="00F173CC" w:rsidTr="005F0F2C">
        <w:trPr>
          <w:trHeight w:val="450"/>
          <w:tblHeader/>
        </w:trPr>
        <w:tc>
          <w:tcPr>
            <w:tcW w:w="5000" w:type="pct"/>
            <w:gridSpan w:val="8"/>
            <w:tcBorders>
              <w:top w:val="nil"/>
              <w:left w:val="nil"/>
              <w:bottom w:val="nil"/>
              <w:right w:val="nil"/>
            </w:tcBorders>
            <w:shd w:val="clear" w:color="auto" w:fill="auto"/>
            <w:vAlign w:val="bottom"/>
            <w:hideMark/>
          </w:tcPr>
          <w:p w:rsidR="00F173CC" w:rsidRPr="00F173CC" w:rsidRDefault="00F173CC" w:rsidP="00691AC1">
            <w:pPr>
              <w:pStyle w:val="CABEZA"/>
            </w:pPr>
            <w:r w:rsidRPr="00F173CC">
              <w:t>Tabla 4. Avance de ASM de Programas presupuestarios que realizan trasferencias de recursos federales a entidades federativas o municipios por dependencia o entidad al primer trimestre 2019</w:t>
            </w:r>
          </w:p>
        </w:tc>
      </w:tr>
      <w:tr w:rsidR="00F173CC" w:rsidRPr="00F173CC" w:rsidTr="005F0F2C">
        <w:trPr>
          <w:trHeight w:hRule="exact" w:val="57"/>
          <w:tblHeader/>
        </w:trPr>
        <w:tc>
          <w:tcPr>
            <w:tcW w:w="285" w:type="pct"/>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497" w:type="pct"/>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285" w:type="pct"/>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496" w:type="pct"/>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988" w:type="pct"/>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573" w:type="pct"/>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428" w:type="pct"/>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448" w:type="pct"/>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r>
      <w:tr w:rsidR="00F173CC" w:rsidRPr="00F173CC" w:rsidTr="005F0F2C">
        <w:trPr>
          <w:trHeight w:val="300"/>
          <w:tblHeader/>
        </w:trPr>
        <w:tc>
          <w:tcPr>
            <w:tcW w:w="285" w:type="pct"/>
            <w:tcBorders>
              <w:top w:val="single" w:sz="12" w:space="0" w:color="808080"/>
              <w:left w:val="nil"/>
              <w:bottom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Ramo</w:t>
            </w:r>
          </w:p>
        </w:tc>
        <w:tc>
          <w:tcPr>
            <w:tcW w:w="497" w:type="pct"/>
            <w:tcBorders>
              <w:top w:val="single" w:sz="12" w:space="0" w:color="808080"/>
              <w:left w:val="nil"/>
              <w:bottom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Dependencia</w:t>
            </w:r>
          </w:p>
        </w:tc>
        <w:tc>
          <w:tcPr>
            <w:tcW w:w="285" w:type="pct"/>
            <w:tcBorders>
              <w:top w:val="single" w:sz="12" w:space="0" w:color="808080"/>
              <w:left w:val="nil"/>
              <w:bottom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Mod &amp; Clave</w:t>
            </w:r>
          </w:p>
        </w:tc>
        <w:tc>
          <w:tcPr>
            <w:tcW w:w="496" w:type="pct"/>
            <w:tcBorders>
              <w:top w:val="single" w:sz="12" w:space="0" w:color="808080"/>
              <w:left w:val="nil"/>
              <w:bottom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Nombre del Programa</w:t>
            </w:r>
          </w:p>
        </w:tc>
        <w:tc>
          <w:tcPr>
            <w:tcW w:w="1988" w:type="pct"/>
            <w:tcBorders>
              <w:top w:val="single" w:sz="12" w:space="0" w:color="808080"/>
              <w:left w:val="nil"/>
              <w:bottom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Aspecto Susceptible de Mejora</w:t>
            </w:r>
          </w:p>
        </w:tc>
        <w:tc>
          <w:tcPr>
            <w:tcW w:w="573" w:type="pct"/>
            <w:tcBorders>
              <w:top w:val="single" w:sz="12" w:space="0" w:color="808080"/>
              <w:left w:val="nil"/>
              <w:bottom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Tipo de Aspecto</w:t>
            </w:r>
          </w:p>
        </w:tc>
        <w:tc>
          <w:tcPr>
            <w:tcW w:w="428" w:type="pct"/>
            <w:tcBorders>
              <w:top w:val="single" w:sz="12" w:space="0" w:color="808080"/>
              <w:left w:val="nil"/>
              <w:bottom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Nivel de Prioridad</w:t>
            </w:r>
          </w:p>
        </w:tc>
        <w:tc>
          <w:tcPr>
            <w:tcW w:w="448" w:type="pct"/>
            <w:tcBorders>
              <w:top w:val="single" w:sz="12" w:space="0" w:color="808080"/>
              <w:left w:val="nil"/>
              <w:bottom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Avance promedio del Aspecto</w:t>
            </w:r>
          </w:p>
        </w:tc>
      </w:tr>
      <w:tr w:rsidR="00F173CC" w:rsidRPr="00F173CC" w:rsidTr="005F0F2C">
        <w:trPr>
          <w:trHeight w:hRule="exact" w:val="57"/>
          <w:tblHeader/>
        </w:trPr>
        <w:tc>
          <w:tcPr>
            <w:tcW w:w="285" w:type="pct"/>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497" w:type="pct"/>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285" w:type="pct"/>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496" w:type="pct"/>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988" w:type="pct"/>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573" w:type="pct"/>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428" w:type="pct"/>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448" w:type="pct"/>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F173CC" w:rsidRPr="00F173CC" w:rsidTr="005F0F2C">
        <w:trPr>
          <w:trHeight w:hRule="exact" w:val="57"/>
          <w:tblHeader/>
        </w:trPr>
        <w:tc>
          <w:tcPr>
            <w:tcW w:w="285" w:type="pct"/>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497" w:type="pct"/>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285" w:type="pct"/>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496" w:type="pct"/>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988" w:type="pct"/>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573" w:type="pct"/>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428" w:type="pct"/>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448" w:type="pct"/>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F173CC" w:rsidRPr="00F173CC" w:rsidTr="00CA676E">
        <w:trPr>
          <w:trHeight w:val="300"/>
        </w:trPr>
        <w:tc>
          <w:tcPr>
            <w:tcW w:w="285" w:type="pct"/>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04</w:t>
            </w:r>
          </w:p>
        </w:tc>
        <w:tc>
          <w:tcPr>
            <w:tcW w:w="497" w:type="pct"/>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CONAVIM</w:t>
            </w:r>
          </w:p>
        </w:tc>
        <w:tc>
          <w:tcPr>
            <w:tcW w:w="285" w:type="pct"/>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E015</w:t>
            </w:r>
          </w:p>
        </w:tc>
        <w:tc>
          <w:tcPr>
            <w:tcW w:w="496" w:type="pct"/>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Promover la atención y prevención de la violencia contra las mujeres</w:t>
            </w:r>
          </w:p>
        </w:tc>
        <w:tc>
          <w:tcPr>
            <w:tcW w:w="1988" w:type="pct"/>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401EE0" w:rsidP="00CB7065">
            <w:pPr>
              <w:spacing w:after="0"/>
              <w:jc w:val="both"/>
              <w:rPr>
                <w:rFonts w:ascii="Montserrat" w:eastAsia="Times New Roman" w:hAnsi="Montserrat" w:cs="Calibri"/>
                <w:color w:val="000000"/>
                <w:sz w:val="12"/>
                <w:szCs w:val="12"/>
                <w:lang w:val="es-MX" w:eastAsia="es-MX"/>
              </w:rPr>
            </w:pPr>
            <w:r>
              <w:rPr>
                <w:rFonts w:ascii="Montserrat" w:eastAsia="Times New Roman" w:hAnsi="Montserrat" w:cs="Calibri"/>
                <w:color w:val="000000"/>
                <w:sz w:val="12"/>
                <w:szCs w:val="12"/>
                <w:lang w:val="es-MX" w:eastAsia="es-MX"/>
              </w:rPr>
              <w:t>C</w:t>
            </w:r>
            <w:r w:rsidR="00F173CC" w:rsidRPr="00691AC1">
              <w:rPr>
                <w:rFonts w:ascii="Montserrat" w:eastAsia="Times New Roman" w:hAnsi="Montserrat" w:cs="Calibri"/>
                <w:color w:val="000000"/>
                <w:sz w:val="12"/>
                <w:szCs w:val="12"/>
                <w:lang w:val="es-MX" w:eastAsia="es-MX"/>
              </w:rPr>
              <w:t>ontratación externa</w:t>
            </w:r>
            <w:r w:rsidR="00F173CC" w:rsidRPr="00691AC1">
              <w:rPr>
                <w:rFonts w:ascii="Montserrat" w:eastAsia="Times New Roman" w:hAnsi="Montserrat" w:cs="Calibri"/>
                <w:color w:val="000000"/>
                <w:sz w:val="12"/>
                <w:szCs w:val="12"/>
                <w:lang w:val="es-MX" w:eastAsia="es-MX"/>
              </w:rPr>
              <w:br/>
              <w:t>[Para la definición de la población potencial y objetivo]. A</w:t>
            </w:r>
          </w:p>
        </w:tc>
        <w:tc>
          <w:tcPr>
            <w:tcW w:w="573" w:type="pct"/>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Baja</w:t>
            </w:r>
          </w:p>
        </w:tc>
        <w:tc>
          <w:tcPr>
            <w:tcW w:w="448" w:type="pct"/>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04</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CONAVIM</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E015</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Promover la atención y prevención de la violencia contra las mujeres</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Dada su complejidad, se proyecta trabajarlo con apoyo del INEGI.</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Baja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04</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SEGOB</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P001</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Conducción de la política interior </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Actualizar el diagnóstico del programa. </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Institucional</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04</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SEGOB</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P001</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Conducción de la política interior </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Estandarización y homologación de procesos</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Institucional</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Baja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25</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04</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SEGOB</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P001</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Conducción de la política interior </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Implementar mecanismo de medición de calidad del servicio.</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Institucional</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Baja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04</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SEGOB</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P001</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Conducción de la política interior </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Instalar un solo canal de comunicación oficial para optimizar el flujo de información. </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04</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SEGOB</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P001</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Conducción de la política interior </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Utilizar la tecnología de la información para optimizar los tiempos para el uso adecuado de la </w:t>
            </w:r>
            <w:proofErr w:type="spellStart"/>
            <w:r w:rsidRPr="00691AC1">
              <w:rPr>
                <w:rFonts w:ascii="Montserrat" w:eastAsia="Times New Roman" w:hAnsi="Montserrat" w:cs="Calibri"/>
                <w:color w:val="000000"/>
                <w:sz w:val="12"/>
                <w:szCs w:val="12"/>
                <w:lang w:val="es-MX" w:eastAsia="es-MX"/>
              </w:rPr>
              <w:t>TIC´s</w:t>
            </w:r>
            <w:proofErr w:type="spellEnd"/>
            <w:r w:rsidRPr="00691AC1">
              <w:rPr>
                <w:rFonts w:ascii="Montserrat" w:eastAsia="Times New Roman" w:hAnsi="Montserrat" w:cs="Calibri"/>
                <w:color w:val="000000"/>
                <w:sz w:val="12"/>
                <w:szCs w:val="12"/>
                <w:lang w:val="es-MX" w:eastAsia="es-MX"/>
              </w:rPr>
              <w:t xml:space="preserve"> </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Institucional</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Baja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04</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SESNSP</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U007</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Subsidios en materia de seguridad pública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Creación de una sección de </w:t>
            </w:r>
            <w:proofErr w:type="spellStart"/>
            <w:r w:rsidRPr="00691AC1">
              <w:rPr>
                <w:rFonts w:ascii="Montserrat" w:eastAsia="Times New Roman" w:hAnsi="Montserrat" w:cs="Calibri"/>
                <w:color w:val="000000"/>
                <w:sz w:val="12"/>
                <w:szCs w:val="12"/>
                <w:lang w:val="es-MX" w:eastAsia="es-MX"/>
              </w:rPr>
              <w:t>FAQ´s</w:t>
            </w:r>
            <w:proofErr w:type="spellEnd"/>
            <w:r w:rsidRPr="00691AC1">
              <w:rPr>
                <w:rFonts w:ascii="Montserrat" w:eastAsia="Times New Roman" w:hAnsi="Montserrat" w:cs="Calibri"/>
                <w:color w:val="000000"/>
                <w:sz w:val="12"/>
                <w:szCs w:val="12"/>
                <w:lang w:val="es-MX" w:eastAsia="es-MX"/>
              </w:rPr>
              <w:t xml:space="preserve"> en la página de internet del SESNSP del subsidio FORTASEG. </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Institucional</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04</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SESNSP</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U007</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Subsidios en materia de seguridad pública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Replanteamiento de los criterios de selección de los beneficiarios del subsidio FORTASEG.</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11</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SEP</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S221</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Escuelas de Tiempo Completo</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El segundo indicador a nivel de Fin incorporado en 2015 no se presenta en la MIR 2016, pero en el informe trimestral muestra una variación positiva del 0.91% en la eficiencia terminal de los alumnos de las ETC que permanecen 3 años en el programa.</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11</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SEP</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S244</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para la Inclusión y la Equidad Educativa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 nivel propósito, el primer indicador porcentaje de instituciones educativas que cuentan con infraestructura y equipamiento muestra la reprogramación de su meta del 60% al 20%, la cual, se superó en 400%. Al respecto, no se encontró justificación del cambio (reducción) de la meta programada, dado los resultados obtenidos se observa que la meta original del 60% estaba más acorde a la realidad.</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Institucional</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11</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SEP</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S244</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para la Inclusión y la Equidad Educativa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De manera global el programa beneficia al 93% de la población objetivo, y por nivel educativo es del 95% para básica, 100% media superior y del 11% para superior, por lo cual se advierte que se debería revisar la focalización y cuantificación de esta población, ya que prácticamente se ha beneficiado al total, pero sólo se atiende al 31% de la población potencial. </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11</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SEP</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S244</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Programa para la Inclusión y la </w:t>
            </w:r>
            <w:r w:rsidRPr="00691AC1">
              <w:rPr>
                <w:rFonts w:ascii="Montserrat" w:eastAsia="Times New Roman" w:hAnsi="Montserrat" w:cs="Calibri"/>
                <w:color w:val="000000"/>
                <w:sz w:val="12"/>
                <w:szCs w:val="12"/>
                <w:lang w:val="es-MX" w:eastAsia="es-MX"/>
              </w:rPr>
              <w:lastRenderedPageBreak/>
              <w:t>Equidad Educativa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lastRenderedPageBreak/>
              <w:t xml:space="preserve">La afectación presupuestal en el orden del 26.18% de los recursos asignados al programa, afectó la cobertura de atención 2016 en alrededor del 13% respecto del 2015 (17, 283 instituciones </w:t>
            </w:r>
            <w:r w:rsidRPr="00691AC1">
              <w:rPr>
                <w:rFonts w:ascii="Montserrat" w:eastAsia="Times New Roman" w:hAnsi="Montserrat" w:cs="Calibri"/>
                <w:color w:val="000000"/>
                <w:sz w:val="12"/>
                <w:szCs w:val="12"/>
                <w:lang w:val="es-MX" w:eastAsia="es-MX"/>
              </w:rPr>
              <w:lastRenderedPageBreak/>
              <w:t xml:space="preserve">educativas Beneficiadas). A pesar de la ampliación autorizada por la H. Cámara de Diputados para el nivel de educación básica. </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lastRenderedPageBreak/>
              <w:t>Interinstitucional</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11</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SEP</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S247</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para el Desarrollo Profesional Docente</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La Dirección General de Formación </w:t>
            </w:r>
            <w:r w:rsidR="001962CF" w:rsidRPr="00691AC1">
              <w:rPr>
                <w:rFonts w:ascii="Montserrat" w:eastAsia="Times New Roman" w:hAnsi="Montserrat" w:cs="Calibri"/>
                <w:color w:val="000000"/>
                <w:sz w:val="12"/>
                <w:szCs w:val="12"/>
                <w:lang w:val="es-MX" w:eastAsia="es-MX"/>
              </w:rPr>
              <w:t>Continua</w:t>
            </w:r>
            <w:r w:rsidRPr="00691AC1">
              <w:rPr>
                <w:rFonts w:ascii="Montserrat" w:eastAsia="Times New Roman" w:hAnsi="Montserrat" w:cs="Calibri"/>
                <w:color w:val="000000"/>
                <w:sz w:val="12"/>
                <w:szCs w:val="12"/>
                <w:lang w:val="es-MX" w:eastAsia="es-MX"/>
              </w:rPr>
              <w:t>, Actualización y Desarrollo Profesional no tiene sistematizados los procesos clave de la operación del Programa.</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Baja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11</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SEP</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S267</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Fortalecimiento de la Calidad Educativa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El programa cuenta con una Matriz de indicadores que no muestra una lógica vertical, ni horizontal, debido a que en Educación Básica el concepto de calidad es muy diferente al de Educación Superior, y las acciones que llevan a cabo para lograr ese objetivo son distintas.</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11</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SEP</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S267</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Fortalecimiento de la Calidad Educativa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El programa cuenta con una Matriz de indicadores que no muestra una lógica vertical, ni horizontal, debido a que en Educación Básica el concepto de calidad es muy diferente al de Educación Superior, y las acciones que llevan a cabo para lograr ese Objetivo, son distintas.</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Institucional</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11</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SEP</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U006</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Subsidios para organismos descentralizados estatales</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En relación al indicador a nivel Propósito, se observa que la manera de explicar las variaciones para cierre de Cuenta Pública no es homogénea.</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Institucional</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11</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CONADE</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S269</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Cultura Física y Deporte</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Están desactualizados los manuales de procedimientos de la CONADE.</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Baja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11</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CONADE</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S269</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Cultura Física y Deporte</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La población objetivo se encuentra definida de manera diferente: en Reglas de Operación señalan “personas físicas y organismos”, en el diagnóstico mencionan “es la población mexicana que se encuentra en el rango de edad de los 4 años y más”; y en la MIR “Las instituciones públicas estatales responsables del deporte en las 32 entidades federativas”.</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CNPSS</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U005</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Seguro Popular</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Diseñar un indicador que se refiera a la satisfacción de los beneficiarios de los servicios de salud otorgados con ayuda del Seguro Popular.</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95</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CNPSS</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U005</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Seguro Popular</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Realizar modificaciones a la MIR de acuerdo con recomendaciones de la evaluación</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95</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DIF</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S039</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Atención a Personas con Discapacidad</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Sistematizar los Padrones de la Población Objetivo Beneficiada por el Programa </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SALUD</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E010</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Formación y capacitación de recursos humanos para la salud</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Establecer plazos para la revisión del Diagnóstico del programa y sus alcances. </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SALUD</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E010</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Formación y capacitación de recursos humanos para la salud</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Impulsar el mejor desempeño de las instituciones que participan en el programa, particularmente en el contexto de las restricciones presupuestarias que impone el entorno económico a las finanzas públicas. </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45</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SALUD</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E025</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Prevención y atención contra las adicciones</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Modificación de Indicador</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SALUD</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E036</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vacunación</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Cambios en los indicadores de la MIR 2019</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Baja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SALUD</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E036</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vacunación</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Elaboración de Diagnóstico </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SALUD</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P020</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Salud materna, sexual y reproductiva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Elaboración del diagnóstico ampliado del programa presupuestario P020</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90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SALUD</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S039</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Atención a Personas con Discapacidad</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Programación de metas</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Baja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SALUD</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S202</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Calidad en la Atención Médica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Adecuar el resumen narrativo de la MIR</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SALUD</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U005</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Seguro Popular</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Actualización del MOSSESS</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SALUD</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U005</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Seguro Popular</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Realizar modificaciones a la MIR de acuerdo con recomendaciones de la evaluación como implementar indicadores de gestión y resultados para hacerla una herramienta útil y eficaz en la toma de decisiones.  </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Institucional</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95</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lastRenderedPageBreak/>
              <w:t>12</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SALUD</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U005</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Seguro Popular</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Revisión de los tres componentes de evaluación con el fin de cumplir con lo mandatado para el programa, para así estar en condiciones de construir un sistema de evaluación que permita la buena toma de decisiones y un correcto seguimiento a lo establecido por el programa.</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SALUD</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U008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Prevención y Control de Sobrepeso, Obesidad y Diabetes</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Precisión de la medición de la cobertura</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16</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CONAGUA</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S074</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Agua potable, Alcantarillado y Saneamiento</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Actualizar el Diagnóstico del programa S074. (ED S074)</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45</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16</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CONAGUA</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S217</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Apoyo a la Infraestructura Hidroagrícola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Actualizar el Diagnóstico del programa S217.</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80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16</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CONAGUA</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S217</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Apoyo a la Infraestructura Hidroagrícola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Concluir el 100% de los inventarios y elaboración de un diagnóstico integral de las Unidades de Riego. (S217 </w:t>
            </w:r>
            <w:proofErr w:type="spellStart"/>
            <w:r w:rsidRPr="00691AC1">
              <w:rPr>
                <w:rFonts w:ascii="Montserrat" w:eastAsia="Times New Roman" w:hAnsi="Montserrat" w:cs="Calibri"/>
                <w:color w:val="000000"/>
                <w:sz w:val="12"/>
                <w:szCs w:val="12"/>
                <w:lang w:val="es-MX" w:eastAsia="es-MX"/>
              </w:rPr>
              <w:t>ECyR</w:t>
            </w:r>
            <w:proofErr w:type="spellEnd"/>
            <w:r w:rsidRPr="00691AC1">
              <w:rPr>
                <w:rFonts w:ascii="Montserrat" w:eastAsia="Times New Roman" w:hAnsi="Montserrat" w:cs="Calibri"/>
                <w:color w:val="000000"/>
                <w:sz w:val="12"/>
                <w:szCs w:val="12"/>
                <w:lang w:val="es-MX" w:eastAsia="es-MX"/>
              </w:rPr>
              <w:t xml:space="preserve"> Mecanismo 2013)</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16</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SEMARNAT</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E005</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Capacitación Ambiental y Desarrollo Sustentable</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Definición de las poblaciones potencial y objetivo y diseño de la metodología para su cuantificación. </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Institucional</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16</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SEMARNAT</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E005</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Capacitación Ambiental y Desarrollo Sustentable</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Estudio del estado del arte de la Educación Ambiental: avances y retos (E005 ED)</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16</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SEMARNAT</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E005</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Capacitación Ambiental y Desarrollo Sustentable</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Información sobre los beneficiaros de los programas (E005 ED)</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16</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SEMARNAT</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E005</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Capacitación Ambiental y Desarrollo Sustentable</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Desarrollo Institucional (PDI) 2020 (E005 ED)</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Institucional</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16</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SEMARNAT</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S219</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Apoyos para el Desarrollo Forestal Sustentable</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Establecer un mecanismo para fortalecer la comunicación y difusión sobre los instrumentos de planeación y rendición de cuentas de la CONAFOR en las gerencias estatales. </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16</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SEMARNAT</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S219</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Apoyos para el Desarrollo Forestal Sustentable</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Gestionar la solicitud de información estratégica con la Dirección General Forestal y de Suelos de la SEMARNAT.</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75</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16</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SEMARNAT</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S219</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Apoyos para el Desarrollo Forestal Sustentable</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Implementar una nueva plataforma para el registro de las solicitudes qué cuente con una estructura qué otorgue mayor integridad de datos.</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20</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IMJUVE</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U008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Subsidio a programas para jóvenes</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Realizar un proceso de Planeación Estratégica basado en el análisis del problema</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20</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BIENESTAR</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U008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Subsidios a programas para jóvenes</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Actualizar el diagnóstico del programa U008 Subsidios a programas para Jóvenes, considerando las recomendaciones realizadas en la Evaluación de Consistencia y Resultados 2016.</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Institucional</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63</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20</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BIENESTAR</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U008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Subsidios a programas para jóvenes</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Aplicar cuestionarios en línea, para cada una de las categorías de apoyo del programa U008: uno para identificar las expectativas de los postulantes al participar en cada convocatoria, otro al finalizar el proceso de selección para conocer la medida en que se cumplieron las expectativas de los postulantes y un tercer cuestionario a los beneficiarios del programa después de recibir los beneficios.</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75</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20</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BIENESTAR</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U008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Subsidios a programas para jóvenes</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proofErr w:type="gramStart"/>
            <w:r w:rsidRPr="00691AC1">
              <w:rPr>
                <w:rFonts w:ascii="Montserrat" w:eastAsia="Times New Roman" w:hAnsi="Montserrat" w:cs="Calibri"/>
                <w:color w:val="000000"/>
                <w:sz w:val="12"/>
                <w:szCs w:val="12"/>
                <w:lang w:val="es-MX" w:eastAsia="es-MX"/>
              </w:rPr>
              <w:t>Asegurar</w:t>
            </w:r>
            <w:proofErr w:type="gramEnd"/>
            <w:r w:rsidRPr="00691AC1">
              <w:rPr>
                <w:rFonts w:ascii="Montserrat" w:eastAsia="Times New Roman" w:hAnsi="Montserrat" w:cs="Calibri"/>
                <w:color w:val="000000"/>
                <w:sz w:val="12"/>
                <w:szCs w:val="12"/>
                <w:lang w:val="es-MX" w:eastAsia="es-MX"/>
              </w:rPr>
              <w:t xml:space="preserve"> que el próximo ejercicio de Seguimiento Físico y Operativo del programa cuente con los siguientes atributos:1.- Mediciones de satisfacción objetivas; es decir, no sesgadas. 2.- Los resultados obtenidos sean representativos estadísticamente para la población de cada una de las categorías de apoyo.</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Institucional</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28</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20</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BIENESTAR</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U008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Subsidios a programas para jóvenes</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Capacitar a las instituciones beneficiarias de cada una de las categorías de apoyo, sobre la forma en que deberán implementar de manera adecuada sus proyectos.</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80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lastRenderedPageBreak/>
              <w:t>20</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BIENESTAR</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U008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Subsidios a programas para jóvenes</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Diseñar un sistema de información que agrupe los procesos clave de cada una de las categorías de apoyo del programa </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20</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BIENESTAR</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U008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Subsidios a programas para jóvenes</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Realizar las evaluaciones consideradas en la agenda de evaluación del programa para el corto plazo</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Institucional</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23</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SHCP</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U019</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Fondo Regional</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Elaboración del Diagnóstico del </w:t>
            </w:r>
            <w:proofErr w:type="spellStart"/>
            <w:r w:rsidRPr="00691AC1">
              <w:rPr>
                <w:rFonts w:ascii="Montserrat" w:eastAsia="Times New Roman" w:hAnsi="Montserrat" w:cs="Calibri"/>
                <w:color w:val="000000"/>
                <w:sz w:val="12"/>
                <w:szCs w:val="12"/>
                <w:lang w:val="es-MX" w:eastAsia="es-MX"/>
              </w:rPr>
              <w:t>Pp</w:t>
            </w:r>
            <w:proofErr w:type="spellEnd"/>
            <w:r w:rsidRPr="00691AC1">
              <w:rPr>
                <w:rFonts w:ascii="Montserrat" w:eastAsia="Times New Roman" w:hAnsi="Montserrat" w:cs="Calibri"/>
                <w:color w:val="000000"/>
                <w:sz w:val="12"/>
                <w:szCs w:val="12"/>
                <w:lang w:val="es-MX" w:eastAsia="es-MX"/>
              </w:rPr>
              <w:t xml:space="preserve"> U019.</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23</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SHCP</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U019</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Fondo Regional</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Fortalecimiento de la mecánica operativa del </w:t>
            </w:r>
            <w:proofErr w:type="spellStart"/>
            <w:r w:rsidRPr="00691AC1">
              <w:rPr>
                <w:rFonts w:ascii="Montserrat" w:eastAsia="Times New Roman" w:hAnsi="Montserrat" w:cs="Calibri"/>
                <w:color w:val="000000"/>
                <w:sz w:val="12"/>
                <w:szCs w:val="12"/>
                <w:lang w:val="es-MX" w:eastAsia="es-MX"/>
              </w:rPr>
              <w:t>Pp</w:t>
            </w:r>
            <w:proofErr w:type="spellEnd"/>
            <w:r w:rsidRPr="00691AC1">
              <w:rPr>
                <w:rFonts w:ascii="Montserrat" w:eastAsia="Times New Roman" w:hAnsi="Montserrat" w:cs="Calibri"/>
                <w:color w:val="000000"/>
                <w:sz w:val="12"/>
                <w:szCs w:val="12"/>
                <w:lang w:val="es-MX" w:eastAsia="es-MX"/>
              </w:rPr>
              <w:t xml:space="preserve"> U019</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80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23</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SHCP</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U019</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Fondo Regional</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xml:space="preserve">Reestructuración de la MIR del </w:t>
            </w:r>
            <w:proofErr w:type="spellStart"/>
            <w:r w:rsidRPr="00691AC1">
              <w:rPr>
                <w:rFonts w:ascii="Montserrat" w:eastAsia="Times New Roman" w:hAnsi="Montserrat" w:cs="Calibri"/>
                <w:color w:val="000000"/>
                <w:sz w:val="12"/>
                <w:szCs w:val="12"/>
                <w:lang w:val="es-MX" w:eastAsia="es-MX"/>
              </w:rPr>
              <w:t>Pp</w:t>
            </w:r>
            <w:proofErr w:type="spellEnd"/>
            <w:r w:rsidRPr="00691AC1">
              <w:rPr>
                <w:rFonts w:ascii="Montserrat" w:eastAsia="Times New Roman" w:hAnsi="Montserrat" w:cs="Calibri"/>
                <w:color w:val="000000"/>
                <w:sz w:val="12"/>
                <w:szCs w:val="12"/>
                <w:lang w:val="es-MX" w:eastAsia="es-MX"/>
              </w:rPr>
              <w:t xml:space="preserve"> U019</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47</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INMUJERES</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S010</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Fortalecimiento a la Transversalidad de la Perspectiva de Género</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Dar seguimiento a la aplicación del Modelo de Operación de los Centros para el Desarrollo de las Mujeres (CDM) en las entidades federativas, municipios y delegaciones de la Ciudad de México</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47</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INMUJERES</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S010</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Fortalecimiento a la Transversalidad de la Perspectiva de Género</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Lograr que el Comité de Mejora Regulatoria Interna valide el Manual de Procedimiento que regula todos los procesos del Programa de Fortalecimiento a la Transversalidad de la Perspectiva de Género</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Alta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47</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INMUJERES</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S010</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Fortalecimiento a la Transversalidad de la Perspectiva de Género</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Realizar modificaciones a los módulos de la Plataforma e-transversalidad, racionados con el seguimiento de los proyectos</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48</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CULTURA</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S268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Apoyos a la Cultura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"El programa no cuenta con un sistema informático en donde los beneficiarios soliciten el apoyo y que permita sistematizar la demanda total de apoyos y conocer las características de los solicitantes."</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Baja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48</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CULTURA</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S268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Apoyos a la Cultura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"El programa no cuenta con una estrategia de cobertura documentada."</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Baja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48</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CULTURA</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S268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Apoyos a la Cultura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"La información de los apoyos que otorga el programa, las reglas de operación y los beneficiarios de ejercicios anteriores se encuentra dispersa en los sitios web de cada unidad responsable."</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48</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CULTURA</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S268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Apoyos a la Cultura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"No se cuenta con una metodología para la cuantificación de la población objetivo."</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Baja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48</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CULTURA</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S268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Apoyos a la Cultura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"Oportunidad: Con la creación de la Secretaría de Cultura y la definición del PECA el programa puede alinear su fin de manera más clara y directa."</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48</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CULTURA</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S268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Apoyos a la Cultura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 tienen seis componentes distintos para los mismos tipos de apoyos: recursos económicos otorgados para proyectos culturales. Los seis componentes reflejan la estructura administrativa previa a la fusión, pero no una descripción precisa del tipo de bien o servicio que produce el programa."</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Baja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48</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CULTURA</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S268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Apoyos a la Cultura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El problema está definido como la ausencia de la solución ofrecida por el programa (insuficiencia de recursos económicos para la cultura).</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48</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CULTURA</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S268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Apoyos a la Cultura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El programa no cuenta con una justificación teórica o empírica que avale que la intervención que realiza es eficiente para solucionar el problema.</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48</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CULTURA</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S268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Apoyos a la Cultura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En las ROP 2016 y el diagnóstico no se establece la vinculación/contribución del programa con los Objetivos de Desarrollo del Milenio u Objetivos de Desarrollo Sostenible.</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Baja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48</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CULTURA</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S268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Apoyos a la Cultura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La identificación y cuantificación de la población objetivo y potencial se realiza de manera segmentada por cada unidad responsable.</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Baja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w:t>
            </w:r>
          </w:p>
        </w:tc>
      </w:tr>
      <w:tr w:rsidR="00F173CC" w:rsidRPr="00F173CC" w:rsidTr="00CA676E">
        <w:trPr>
          <w:trHeight w:val="300"/>
        </w:trPr>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48</w:t>
            </w:r>
          </w:p>
        </w:tc>
        <w:tc>
          <w:tcPr>
            <w:tcW w:w="497"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CULTURA</w:t>
            </w:r>
          </w:p>
        </w:tc>
        <w:tc>
          <w:tcPr>
            <w:tcW w:w="285"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S268</w:t>
            </w:r>
          </w:p>
        </w:tc>
        <w:tc>
          <w:tcPr>
            <w:tcW w:w="496" w:type="pct"/>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Apoyos a la Cultura</w:t>
            </w:r>
          </w:p>
        </w:tc>
        <w:tc>
          <w:tcPr>
            <w:tcW w:w="1988" w:type="pct"/>
            <w:tcBorders>
              <w:top w:val="nil"/>
              <w:left w:val="nil"/>
              <w:bottom w:val="nil"/>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Las causas y efectos del problema no están sustentados de manera teórica o empírica.</w:t>
            </w:r>
          </w:p>
        </w:tc>
        <w:tc>
          <w:tcPr>
            <w:tcW w:w="573"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Media</w:t>
            </w:r>
          </w:p>
        </w:tc>
        <w:tc>
          <w:tcPr>
            <w:tcW w:w="448" w:type="pct"/>
            <w:tcBorders>
              <w:top w:val="nil"/>
              <w:left w:val="nil"/>
              <w:bottom w:val="nil"/>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w:t>
            </w:r>
          </w:p>
        </w:tc>
      </w:tr>
      <w:tr w:rsidR="00F173CC" w:rsidRPr="00F173CC" w:rsidTr="00CA676E">
        <w:trPr>
          <w:trHeight w:val="315"/>
        </w:trPr>
        <w:tc>
          <w:tcPr>
            <w:tcW w:w="285" w:type="pct"/>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48</w:t>
            </w:r>
          </w:p>
        </w:tc>
        <w:tc>
          <w:tcPr>
            <w:tcW w:w="497" w:type="pct"/>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CULTURA</w:t>
            </w:r>
          </w:p>
        </w:tc>
        <w:tc>
          <w:tcPr>
            <w:tcW w:w="285" w:type="pct"/>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S268</w:t>
            </w:r>
          </w:p>
        </w:tc>
        <w:tc>
          <w:tcPr>
            <w:tcW w:w="496" w:type="pct"/>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Programa de Apoyos a la Cultura</w:t>
            </w:r>
          </w:p>
        </w:tc>
        <w:tc>
          <w:tcPr>
            <w:tcW w:w="1988" w:type="pct"/>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652A87">
            <w:pPr>
              <w:spacing w:after="0"/>
              <w:jc w:val="both"/>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Oportunidad: Antes de la fusión las unidades responsables del programa contaban con mecanismos para recolectar la información de los beneficiarios que puedes servir como insumos para el nuevo programa.</w:t>
            </w:r>
          </w:p>
        </w:tc>
        <w:tc>
          <w:tcPr>
            <w:tcW w:w="573" w:type="pct"/>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Específico</w:t>
            </w:r>
          </w:p>
        </w:tc>
        <w:tc>
          <w:tcPr>
            <w:tcW w:w="428" w:type="pct"/>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Baja</w:t>
            </w:r>
          </w:p>
        </w:tc>
        <w:tc>
          <w:tcPr>
            <w:tcW w:w="448" w:type="pct"/>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0</w:t>
            </w:r>
          </w:p>
        </w:tc>
      </w:tr>
      <w:tr w:rsidR="00F173CC" w:rsidRPr="00F173CC" w:rsidTr="00CA676E">
        <w:trPr>
          <w:trHeight w:val="405"/>
        </w:trPr>
        <w:tc>
          <w:tcPr>
            <w:tcW w:w="5000" w:type="pct"/>
            <w:gridSpan w:val="8"/>
            <w:tcBorders>
              <w:top w:val="nil"/>
              <w:left w:val="nil"/>
              <w:bottom w:val="nil"/>
              <w:right w:val="nil"/>
            </w:tcBorders>
            <w:shd w:val="clear" w:color="auto" w:fill="auto"/>
            <w:vAlign w:val="bottom"/>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   Además del ASM registrado se incorpora información registrada como recomendación o actividad, a efecto de clarificar su contenido.</w:t>
            </w:r>
            <w:r w:rsidRPr="00691AC1">
              <w:rPr>
                <w:rFonts w:ascii="Montserrat" w:eastAsia="Times New Roman" w:hAnsi="Montserrat" w:cs="Calibri"/>
                <w:b/>
                <w:bCs/>
                <w:color w:val="000000"/>
                <w:sz w:val="12"/>
                <w:szCs w:val="12"/>
                <w:lang w:val="es-MX" w:eastAsia="es-MX"/>
              </w:rPr>
              <w:br/>
              <w:t>Fuente:</w:t>
            </w:r>
            <w:r w:rsidRPr="00691AC1">
              <w:rPr>
                <w:rFonts w:ascii="Montserrat" w:eastAsia="Times New Roman" w:hAnsi="Montserrat" w:cs="Calibri"/>
                <w:color w:val="000000"/>
                <w:sz w:val="12"/>
                <w:szCs w:val="12"/>
                <w:lang w:val="es-MX" w:eastAsia="es-MX"/>
              </w:rPr>
              <w:t xml:space="preserve"> Unidad de Evaluación del Desempeño, con Información proporcionada por las dependencias y entidades de la APF a las instancias coordinadoras (SHCP y CONEVAL). </w:t>
            </w:r>
          </w:p>
        </w:tc>
      </w:tr>
    </w:tbl>
    <w:p w:rsidR="00F173CC" w:rsidRPr="00F173CC" w:rsidRDefault="00F173CC" w:rsidP="00F173CC">
      <w:pPr>
        <w:spacing w:after="0"/>
        <w:rPr>
          <w:rFonts w:eastAsia="Times New Roman" w:cs="Arial"/>
          <w:b/>
          <w:szCs w:val="20"/>
          <w:lang w:val="es-MX"/>
        </w:rPr>
      </w:pPr>
      <w:r w:rsidRPr="00F173CC">
        <w:rPr>
          <w:rFonts w:eastAsia="Times New Roman" w:cs="Arial"/>
          <w:b/>
          <w:szCs w:val="20"/>
          <w:lang w:val="es-MX"/>
        </w:rPr>
        <w:t xml:space="preserve"> </w:t>
      </w:r>
      <w:r w:rsidRPr="00F173CC">
        <w:rPr>
          <w:rFonts w:eastAsia="Times New Roman" w:cs="Arial"/>
          <w:b/>
          <w:szCs w:val="20"/>
          <w:lang w:val="es-MX"/>
        </w:rPr>
        <w:br w:type="page"/>
      </w:r>
    </w:p>
    <w:p w:rsidR="00F173CC" w:rsidRPr="00F173CC" w:rsidRDefault="00F173CC" w:rsidP="00F173CC">
      <w:pPr>
        <w:jc w:val="both"/>
        <w:rPr>
          <w:rFonts w:eastAsia="Times New Roman" w:cs="Arial"/>
          <w:b/>
          <w:szCs w:val="20"/>
          <w:lang w:val="es-ES"/>
        </w:rPr>
      </w:pPr>
      <w:r w:rsidRPr="00F173CC">
        <w:rPr>
          <w:rFonts w:eastAsia="Times New Roman" w:cs="Arial"/>
          <w:b/>
          <w:szCs w:val="20"/>
          <w:lang w:val="es-ES"/>
        </w:rPr>
        <w:lastRenderedPageBreak/>
        <w:t>ASM derivados de las evaluaciones externas coordinadas por la SHCP</w:t>
      </w: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 xml:space="preserve">Al primer trimestre de 2019, las dependencias y entidades con evaluaciones externas concluidas y coordinadas por la SHCP que corresponden al PAE 2018 y anteriores, instrumentaron acciones en un total </w:t>
      </w:r>
      <w:r w:rsidRPr="00CA676E">
        <w:rPr>
          <w:rFonts w:eastAsia="Times New Roman" w:cs="Arial"/>
          <w:szCs w:val="20"/>
          <w:lang w:val="es-ES"/>
        </w:rPr>
        <w:t xml:space="preserve">de </w:t>
      </w:r>
      <w:r w:rsidR="00857214" w:rsidRPr="00CA676E">
        <w:rPr>
          <w:rFonts w:eastAsia="Times New Roman" w:cs="Arial"/>
          <w:szCs w:val="20"/>
          <w:lang w:val="es-ES"/>
        </w:rPr>
        <w:t>207</w:t>
      </w:r>
      <w:r w:rsidR="00CA676E">
        <w:rPr>
          <w:rFonts w:eastAsia="Times New Roman" w:cs="Arial"/>
          <w:szCs w:val="20"/>
          <w:lang w:val="es-ES"/>
        </w:rPr>
        <w:t xml:space="preserve"> </w:t>
      </w:r>
      <w:r w:rsidRPr="00CA676E">
        <w:rPr>
          <w:rFonts w:eastAsia="Times New Roman" w:cs="Arial"/>
          <w:szCs w:val="20"/>
          <w:lang w:val="es-ES"/>
        </w:rPr>
        <w:t>ASM.</w:t>
      </w: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Los 207 ASM corresponden a 60 programas de 32 dependencias y entidades, y de conformidad con el actor involucrado en su solución, se distribuyen de la siguiente manera: 101 (48.8%) son del tipo específico, 100 (48.3%) corresponden al tipo institucional, cuatro (1.9%) son de carácter interinstitucional y dos (1.0%) corresponde al tipo intergubernamental.</w:t>
      </w:r>
    </w:p>
    <w:p w:rsidR="00F173CC" w:rsidRPr="00F173CC" w:rsidRDefault="00F173CC" w:rsidP="00F173CC">
      <w:pPr>
        <w:jc w:val="both"/>
        <w:rPr>
          <w:rFonts w:ascii="Cambria" w:eastAsia="Times New Roman" w:hAnsi="Cambria" w:cs="Arial"/>
          <w:sz w:val="20"/>
          <w:szCs w:val="20"/>
          <w:lang w:val="es-ES" w:eastAsia="es-MX"/>
        </w:rPr>
      </w:pPr>
      <w:r w:rsidRPr="00F173CC">
        <w:rPr>
          <w:rFonts w:eastAsia="Times New Roman" w:cs="Arial"/>
          <w:szCs w:val="20"/>
          <w:lang w:val="es-ES"/>
        </w:rPr>
        <w:t xml:space="preserve">Asimismo, de estos 207 ASM, los Ramos que destacan son los siguientes: Gobernación con 69 (33.3%); Turismo con 20 (9.7%); y Medio Ambiente y Recursos Naturales con 16 (7.7%). </w:t>
      </w:r>
      <w:r w:rsidRPr="00F173CC">
        <w:rPr>
          <w:rFonts w:eastAsia="Times New Roman" w:cs="Arial"/>
          <w:szCs w:val="20"/>
          <w:lang w:val="es-ES"/>
        </w:rPr>
        <w:fldChar w:fldCharType="begin"/>
      </w:r>
      <w:r w:rsidRPr="00F173CC">
        <w:rPr>
          <w:rFonts w:eastAsia="Times New Roman" w:cs="Arial"/>
          <w:szCs w:val="20"/>
          <w:lang w:val="es-ES"/>
        </w:rPr>
        <w:instrText xml:space="preserve"> LINK Excel.Sheet.12 "C:\\Users\\monica_amezcua\\Documents\\2016\\ASM 3ER TRIM 2016\\Base de Datos ASM_3er trim 2016.xlsx" graficos!F8C2:F75C9 \a \f 4 \h  \* MERGEFORMAT </w:instrText>
      </w:r>
      <w:r w:rsidRPr="00F173CC">
        <w:rPr>
          <w:rFonts w:eastAsia="Times New Roman" w:cs="Arial"/>
          <w:szCs w:val="20"/>
          <w:lang w:val="es-ES"/>
        </w:rPr>
        <w:fldChar w:fldCharType="separate"/>
      </w:r>
    </w:p>
    <w:p w:rsidR="00F173CC" w:rsidRPr="00F173CC" w:rsidRDefault="00F173CC" w:rsidP="00F173CC">
      <w:pPr>
        <w:jc w:val="both"/>
        <w:rPr>
          <w:color w:val="FF0000"/>
          <w:lang w:val="es-MX"/>
        </w:rPr>
      </w:pPr>
      <w:r w:rsidRPr="00F173CC">
        <w:rPr>
          <w:lang w:val="es-MX"/>
        </w:rPr>
        <w:fldChar w:fldCharType="end"/>
      </w:r>
    </w:p>
    <w:tbl>
      <w:tblPr>
        <w:tblW w:w="9972" w:type="dxa"/>
        <w:tblCellMar>
          <w:left w:w="70" w:type="dxa"/>
          <w:right w:w="70" w:type="dxa"/>
        </w:tblCellMar>
        <w:tblLook w:val="04A0" w:firstRow="1" w:lastRow="0" w:firstColumn="1" w:lastColumn="0" w:noHBand="0" w:noVBand="1"/>
      </w:tblPr>
      <w:tblGrid>
        <w:gridCol w:w="1565"/>
        <w:gridCol w:w="1573"/>
        <w:gridCol w:w="1137"/>
        <w:gridCol w:w="1136"/>
        <w:gridCol w:w="1672"/>
        <w:gridCol w:w="1637"/>
        <w:gridCol w:w="508"/>
        <w:gridCol w:w="744"/>
      </w:tblGrid>
      <w:tr w:rsidR="00F173CC" w:rsidRPr="00F173CC" w:rsidTr="005F0F2C">
        <w:trPr>
          <w:trHeight w:val="300"/>
          <w:tblHeader/>
        </w:trPr>
        <w:tc>
          <w:tcPr>
            <w:tcW w:w="9972" w:type="dxa"/>
            <w:gridSpan w:val="8"/>
            <w:tcBorders>
              <w:top w:val="nil"/>
              <w:left w:val="nil"/>
              <w:right w:val="nil"/>
            </w:tcBorders>
            <w:shd w:val="clear" w:color="auto" w:fill="auto"/>
            <w:vAlign w:val="bottom"/>
            <w:hideMark/>
          </w:tcPr>
          <w:p w:rsidR="00F173CC" w:rsidRPr="00F173CC" w:rsidRDefault="00F173CC" w:rsidP="00691AC1">
            <w:pPr>
              <w:pStyle w:val="CABEZA"/>
            </w:pPr>
            <w:r w:rsidRPr="00F173CC">
              <w:t>Tabla 5. Tipo de ASM por Ramo y por dependencia o entidad al 31 marzo de 2019</w:t>
            </w:r>
          </w:p>
        </w:tc>
      </w:tr>
      <w:tr w:rsidR="001962CF" w:rsidRPr="00F173CC" w:rsidTr="001962CF">
        <w:trPr>
          <w:trHeight w:hRule="exact" w:val="57"/>
          <w:tblHeader/>
        </w:trPr>
        <w:tc>
          <w:tcPr>
            <w:tcW w:w="1565"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1573"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1137"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1136"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1672"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1637"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508"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744"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r>
      <w:tr w:rsidR="001962CF" w:rsidRPr="00F173CC" w:rsidTr="001962CF">
        <w:trPr>
          <w:trHeight w:val="300"/>
          <w:tblHeader/>
        </w:trPr>
        <w:tc>
          <w:tcPr>
            <w:tcW w:w="1565"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Ramo</w:t>
            </w:r>
          </w:p>
        </w:tc>
        <w:tc>
          <w:tcPr>
            <w:tcW w:w="1573"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Dependencia o Entidad</w:t>
            </w:r>
          </w:p>
        </w:tc>
        <w:tc>
          <w:tcPr>
            <w:tcW w:w="1137"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Específico</w:t>
            </w:r>
          </w:p>
        </w:tc>
        <w:tc>
          <w:tcPr>
            <w:tcW w:w="1136"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Institucional</w:t>
            </w:r>
          </w:p>
        </w:tc>
        <w:tc>
          <w:tcPr>
            <w:tcW w:w="1672"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Interinstitucional</w:t>
            </w:r>
          </w:p>
        </w:tc>
        <w:tc>
          <w:tcPr>
            <w:tcW w:w="1637"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Intergubernamental</w:t>
            </w:r>
          </w:p>
        </w:tc>
        <w:tc>
          <w:tcPr>
            <w:tcW w:w="508"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Total</w:t>
            </w:r>
          </w:p>
        </w:tc>
        <w:tc>
          <w:tcPr>
            <w:tcW w:w="744"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 del Total</w:t>
            </w:r>
          </w:p>
        </w:tc>
      </w:tr>
      <w:tr w:rsidR="001962CF" w:rsidRPr="00F173CC" w:rsidTr="001962CF">
        <w:trPr>
          <w:trHeight w:hRule="exact" w:val="57"/>
          <w:tblHeader/>
        </w:trPr>
        <w:tc>
          <w:tcPr>
            <w:tcW w:w="1565"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573"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137"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136"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672"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637"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508"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744"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1962CF" w:rsidRPr="00F173CC" w:rsidTr="001962CF">
        <w:trPr>
          <w:trHeight w:hRule="exact" w:val="57"/>
          <w:tblHeader/>
        </w:trPr>
        <w:tc>
          <w:tcPr>
            <w:tcW w:w="1565"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573"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137"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136"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672"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637"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508"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744"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F173CC" w:rsidRPr="00F173CC" w:rsidTr="00652A87">
        <w:trPr>
          <w:trHeight w:val="300"/>
        </w:trPr>
        <w:tc>
          <w:tcPr>
            <w:tcW w:w="3138" w:type="dxa"/>
            <w:gridSpan w:val="2"/>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04 </w:t>
            </w:r>
            <w:proofErr w:type="gramStart"/>
            <w:r w:rsidRPr="00691AC1">
              <w:rPr>
                <w:rFonts w:ascii="Montserrat" w:eastAsia="Times New Roman" w:hAnsi="Montserrat" w:cs="Calibri"/>
                <w:b/>
                <w:bCs/>
                <w:color w:val="000000"/>
                <w:sz w:val="12"/>
                <w:szCs w:val="12"/>
                <w:lang w:val="es-MX" w:eastAsia="es-MX"/>
              </w:rPr>
              <w:t>Gobernación</w:t>
            </w:r>
            <w:proofErr w:type="gramEnd"/>
          </w:p>
        </w:tc>
        <w:tc>
          <w:tcPr>
            <w:tcW w:w="1137"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45</w:t>
            </w:r>
          </w:p>
        </w:tc>
        <w:tc>
          <w:tcPr>
            <w:tcW w:w="1136"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24</w:t>
            </w:r>
          </w:p>
        </w:tc>
        <w:tc>
          <w:tcPr>
            <w:tcW w:w="1672"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37"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08"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69</w:t>
            </w:r>
          </w:p>
        </w:tc>
        <w:tc>
          <w:tcPr>
            <w:tcW w:w="744"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33.3</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CENAPRED</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21</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CNS</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CONAPO</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CONAVIM</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SEGOB</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21</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SESNSP</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06 </w:t>
            </w:r>
            <w:proofErr w:type="gramStart"/>
            <w:r w:rsidRPr="00691AC1">
              <w:rPr>
                <w:rFonts w:ascii="Montserrat" w:eastAsia="Times New Roman" w:hAnsi="Montserrat" w:cs="Calibri"/>
                <w:b/>
                <w:bCs/>
                <w:color w:val="000000"/>
                <w:sz w:val="12"/>
                <w:szCs w:val="12"/>
                <w:lang w:val="es-MX" w:eastAsia="es-MX"/>
              </w:rPr>
              <w:t>Hacienda</w:t>
            </w:r>
            <w:proofErr w:type="gramEnd"/>
            <w:r w:rsidRPr="00691AC1">
              <w:rPr>
                <w:rFonts w:ascii="Montserrat" w:eastAsia="Times New Roman" w:hAnsi="Montserrat" w:cs="Calibri"/>
                <w:b/>
                <w:bCs/>
                <w:color w:val="000000"/>
                <w:sz w:val="12"/>
                <w:szCs w:val="12"/>
                <w:lang w:val="es-MX" w:eastAsia="es-MX"/>
              </w:rPr>
              <w:t xml:space="preserve"> y Crédito Público</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6</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2.9</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CNSF</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CONSAR</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SHCP</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TESOFE</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09 </w:t>
            </w:r>
            <w:proofErr w:type="gramStart"/>
            <w:r w:rsidRPr="00691AC1">
              <w:rPr>
                <w:rFonts w:ascii="Montserrat" w:eastAsia="Times New Roman" w:hAnsi="Montserrat" w:cs="Calibri"/>
                <w:b/>
                <w:bCs/>
                <w:color w:val="000000"/>
                <w:sz w:val="12"/>
                <w:szCs w:val="12"/>
                <w:lang w:val="es-MX" w:eastAsia="es-MX"/>
              </w:rPr>
              <w:t>Comunicaciones</w:t>
            </w:r>
            <w:proofErr w:type="gramEnd"/>
            <w:r w:rsidRPr="00691AC1">
              <w:rPr>
                <w:rFonts w:ascii="Montserrat" w:eastAsia="Times New Roman" w:hAnsi="Montserrat" w:cs="Calibri"/>
                <w:b/>
                <w:bCs/>
                <w:color w:val="000000"/>
                <w:sz w:val="12"/>
                <w:szCs w:val="12"/>
                <w:lang w:val="es-MX" w:eastAsia="es-MX"/>
              </w:rPr>
              <w:t xml:space="preserve"> y Transportes</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11</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11</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5.3</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SCT</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11</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11 </w:t>
            </w:r>
            <w:proofErr w:type="gramStart"/>
            <w:r w:rsidRPr="00691AC1">
              <w:rPr>
                <w:rFonts w:ascii="Montserrat" w:eastAsia="Times New Roman" w:hAnsi="Montserrat" w:cs="Calibri"/>
                <w:b/>
                <w:bCs/>
                <w:color w:val="000000"/>
                <w:sz w:val="12"/>
                <w:szCs w:val="12"/>
                <w:lang w:val="es-MX" w:eastAsia="es-MX"/>
              </w:rPr>
              <w:t>Educación</w:t>
            </w:r>
            <w:proofErr w:type="gramEnd"/>
            <w:r w:rsidRPr="00691AC1">
              <w:rPr>
                <w:rFonts w:ascii="Montserrat" w:eastAsia="Times New Roman" w:hAnsi="Montserrat" w:cs="Calibri"/>
                <w:b/>
                <w:bCs/>
                <w:color w:val="000000"/>
                <w:sz w:val="12"/>
                <w:szCs w:val="12"/>
                <w:lang w:val="es-MX" w:eastAsia="es-MX"/>
              </w:rPr>
              <w:t xml:space="preserve"> Pública</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8</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8</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3.9</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SEP</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8</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12 </w:t>
            </w:r>
            <w:proofErr w:type="gramStart"/>
            <w:r w:rsidRPr="00691AC1">
              <w:rPr>
                <w:rFonts w:ascii="Montserrat" w:eastAsia="Times New Roman" w:hAnsi="Montserrat" w:cs="Calibri"/>
                <w:b/>
                <w:bCs/>
                <w:color w:val="000000"/>
                <w:sz w:val="12"/>
                <w:szCs w:val="12"/>
                <w:lang w:val="es-MX" w:eastAsia="es-MX"/>
              </w:rPr>
              <w:t>Salud</w:t>
            </w:r>
            <w:proofErr w:type="gramEnd"/>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1.4</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SALUD</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13 Marina</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0.5</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SEMAR</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15 </w:t>
            </w:r>
            <w:proofErr w:type="gramStart"/>
            <w:r w:rsidRPr="00691AC1">
              <w:rPr>
                <w:rFonts w:ascii="Montserrat" w:eastAsia="Times New Roman" w:hAnsi="Montserrat" w:cs="Calibri"/>
                <w:b/>
                <w:bCs/>
                <w:color w:val="000000"/>
                <w:sz w:val="12"/>
                <w:szCs w:val="12"/>
                <w:lang w:val="es-MX" w:eastAsia="es-MX"/>
              </w:rPr>
              <w:t>Desarrollo</w:t>
            </w:r>
            <w:proofErr w:type="gramEnd"/>
            <w:r w:rsidRPr="00691AC1">
              <w:rPr>
                <w:rFonts w:ascii="Montserrat" w:eastAsia="Times New Roman" w:hAnsi="Montserrat" w:cs="Calibri"/>
                <w:b/>
                <w:bCs/>
                <w:color w:val="000000"/>
                <w:sz w:val="12"/>
                <w:szCs w:val="12"/>
                <w:lang w:val="es-MX" w:eastAsia="es-MX"/>
              </w:rPr>
              <w:t xml:space="preserve"> Agrario, Territorial y Urbano</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2.4</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CONAVI</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RAN</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SEDATU</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16 </w:t>
            </w:r>
            <w:proofErr w:type="gramStart"/>
            <w:r w:rsidRPr="00691AC1">
              <w:rPr>
                <w:rFonts w:ascii="Montserrat" w:eastAsia="Times New Roman" w:hAnsi="Montserrat" w:cs="Calibri"/>
                <w:b/>
                <w:bCs/>
                <w:color w:val="000000"/>
                <w:sz w:val="12"/>
                <w:szCs w:val="12"/>
                <w:lang w:val="es-MX" w:eastAsia="es-MX"/>
              </w:rPr>
              <w:t>Medio</w:t>
            </w:r>
            <w:proofErr w:type="gramEnd"/>
            <w:r w:rsidRPr="00691AC1">
              <w:rPr>
                <w:rFonts w:ascii="Montserrat" w:eastAsia="Times New Roman" w:hAnsi="Montserrat" w:cs="Calibri"/>
                <w:b/>
                <w:bCs/>
                <w:color w:val="000000"/>
                <w:sz w:val="12"/>
                <w:szCs w:val="12"/>
                <w:lang w:val="es-MX" w:eastAsia="es-MX"/>
              </w:rPr>
              <w:t xml:space="preserve"> Ambiente y Recursos Naturales</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8</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6</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16</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7.7</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CONAGUA</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lastRenderedPageBreak/>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SEMARNAT</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18 </w:t>
            </w:r>
            <w:proofErr w:type="gramStart"/>
            <w:r w:rsidRPr="00691AC1">
              <w:rPr>
                <w:rFonts w:ascii="Montserrat" w:eastAsia="Times New Roman" w:hAnsi="Montserrat" w:cs="Calibri"/>
                <w:b/>
                <w:bCs/>
                <w:color w:val="000000"/>
                <w:sz w:val="12"/>
                <w:szCs w:val="12"/>
                <w:lang w:val="es-MX" w:eastAsia="es-MX"/>
              </w:rPr>
              <w:t>Energía</w:t>
            </w:r>
            <w:proofErr w:type="gramEnd"/>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2.4</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CONUUE</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19 </w:t>
            </w:r>
            <w:proofErr w:type="gramStart"/>
            <w:r w:rsidRPr="00691AC1">
              <w:rPr>
                <w:rFonts w:ascii="Montserrat" w:eastAsia="Times New Roman" w:hAnsi="Montserrat" w:cs="Calibri"/>
                <w:b/>
                <w:bCs/>
                <w:color w:val="000000"/>
                <w:sz w:val="12"/>
                <w:szCs w:val="12"/>
                <w:lang w:val="es-MX" w:eastAsia="es-MX"/>
              </w:rPr>
              <w:t>Aportaciones</w:t>
            </w:r>
            <w:proofErr w:type="gramEnd"/>
            <w:r w:rsidRPr="00691AC1">
              <w:rPr>
                <w:rFonts w:ascii="Montserrat" w:eastAsia="Times New Roman" w:hAnsi="Montserrat" w:cs="Calibri"/>
                <w:b/>
                <w:bCs/>
                <w:color w:val="000000"/>
                <w:sz w:val="12"/>
                <w:szCs w:val="12"/>
                <w:lang w:val="es-MX" w:eastAsia="es-MX"/>
              </w:rPr>
              <w:t xml:space="preserve"> a Seguridad Social</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0.5</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IMSS</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20 </w:t>
            </w:r>
            <w:proofErr w:type="gramStart"/>
            <w:r w:rsidRPr="00691AC1">
              <w:rPr>
                <w:rFonts w:ascii="Montserrat" w:eastAsia="Times New Roman" w:hAnsi="Montserrat" w:cs="Calibri"/>
                <w:b/>
                <w:bCs/>
                <w:color w:val="000000"/>
                <w:sz w:val="12"/>
                <w:szCs w:val="12"/>
                <w:lang w:val="es-MX" w:eastAsia="es-MX"/>
              </w:rPr>
              <w:t>Bienestar</w:t>
            </w:r>
            <w:proofErr w:type="gramEnd"/>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6</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6</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2.9</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BIENESTAR</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21 </w:t>
            </w:r>
            <w:proofErr w:type="gramStart"/>
            <w:r w:rsidRPr="00691AC1">
              <w:rPr>
                <w:rFonts w:ascii="Montserrat" w:eastAsia="Times New Roman" w:hAnsi="Montserrat" w:cs="Calibri"/>
                <w:b/>
                <w:bCs/>
                <w:color w:val="000000"/>
                <w:sz w:val="12"/>
                <w:szCs w:val="12"/>
                <w:lang w:val="es-MX" w:eastAsia="es-MX"/>
              </w:rPr>
              <w:t>Turismo</w:t>
            </w:r>
            <w:proofErr w:type="gramEnd"/>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20</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20</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9.7</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ANGELES VERDES</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FONATUR</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SECTUR</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23 </w:t>
            </w:r>
            <w:proofErr w:type="gramStart"/>
            <w:r w:rsidRPr="00691AC1">
              <w:rPr>
                <w:rFonts w:ascii="Montserrat" w:eastAsia="Times New Roman" w:hAnsi="Montserrat" w:cs="Calibri"/>
                <w:b/>
                <w:bCs/>
                <w:color w:val="000000"/>
                <w:sz w:val="12"/>
                <w:szCs w:val="12"/>
                <w:lang w:val="es-MX" w:eastAsia="es-MX"/>
              </w:rPr>
              <w:t>Provisiones</w:t>
            </w:r>
            <w:proofErr w:type="gramEnd"/>
            <w:r w:rsidRPr="00691AC1">
              <w:rPr>
                <w:rFonts w:ascii="Montserrat" w:eastAsia="Times New Roman" w:hAnsi="Montserrat" w:cs="Calibri"/>
                <w:b/>
                <w:bCs/>
                <w:color w:val="000000"/>
                <w:sz w:val="12"/>
                <w:szCs w:val="12"/>
                <w:lang w:val="es-MX" w:eastAsia="es-MX"/>
              </w:rPr>
              <w:t xml:space="preserve"> Salariales y Económicas</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1.4</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SHCP</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27 </w:t>
            </w:r>
            <w:proofErr w:type="gramStart"/>
            <w:r w:rsidRPr="00691AC1">
              <w:rPr>
                <w:rFonts w:ascii="Montserrat" w:eastAsia="Times New Roman" w:hAnsi="Montserrat" w:cs="Calibri"/>
                <w:b/>
                <w:bCs/>
                <w:color w:val="000000"/>
                <w:sz w:val="12"/>
                <w:szCs w:val="12"/>
                <w:lang w:val="es-MX" w:eastAsia="es-MX"/>
              </w:rPr>
              <w:t>Función</w:t>
            </w:r>
            <w:proofErr w:type="gramEnd"/>
            <w:r w:rsidRPr="00691AC1">
              <w:rPr>
                <w:rFonts w:ascii="Montserrat" w:eastAsia="Times New Roman" w:hAnsi="Montserrat" w:cs="Calibri"/>
                <w:b/>
                <w:bCs/>
                <w:color w:val="000000"/>
                <w:sz w:val="12"/>
                <w:szCs w:val="12"/>
                <w:lang w:val="es-MX" w:eastAsia="es-MX"/>
              </w:rPr>
              <w:t xml:space="preserve"> Pública</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SFP</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47 </w:t>
            </w:r>
            <w:proofErr w:type="gramStart"/>
            <w:r w:rsidRPr="00691AC1">
              <w:rPr>
                <w:rFonts w:ascii="Montserrat" w:eastAsia="Times New Roman" w:hAnsi="Montserrat" w:cs="Calibri"/>
                <w:b/>
                <w:bCs/>
                <w:color w:val="000000"/>
                <w:sz w:val="12"/>
                <w:szCs w:val="12"/>
                <w:lang w:val="es-MX" w:eastAsia="es-MX"/>
              </w:rPr>
              <w:t>Entidades</w:t>
            </w:r>
            <w:proofErr w:type="gramEnd"/>
            <w:r w:rsidRPr="00691AC1">
              <w:rPr>
                <w:rFonts w:ascii="Montserrat" w:eastAsia="Times New Roman" w:hAnsi="Montserrat" w:cs="Calibri"/>
                <w:b/>
                <w:bCs/>
                <w:color w:val="000000"/>
                <w:sz w:val="12"/>
                <w:szCs w:val="12"/>
                <w:lang w:val="es-MX" w:eastAsia="es-MX"/>
              </w:rPr>
              <w:t xml:space="preserve"> no Sectorizadas</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14</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6.8</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CEAV</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AGN</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INMUJERES</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48 </w:t>
            </w:r>
            <w:proofErr w:type="gramStart"/>
            <w:r w:rsidRPr="00691AC1">
              <w:rPr>
                <w:rFonts w:ascii="Montserrat" w:eastAsia="Times New Roman" w:hAnsi="Montserrat" w:cs="Calibri"/>
                <w:b/>
                <w:bCs/>
                <w:color w:val="000000"/>
                <w:sz w:val="12"/>
                <w:szCs w:val="12"/>
                <w:lang w:val="es-MX" w:eastAsia="es-MX"/>
              </w:rPr>
              <w:t>Cultura</w:t>
            </w:r>
            <w:proofErr w:type="gramEnd"/>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INALI</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51 </w:t>
            </w:r>
            <w:proofErr w:type="gramStart"/>
            <w:r w:rsidRPr="00691AC1">
              <w:rPr>
                <w:rFonts w:ascii="Montserrat" w:eastAsia="Times New Roman" w:hAnsi="Montserrat" w:cs="Calibri"/>
                <w:b/>
                <w:bCs/>
                <w:color w:val="000000"/>
                <w:sz w:val="12"/>
                <w:szCs w:val="12"/>
                <w:lang w:val="es-MX" w:eastAsia="es-MX"/>
              </w:rPr>
              <w:t>Instituto</w:t>
            </w:r>
            <w:proofErr w:type="gramEnd"/>
            <w:r w:rsidRPr="00691AC1">
              <w:rPr>
                <w:rFonts w:ascii="Montserrat" w:eastAsia="Times New Roman" w:hAnsi="Montserrat" w:cs="Calibri"/>
                <w:b/>
                <w:bCs/>
                <w:color w:val="000000"/>
                <w:sz w:val="12"/>
                <w:szCs w:val="12"/>
                <w:lang w:val="es-MX" w:eastAsia="es-MX"/>
              </w:rPr>
              <w:t xml:space="preserve"> de Seguridad y Servicios Sociales de los Trabajadores del Estado</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8</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3.9</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ISSSTE</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F173CC" w:rsidRPr="00F173CC" w:rsidTr="00652A87">
        <w:trPr>
          <w:trHeight w:val="300"/>
        </w:trPr>
        <w:tc>
          <w:tcPr>
            <w:tcW w:w="3138"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52 </w:t>
            </w:r>
            <w:proofErr w:type="gramStart"/>
            <w:r w:rsidRPr="00691AC1">
              <w:rPr>
                <w:rFonts w:ascii="Montserrat" w:eastAsia="Times New Roman" w:hAnsi="Montserrat" w:cs="Calibri"/>
                <w:b/>
                <w:bCs/>
                <w:color w:val="000000"/>
                <w:sz w:val="12"/>
                <w:szCs w:val="12"/>
                <w:lang w:val="es-MX" w:eastAsia="es-MX"/>
              </w:rPr>
              <w:t>Petróleos</w:t>
            </w:r>
            <w:proofErr w:type="gramEnd"/>
            <w:r w:rsidRPr="00691AC1">
              <w:rPr>
                <w:rFonts w:ascii="Montserrat" w:eastAsia="Times New Roman" w:hAnsi="Montserrat" w:cs="Calibri"/>
                <w:b/>
                <w:bCs/>
                <w:color w:val="000000"/>
                <w:sz w:val="12"/>
                <w:szCs w:val="12"/>
                <w:lang w:val="es-MX" w:eastAsia="es-MX"/>
              </w:rPr>
              <w:t xml:space="preserve"> Mexicanos</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27</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27</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13.0</w:t>
            </w:r>
          </w:p>
        </w:tc>
      </w:tr>
      <w:tr w:rsidR="001962CF" w:rsidRPr="00F173CC" w:rsidTr="001962CF">
        <w:trPr>
          <w:trHeight w:val="300"/>
        </w:trPr>
        <w:tc>
          <w:tcPr>
            <w:tcW w:w="156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57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PEMEX</w:t>
            </w:r>
          </w:p>
        </w:tc>
        <w:tc>
          <w:tcPr>
            <w:tcW w:w="11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1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right"/>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27</w:t>
            </w:r>
          </w:p>
        </w:tc>
        <w:tc>
          <w:tcPr>
            <w:tcW w:w="167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63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74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r>
      <w:tr w:rsidR="001962CF" w:rsidRPr="00F173CC" w:rsidTr="001962CF">
        <w:trPr>
          <w:trHeight w:val="315"/>
        </w:trPr>
        <w:tc>
          <w:tcPr>
            <w:tcW w:w="1565"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Total</w:t>
            </w:r>
          </w:p>
        </w:tc>
        <w:tc>
          <w:tcPr>
            <w:tcW w:w="1573"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137"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101</w:t>
            </w:r>
          </w:p>
        </w:tc>
        <w:tc>
          <w:tcPr>
            <w:tcW w:w="1136"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100</w:t>
            </w:r>
          </w:p>
        </w:tc>
        <w:tc>
          <w:tcPr>
            <w:tcW w:w="1672"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w:t>
            </w:r>
          </w:p>
        </w:tc>
        <w:tc>
          <w:tcPr>
            <w:tcW w:w="1637"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508"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207</w:t>
            </w:r>
          </w:p>
        </w:tc>
        <w:tc>
          <w:tcPr>
            <w:tcW w:w="744"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100</w:t>
            </w:r>
          </w:p>
        </w:tc>
      </w:tr>
      <w:tr w:rsidR="00F173CC" w:rsidRPr="00F173CC" w:rsidTr="00CA676E">
        <w:trPr>
          <w:trHeight w:val="300"/>
        </w:trPr>
        <w:tc>
          <w:tcPr>
            <w:tcW w:w="9972" w:type="dxa"/>
            <w:gridSpan w:val="8"/>
            <w:tcBorders>
              <w:top w:val="nil"/>
              <w:left w:val="nil"/>
              <w:bottom w:val="nil"/>
              <w:right w:val="nil"/>
            </w:tcBorders>
            <w:shd w:val="clear" w:color="auto" w:fill="auto"/>
            <w:noWrap/>
            <w:vAlign w:val="bottom"/>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b/>
                <w:bCs/>
                <w:color w:val="000000"/>
                <w:sz w:val="12"/>
                <w:szCs w:val="12"/>
                <w:lang w:val="es-MX" w:eastAsia="es-MX"/>
              </w:rPr>
              <w:t>Fuente:</w:t>
            </w:r>
            <w:r w:rsidRPr="00691AC1">
              <w:rPr>
                <w:rFonts w:ascii="Montserrat" w:eastAsia="Times New Roman" w:hAnsi="Montserrat" w:cs="Calibri"/>
                <w:color w:val="000000"/>
                <w:sz w:val="12"/>
                <w:szCs w:val="12"/>
                <w:lang w:val="es-MX" w:eastAsia="es-MX"/>
              </w:rPr>
              <w:t xml:space="preserve"> Unidad de Evaluación del Desempeño, con información proporcionada por las dependencias y entidades de la APF a la SHCP.</w:t>
            </w:r>
          </w:p>
        </w:tc>
      </w:tr>
    </w:tbl>
    <w:p w:rsidR="00F173CC" w:rsidRPr="00F173CC" w:rsidRDefault="00F173CC" w:rsidP="00F173CC">
      <w:pPr>
        <w:jc w:val="both"/>
        <w:rPr>
          <w:rFonts w:eastAsia="Times New Roman" w:cs="Arial"/>
          <w:szCs w:val="20"/>
          <w:lang w:val="es-MX"/>
        </w:rPr>
      </w:pP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 xml:space="preserve">Es importante destacar que la mayoría de los ASM se concentra en aspectos clasificados como específicos, </w:t>
      </w:r>
      <w:proofErr w:type="gramStart"/>
      <w:r w:rsidRPr="00F173CC">
        <w:rPr>
          <w:rFonts w:eastAsia="Times New Roman" w:cs="Arial"/>
          <w:szCs w:val="20"/>
          <w:lang w:val="es-ES"/>
        </w:rPr>
        <w:t>que</w:t>
      </w:r>
      <w:proofErr w:type="gramEnd"/>
      <w:r w:rsidRPr="00F173CC">
        <w:rPr>
          <w:rFonts w:eastAsia="Times New Roman" w:cs="Arial"/>
          <w:szCs w:val="20"/>
          <w:lang w:val="es-ES"/>
        </w:rPr>
        <w:t xml:space="preserve"> de acuerdo a lo establecido en el Mecanismo, son atendidos por la UR del Pp.</w:t>
      </w: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 xml:space="preserve">Durante el primer trimestre de 2019, 68 ASM (32.9%) han concluido su implementación, de los cuales 34 (50.0%) son del tipo específico, 32 (47.1%) son del tipo institucional y dos (2.9%) se identificaron del tipo interinstitucional. </w:t>
      </w: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Asimismo, 136 (65.7%) reportaron avances y continúan con el proceso de instrumentación y tres ASM (1.4%) fueron reportados como cancelados.</w:t>
      </w:r>
    </w:p>
    <w:p w:rsidR="00F173CC" w:rsidRPr="00F173CC" w:rsidRDefault="00F173CC" w:rsidP="00F173CC">
      <w:pPr>
        <w:jc w:val="both"/>
        <w:rPr>
          <w:rFonts w:eastAsia="Times New Roman" w:cs="Arial"/>
          <w:szCs w:val="20"/>
          <w:lang w:val="es-ES"/>
        </w:rPr>
      </w:pPr>
    </w:p>
    <w:p w:rsidR="00F173CC" w:rsidRPr="00F173CC" w:rsidRDefault="00F173CC" w:rsidP="00F173CC">
      <w:pPr>
        <w:spacing w:after="0"/>
        <w:jc w:val="center"/>
        <w:rPr>
          <w:rFonts w:eastAsia="Times New Roman" w:cs="Arial"/>
          <w:szCs w:val="20"/>
          <w:lang w:val="es-ES"/>
        </w:rPr>
      </w:pPr>
      <w:r w:rsidRPr="00F173CC">
        <w:rPr>
          <w:noProof/>
          <w:lang w:val="es-MX" w:eastAsia="es-MX"/>
        </w:rPr>
        <w:lastRenderedPageBreak/>
        <w:drawing>
          <wp:inline distT="0" distB="0" distL="0" distR="0" wp14:anchorId="54A52ACA" wp14:editId="5F675B27">
            <wp:extent cx="4572000" cy="2743200"/>
            <wp:effectExtent l="0" t="0" r="0" b="0"/>
            <wp:docPr id="15" name="Gráfico 15">
              <a:extLst xmlns:a="http://schemas.openxmlformats.org/drawingml/2006/main">
                <a:ext uri="{FF2B5EF4-FFF2-40B4-BE49-F238E27FC236}">
                  <a16:creationId xmlns:a16="http://schemas.microsoft.com/office/drawing/2014/main" id="{C9B226F4-BC21-4205-A2BE-0DFAFAF1A7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173CC" w:rsidRPr="00F173CC" w:rsidRDefault="00F173CC" w:rsidP="00F173CC">
      <w:pPr>
        <w:jc w:val="both"/>
        <w:rPr>
          <w:rFonts w:eastAsia="Times New Roman" w:cs="Arial"/>
          <w:szCs w:val="20"/>
          <w:lang w:val="es-ES"/>
        </w:rPr>
      </w:pPr>
    </w:p>
    <w:p w:rsidR="00F173CC" w:rsidRPr="00F173CC" w:rsidRDefault="00F173CC" w:rsidP="00F173CC">
      <w:pPr>
        <w:jc w:val="both"/>
        <w:rPr>
          <w:rFonts w:ascii="Cambria" w:hAnsi="Cambria"/>
          <w:sz w:val="20"/>
          <w:szCs w:val="20"/>
          <w:lang w:val="es-MX" w:eastAsia="es-MX"/>
        </w:rPr>
      </w:pPr>
      <w:r w:rsidRPr="00F173CC">
        <w:rPr>
          <w:rFonts w:eastAsia="Times New Roman" w:cs="Arial"/>
          <w:szCs w:val="20"/>
          <w:lang w:val="es-ES"/>
        </w:rPr>
        <w:t xml:space="preserve">De acuerdo al tipo de evaluación que dio origen a los ASM concluidos reportados en este trimestre, se identifican principalmente los siguientes tipos: Diseño con 27 (39.7%), Consistencia y Resultados con 24 (35.3%) y Procesos con 17 (25.0%) evaluaciones con ASM concluidos. </w:t>
      </w:r>
      <w:r w:rsidRPr="00F173CC">
        <w:rPr>
          <w:rFonts w:eastAsia="Times New Roman" w:cs="Arial"/>
          <w:szCs w:val="20"/>
          <w:lang w:val="es-ES"/>
        </w:rPr>
        <w:fldChar w:fldCharType="begin"/>
      </w:r>
      <w:r w:rsidRPr="00F173CC">
        <w:rPr>
          <w:rFonts w:eastAsia="Times New Roman" w:cs="Arial"/>
          <w:szCs w:val="20"/>
          <w:lang w:val="es-ES"/>
        </w:rPr>
        <w:instrText xml:space="preserve"> LINK Excel.Sheet.12 "C:\\Users\\monica_amezcua\\Documents\\2016\\ASM 3ER TRIM 2016\\Base de Datos ASM_3er trim 2016.xlsx" graficos!F3C16:F13C20 \a \f 4 \h  \* MERGEFORMAT </w:instrText>
      </w:r>
      <w:r w:rsidRPr="00F173CC">
        <w:rPr>
          <w:rFonts w:eastAsia="Times New Roman" w:cs="Arial"/>
          <w:szCs w:val="20"/>
          <w:lang w:val="es-ES"/>
        </w:rPr>
        <w:fldChar w:fldCharType="separate"/>
      </w: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fldChar w:fldCharType="end"/>
      </w:r>
    </w:p>
    <w:tbl>
      <w:tblPr>
        <w:tblW w:w="7200" w:type="dxa"/>
        <w:jc w:val="center"/>
        <w:tblCellMar>
          <w:left w:w="70" w:type="dxa"/>
          <w:right w:w="70" w:type="dxa"/>
        </w:tblCellMar>
        <w:tblLook w:val="04A0" w:firstRow="1" w:lastRow="0" w:firstColumn="1" w:lastColumn="0" w:noHBand="0" w:noVBand="1"/>
      </w:tblPr>
      <w:tblGrid>
        <w:gridCol w:w="2819"/>
        <w:gridCol w:w="964"/>
        <w:gridCol w:w="1222"/>
        <w:gridCol w:w="1408"/>
        <w:gridCol w:w="541"/>
        <w:gridCol w:w="846"/>
      </w:tblGrid>
      <w:tr w:rsidR="00F173CC" w:rsidRPr="00F173CC" w:rsidTr="005F0F2C">
        <w:trPr>
          <w:trHeight w:val="495"/>
          <w:jc w:val="center"/>
        </w:trPr>
        <w:tc>
          <w:tcPr>
            <w:tcW w:w="7200" w:type="dxa"/>
            <w:gridSpan w:val="6"/>
            <w:tcBorders>
              <w:top w:val="nil"/>
              <w:left w:val="nil"/>
              <w:right w:val="nil"/>
            </w:tcBorders>
            <w:shd w:val="clear" w:color="auto" w:fill="auto"/>
            <w:vAlign w:val="bottom"/>
            <w:hideMark/>
          </w:tcPr>
          <w:p w:rsidR="00F173CC" w:rsidRPr="00F173CC" w:rsidRDefault="00F173CC" w:rsidP="00691AC1">
            <w:pPr>
              <w:pStyle w:val="CABEZA"/>
            </w:pPr>
            <w:r w:rsidRPr="00F173CC">
              <w:t>Tabla 6. Cantidad de ASM concluidos por tipo de evaluación al primer trimestre de 2019</w:t>
            </w:r>
          </w:p>
        </w:tc>
      </w:tr>
      <w:tr w:rsidR="00F173CC" w:rsidRPr="00F173CC" w:rsidTr="005F0F2C">
        <w:trPr>
          <w:trHeight w:hRule="exact" w:val="57"/>
          <w:jc w:val="center"/>
        </w:trPr>
        <w:tc>
          <w:tcPr>
            <w:tcW w:w="2819"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826"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015"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153"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541"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846"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r>
      <w:tr w:rsidR="00F173CC" w:rsidRPr="00F173CC" w:rsidTr="005F0F2C">
        <w:trPr>
          <w:trHeight w:val="300"/>
          <w:jc w:val="center"/>
        </w:trPr>
        <w:tc>
          <w:tcPr>
            <w:tcW w:w="2819"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Tipo de evaluación (Fuente de información)</w:t>
            </w:r>
          </w:p>
        </w:tc>
        <w:tc>
          <w:tcPr>
            <w:tcW w:w="826"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Específicos</w:t>
            </w:r>
          </w:p>
        </w:tc>
        <w:tc>
          <w:tcPr>
            <w:tcW w:w="1015"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Institucionales</w:t>
            </w:r>
          </w:p>
        </w:tc>
        <w:tc>
          <w:tcPr>
            <w:tcW w:w="1153"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Interinstitucional</w:t>
            </w:r>
          </w:p>
        </w:tc>
        <w:tc>
          <w:tcPr>
            <w:tcW w:w="541"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Total</w:t>
            </w:r>
          </w:p>
        </w:tc>
        <w:tc>
          <w:tcPr>
            <w:tcW w:w="846"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 del Total</w:t>
            </w:r>
          </w:p>
        </w:tc>
      </w:tr>
      <w:tr w:rsidR="00F173CC" w:rsidRPr="00F173CC" w:rsidTr="005F0F2C">
        <w:trPr>
          <w:trHeight w:hRule="exact" w:val="57"/>
          <w:jc w:val="center"/>
        </w:trPr>
        <w:tc>
          <w:tcPr>
            <w:tcW w:w="2819"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826"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015"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153"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541"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846"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F173CC" w:rsidRPr="00F173CC" w:rsidTr="005F0F2C">
        <w:trPr>
          <w:trHeight w:hRule="exact" w:val="57"/>
          <w:jc w:val="center"/>
        </w:trPr>
        <w:tc>
          <w:tcPr>
            <w:tcW w:w="2819"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826"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015"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153"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541"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846"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F173CC" w:rsidRPr="00F173CC" w:rsidTr="00CA676E">
        <w:trPr>
          <w:trHeight w:val="300"/>
          <w:jc w:val="center"/>
        </w:trPr>
        <w:tc>
          <w:tcPr>
            <w:tcW w:w="2819"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Evaluación de Consistencia y Resultados</w:t>
            </w:r>
          </w:p>
        </w:tc>
        <w:tc>
          <w:tcPr>
            <w:tcW w:w="826"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w:t>
            </w:r>
          </w:p>
        </w:tc>
        <w:tc>
          <w:tcPr>
            <w:tcW w:w="1015"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18</w:t>
            </w:r>
          </w:p>
        </w:tc>
        <w:tc>
          <w:tcPr>
            <w:tcW w:w="1153"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41"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24</w:t>
            </w:r>
          </w:p>
        </w:tc>
        <w:tc>
          <w:tcPr>
            <w:tcW w:w="846"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35.3</w:t>
            </w:r>
          </w:p>
        </w:tc>
      </w:tr>
      <w:tr w:rsidR="00F173CC" w:rsidRPr="00F173CC" w:rsidTr="00CA676E">
        <w:trPr>
          <w:trHeight w:val="300"/>
          <w:jc w:val="center"/>
        </w:trPr>
        <w:tc>
          <w:tcPr>
            <w:tcW w:w="281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Evaluación de Diseño</w:t>
            </w:r>
          </w:p>
        </w:tc>
        <w:tc>
          <w:tcPr>
            <w:tcW w:w="82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16</w:t>
            </w:r>
          </w:p>
        </w:tc>
        <w:tc>
          <w:tcPr>
            <w:tcW w:w="101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w:t>
            </w:r>
          </w:p>
        </w:tc>
        <w:tc>
          <w:tcPr>
            <w:tcW w:w="115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541"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27</w:t>
            </w:r>
          </w:p>
        </w:tc>
        <w:tc>
          <w:tcPr>
            <w:tcW w:w="8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39.7</w:t>
            </w:r>
          </w:p>
        </w:tc>
      </w:tr>
      <w:tr w:rsidR="00F173CC" w:rsidRPr="00F173CC" w:rsidTr="00CA676E">
        <w:trPr>
          <w:trHeight w:val="300"/>
          <w:jc w:val="center"/>
        </w:trPr>
        <w:tc>
          <w:tcPr>
            <w:tcW w:w="281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Evaluación de Procesos</w:t>
            </w:r>
          </w:p>
        </w:tc>
        <w:tc>
          <w:tcPr>
            <w:tcW w:w="82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101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w:t>
            </w:r>
          </w:p>
        </w:tc>
        <w:tc>
          <w:tcPr>
            <w:tcW w:w="115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541"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17</w:t>
            </w:r>
          </w:p>
        </w:tc>
        <w:tc>
          <w:tcPr>
            <w:tcW w:w="8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25.0</w:t>
            </w:r>
          </w:p>
        </w:tc>
      </w:tr>
      <w:tr w:rsidR="00F173CC" w:rsidRPr="00F173CC" w:rsidTr="00CA676E">
        <w:trPr>
          <w:trHeight w:val="300"/>
          <w:jc w:val="center"/>
        </w:trPr>
        <w:tc>
          <w:tcPr>
            <w:tcW w:w="281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Total</w:t>
            </w:r>
          </w:p>
        </w:tc>
        <w:tc>
          <w:tcPr>
            <w:tcW w:w="82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34</w:t>
            </w:r>
          </w:p>
        </w:tc>
        <w:tc>
          <w:tcPr>
            <w:tcW w:w="101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32</w:t>
            </w:r>
          </w:p>
        </w:tc>
        <w:tc>
          <w:tcPr>
            <w:tcW w:w="1153"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541"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68</w:t>
            </w:r>
          </w:p>
        </w:tc>
        <w:tc>
          <w:tcPr>
            <w:tcW w:w="8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100</w:t>
            </w:r>
          </w:p>
        </w:tc>
      </w:tr>
      <w:tr w:rsidR="00F173CC" w:rsidRPr="00F173CC" w:rsidTr="00CA676E">
        <w:trPr>
          <w:trHeight w:val="315"/>
          <w:jc w:val="center"/>
        </w:trPr>
        <w:tc>
          <w:tcPr>
            <w:tcW w:w="2819"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del Total</w:t>
            </w:r>
          </w:p>
        </w:tc>
        <w:tc>
          <w:tcPr>
            <w:tcW w:w="826"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50.0</w:t>
            </w:r>
          </w:p>
        </w:tc>
        <w:tc>
          <w:tcPr>
            <w:tcW w:w="1015"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47.1</w:t>
            </w:r>
          </w:p>
        </w:tc>
        <w:tc>
          <w:tcPr>
            <w:tcW w:w="1153"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2.9</w:t>
            </w:r>
          </w:p>
        </w:tc>
        <w:tc>
          <w:tcPr>
            <w:tcW w:w="541"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100</w:t>
            </w:r>
          </w:p>
        </w:tc>
        <w:tc>
          <w:tcPr>
            <w:tcW w:w="846"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r>
      <w:tr w:rsidR="00F173CC" w:rsidRPr="00F173CC" w:rsidTr="00CA676E">
        <w:trPr>
          <w:trHeight w:val="375"/>
          <w:jc w:val="center"/>
        </w:trPr>
        <w:tc>
          <w:tcPr>
            <w:tcW w:w="7200" w:type="dxa"/>
            <w:gridSpan w:val="6"/>
            <w:tcBorders>
              <w:top w:val="nil"/>
              <w:left w:val="nil"/>
              <w:bottom w:val="nil"/>
              <w:right w:val="nil"/>
            </w:tcBorders>
            <w:shd w:val="clear" w:color="auto" w:fill="auto"/>
            <w:vAlign w:val="bottom"/>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Fuente: </w:t>
            </w:r>
            <w:r w:rsidRPr="00691AC1">
              <w:rPr>
                <w:rFonts w:ascii="Montserrat" w:eastAsia="Times New Roman" w:hAnsi="Montserrat" w:cs="Calibri"/>
                <w:color w:val="000000"/>
                <w:sz w:val="12"/>
                <w:szCs w:val="12"/>
                <w:lang w:val="es-MX" w:eastAsia="es-MX"/>
              </w:rPr>
              <w:t>Unidad de Evaluación del Desempeño, con Información proporcionada por las dependencias y entidades de la APF a la SHCP.</w:t>
            </w:r>
          </w:p>
        </w:tc>
      </w:tr>
    </w:tbl>
    <w:p w:rsidR="00F173CC" w:rsidRPr="00F173CC" w:rsidRDefault="00F173CC" w:rsidP="00F173CC">
      <w:pPr>
        <w:jc w:val="both"/>
        <w:rPr>
          <w:rFonts w:eastAsia="Times New Roman" w:cs="Arial"/>
          <w:szCs w:val="20"/>
          <w:lang w:val="es-ES"/>
        </w:rPr>
      </w:pP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 xml:space="preserve">De los 68 ASM reportados como concluidos al primer trimestre de 2019, las dependencias y entidades que destacan son las siguientes: FONATUR con 11 (16.2%); SEGOB con 10 (14.7%) y SEP con 8 (11.8%). </w:t>
      </w:r>
    </w:p>
    <w:p w:rsidR="00F173CC" w:rsidRPr="00F173CC" w:rsidRDefault="00F173CC" w:rsidP="00F173CC">
      <w:pPr>
        <w:spacing w:before="20" w:after="0"/>
        <w:jc w:val="center"/>
        <w:rPr>
          <w:rFonts w:eastAsia="Calibri" w:cstheme="minorBidi"/>
          <w:b/>
          <w:sz w:val="12"/>
          <w:szCs w:val="22"/>
          <w:lang w:val="es-MX" w:eastAsia="en-US"/>
        </w:rPr>
      </w:pPr>
    </w:p>
    <w:p w:rsidR="00F173CC" w:rsidRPr="00F173CC" w:rsidRDefault="00F173CC" w:rsidP="00F173CC">
      <w:pPr>
        <w:jc w:val="center"/>
        <w:rPr>
          <w:rFonts w:eastAsia="Times New Roman" w:cs="Arial"/>
          <w:szCs w:val="20"/>
          <w:lang w:val="es-ES"/>
        </w:rPr>
      </w:pPr>
      <w:r w:rsidRPr="00F173CC">
        <w:rPr>
          <w:noProof/>
          <w:lang w:val="es-MX" w:eastAsia="es-MX"/>
        </w:rPr>
        <w:lastRenderedPageBreak/>
        <w:drawing>
          <wp:inline distT="0" distB="0" distL="0" distR="0" wp14:anchorId="1B20C3DB" wp14:editId="5306767C">
            <wp:extent cx="4572000" cy="5859475"/>
            <wp:effectExtent l="0" t="0" r="0" b="8255"/>
            <wp:docPr id="16" name="Gráfico 16">
              <a:extLst xmlns:a="http://schemas.openxmlformats.org/drawingml/2006/main">
                <a:ext uri="{FF2B5EF4-FFF2-40B4-BE49-F238E27FC236}">
                  <a16:creationId xmlns:a16="http://schemas.microsoft.com/office/drawing/2014/main" id="{A98E753A-BC4F-43C3-A3BF-095B14A337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173CC" w:rsidRPr="00F173CC" w:rsidRDefault="00F173CC" w:rsidP="00F173CC">
      <w:pPr>
        <w:jc w:val="both"/>
        <w:rPr>
          <w:rFonts w:eastAsia="Times New Roman" w:cs="Arial"/>
          <w:szCs w:val="20"/>
          <w:lang w:val="es-ES"/>
        </w:rPr>
      </w:pPr>
    </w:p>
    <w:p w:rsidR="00F173CC" w:rsidRPr="00F173CC" w:rsidRDefault="00F173CC" w:rsidP="00F173CC">
      <w:pPr>
        <w:jc w:val="both"/>
        <w:rPr>
          <w:rFonts w:eastAsia="Times New Roman" w:cs="Arial"/>
          <w:szCs w:val="20"/>
          <w:lang w:val="es-ES"/>
        </w:rPr>
      </w:pPr>
      <w:r w:rsidRPr="00F173CC">
        <w:rPr>
          <w:rFonts w:eastAsia="Times New Roman" w:cs="Arial"/>
          <w:szCs w:val="20"/>
          <w:lang w:val="es-MX"/>
        </w:rPr>
        <w:t>Los</w:t>
      </w:r>
      <w:r w:rsidRPr="00F173CC">
        <w:rPr>
          <w:rFonts w:eastAsia="Times New Roman" w:cs="Arial"/>
          <w:szCs w:val="20"/>
          <w:lang w:val="es-ES"/>
        </w:rPr>
        <w:t xml:space="preserve"> cuatro principales temas sobre los cuales se han instrumentado los ASM concluidos fueron: Diseño con 23 (33.8%); Operación con 11 ASM (16.2%); Planeación con cuatro ASM (5.9%)</w:t>
      </w:r>
      <w:r w:rsidR="001962CF">
        <w:rPr>
          <w:rFonts w:eastAsia="Times New Roman" w:cs="Arial"/>
          <w:szCs w:val="20"/>
          <w:lang w:val="es-ES"/>
        </w:rPr>
        <w:t>,</w:t>
      </w:r>
      <w:r w:rsidRPr="00F173CC">
        <w:rPr>
          <w:rFonts w:eastAsia="Times New Roman" w:cs="Arial"/>
          <w:szCs w:val="20"/>
          <w:lang w:val="es-ES"/>
        </w:rPr>
        <w:t xml:space="preserve"> y Cobertura y </w:t>
      </w:r>
      <w:r w:rsidR="001962CF">
        <w:rPr>
          <w:rFonts w:eastAsia="Times New Roman" w:cs="Arial"/>
          <w:szCs w:val="20"/>
          <w:lang w:val="es-ES"/>
        </w:rPr>
        <w:t>R</w:t>
      </w:r>
      <w:r w:rsidRPr="00F173CC">
        <w:rPr>
          <w:rFonts w:eastAsia="Times New Roman" w:cs="Arial"/>
          <w:szCs w:val="20"/>
          <w:lang w:val="es-ES"/>
        </w:rPr>
        <w:t xml:space="preserve">esultados con tres (4.4%), respectivamente. Cabe mencionar que algunos ASM abordan distintas temáticas, en este caso son 18 (26.5%) que tienen más de un tema. De igual forma, respecto del nivel de prioridad, de los 68 ASM concluidos, 22 (32.4%) son de prioridad Alta; 34 (50.0%) son de Media; y 12 (17.6%) son de prioridad Baja. </w:t>
      </w:r>
    </w:p>
    <w:p w:rsidR="00F173CC" w:rsidRPr="00F173CC" w:rsidRDefault="00F173CC" w:rsidP="00F173CC">
      <w:pPr>
        <w:jc w:val="both"/>
        <w:rPr>
          <w:rFonts w:eastAsia="Times New Roman" w:cs="Arial"/>
          <w:szCs w:val="20"/>
          <w:lang w:val="es-ES"/>
        </w:rPr>
      </w:pPr>
    </w:p>
    <w:p w:rsidR="00F173CC" w:rsidRPr="00F173CC" w:rsidRDefault="00F173CC" w:rsidP="00F173CC">
      <w:pPr>
        <w:jc w:val="both"/>
        <w:rPr>
          <w:rFonts w:eastAsia="Times New Roman" w:cs="Arial"/>
          <w:szCs w:val="20"/>
          <w:lang w:val="es-ES"/>
        </w:rPr>
      </w:pPr>
    </w:p>
    <w:p w:rsidR="00F173CC" w:rsidRPr="00F173CC" w:rsidRDefault="00F173CC" w:rsidP="00F173CC">
      <w:pPr>
        <w:jc w:val="both"/>
        <w:rPr>
          <w:rFonts w:eastAsia="Times New Roman" w:cs="Arial"/>
          <w:szCs w:val="20"/>
          <w:lang w:val="es-ES"/>
        </w:rPr>
      </w:pPr>
    </w:p>
    <w:tbl>
      <w:tblPr>
        <w:tblW w:w="72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F173CC" w:rsidRPr="00F173CC" w:rsidTr="005F0F2C">
        <w:trPr>
          <w:trHeight w:val="450"/>
          <w:jc w:val="center"/>
        </w:trPr>
        <w:tc>
          <w:tcPr>
            <w:tcW w:w="7200" w:type="dxa"/>
            <w:gridSpan w:val="6"/>
            <w:tcBorders>
              <w:top w:val="nil"/>
              <w:left w:val="nil"/>
              <w:right w:val="nil"/>
            </w:tcBorders>
            <w:shd w:val="clear" w:color="auto" w:fill="auto"/>
            <w:vAlign w:val="bottom"/>
            <w:hideMark/>
          </w:tcPr>
          <w:p w:rsidR="00F173CC" w:rsidRPr="00F173CC" w:rsidRDefault="00F173CC" w:rsidP="00691AC1">
            <w:pPr>
              <w:pStyle w:val="CABEZA"/>
            </w:pPr>
            <w:r w:rsidRPr="00F173CC">
              <w:lastRenderedPageBreak/>
              <w:t>Tabla 7.  Temas a los que van dirigidos los ASM concluidos al primer trimestre de 2019</w:t>
            </w:r>
          </w:p>
        </w:tc>
      </w:tr>
      <w:tr w:rsidR="00F173CC" w:rsidRPr="00F173CC" w:rsidTr="005F0F2C">
        <w:trPr>
          <w:trHeight w:hRule="exact" w:val="57"/>
          <w:jc w:val="center"/>
        </w:trPr>
        <w:tc>
          <w:tcPr>
            <w:tcW w:w="1200"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200"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200"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200"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200"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200"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r>
      <w:tr w:rsidR="00F173CC" w:rsidRPr="00F173CC" w:rsidTr="005F0F2C">
        <w:trPr>
          <w:trHeight w:val="300"/>
          <w:jc w:val="center"/>
        </w:trPr>
        <w:tc>
          <w:tcPr>
            <w:tcW w:w="1200"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Tema</w:t>
            </w:r>
          </w:p>
        </w:tc>
        <w:tc>
          <w:tcPr>
            <w:tcW w:w="1200"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Baja</w:t>
            </w:r>
          </w:p>
        </w:tc>
        <w:tc>
          <w:tcPr>
            <w:tcW w:w="1200"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Media</w:t>
            </w:r>
          </w:p>
        </w:tc>
        <w:tc>
          <w:tcPr>
            <w:tcW w:w="1200"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Alta</w:t>
            </w:r>
          </w:p>
        </w:tc>
        <w:tc>
          <w:tcPr>
            <w:tcW w:w="1200"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Total</w:t>
            </w:r>
          </w:p>
        </w:tc>
        <w:tc>
          <w:tcPr>
            <w:tcW w:w="1200"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 del Total</w:t>
            </w:r>
          </w:p>
        </w:tc>
      </w:tr>
      <w:tr w:rsidR="00F173CC" w:rsidRPr="00F173CC" w:rsidTr="005F0F2C">
        <w:trPr>
          <w:trHeight w:hRule="exact" w:val="57"/>
          <w:jc w:val="center"/>
        </w:trPr>
        <w:tc>
          <w:tcPr>
            <w:tcW w:w="1200"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F173CC" w:rsidRPr="00F173CC" w:rsidTr="005F0F2C">
        <w:trPr>
          <w:trHeight w:hRule="exact" w:val="57"/>
          <w:jc w:val="center"/>
        </w:trPr>
        <w:tc>
          <w:tcPr>
            <w:tcW w:w="1200"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F173CC" w:rsidRPr="00F173CC" w:rsidTr="00CA676E">
        <w:trPr>
          <w:trHeight w:val="300"/>
          <w:jc w:val="center"/>
        </w:trPr>
        <w:tc>
          <w:tcPr>
            <w:tcW w:w="1200"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Cobertura</w:t>
            </w:r>
          </w:p>
        </w:tc>
        <w:tc>
          <w:tcPr>
            <w:tcW w:w="1200"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200"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200"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200"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200"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4.4</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Diseño</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8</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9</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23</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33.8</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Evaluación</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2.9</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Indicadores</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2.9</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Operación</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8</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11</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16.2</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Otros</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2.9</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Planeación</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5.9</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Resultado</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4.4</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Más de un Tema</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10</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7</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18</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26.5</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Total</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12</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34</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22</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68</w:t>
            </w:r>
          </w:p>
        </w:tc>
        <w:tc>
          <w:tcPr>
            <w:tcW w:w="12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100</w:t>
            </w:r>
          </w:p>
        </w:tc>
      </w:tr>
      <w:tr w:rsidR="00F173CC" w:rsidRPr="00F173CC" w:rsidTr="00CA676E">
        <w:trPr>
          <w:trHeight w:val="315"/>
          <w:jc w:val="center"/>
        </w:trPr>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del Total</w:t>
            </w:r>
          </w:p>
        </w:tc>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17.6</w:t>
            </w:r>
          </w:p>
        </w:tc>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50.0</w:t>
            </w:r>
          </w:p>
        </w:tc>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32.4</w:t>
            </w:r>
          </w:p>
        </w:tc>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100</w:t>
            </w:r>
          </w:p>
        </w:tc>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r>
      <w:tr w:rsidR="00F173CC" w:rsidRPr="00F173CC" w:rsidTr="00CA676E">
        <w:trPr>
          <w:trHeight w:val="420"/>
          <w:jc w:val="center"/>
        </w:trPr>
        <w:tc>
          <w:tcPr>
            <w:tcW w:w="7200" w:type="dxa"/>
            <w:gridSpan w:val="6"/>
            <w:tcBorders>
              <w:top w:val="nil"/>
              <w:left w:val="nil"/>
              <w:bottom w:val="nil"/>
              <w:right w:val="nil"/>
            </w:tcBorders>
            <w:shd w:val="clear" w:color="auto" w:fill="auto"/>
            <w:vAlign w:val="bottom"/>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Fuente:</w:t>
            </w:r>
            <w:r w:rsidRPr="00691AC1">
              <w:rPr>
                <w:rFonts w:ascii="Montserrat" w:eastAsia="Times New Roman" w:hAnsi="Montserrat" w:cs="Calibri"/>
                <w:color w:val="000000"/>
                <w:sz w:val="12"/>
                <w:szCs w:val="12"/>
                <w:lang w:val="es-MX" w:eastAsia="es-MX"/>
              </w:rPr>
              <w:t xml:space="preserve"> Unidad de Evaluación del Desempeño, con Información proporcionada por las dependencias y entidades de la APF a la SHCP.</w:t>
            </w:r>
          </w:p>
        </w:tc>
      </w:tr>
    </w:tbl>
    <w:p w:rsidR="00F173CC" w:rsidRPr="00F173CC" w:rsidRDefault="00F173CC" w:rsidP="00F173CC">
      <w:pPr>
        <w:jc w:val="both"/>
        <w:rPr>
          <w:rFonts w:eastAsia="Times New Roman" w:cs="Arial"/>
          <w:b/>
          <w:szCs w:val="20"/>
          <w:lang w:val="es-MX"/>
        </w:rPr>
      </w:pPr>
    </w:p>
    <w:p w:rsidR="00F173CC" w:rsidRPr="00F173CC" w:rsidRDefault="00F173CC" w:rsidP="00F173CC">
      <w:pPr>
        <w:jc w:val="both"/>
        <w:rPr>
          <w:rFonts w:eastAsia="Times New Roman" w:cs="Arial"/>
          <w:b/>
          <w:szCs w:val="20"/>
          <w:lang w:val="es-ES"/>
        </w:rPr>
      </w:pPr>
      <w:r w:rsidRPr="00F173CC">
        <w:rPr>
          <w:rFonts w:eastAsia="Times New Roman" w:cs="Arial"/>
          <w:b/>
          <w:szCs w:val="20"/>
          <w:lang w:val="es-ES"/>
        </w:rPr>
        <w:t>ASM derivados de las evaluaciones externas coordinadas por el CONEVAL</w:t>
      </w:r>
    </w:p>
    <w:p w:rsidR="00F173CC" w:rsidRPr="00F173CC" w:rsidRDefault="00F173CC" w:rsidP="00F173CC">
      <w:pPr>
        <w:tabs>
          <w:tab w:val="left" w:pos="8647"/>
        </w:tabs>
        <w:jc w:val="both"/>
        <w:rPr>
          <w:rFonts w:eastAsia="Times New Roman" w:cs="Arial"/>
          <w:bCs/>
          <w:iCs/>
          <w:szCs w:val="20"/>
          <w:lang w:val="es-ES" w:eastAsia="en-US"/>
        </w:rPr>
      </w:pPr>
      <w:r w:rsidRPr="00F173CC">
        <w:rPr>
          <w:rFonts w:eastAsia="Times New Roman" w:cs="Soberana Sans"/>
          <w:color w:val="000000"/>
          <w:szCs w:val="20"/>
          <w:lang w:val="es-ES" w:eastAsia="es-MX"/>
        </w:rPr>
        <w:t xml:space="preserve">Al primer trimestre de 2019, </w:t>
      </w:r>
      <w:r w:rsidRPr="00F173CC">
        <w:rPr>
          <w:rFonts w:eastAsia="Times New Roman" w:cs="Arial"/>
          <w:szCs w:val="20"/>
          <w:lang w:val="es-ES"/>
        </w:rPr>
        <w:t xml:space="preserve">las dependencias y entidades con evaluaciones externas concluidas y coordinadas por el CONEVAL que corresponden al PAE 2018 y anteriores, </w:t>
      </w:r>
      <w:r w:rsidRPr="00F173CC">
        <w:rPr>
          <w:rFonts w:eastAsia="Times New Roman" w:cs="Arial"/>
          <w:bCs/>
          <w:iCs/>
          <w:szCs w:val="20"/>
          <w:lang w:val="es-ES" w:eastAsia="en-US"/>
        </w:rPr>
        <w:t>instrumentaron acciones en un total de 247 ASM.</w:t>
      </w:r>
    </w:p>
    <w:p w:rsidR="00F173CC" w:rsidRPr="00F173CC" w:rsidRDefault="00F173CC" w:rsidP="00F173CC">
      <w:pPr>
        <w:jc w:val="both"/>
        <w:rPr>
          <w:rFonts w:eastAsia="Times New Roman" w:cs="Arial"/>
          <w:szCs w:val="20"/>
          <w:lang w:val="es-ES"/>
        </w:rPr>
      </w:pPr>
      <w:r w:rsidRPr="00F173CC">
        <w:rPr>
          <w:rFonts w:eastAsia="Times New Roman" w:cs="Arial"/>
          <w:bCs/>
          <w:iCs/>
          <w:szCs w:val="20"/>
          <w:lang w:val="es-ES" w:eastAsia="en-US"/>
        </w:rPr>
        <w:t>Los 247 ASM corresponden a 86 programas de 27 dependencias y entidades, y de conformidad con el actor involucrado en su solución, se distribuyen de la siguiente manera</w:t>
      </w:r>
      <w:r w:rsidRPr="00F173CC">
        <w:rPr>
          <w:rFonts w:eastAsia="Times New Roman" w:cs="Arial"/>
          <w:szCs w:val="20"/>
          <w:lang w:val="es-ES"/>
        </w:rPr>
        <w:t>: 153</w:t>
      </w:r>
      <w:r w:rsidRPr="00F173CC">
        <w:rPr>
          <w:rFonts w:eastAsia="Times New Roman" w:cs="Calibri"/>
          <w:szCs w:val="20"/>
          <w:lang w:val="es-ES"/>
        </w:rPr>
        <w:t xml:space="preserve"> (62.0%) son del tipo específico, 88 (35.6%) corresponden al tipo institucional,</w:t>
      </w:r>
      <w:r w:rsidRPr="00F173CC">
        <w:rPr>
          <w:rFonts w:eastAsia="Times New Roman" w:cs="Arial"/>
          <w:szCs w:val="20"/>
          <w:lang w:val="es-ES"/>
        </w:rPr>
        <w:t xml:space="preserve"> </w:t>
      </w:r>
      <w:r w:rsidRPr="00F173CC">
        <w:rPr>
          <w:rFonts w:eastAsia="Times New Roman" w:cs="Calibri"/>
          <w:szCs w:val="20"/>
          <w:lang w:val="es-ES"/>
        </w:rPr>
        <w:t>cinco (2.0%) son de carácter interinstitucional y uno (0.4%) corresponde al tipo intergubernamental.</w:t>
      </w: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 xml:space="preserve">Asimismo, de estos 247 ASM, los Ramos que destacan son los siguientes: Bienestar con 65 (26.3%); Educación Pública con 41 (16.6%) y Medio Ambiente y Recursos Naturales con 34 (13.8%). </w:t>
      </w:r>
    </w:p>
    <w:tbl>
      <w:tblPr>
        <w:tblW w:w="9972" w:type="dxa"/>
        <w:tblCellMar>
          <w:left w:w="70" w:type="dxa"/>
          <w:right w:w="70" w:type="dxa"/>
        </w:tblCellMar>
        <w:tblLook w:val="04A0" w:firstRow="1" w:lastRow="0" w:firstColumn="1" w:lastColumn="0" w:noHBand="0" w:noVBand="1"/>
      </w:tblPr>
      <w:tblGrid>
        <w:gridCol w:w="1569"/>
        <w:gridCol w:w="1400"/>
        <w:gridCol w:w="1294"/>
        <w:gridCol w:w="1286"/>
        <w:gridCol w:w="1422"/>
        <w:gridCol w:w="1746"/>
        <w:gridCol w:w="508"/>
        <w:gridCol w:w="747"/>
      </w:tblGrid>
      <w:tr w:rsidR="00F173CC" w:rsidRPr="00F173CC" w:rsidTr="005F0F2C">
        <w:trPr>
          <w:trHeight w:val="300"/>
          <w:tblHeader/>
        </w:trPr>
        <w:tc>
          <w:tcPr>
            <w:tcW w:w="9972" w:type="dxa"/>
            <w:gridSpan w:val="8"/>
            <w:tcBorders>
              <w:top w:val="nil"/>
              <w:left w:val="nil"/>
              <w:right w:val="nil"/>
            </w:tcBorders>
            <w:shd w:val="clear" w:color="auto" w:fill="auto"/>
            <w:vAlign w:val="bottom"/>
            <w:hideMark/>
          </w:tcPr>
          <w:p w:rsidR="00F173CC" w:rsidRPr="00F173CC" w:rsidRDefault="00F173CC" w:rsidP="00691AC1">
            <w:pPr>
              <w:pStyle w:val="CABEZA"/>
            </w:pPr>
            <w:r w:rsidRPr="00F173CC">
              <w:t>Tabla 8. Tipo de ASM por Ramo y por dependencia o entidad al 31 marzo de 2019</w:t>
            </w:r>
          </w:p>
        </w:tc>
      </w:tr>
      <w:tr w:rsidR="009E03CA" w:rsidRPr="00F173CC" w:rsidTr="009E03CA">
        <w:trPr>
          <w:trHeight w:hRule="exact" w:val="57"/>
          <w:tblHeader/>
        </w:trPr>
        <w:tc>
          <w:tcPr>
            <w:tcW w:w="1569"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1400"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1294"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1286"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1422"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1746"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508"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c>
          <w:tcPr>
            <w:tcW w:w="747"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8"/>
                <w:szCs w:val="18"/>
                <w:lang w:val="es-MX" w:eastAsia="es-MX"/>
              </w:rPr>
            </w:pPr>
            <w:r w:rsidRPr="00F173CC">
              <w:rPr>
                <w:rFonts w:ascii="Monserrat" w:eastAsia="Times New Roman" w:hAnsi="Monserrat" w:cs="Calibri"/>
                <w:b/>
                <w:bCs/>
                <w:sz w:val="18"/>
                <w:szCs w:val="18"/>
                <w:lang w:val="es-MX" w:eastAsia="es-MX"/>
              </w:rPr>
              <w:t> </w:t>
            </w:r>
          </w:p>
        </w:tc>
      </w:tr>
      <w:tr w:rsidR="009E03CA" w:rsidRPr="00F173CC" w:rsidTr="009E03CA">
        <w:trPr>
          <w:trHeight w:val="300"/>
          <w:tblHeader/>
        </w:trPr>
        <w:tc>
          <w:tcPr>
            <w:tcW w:w="1569"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Ramo</w:t>
            </w:r>
          </w:p>
        </w:tc>
        <w:tc>
          <w:tcPr>
            <w:tcW w:w="1400"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Dependencia o Entidad</w:t>
            </w:r>
          </w:p>
        </w:tc>
        <w:tc>
          <w:tcPr>
            <w:tcW w:w="1294"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Específico</w:t>
            </w:r>
          </w:p>
        </w:tc>
        <w:tc>
          <w:tcPr>
            <w:tcW w:w="1286"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Institucional</w:t>
            </w:r>
          </w:p>
        </w:tc>
        <w:tc>
          <w:tcPr>
            <w:tcW w:w="1422"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Interinstitucional</w:t>
            </w:r>
          </w:p>
        </w:tc>
        <w:tc>
          <w:tcPr>
            <w:tcW w:w="1746"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Intergubernamental</w:t>
            </w:r>
          </w:p>
        </w:tc>
        <w:tc>
          <w:tcPr>
            <w:tcW w:w="508"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Total</w:t>
            </w:r>
          </w:p>
        </w:tc>
        <w:tc>
          <w:tcPr>
            <w:tcW w:w="747"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 del Total</w:t>
            </w:r>
          </w:p>
        </w:tc>
      </w:tr>
      <w:tr w:rsidR="009E03CA" w:rsidRPr="00F173CC" w:rsidTr="009E03CA">
        <w:trPr>
          <w:trHeight w:hRule="exact" w:val="57"/>
          <w:tblHeader/>
        </w:trPr>
        <w:tc>
          <w:tcPr>
            <w:tcW w:w="1569"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400"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94"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86"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422"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746"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508"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747"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9E03CA" w:rsidRPr="00F173CC" w:rsidTr="009E03CA">
        <w:trPr>
          <w:trHeight w:hRule="exact" w:val="57"/>
          <w:tblHeader/>
        </w:trPr>
        <w:tc>
          <w:tcPr>
            <w:tcW w:w="1569"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400"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94"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86"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422"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746"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508"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747"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F173CC" w:rsidRPr="00F173CC" w:rsidTr="00652A87">
        <w:trPr>
          <w:trHeight w:val="300"/>
        </w:trPr>
        <w:tc>
          <w:tcPr>
            <w:tcW w:w="2969" w:type="dxa"/>
            <w:gridSpan w:val="2"/>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06 </w:t>
            </w:r>
            <w:proofErr w:type="gramStart"/>
            <w:r w:rsidRPr="00691AC1">
              <w:rPr>
                <w:rFonts w:ascii="Montserrat" w:eastAsia="Times New Roman" w:hAnsi="Montserrat" w:cs="Calibri"/>
                <w:b/>
                <w:bCs/>
                <w:color w:val="000000"/>
                <w:sz w:val="12"/>
                <w:szCs w:val="12"/>
                <w:lang w:val="es-MX" w:eastAsia="es-MX"/>
              </w:rPr>
              <w:t>Hacienda</w:t>
            </w:r>
            <w:proofErr w:type="gramEnd"/>
            <w:r w:rsidRPr="00691AC1">
              <w:rPr>
                <w:rFonts w:ascii="Montserrat" w:eastAsia="Times New Roman" w:hAnsi="Montserrat" w:cs="Calibri"/>
                <w:b/>
                <w:bCs/>
                <w:color w:val="000000"/>
                <w:sz w:val="12"/>
                <w:szCs w:val="12"/>
                <w:lang w:val="es-MX" w:eastAsia="es-MX"/>
              </w:rPr>
              <w:t xml:space="preserve"> y Crédito Público</w:t>
            </w:r>
          </w:p>
        </w:tc>
        <w:tc>
          <w:tcPr>
            <w:tcW w:w="1294"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1286"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422"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746"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508"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747" w:type="dxa"/>
            <w:tcBorders>
              <w:top w:val="single" w:sz="12" w:space="0" w:color="8080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0.8</w:t>
            </w: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AGROASEMEX, S.A.</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F173CC" w:rsidRPr="00F173CC" w:rsidTr="00652A87">
        <w:trPr>
          <w:trHeight w:val="300"/>
        </w:trPr>
        <w:tc>
          <w:tcPr>
            <w:tcW w:w="2969"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08 </w:t>
            </w:r>
            <w:proofErr w:type="gramStart"/>
            <w:r w:rsidRPr="00691AC1">
              <w:rPr>
                <w:rFonts w:ascii="Montserrat" w:eastAsia="Times New Roman" w:hAnsi="Montserrat" w:cs="Calibri"/>
                <w:b/>
                <w:bCs/>
                <w:color w:val="000000"/>
                <w:sz w:val="12"/>
                <w:szCs w:val="12"/>
                <w:lang w:val="es-MX" w:eastAsia="es-MX"/>
              </w:rPr>
              <w:t>Agricultura</w:t>
            </w:r>
            <w:proofErr w:type="gramEnd"/>
            <w:r w:rsidRPr="00691AC1">
              <w:rPr>
                <w:rFonts w:ascii="Montserrat" w:eastAsia="Times New Roman" w:hAnsi="Montserrat" w:cs="Calibri"/>
                <w:b/>
                <w:bCs/>
                <w:color w:val="000000"/>
                <w:sz w:val="12"/>
                <w:szCs w:val="12"/>
                <w:lang w:val="es-MX" w:eastAsia="es-MX"/>
              </w:rPr>
              <w:t xml:space="preserve"> y Desarrollo Rural</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8</w:t>
            </w: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3.2</w:t>
            </w: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SADER</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F173CC" w:rsidRPr="00F173CC" w:rsidTr="00CB7065">
        <w:trPr>
          <w:trHeight w:val="300"/>
        </w:trPr>
        <w:tc>
          <w:tcPr>
            <w:tcW w:w="2969"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09 </w:t>
            </w:r>
            <w:proofErr w:type="gramStart"/>
            <w:r w:rsidRPr="00691AC1">
              <w:rPr>
                <w:rFonts w:ascii="Montserrat" w:eastAsia="Times New Roman" w:hAnsi="Montserrat" w:cs="Calibri"/>
                <w:b/>
                <w:bCs/>
                <w:color w:val="000000"/>
                <w:sz w:val="12"/>
                <w:szCs w:val="12"/>
                <w:lang w:val="es-MX" w:eastAsia="es-MX"/>
              </w:rPr>
              <w:t>Comunicaciones</w:t>
            </w:r>
            <w:proofErr w:type="gramEnd"/>
            <w:r w:rsidRPr="00691AC1">
              <w:rPr>
                <w:rFonts w:ascii="Montserrat" w:eastAsia="Times New Roman" w:hAnsi="Montserrat" w:cs="Calibri"/>
                <w:b/>
                <w:bCs/>
                <w:color w:val="000000"/>
                <w:sz w:val="12"/>
                <w:szCs w:val="12"/>
                <w:lang w:val="es-MX" w:eastAsia="es-MX"/>
              </w:rPr>
              <w:t xml:space="preserve"> y Transportes</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0.4</w:t>
            </w: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SCT</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F173CC" w:rsidRPr="00F173CC" w:rsidTr="00652A87">
        <w:trPr>
          <w:trHeight w:val="300"/>
        </w:trPr>
        <w:tc>
          <w:tcPr>
            <w:tcW w:w="2969"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11 </w:t>
            </w:r>
            <w:proofErr w:type="gramStart"/>
            <w:r w:rsidRPr="00691AC1">
              <w:rPr>
                <w:rFonts w:ascii="Montserrat" w:eastAsia="Times New Roman" w:hAnsi="Montserrat" w:cs="Calibri"/>
                <w:b/>
                <w:bCs/>
                <w:color w:val="000000"/>
                <w:sz w:val="12"/>
                <w:szCs w:val="12"/>
                <w:lang w:val="es-MX" w:eastAsia="es-MX"/>
              </w:rPr>
              <w:t>Educación</w:t>
            </w:r>
            <w:proofErr w:type="gramEnd"/>
            <w:r w:rsidRPr="00691AC1">
              <w:rPr>
                <w:rFonts w:ascii="Montserrat" w:eastAsia="Times New Roman" w:hAnsi="Montserrat" w:cs="Calibri"/>
                <w:b/>
                <w:bCs/>
                <w:color w:val="000000"/>
                <w:sz w:val="12"/>
                <w:szCs w:val="12"/>
                <w:lang w:val="es-MX" w:eastAsia="es-MX"/>
              </w:rPr>
              <w:t xml:space="preserve"> Pública</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34</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41</w:t>
            </w: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16.6</w:t>
            </w: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SEP</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32</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CONADE</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F173CC" w:rsidRPr="00F173CC" w:rsidTr="00652A87">
        <w:trPr>
          <w:trHeight w:val="300"/>
        </w:trPr>
        <w:tc>
          <w:tcPr>
            <w:tcW w:w="2969"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12 </w:t>
            </w:r>
            <w:proofErr w:type="gramStart"/>
            <w:r w:rsidRPr="00691AC1">
              <w:rPr>
                <w:rFonts w:ascii="Montserrat" w:eastAsia="Times New Roman" w:hAnsi="Montserrat" w:cs="Calibri"/>
                <w:b/>
                <w:bCs/>
                <w:color w:val="000000"/>
                <w:sz w:val="12"/>
                <w:szCs w:val="12"/>
                <w:lang w:val="es-MX" w:eastAsia="es-MX"/>
              </w:rPr>
              <w:t>Salud</w:t>
            </w:r>
            <w:proofErr w:type="gramEnd"/>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16</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19</w:t>
            </w: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7.7</w:t>
            </w: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lastRenderedPageBreak/>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CNPSS</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DIF</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SALUD</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11</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F173CC" w:rsidRPr="00F173CC" w:rsidTr="00652A87">
        <w:trPr>
          <w:trHeight w:val="300"/>
        </w:trPr>
        <w:tc>
          <w:tcPr>
            <w:tcW w:w="2969"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14 </w:t>
            </w:r>
            <w:proofErr w:type="gramStart"/>
            <w:r w:rsidRPr="00691AC1">
              <w:rPr>
                <w:rFonts w:ascii="Montserrat" w:eastAsia="Times New Roman" w:hAnsi="Montserrat" w:cs="Calibri"/>
                <w:b/>
                <w:bCs/>
                <w:color w:val="000000"/>
                <w:sz w:val="12"/>
                <w:szCs w:val="12"/>
                <w:lang w:val="es-MX" w:eastAsia="es-MX"/>
              </w:rPr>
              <w:t>Trabajo</w:t>
            </w:r>
            <w:proofErr w:type="gramEnd"/>
            <w:r w:rsidRPr="00691AC1">
              <w:rPr>
                <w:rFonts w:ascii="Montserrat" w:eastAsia="Times New Roman" w:hAnsi="Montserrat" w:cs="Calibri"/>
                <w:b/>
                <w:bCs/>
                <w:color w:val="000000"/>
                <w:sz w:val="12"/>
                <w:szCs w:val="12"/>
                <w:lang w:val="es-MX" w:eastAsia="es-MX"/>
              </w:rPr>
              <w:t xml:space="preserve"> y Previsión Social</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1.2</w:t>
            </w: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STPS</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F173CC" w:rsidRPr="00F173CC" w:rsidTr="00652A87">
        <w:trPr>
          <w:trHeight w:val="300"/>
        </w:trPr>
        <w:tc>
          <w:tcPr>
            <w:tcW w:w="2969"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15 </w:t>
            </w:r>
            <w:proofErr w:type="gramStart"/>
            <w:r w:rsidRPr="00691AC1">
              <w:rPr>
                <w:rFonts w:ascii="Montserrat" w:eastAsia="Times New Roman" w:hAnsi="Montserrat" w:cs="Calibri"/>
                <w:b/>
                <w:bCs/>
                <w:color w:val="000000"/>
                <w:sz w:val="12"/>
                <w:szCs w:val="12"/>
                <w:lang w:val="es-MX" w:eastAsia="es-MX"/>
              </w:rPr>
              <w:t>Desarrollo</w:t>
            </w:r>
            <w:proofErr w:type="gramEnd"/>
            <w:r w:rsidRPr="00691AC1">
              <w:rPr>
                <w:rFonts w:ascii="Montserrat" w:eastAsia="Times New Roman" w:hAnsi="Montserrat" w:cs="Calibri"/>
                <w:b/>
                <w:bCs/>
                <w:color w:val="000000"/>
                <w:sz w:val="12"/>
                <w:szCs w:val="12"/>
                <w:lang w:val="es-MX" w:eastAsia="es-MX"/>
              </w:rPr>
              <w:t xml:space="preserve"> Agrario, Territorial y Urbano</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11</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16</w:t>
            </w: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6.5</w:t>
            </w: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CONAVI</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SEDATU</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11</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F173CC" w:rsidRPr="00F173CC" w:rsidTr="00652A87">
        <w:trPr>
          <w:trHeight w:val="300"/>
        </w:trPr>
        <w:tc>
          <w:tcPr>
            <w:tcW w:w="2969"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16 </w:t>
            </w:r>
            <w:proofErr w:type="gramStart"/>
            <w:r w:rsidRPr="00691AC1">
              <w:rPr>
                <w:rFonts w:ascii="Montserrat" w:eastAsia="Times New Roman" w:hAnsi="Montserrat" w:cs="Calibri"/>
                <w:b/>
                <w:bCs/>
                <w:color w:val="000000"/>
                <w:sz w:val="12"/>
                <w:szCs w:val="12"/>
                <w:lang w:val="es-MX" w:eastAsia="es-MX"/>
              </w:rPr>
              <w:t>Medio</w:t>
            </w:r>
            <w:proofErr w:type="gramEnd"/>
            <w:r w:rsidRPr="00691AC1">
              <w:rPr>
                <w:rFonts w:ascii="Montserrat" w:eastAsia="Times New Roman" w:hAnsi="Montserrat" w:cs="Calibri"/>
                <w:b/>
                <w:bCs/>
                <w:color w:val="000000"/>
                <w:sz w:val="12"/>
                <w:szCs w:val="12"/>
                <w:lang w:val="es-MX" w:eastAsia="es-MX"/>
              </w:rPr>
              <w:t xml:space="preserve"> Ambiente y Recursos Naturales</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23</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34</w:t>
            </w: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13.8</w:t>
            </w: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CONAFOR</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CONAGUA</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CONANP</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SEMARNAT</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18</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F173CC" w:rsidRPr="00F173CC" w:rsidTr="00652A87">
        <w:trPr>
          <w:trHeight w:val="300"/>
        </w:trPr>
        <w:tc>
          <w:tcPr>
            <w:tcW w:w="2969"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19 </w:t>
            </w:r>
            <w:proofErr w:type="gramStart"/>
            <w:r w:rsidRPr="00691AC1">
              <w:rPr>
                <w:rFonts w:ascii="Montserrat" w:eastAsia="Times New Roman" w:hAnsi="Montserrat" w:cs="Calibri"/>
                <w:b/>
                <w:bCs/>
                <w:color w:val="000000"/>
                <w:sz w:val="12"/>
                <w:szCs w:val="12"/>
                <w:lang w:val="es-MX" w:eastAsia="es-MX"/>
              </w:rPr>
              <w:t>Aportaciones</w:t>
            </w:r>
            <w:proofErr w:type="gramEnd"/>
            <w:r w:rsidRPr="00691AC1">
              <w:rPr>
                <w:rFonts w:ascii="Montserrat" w:eastAsia="Times New Roman" w:hAnsi="Montserrat" w:cs="Calibri"/>
                <w:b/>
                <w:bCs/>
                <w:color w:val="000000"/>
                <w:sz w:val="12"/>
                <w:szCs w:val="12"/>
                <w:lang w:val="es-MX" w:eastAsia="es-MX"/>
              </w:rPr>
              <w:t xml:space="preserve"> a Seguridad Social</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w:t>
            </w: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2.0</w:t>
            </w: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IMSS</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F173CC" w:rsidRPr="00F173CC" w:rsidTr="00652A87">
        <w:trPr>
          <w:trHeight w:val="300"/>
        </w:trPr>
        <w:tc>
          <w:tcPr>
            <w:tcW w:w="2969"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20 </w:t>
            </w:r>
            <w:proofErr w:type="gramStart"/>
            <w:r w:rsidRPr="00691AC1">
              <w:rPr>
                <w:rFonts w:ascii="Montserrat" w:eastAsia="Times New Roman" w:hAnsi="Montserrat" w:cs="Calibri"/>
                <w:b/>
                <w:bCs/>
                <w:color w:val="000000"/>
                <w:sz w:val="12"/>
                <w:szCs w:val="12"/>
                <w:lang w:val="es-MX" w:eastAsia="es-MX"/>
              </w:rPr>
              <w:t>Bienestar</w:t>
            </w:r>
            <w:proofErr w:type="gramEnd"/>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23</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42</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65</w:t>
            </w: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26.3</w:t>
            </w: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DICONSA</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FONART</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IMJUVE</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INAPAM</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INDESOL</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LICONSA</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BIENESTAR</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25</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F173CC" w:rsidRPr="00F173CC" w:rsidTr="00652A87">
        <w:trPr>
          <w:trHeight w:val="300"/>
        </w:trPr>
        <w:tc>
          <w:tcPr>
            <w:tcW w:w="2969"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47 </w:t>
            </w:r>
            <w:proofErr w:type="gramStart"/>
            <w:r w:rsidRPr="00691AC1">
              <w:rPr>
                <w:rFonts w:ascii="Montserrat" w:eastAsia="Times New Roman" w:hAnsi="Montserrat" w:cs="Calibri"/>
                <w:b/>
                <w:bCs/>
                <w:color w:val="000000"/>
                <w:sz w:val="12"/>
                <w:szCs w:val="12"/>
                <w:lang w:val="es-MX" w:eastAsia="es-MX"/>
              </w:rPr>
              <w:t>Entidades</w:t>
            </w:r>
            <w:proofErr w:type="gramEnd"/>
            <w:r w:rsidRPr="00691AC1">
              <w:rPr>
                <w:rFonts w:ascii="Montserrat" w:eastAsia="Times New Roman" w:hAnsi="Montserrat" w:cs="Calibri"/>
                <w:b/>
                <w:bCs/>
                <w:color w:val="000000"/>
                <w:sz w:val="12"/>
                <w:szCs w:val="12"/>
                <w:lang w:val="es-MX" w:eastAsia="es-MX"/>
              </w:rPr>
              <w:t xml:space="preserve"> no Sectorizadas</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22</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9</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34</w:t>
            </w: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13.8</w:t>
            </w: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CDI</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19</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9</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INMUJERES</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F173CC" w:rsidRPr="00F173CC" w:rsidTr="00652A87">
        <w:trPr>
          <w:trHeight w:val="300"/>
        </w:trPr>
        <w:tc>
          <w:tcPr>
            <w:tcW w:w="2969"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48 </w:t>
            </w:r>
            <w:proofErr w:type="gramStart"/>
            <w:r w:rsidRPr="00691AC1">
              <w:rPr>
                <w:rFonts w:ascii="Montserrat" w:eastAsia="Times New Roman" w:hAnsi="Montserrat" w:cs="Calibri"/>
                <w:b/>
                <w:bCs/>
                <w:color w:val="000000"/>
                <w:sz w:val="12"/>
                <w:szCs w:val="12"/>
                <w:lang w:val="es-MX" w:eastAsia="es-MX"/>
              </w:rPr>
              <w:t>Cultura</w:t>
            </w:r>
            <w:proofErr w:type="gramEnd"/>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12</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12</w:t>
            </w: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4.9</w:t>
            </w: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CULTURA</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12</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F173CC" w:rsidRPr="00F173CC" w:rsidTr="00652A87">
        <w:trPr>
          <w:trHeight w:val="300"/>
        </w:trPr>
        <w:tc>
          <w:tcPr>
            <w:tcW w:w="2969"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50 </w:t>
            </w:r>
            <w:proofErr w:type="gramStart"/>
            <w:r w:rsidRPr="00691AC1">
              <w:rPr>
                <w:rFonts w:ascii="Montserrat" w:eastAsia="Times New Roman" w:hAnsi="Montserrat" w:cs="Calibri"/>
                <w:b/>
                <w:bCs/>
                <w:color w:val="000000"/>
                <w:sz w:val="12"/>
                <w:szCs w:val="12"/>
                <w:lang w:val="es-MX" w:eastAsia="es-MX"/>
              </w:rPr>
              <w:t>Instituto</w:t>
            </w:r>
            <w:proofErr w:type="gramEnd"/>
            <w:r w:rsidRPr="00691AC1">
              <w:rPr>
                <w:rFonts w:ascii="Montserrat" w:eastAsia="Times New Roman" w:hAnsi="Montserrat" w:cs="Calibri"/>
                <w:b/>
                <w:bCs/>
                <w:color w:val="000000"/>
                <w:sz w:val="12"/>
                <w:szCs w:val="12"/>
                <w:lang w:val="es-MX" w:eastAsia="es-MX"/>
              </w:rPr>
              <w:t xml:space="preserve"> Mexicano del Seguro Social</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4</w:t>
            </w: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1.6</w:t>
            </w: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IMSS</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F173CC" w:rsidRPr="00F173CC" w:rsidTr="00652A87">
        <w:trPr>
          <w:trHeight w:val="300"/>
        </w:trPr>
        <w:tc>
          <w:tcPr>
            <w:tcW w:w="2969" w:type="dxa"/>
            <w:gridSpan w:val="2"/>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51 </w:t>
            </w:r>
            <w:proofErr w:type="gramStart"/>
            <w:r w:rsidRPr="00691AC1">
              <w:rPr>
                <w:rFonts w:ascii="Montserrat" w:eastAsia="Times New Roman" w:hAnsi="Montserrat" w:cs="Calibri"/>
                <w:b/>
                <w:bCs/>
                <w:color w:val="000000"/>
                <w:sz w:val="12"/>
                <w:szCs w:val="12"/>
                <w:lang w:val="es-MX" w:eastAsia="es-MX"/>
              </w:rPr>
              <w:t>Instituto</w:t>
            </w:r>
            <w:proofErr w:type="gramEnd"/>
            <w:r w:rsidRPr="00691AC1">
              <w:rPr>
                <w:rFonts w:ascii="Montserrat" w:eastAsia="Times New Roman" w:hAnsi="Montserrat" w:cs="Calibri"/>
                <w:b/>
                <w:bCs/>
                <w:color w:val="000000"/>
                <w:sz w:val="12"/>
                <w:szCs w:val="12"/>
                <w:lang w:val="es-MX" w:eastAsia="es-MX"/>
              </w:rPr>
              <w:t xml:space="preserve"> de Seguridad y Servicios Sociales de los Trabajadores del Estado</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3</w:t>
            </w: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1.2</w:t>
            </w:r>
          </w:p>
        </w:tc>
      </w:tr>
      <w:tr w:rsidR="009E03CA" w:rsidRPr="00F173CC" w:rsidTr="009E03CA">
        <w:trPr>
          <w:trHeight w:val="300"/>
        </w:trPr>
        <w:tc>
          <w:tcPr>
            <w:tcW w:w="1569"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140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ISSSTE</w:t>
            </w:r>
          </w:p>
        </w:tc>
        <w:tc>
          <w:tcPr>
            <w:tcW w:w="1294"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28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422"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174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50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c>
          <w:tcPr>
            <w:tcW w:w="747"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p>
        </w:tc>
      </w:tr>
      <w:tr w:rsidR="009E03CA" w:rsidRPr="00F173CC" w:rsidTr="009E03CA">
        <w:trPr>
          <w:trHeight w:val="315"/>
        </w:trPr>
        <w:tc>
          <w:tcPr>
            <w:tcW w:w="1569"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Total</w:t>
            </w:r>
          </w:p>
        </w:tc>
        <w:tc>
          <w:tcPr>
            <w:tcW w:w="1400"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c>
          <w:tcPr>
            <w:tcW w:w="1294"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153</w:t>
            </w:r>
          </w:p>
        </w:tc>
        <w:tc>
          <w:tcPr>
            <w:tcW w:w="1286"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88</w:t>
            </w:r>
          </w:p>
        </w:tc>
        <w:tc>
          <w:tcPr>
            <w:tcW w:w="1422"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5</w:t>
            </w:r>
          </w:p>
        </w:tc>
        <w:tc>
          <w:tcPr>
            <w:tcW w:w="1746"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w:t>
            </w:r>
          </w:p>
        </w:tc>
        <w:tc>
          <w:tcPr>
            <w:tcW w:w="508"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247</w:t>
            </w:r>
          </w:p>
        </w:tc>
        <w:tc>
          <w:tcPr>
            <w:tcW w:w="747"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100</w:t>
            </w:r>
          </w:p>
        </w:tc>
      </w:tr>
      <w:tr w:rsidR="00F173CC" w:rsidRPr="00F173CC" w:rsidTr="00CA676E">
        <w:trPr>
          <w:trHeight w:val="300"/>
        </w:trPr>
        <w:tc>
          <w:tcPr>
            <w:tcW w:w="9972" w:type="dxa"/>
            <w:gridSpan w:val="8"/>
            <w:tcBorders>
              <w:top w:val="nil"/>
              <w:left w:val="nil"/>
              <w:bottom w:val="nil"/>
              <w:right w:val="nil"/>
            </w:tcBorders>
            <w:shd w:val="clear" w:color="auto" w:fill="auto"/>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b/>
                <w:bCs/>
                <w:color w:val="000000"/>
                <w:sz w:val="12"/>
                <w:szCs w:val="12"/>
                <w:lang w:val="es-MX" w:eastAsia="es-MX"/>
              </w:rPr>
              <w:t>Fuente:</w:t>
            </w:r>
            <w:r w:rsidRPr="00691AC1">
              <w:rPr>
                <w:rFonts w:ascii="Montserrat" w:eastAsia="Times New Roman" w:hAnsi="Montserrat" w:cs="Calibri"/>
                <w:color w:val="000000"/>
                <w:sz w:val="12"/>
                <w:szCs w:val="12"/>
                <w:lang w:val="es-MX" w:eastAsia="es-MX"/>
              </w:rPr>
              <w:t xml:space="preserve"> Unidad de Evaluación del Desempeño, con información proporcionada por las dependencias y entidades de la APF al CONEVAL.</w:t>
            </w:r>
          </w:p>
        </w:tc>
      </w:tr>
    </w:tbl>
    <w:p w:rsidR="00F173CC" w:rsidRPr="00F173CC" w:rsidRDefault="00F173CC" w:rsidP="00F173CC">
      <w:pPr>
        <w:jc w:val="both"/>
        <w:rPr>
          <w:color w:val="FF0000"/>
          <w:lang w:val="es-MX"/>
        </w:rPr>
      </w:pP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 xml:space="preserve">Es importante destacar que la mayoría de los ASM se concentra en aspectos clasificados como específicos, </w:t>
      </w:r>
      <w:proofErr w:type="gramStart"/>
      <w:r w:rsidRPr="00F173CC">
        <w:rPr>
          <w:rFonts w:eastAsia="Times New Roman" w:cs="Arial"/>
          <w:szCs w:val="20"/>
          <w:lang w:val="es-ES"/>
        </w:rPr>
        <w:t>que</w:t>
      </w:r>
      <w:proofErr w:type="gramEnd"/>
      <w:r w:rsidRPr="00F173CC">
        <w:rPr>
          <w:rFonts w:eastAsia="Times New Roman" w:cs="Arial"/>
          <w:szCs w:val="20"/>
          <w:lang w:val="es-ES"/>
        </w:rPr>
        <w:t xml:space="preserve"> de acuerdo a lo establecido en el Mecanismo, son atendidos por la UR del Pp.</w:t>
      </w: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lastRenderedPageBreak/>
        <w:t>Durante el primer trimestre de 2019, 99 ASM (40.1%) han concluido su implementación, de los cuales 70 (70.7%) son del tipo específico y 29 (29.3%) son del tipo institucional.</w:t>
      </w: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Asimismo, 115 (46.6%) reportaron avances y continúan con el proceso de instrumentación, y finalmente, 33 ASM (13.3%) fueron reportados sin avances.</w:t>
      </w:r>
    </w:p>
    <w:p w:rsidR="00F173CC" w:rsidRPr="00F173CC" w:rsidRDefault="00F173CC" w:rsidP="00F173CC">
      <w:pPr>
        <w:jc w:val="both"/>
        <w:rPr>
          <w:rFonts w:eastAsia="Times New Roman" w:cs="Arial"/>
          <w:szCs w:val="20"/>
          <w:lang w:val="es-ES"/>
        </w:rPr>
      </w:pPr>
    </w:p>
    <w:p w:rsidR="00F173CC" w:rsidRPr="00F173CC" w:rsidRDefault="00F173CC" w:rsidP="00F173CC">
      <w:pPr>
        <w:spacing w:before="20" w:after="0"/>
        <w:jc w:val="center"/>
        <w:rPr>
          <w:rFonts w:eastAsia="Calibri" w:cstheme="minorBidi"/>
          <w:b/>
          <w:sz w:val="12"/>
          <w:szCs w:val="22"/>
          <w:lang w:val="es-MX" w:eastAsia="en-US"/>
        </w:rPr>
      </w:pPr>
      <w:r w:rsidRPr="00F173CC">
        <w:rPr>
          <w:noProof/>
          <w:lang w:val="es-MX" w:eastAsia="es-MX"/>
        </w:rPr>
        <w:drawing>
          <wp:inline distT="0" distB="0" distL="0" distR="0" wp14:anchorId="39FC494A" wp14:editId="1E947859">
            <wp:extent cx="4572000" cy="2733675"/>
            <wp:effectExtent l="0" t="0" r="0" b="9525"/>
            <wp:docPr id="17" name="Gráfico 17">
              <a:extLst xmlns:a="http://schemas.openxmlformats.org/drawingml/2006/main">
                <a:ext uri="{FF2B5EF4-FFF2-40B4-BE49-F238E27FC236}">
                  <a16:creationId xmlns:a16="http://schemas.microsoft.com/office/drawing/2014/main" id="{251140BE-08C9-4F39-B159-B8B0DA13D6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173CC" w:rsidRPr="00F173CC" w:rsidRDefault="00F173CC" w:rsidP="00F173CC">
      <w:pPr>
        <w:spacing w:after="0"/>
        <w:jc w:val="both"/>
        <w:rPr>
          <w:rFonts w:eastAsia="Times New Roman" w:cs="Arial"/>
          <w:szCs w:val="20"/>
          <w:lang w:val="es-ES"/>
        </w:rPr>
      </w:pP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De acuerdo al tipo de evaluación que dio origen a los ASM concluidos reportados en este trimestre, se identifican principalmente los siguientes tipos: Otros Informes Externos con 62 (62.6%) y Procesos con 14 (14.1%).</w:t>
      </w: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t xml:space="preserve"> </w:t>
      </w:r>
    </w:p>
    <w:tbl>
      <w:tblPr>
        <w:tblW w:w="6000" w:type="dxa"/>
        <w:jc w:val="center"/>
        <w:tblCellMar>
          <w:left w:w="70" w:type="dxa"/>
          <w:right w:w="70" w:type="dxa"/>
        </w:tblCellMar>
        <w:tblLook w:val="04A0" w:firstRow="1" w:lastRow="0" w:firstColumn="1" w:lastColumn="0" w:noHBand="0" w:noVBand="1"/>
      </w:tblPr>
      <w:tblGrid>
        <w:gridCol w:w="2818"/>
        <w:gridCol w:w="964"/>
        <w:gridCol w:w="1222"/>
        <w:gridCol w:w="521"/>
        <w:gridCol w:w="836"/>
      </w:tblGrid>
      <w:tr w:rsidR="00F173CC" w:rsidRPr="00F173CC" w:rsidTr="00691AC1">
        <w:trPr>
          <w:trHeight w:val="615"/>
          <w:jc w:val="center"/>
        </w:trPr>
        <w:tc>
          <w:tcPr>
            <w:tcW w:w="6000" w:type="dxa"/>
            <w:gridSpan w:val="5"/>
            <w:tcBorders>
              <w:top w:val="nil"/>
              <w:left w:val="nil"/>
              <w:right w:val="nil"/>
            </w:tcBorders>
            <w:shd w:val="clear" w:color="auto" w:fill="auto"/>
            <w:vAlign w:val="bottom"/>
            <w:hideMark/>
          </w:tcPr>
          <w:p w:rsidR="00F173CC" w:rsidRPr="00F173CC" w:rsidRDefault="00F173CC" w:rsidP="00691AC1">
            <w:pPr>
              <w:pStyle w:val="CABEZA"/>
            </w:pPr>
            <w:r w:rsidRPr="00F173CC">
              <w:t>Tabla 9. Cantidad de ASM concluidos por tipo de evaluación al primer trimestre de 2018</w:t>
            </w:r>
          </w:p>
        </w:tc>
      </w:tr>
      <w:tr w:rsidR="00F173CC" w:rsidRPr="00F173CC" w:rsidTr="00691AC1">
        <w:trPr>
          <w:trHeight w:hRule="exact" w:val="57"/>
          <w:jc w:val="center"/>
        </w:trPr>
        <w:tc>
          <w:tcPr>
            <w:tcW w:w="2818" w:type="dxa"/>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815" w:type="dxa"/>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010" w:type="dxa"/>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521" w:type="dxa"/>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836" w:type="dxa"/>
            <w:tcBorders>
              <w:top w:val="nil"/>
              <w:left w:val="nil"/>
              <w:bottom w:val="single" w:sz="12" w:space="0" w:color="808080" w:themeColor="background1" w:themeShade="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r>
      <w:tr w:rsidR="00F173CC" w:rsidRPr="00F173CC" w:rsidTr="00691AC1">
        <w:trPr>
          <w:trHeight w:val="300"/>
          <w:jc w:val="center"/>
        </w:trPr>
        <w:tc>
          <w:tcPr>
            <w:tcW w:w="2818" w:type="dxa"/>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Tipo de evaluación (Fuente de información)</w:t>
            </w:r>
          </w:p>
        </w:tc>
        <w:tc>
          <w:tcPr>
            <w:tcW w:w="815" w:type="dxa"/>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Específicos</w:t>
            </w:r>
          </w:p>
        </w:tc>
        <w:tc>
          <w:tcPr>
            <w:tcW w:w="1010" w:type="dxa"/>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Institucionales</w:t>
            </w:r>
          </w:p>
        </w:tc>
        <w:tc>
          <w:tcPr>
            <w:tcW w:w="521" w:type="dxa"/>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Total</w:t>
            </w:r>
          </w:p>
        </w:tc>
        <w:tc>
          <w:tcPr>
            <w:tcW w:w="836" w:type="dxa"/>
            <w:tcBorders>
              <w:top w:val="single" w:sz="12" w:space="0" w:color="808080" w:themeColor="background1" w:themeShade="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 del Total</w:t>
            </w:r>
          </w:p>
        </w:tc>
      </w:tr>
      <w:tr w:rsidR="00F173CC" w:rsidRPr="00F173CC" w:rsidTr="00691AC1">
        <w:trPr>
          <w:trHeight w:hRule="exact" w:val="57"/>
          <w:jc w:val="center"/>
        </w:trPr>
        <w:tc>
          <w:tcPr>
            <w:tcW w:w="2818" w:type="dxa"/>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815" w:type="dxa"/>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010" w:type="dxa"/>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521" w:type="dxa"/>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836" w:type="dxa"/>
            <w:tcBorders>
              <w:top w:val="nil"/>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F173CC" w:rsidRPr="00F173CC" w:rsidTr="00691AC1">
        <w:trPr>
          <w:trHeight w:hRule="exact" w:val="57"/>
          <w:jc w:val="center"/>
        </w:trPr>
        <w:tc>
          <w:tcPr>
            <w:tcW w:w="2818" w:type="dxa"/>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815" w:type="dxa"/>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010" w:type="dxa"/>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521" w:type="dxa"/>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836" w:type="dxa"/>
            <w:tcBorders>
              <w:top w:val="single" w:sz="12" w:space="0" w:color="808080" w:themeColor="background1" w:themeShade="80"/>
              <w:left w:val="nil"/>
              <w:bottom w:val="single" w:sz="12" w:space="0" w:color="808080" w:themeColor="background1" w:themeShade="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F173CC" w:rsidRPr="00F173CC" w:rsidTr="00CA676E">
        <w:trPr>
          <w:trHeight w:val="300"/>
          <w:jc w:val="center"/>
        </w:trPr>
        <w:tc>
          <w:tcPr>
            <w:tcW w:w="2818" w:type="dxa"/>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Evaluación Complementaria</w:t>
            </w:r>
          </w:p>
        </w:tc>
        <w:tc>
          <w:tcPr>
            <w:tcW w:w="815" w:type="dxa"/>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1010" w:type="dxa"/>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521" w:type="dxa"/>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836" w:type="dxa"/>
            <w:tcBorders>
              <w:top w:val="single" w:sz="12" w:space="0" w:color="808080" w:themeColor="background1" w:themeShade="80"/>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3.0</w:t>
            </w:r>
          </w:p>
        </w:tc>
      </w:tr>
      <w:tr w:rsidR="00F173CC" w:rsidRPr="00F173CC" w:rsidTr="00CA676E">
        <w:trPr>
          <w:trHeight w:val="300"/>
          <w:jc w:val="center"/>
        </w:trPr>
        <w:tc>
          <w:tcPr>
            <w:tcW w:w="281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Evaluación de Consistencia y Resultados</w:t>
            </w:r>
          </w:p>
        </w:tc>
        <w:tc>
          <w:tcPr>
            <w:tcW w:w="81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3</w:t>
            </w:r>
          </w:p>
        </w:tc>
        <w:tc>
          <w:tcPr>
            <w:tcW w:w="101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w:t>
            </w:r>
          </w:p>
        </w:tc>
        <w:tc>
          <w:tcPr>
            <w:tcW w:w="521"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7</w:t>
            </w:r>
          </w:p>
        </w:tc>
        <w:tc>
          <w:tcPr>
            <w:tcW w:w="8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7.1</w:t>
            </w:r>
          </w:p>
        </w:tc>
      </w:tr>
      <w:tr w:rsidR="00F173CC" w:rsidRPr="00F173CC" w:rsidTr="00CA676E">
        <w:trPr>
          <w:trHeight w:val="300"/>
          <w:jc w:val="center"/>
        </w:trPr>
        <w:tc>
          <w:tcPr>
            <w:tcW w:w="281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Evaluación de Diseño</w:t>
            </w:r>
          </w:p>
        </w:tc>
        <w:tc>
          <w:tcPr>
            <w:tcW w:w="81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w:t>
            </w:r>
          </w:p>
        </w:tc>
        <w:tc>
          <w:tcPr>
            <w:tcW w:w="101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w:t>
            </w:r>
          </w:p>
        </w:tc>
        <w:tc>
          <w:tcPr>
            <w:tcW w:w="521"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8</w:t>
            </w:r>
          </w:p>
        </w:tc>
        <w:tc>
          <w:tcPr>
            <w:tcW w:w="8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8.1</w:t>
            </w:r>
          </w:p>
        </w:tc>
      </w:tr>
      <w:tr w:rsidR="00F173CC" w:rsidRPr="00F173CC" w:rsidTr="00CA676E">
        <w:trPr>
          <w:trHeight w:val="300"/>
          <w:jc w:val="center"/>
        </w:trPr>
        <w:tc>
          <w:tcPr>
            <w:tcW w:w="281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Evaluación de Procesos</w:t>
            </w:r>
          </w:p>
        </w:tc>
        <w:tc>
          <w:tcPr>
            <w:tcW w:w="81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13</w:t>
            </w:r>
          </w:p>
        </w:tc>
        <w:tc>
          <w:tcPr>
            <w:tcW w:w="101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w:t>
            </w:r>
          </w:p>
        </w:tc>
        <w:tc>
          <w:tcPr>
            <w:tcW w:w="521"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14</w:t>
            </w:r>
          </w:p>
        </w:tc>
        <w:tc>
          <w:tcPr>
            <w:tcW w:w="8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14.1</w:t>
            </w:r>
          </w:p>
        </w:tc>
      </w:tr>
      <w:tr w:rsidR="00F173CC" w:rsidRPr="00F173CC" w:rsidTr="00CA676E">
        <w:trPr>
          <w:trHeight w:val="300"/>
          <w:jc w:val="center"/>
        </w:trPr>
        <w:tc>
          <w:tcPr>
            <w:tcW w:w="281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Evaluación Específica</w:t>
            </w:r>
          </w:p>
        </w:tc>
        <w:tc>
          <w:tcPr>
            <w:tcW w:w="81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101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 </w:t>
            </w:r>
          </w:p>
        </w:tc>
        <w:tc>
          <w:tcPr>
            <w:tcW w:w="521"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w:t>
            </w:r>
          </w:p>
        </w:tc>
        <w:tc>
          <w:tcPr>
            <w:tcW w:w="8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5.1</w:t>
            </w:r>
          </w:p>
        </w:tc>
      </w:tr>
      <w:tr w:rsidR="00F173CC" w:rsidRPr="00F173CC" w:rsidTr="00CA676E">
        <w:trPr>
          <w:trHeight w:val="300"/>
          <w:jc w:val="center"/>
        </w:trPr>
        <w:tc>
          <w:tcPr>
            <w:tcW w:w="281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Otros Informes Externos</w:t>
            </w:r>
          </w:p>
        </w:tc>
        <w:tc>
          <w:tcPr>
            <w:tcW w:w="81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41</w:t>
            </w:r>
          </w:p>
        </w:tc>
        <w:tc>
          <w:tcPr>
            <w:tcW w:w="101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21</w:t>
            </w:r>
          </w:p>
        </w:tc>
        <w:tc>
          <w:tcPr>
            <w:tcW w:w="521"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62</w:t>
            </w:r>
          </w:p>
        </w:tc>
        <w:tc>
          <w:tcPr>
            <w:tcW w:w="8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color w:val="000000"/>
                <w:sz w:val="12"/>
                <w:szCs w:val="12"/>
                <w:lang w:val="es-MX" w:eastAsia="es-MX"/>
              </w:rPr>
            </w:pPr>
            <w:r w:rsidRPr="00691AC1">
              <w:rPr>
                <w:rFonts w:ascii="Montserrat" w:eastAsia="Times New Roman" w:hAnsi="Montserrat" w:cs="Calibri"/>
                <w:color w:val="000000"/>
                <w:sz w:val="12"/>
                <w:szCs w:val="12"/>
                <w:lang w:val="es-MX" w:eastAsia="es-MX"/>
              </w:rPr>
              <w:t>62.6</w:t>
            </w:r>
          </w:p>
        </w:tc>
      </w:tr>
      <w:tr w:rsidR="00F173CC" w:rsidRPr="00F173CC" w:rsidTr="00CA676E">
        <w:trPr>
          <w:trHeight w:val="300"/>
          <w:jc w:val="center"/>
        </w:trPr>
        <w:tc>
          <w:tcPr>
            <w:tcW w:w="2818"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Total</w:t>
            </w:r>
          </w:p>
        </w:tc>
        <w:tc>
          <w:tcPr>
            <w:tcW w:w="815"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70</w:t>
            </w:r>
          </w:p>
        </w:tc>
        <w:tc>
          <w:tcPr>
            <w:tcW w:w="1010"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29</w:t>
            </w:r>
          </w:p>
        </w:tc>
        <w:tc>
          <w:tcPr>
            <w:tcW w:w="521"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99</w:t>
            </w:r>
          </w:p>
        </w:tc>
        <w:tc>
          <w:tcPr>
            <w:tcW w:w="836" w:type="dxa"/>
            <w:tcBorders>
              <w:top w:val="nil"/>
              <w:left w:val="nil"/>
              <w:bottom w:val="nil"/>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100</w:t>
            </w:r>
          </w:p>
        </w:tc>
      </w:tr>
      <w:tr w:rsidR="00F173CC" w:rsidRPr="00F173CC" w:rsidTr="00CA676E">
        <w:trPr>
          <w:trHeight w:val="315"/>
          <w:jc w:val="center"/>
        </w:trPr>
        <w:tc>
          <w:tcPr>
            <w:tcW w:w="2818"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del Total</w:t>
            </w:r>
          </w:p>
        </w:tc>
        <w:tc>
          <w:tcPr>
            <w:tcW w:w="815"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70.7</w:t>
            </w:r>
          </w:p>
        </w:tc>
        <w:tc>
          <w:tcPr>
            <w:tcW w:w="1010"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29.3</w:t>
            </w:r>
          </w:p>
        </w:tc>
        <w:tc>
          <w:tcPr>
            <w:tcW w:w="521"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jc w:val="center"/>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100</w:t>
            </w:r>
          </w:p>
        </w:tc>
        <w:tc>
          <w:tcPr>
            <w:tcW w:w="836" w:type="dxa"/>
            <w:tcBorders>
              <w:top w:val="nil"/>
              <w:left w:val="nil"/>
              <w:bottom w:val="single" w:sz="8" w:space="0" w:color="808080"/>
              <w:right w:val="nil"/>
            </w:tcBorders>
            <w:shd w:val="clear" w:color="auto" w:fill="F2F2F2" w:themeFill="background1" w:themeFillShade="F2"/>
            <w:noWrap/>
            <w:vAlign w:val="center"/>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w:t>
            </w:r>
          </w:p>
        </w:tc>
      </w:tr>
      <w:tr w:rsidR="00F173CC" w:rsidRPr="00F173CC" w:rsidTr="00CA676E">
        <w:trPr>
          <w:trHeight w:val="345"/>
          <w:jc w:val="center"/>
        </w:trPr>
        <w:tc>
          <w:tcPr>
            <w:tcW w:w="6000" w:type="dxa"/>
            <w:gridSpan w:val="5"/>
            <w:tcBorders>
              <w:top w:val="nil"/>
              <w:left w:val="nil"/>
              <w:bottom w:val="nil"/>
              <w:right w:val="nil"/>
            </w:tcBorders>
            <w:shd w:val="clear" w:color="auto" w:fill="auto"/>
            <w:hideMark/>
          </w:tcPr>
          <w:p w:rsidR="00F173CC" w:rsidRPr="00691AC1" w:rsidRDefault="00F173CC" w:rsidP="00F173CC">
            <w:pPr>
              <w:spacing w:after="0"/>
              <w:rPr>
                <w:rFonts w:ascii="Montserrat" w:eastAsia="Times New Roman" w:hAnsi="Montserrat" w:cs="Calibri"/>
                <w:b/>
                <w:bCs/>
                <w:color w:val="000000"/>
                <w:sz w:val="12"/>
                <w:szCs w:val="12"/>
                <w:lang w:val="es-MX" w:eastAsia="es-MX"/>
              </w:rPr>
            </w:pPr>
            <w:r w:rsidRPr="00691AC1">
              <w:rPr>
                <w:rFonts w:ascii="Montserrat" w:eastAsia="Times New Roman" w:hAnsi="Montserrat" w:cs="Calibri"/>
                <w:b/>
                <w:bCs/>
                <w:color w:val="000000"/>
                <w:sz w:val="12"/>
                <w:szCs w:val="12"/>
                <w:lang w:val="es-MX" w:eastAsia="es-MX"/>
              </w:rPr>
              <w:t xml:space="preserve">Fuente: </w:t>
            </w:r>
            <w:r w:rsidRPr="00691AC1">
              <w:rPr>
                <w:rFonts w:ascii="Montserrat" w:eastAsia="Times New Roman" w:hAnsi="Montserrat" w:cs="Calibri"/>
                <w:color w:val="000000"/>
                <w:sz w:val="12"/>
                <w:szCs w:val="12"/>
                <w:lang w:val="es-MX" w:eastAsia="es-MX"/>
              </w:rPr>
              <w:t>Unidad de Evaluación del Desempeño, con Información proporcionada por las dependencias y entidades de la APF al CONEVAL.</w:t>
            </w:r>
          </w:p>
        </w:tc>
      </w:tr>
    </w:tbl>
    <w:p w:rsidR="00F173CC" w:rsidRPr="00F173CC" w:rsidRDefault="00F173CC" w:rsidP="00F173CC">
      <w:pPr>
        <w:jc w:val="center"/>
        <w:rPr>
          <w:szCs w:val="22"/>
          <w:lang w:val="es-MX"/>
        </w:rPr>
      </w:pPr>
    </w:p>
    <w:p w:rsidR="00F173CC" w:rsidRPr="00F173CC" w:rsidRDefault="00F173CC" w:rsidP="00F173CC">
      <w:pPr>
        <w:jc w:val="both"/>
        <w:rPr>
          <w:rFonts w:eastAsia="Times New Roman" w:cs="Arial"/>
          <w:szCs w:val="20"/>
          <w:lang w:val="es-ES"/>
        </w:rPr>
      </w:pPr>
      <w:r w:rsidRPr="00F173CC">
        <w:rPr>
          <w:rFonts w:eastAsia="Times New Roman" w:cs="Arial"/>
          <w:szCs w:val="20"/>
          <w:lang w:val="es-ES"/>
        </w:rPr>
        <w:lastRenderedPageBreak/>
        <w:t xml:space="preserve">De los 99 ASM reportados como concluidos al primer trimestre de 2019, las dependencias y entidades que destacan son las siguientes: SEP con 29 (29.3%), BIENESTAR con 16 (16.2%); y SEMARNAT con 13 (13.1%). </w:t>
      </w:r>
    </w:p>
    <w:p w:rsidR="00F173CC" w:rsidRPr="00F173CC" w:rsidRDefault="00F173CC" w:rsidP="00F173CC">
      <w:pPr>
        <w:jc w:val="both"/>
        <w:rPr>
          <w:rFonts w:eastAsia="Times New Roman" w:cs="Arial"/>
          <w:szCs w:val="20"/>
          <w:lang w:val="es-ES"/>
        </w:rPr>
      </w:pPr>
    </w:p>
    <w:p w:rsidR="00F173CC" w:rsidRPr="00F173CC" w:rsidRDefault="00F173CC" w:rsidP="00F173CC">
      <w:pPr>
        <w:jc w:val="center"/>
        <w:rPr>
          <w:rFonts w:eastAsia="Times New Roman" w:cs="Arial"/>
          <w:szCs w:val="20"/>
          <w:lang w:val="es-ES"/>
        </w:rPr>
      </w:pPr>
      <w:r w:rsidRPr="00F173CC">
        <w:rPr>
          <w:rFonts w:eastAsia="Times New Roman" w:cs="Arial"/>
          <w:noProof/>
          <w:szCs w:val="20"/>
          <w:lang w:val="es-MX" w:eastAsia="es-MX"/>
        </w:rPr>
        <w:drawing>
          <wp:inline distT="0" distB="0" distL="0" distR="0" wp14:anchorId="40D9A75A" wp14:editId="78F60A4C">
            <wp:extent cx="5176520" cy="6108192"/>
            <wp:effectExtent l="0" t="0" r="5080" b="6985"/>
            <wp:docPr id="2" name="Gráfico 2">
              <a:extLst xmlns:a="http://schemas.openxmlformats.org/drawingml/2006/main">
                <a:ext uri="{FF2B5EF4-FFF2-40B4-BE49-F238E27FC236}">
                  <a16:creationId xmlns:a16="http://schemas.microsoft.com/office/drawing/2014/main" id="{2CCE1877-3155-4FBC-A465-910B17690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173CC" w:rsidRPr="00F173CC" w:rsidRDefault="00F173CC" w:rsidP="00F173CC">
      <w:pPr>
        <w:spacing w:before="20" w:after="0"/>
        <w:rPr>
          <w:rFonts w:eastAsia="Calibri" w:cstheme="minorBidi"/>
          <w:b/>
          <w:sz w:val="12"/>
          <w:szCs w:val="22"/>
          <w:lang w:val="es-MX" w:eastAsia="en-US"/>
        </w:rPr>
      </w:pPr>
    </w:p>
    <w:p w:rsidR="00F173CC" w:rsidRPr="00F173CC" w:rsidRDefault="00F173CC" w:rsidP="00F173CC">
      <w:pPr>
        <w:jc w:val="both"/>
        <w:rPr>
          <w:rFonts w:eastAsia="Times New Roman" w:cs="Arial"/>
          <w:szCs w:val="20"/>
          <w:lang w:val="es-MX"/>
        </w:rPr>
      </w:pPr>
    </w:p>
    <w:p w:rsidR="00F173CC" w:rsidRPr="00F173CC" w:rsidRDefault="00F173CC" w:rsidP="00F173CC">
      <w:pPr>
        <w:jc w:val="both"/>
        <w:rPr>
          <w:rFonts w:eastAsia="Times New Roman" w:cs="Arial"/>
          <w:szCs w:val="20"/>
          <w:lang w:val="es-ES"/>
        </w:rPr>
      </w:pPr>
      <w:r w:rsidRPr="00F173CC">
        <w:rPr>
          <w:rFonts w:eastAsia="Times New Roman" w:cs="Arial"/>
          <w:szCs w:val="20"/>
          <w:lang w:val="es-MX"/>
        </w:rPr>
        <w:t>Los</w:t>
      </w:r>
      <w:r w:rsidRPr="00F173CC">
        <w:rPr>
          <w:rFonts w:eastAsia="Times New Roman" w:cs="Arial"/>
          <w:szCs w:val="20"/>
          <w:lang w:val="es-ES"/>
        </w:rPr>
        <w:t xml:space="preserve"> tres principales temas sobre los cuales se han instrumentado los ASM concluidos fueron: Operación con 17 (17.2%), Otros con 16 ASM (16.2%) y Diseño con 11 ASM (11.1%). Cabe mencionar que algunos ASM abordan distintas temáticas, en este caso son 18 (18.2%) que tienen más de </w:t>
      </w:r>
      <w:r w:rsidRPr="00F173CC">
        <w:rPr>
          <w:rFonts w:eastAsia="Times New Roman" w:cs="Arial"/>
          <w:szCs w:val="20"/>
          <w:lang w:val="es-ES"/>
        </w:rPr>
        <w:lastRenderedPageBreak/>
        <w:t xml:space="preserve">un tema. De igual forma, respecto del nivel de prioridad, de los 99 ASM concluidos, 39 (39.4%) son de prioridad Alta; 47 (47.5%) son de Media; y 13 (13.1%) son de prioridad Baja. </w:t>
      </w:r>
    </w:p>
    <w:p w:rsidR="00F173CC" w:rsidRPr="00F173CC" w:rsidRDefault="00F173CC" w:rsidP="00F173CC">
      <w:pPr>
        <w:jc w:val="both"/>
        <w:rPr>
          <w:rFonts w:eastAsia="Times New Roman" w:cs="Arial"/>
          <w:b/>
          <w:szCs w:val="20"/>
          <w:lang w:val="es-MX"/>
        </w:rPr>
      </w:pPr>
    </w:p>
    <w:tbl>
      <w:tblPr>
        <w:tblW w:w="72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F173CC" w:rsidRPr="00F173CC" w:rsidTr="005F0F2C">
        <w:trPr>
          <w:trHeight w:val="465"/>
          <w:jc w:val="center"/>
        </w:trPr>
        <w:tc>
          <w:tcPr>
            <w:tcW w:w="7200" w:type="dxa"/>
            <w:gridSpan w:val="6"/>
            <w:tcBorders>
              <w:top w:val="nil"/>
              <w:left w:val="nil"/>
              <w:right w:val="nil"/>
            </w:tcBorders>
            <w:shd w:val="clear" w:color="auto" w:fill="auto"/>
            <w:vAlign w:val="bottom"/>
            <w:hideMark/>
          </w:tcPr>
          <w:p w:rsidR="00F173CC" w:rsidRPr="00F173CC" w:rsidRDefault="00F173CC" w:rsidP="00691AC1">
            <w:pPr>
              <w:pStyle w:val="CABEZA"/>
            </w:pPr>
            <w:r w:rsidRPr="00F173CC">
              <w:t>Tabla 10.  Temas a los que van dirigidos los ASM concluidos al primer trimestre de 2019</w:t>
            </w:r>
          </w:p>
        </w:tc>
      </w:tr>
      <w:tr w:rsidR="00F173CC" w:rsidRPr="00F173CC" w:rsidTr="005F0F2C">
        <w:trPr>
          <w:trHeight w:hRule="exact" w:val="57"/>
          <w:jc w:val="center"/>
        </w:trPr>
        <w:tc>
          <w:tcPr>
            <w:tcW w:w="1200"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200"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200"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200"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200"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c>
          <w:tcPr>
            <w:tcW w:w="1200" w:type="dxa"/>
            <w:tcBorders>
              <w:top w:val="nil"/>
              <w:left w:val="nil"/>
              <w:bottom w:val="single" w:sz="12" w:space="0" w:color="808080"/>
              <w:right w:val="nil"/>
            </w:tcBorders>
            <w:shd w:val="clear" w:color="auto" w:fill="auto"/>
            <w:vAlign w:val="bottom"/>
            <w:hideMark/>
          </w:tcPr>
          <w:p w:rsidR="00F173CC" w:rsidRPr="00F173CC" w:rsidRDefault="00F173CC" w:rsidP="00F173CC">
            <w:pPr>
              <w:spacing w:after="0"/>
              <w:rPr>
                <w:rFonts w:ascii="Monserrat" w:eastAsia="Times New Roman" w:hAnsi="Monserrat" w:cs="Calibri"/>
                <w:b/>
                <w:bCs/>
                <w:sz w:val="16"/>
                <w:szCs w:val="16"/>
                <w:lang w:val="es-MX" w:eastAsia="es-MX"/>
              </w:rPr>
            </w:pPr>
            <w:r w:rsidRPr="00F173CC">
              <w:rPr>
                <w:rFonts w:ascii="Monserrat" w:eastAsia="Times New Roman" w:hAnsi="Monserrat" w:cs="Calibri"/>
                <w:b/>
                <w:bCs/>
                <w:sz w:val="16"/>
                <w:szCs w:val="16"/>
                <w:lang w:val="es-MX" w:eastAsia="es-MX"/>
              </w:rPr>
              <w:t> </w:t>
            </w:r>
          </w:p>
        </w:tc>
      </w:tr>
      <w:tr w:rsidR="00F173CC" w:rsidRPr="00F173CC" w:rsidTr="005F0F2C">
        <w:trPr>
          <w:trHeight w:val="300"/>
          <w:jc w:val="center"/>
        </w:trPr>
        <w:tc>
          <w:tcPr>
            <w:tcW w:w="1200"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Tema</w:t>
            </w:r>
          </w:p>
        </w:tc>
        <w:tc>
          <w:tcPr>
            <w:tcW w:w="1200"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Baja</w:t>
            </w:r>
          </w:p>
        </w:tc>
        <w:tc>
          <w:tcPr>
            <w:tcW w:w="1200"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Media</w:t>
            </w:r>
          </w:p>
        </w:tc>
        <w:tc>
          <w:tcPr>
            <w:tcW w:w="1200"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Alta</w:t>
            </w:r>
          </w:p>
        </w:tc>
        <w:tc>
          <w:tcPr>
            <w:tcW w:w="1200"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Total</w:t>
            </w:r>
          </w:p>
        </w:tc>
        <w:tc>
          <w:tcPr>
            <w:tcW w:w="1200" w:type="dxa"/>
            <w:tcBorders>
              <w:top w:val="single" w:sz="12" w:space="0" w:color="808080"/>
              <w:left w:val="nil"/>
              <w:right w:val="nil"/>
            </w:tcBorders>
            <w:shd w:val="clear" w:color="000000" w:fill="D4C19C"/>
            <w:noWrap/>
            <w:vAlign w:val="center"/>
            <w:hideMark/>
          </w:tcPr>
          <w:p w:rsidR="00F173CC" w:rsidRPr="00F173CC" w:rsidRDefault="00F173CC" w:rsidP="00691AC1">
            <w:pPr>
              <w:pStyle w:val="SUBCAB7"/>
              <w:rPr>
                <w:lang w:eastAsia="es-MX"/>
              </w:rPr>
            </w:pPr>
            <w:r w:rsidRPr="00F173CC">
              <w:rPr>
                <w:lang w:eastAsia="es-MX"/>
              </w:rPr>
              <w:t>% del Total</w:t>
            </w:r>
          </w:p>
        </w:tc>
      </w:tr>
      <w:tr w:rsidR="00F173CC" w:rsidRPr="00F173CC" w:rsidTr="005F0F2C">
        <w:trPr>
          <w:trHeight w:hRule="exact" w:val="57"/>
          <w:jc w:val="center"/>
        </w:trPr>
        <w:tc>
          <w:tcPr>
            <w:tcW w:w="1200"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nil"/>
              <w:left w:val="nil"/>
              <w:bottom w:val="single" w:sz="12" w:space="0" w:color="8080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F173CC" w:rsidRPr="00F173CC" w:rsidTr="005F0F2C">
        <w:trPr>
          <w:trHeight w:hRule="exact" w:val="57"/>
          <w:jc w:val="center"/>
        </w:trPr>
        <w:tc>
          <w:tcPr>
            <w:tcW w:w="1200"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jc w:val="center"/>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c>
          <w:tcPr>
            <w:tcW w:w="1200" w:type="dxa"/>
            <w:tcBorders>
              <w:top w:val="single" w:sz="12" w:space="0" w:color="808080"/>
              <w:left w:val="nil"/>
              <w:bottom w:val="single" w:sz="12" w:space="0" w:color="808080"/>
              <w:right w:val="nil"/>
            </w:tcBorders>
            <w:shd w:val="clear" w:color="auto" w:fill="auto"/>
            <w:noWrap/>
            <w:vAlign w:val="center"/>
            <w:hideMark/>
          </w:tcPr>
          <w:p w:rsidR="00F173CC" w:rsidRPr="00F173CC" w:rsidRDefault="00F173CC" w:rsidP="00F173CC">
            <w:pPr>
              <w:spacing w:after="0"/>
              <w:rPr>
                <w:rFonts w:ascii="Monserrat" w:eastAsia="Times New Roman" w:hAnsi="Monserrat" w:cs="Calibri"/>
                <w:b/>
                <w:bCs/>
                <w:color w:val="FFFFFF"/>
                <w:sz w:val="14"/>
                <w:szCs w:val="14"/>
                <w:lang w:val="es-MX" w:eastAsia="es-MX"/>
              </w:rPr>
            </w:pPr>
            <w:r w:rsidRPr="00F173CC">
              <w:rPr>
                <w:rFonts w:ascii="Monserrat" w:eastAsia="Times New Roman" w:hAnsi="Monserrat" w:cs="Calibri"/>
                <w:b/>
                <w:bCs/>
                <w:color w:val="FFFFFF"/>
                <w:sz w:val="14"/>
                <w:szCs w:val="14"/>
                <w:lang w:val="es-MX" w:eastAsia="es-MX"/>
              </w:rPr>
              <w:t> </w:t>
            </w:r>
          </w:p>
        </w:tc>
      </w:tr>
      <w:tr w:rsidR="00F173CC" w:rsidRPr="00F173CC" w:rsidTr="00CA676E">
        <w:trPr>
          <w:trHeight w:val="300"/>
          <w:jc w:val="center"/>
        </w:trPr>
        <w:tc>
          <w:tcPr>
            <w:tcW w:w="1200" w:type="dxa"/>
            <w:tcBorders>
              <w:top w:val="single" w:sz="12" w:space="0" w:color="808080"/>
              <w:left w:val="nil"/>
              <w:bottom w:val="nil"/>
              <w:right w:val="nil"/>
            </w:tcBorders>
            <w:shd w:val="clear" w:color="auto" w:fill="F2F2F2" w:themeFill="background1" w:themeFillShade="F2"/>
            <w:noWrap/>
            <w:vAlign w:val="center"/>
            <w:hideMark/>
          </w:tcPr>
          <w:p w:rsidR="00F173CC" w:rsidRPr="00367B1F" w:rsidRDefault="00F173CC" w:rsidP="00F173CC">
            <w:pPr>
              <w:spacing w:after="0"/>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Cobertura</w:t>
            </w:r>
          </w:p>
        </w:tc>
        <w:tc>
          <w:tcPr>
            <w:tcW w:w="1200" w:type="dxa"/>
            <w:tcBorders>
              <w:top w:val="single" w:sz="12" w:space="0" w:color="808080"/>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 </w:t>
            </w:r>
          </w:p>
        </w:tc>
        <w:tc>
          <w:tcPr>
            <w:tcW w:w="1200" w:type="dxa"/>
            <w:tcBorders>
              <w:top w:val="single" w:sz="12" w:space="0" w:color="808080"/>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3</w:t>
            </w:r>
          </w:p>
        </w:tc>
        <w:tc>
          <w:tcPr>
            <w:tcW w:w="1200" w:type="dxa"/>
            <w:tcBorders>
              <w:top w:val="single" w:sz="12" w:space="0" w:color="808080"/>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6</w:t>
            </w:r>
          </w:p>
        </w:tc>
        <w:tc>
          <w:tcPr>
            <w:tcW w:w="1200" w:type="dxa"/>
            <w:tcBorders>
              <w:top w:val="single" w:sz="12" w:space="0" w:color="808080"/>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9</w:t>
            </w:r>
          </w:p>
        </w:tc>
        <w:tc>
          <w:tcPr>
            <w:tcW w:w="1200" w:type="dxa"/>
            <w:tcBorders>
              <w:top w:val="single" w:sz="12" w:space="0" w:color="808080"/>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9.1</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Diseño</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5</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5</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11</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11.1</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Ejecución</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 </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2</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2.0</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Evaluación</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 </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5</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6</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6.1</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Indicadores</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7</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2</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10</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10.1</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Operación</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2</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8</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7</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17</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17.2</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Otros</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4</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9</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3</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16</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16.2</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Planeación</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3</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3</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7</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7.1</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Resultado</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2</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 </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3</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3.0</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Más de un Tema</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 </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10</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8</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18</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18.2</w:t>
            </w:r>
          </w:p>
        </w:tc>
      </w:tr>
      <w:tr w:rsidR="00F173CC" w:rsidRPr="00F173CC" w:rsidTr="00CA676E">
        <w:trPr>
          <w:trHeight w:val="300"/>
          <w:jc w:val="center"/>
        </w:trPr>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rPr>
                <w:rFonts w:ascii="Montserrat" w:eastAsia="Times New Roman" w:hAnsi="Montserrat" w:cs="Calibri"/>
                <w:b/>
                <w:bCs/>
                <w:color w:val="000000"/>
                <w:sz w:val="12"/>
                <w:szCs w:val="12"/>
                <w:lang w:val="es-MX" w:eastAsia="es-MX"/>
              </w:rPr>
            </w:pPr>
            <w:r w:rsidRPr="00367B1F">
              <w:rPr>
                <w:rFonts w:ascii="Montserrat" w:eastAsia="Times New Roman" w:hAnsi="Montserrat" w:cs="Calibri"/>
                <w:b/>
                <w:bCs/>
                <w:color w:val="000000"/>
                <w:sz w:val="12"/>
                <w:szCs w:val="12"/>
                <w:lang w:val="es-MX" w:eastAsia="es-MX"/>
              </w:rPr>
              <w:t>Total</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b/>
                <w:bCs/>
                <w:color w:val="000000"/>
                <w:sz w:val="12"/>
                <w:szCs w:val="12"/>
                <w:lang w:val="es-MX" w:eastAsia="es-MX"/>
              </w:rPr>
            </w:pPr>
            <w:r w:rsidRPr="00367B1F">
              <w:rPr>
                <w:rFonts w:ascii="Montserrat" w:eastAsia="Times New Roman" w:hAnsi="Montserrat" w:cs="Calibri"/>
                <w:b/>
                <w:bCs/>
                <w:color w:val="000000"/>
                <w:sz w:val="12"/>
                <w:szCs w:val="12"/>
                <w:lang w:val="es-MX" w:eastAsia="es-MX"/>
              </w:rPr>
              <w:t>13</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b/>
                <w:bCs/>
                <w:color w:val="000000"/>
                <w:sz w:val="12"/>
                <w:szCs w:val="12"/>
                <w:lang w:val="es-MX" w:eastAsia="es-MX"/>
              </w:rPr>
            </w:pPr>
            <w:r w:rsidRPr="00367B1F">
              <w:rPr>
                <w:rFonts w:ascii="Montserrat" w:eastAsia="Times New Roman" w:hAnsi="Montserrat" w:cs="Calibri"/>
                <w:b/>
                <w:bCs/>
                <w:color w:val="000000"/>
                <w:sz w:val="12"/>
                <w:szCs w:val="12"/>
                <w:lang w:val="es-MX" w:eastAsia="es-MX"/>
              </w:rPr>
              <w:t>47</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b/>
                <w:bCs/>
                <w:color w:val="000000"/>
                <w:sz w:val="12"/>
                <w:szCs w:val="12"/>
                <w:lang w:val="es-MX" w:eastAsia="es-MX"/>
              </w:rPr>
            </w:pPr>
            <w:r w:rsidRPr="00367B1F">
              <w:rPr>
                <w:rFonts w:ascii="Montserrat" w:eastAsia="Times New Roman" w:hAnsi="Montserrat" w:cs="Calibri"/>
                <w:b/>
                <w:bCs/>
                <w:color w:val="000000"/>
                <w:sz w:val="12"/>
                <w:szCs w:val="12"/>
                <w:lang w:val="es-MX" w:eastAsia="es-MX"/>
              </w:rPr>
              <w:t>39</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b/>
                <w:bCs/>
                <w:color w:val="000000"/>
                <w:sz w:val="12"/>
                <w:szCs w:val="12"/>
                <w:lang w:val="es-MX" w:eastAsia="es-MX"/>
              </w:rPr>
            </w:pPr>
            <w:r w:rsidRPr="00367B1F">
              <w:rPr>
                <w:rFonts w:ascii="Montserrat" w:eastAsia="Times New Roman" w:hAnsi="Montserrat" w:cs="Calibri"/>
                <w:b/>
                <w:bCs/>
                <w:color w:val="000000"/>
                <w:sz w:val="12"/>
                <w:szCs w:val="12"/>
                <w:lang w:val="es-MX" w:eastAsia="es-MX"/>
              </w:rPr>
              <w:t>99</w:t>
            </w:r>
          </w:p>
        </w:tc>
        <w:tc>
          <w:tcPr>
            <w:tcW w:w="1200" w:type="dxa"/>
            <w:tcBorders>
              <w:top w:val="nil"/>
              <w:left w:val="nil"/>
              <w:bottom w:val="nil"/>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b/>
                <w:bCs/>
                <w:color w:val="000000"/>
                <w:sz w:val="12"/>
                <w:szCs w:val="12"/>
                <w:lang w:val="es-MX" w:eastAsia="es-MX"/>
              </w:rPr>
            </w:pPr>
            <w:r w:rsidRPr="00367B1F">
              <w:rPr>
                <w:rFonts w:ascii="Montserrat" w:eastAsia="Times New Roman" w:hAnsi="Montserrat" w:cs="Calibri"/>
                <w:b/>
                <w:bCs/>
                <w:color w:val="000000"/>
                <w:sz w:val="12"/>
                <w:szCs w:val="12"/>
                <w:lang w:val="es-MX" w:eastAsia="es-MX"/>
              </w:rPr>
              <w:t>100</w:t>
            </w:r>
          </w:p>
        </w:tc>
      </w:tr>
      <w:tr w:rsidR="00F173CC" w:rsidRPr="00F173CC" w:rsidTr="00CA676E">
        <w:trPr>
          <w:trHeight w:val="315"/>
          <w:jc w:val="center"/>
        </w:trPr>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367B1F" w:rsidRDefault="00F173CC" w:rsidP="00F173CC">
            <w:pPr>
              <w:spacing w:after="0"/>
              <w:rPr>
                <w:rFonts w:ascii="Montserrat" w:eastAsia="Times New Roman" w:hAnsi="Montserrat" w:cs="Calibri"/>
                <w:b/>
                <w:bCs/>
                <w:color w:val="000000"/>
                <w:sz w:val="12"/>
                <w:szCs w:val="12"/>
                <w:lang w:val="es-MX" w:eastAsia="es-MX"/>
              </w:rPr>
            </w:pPr>
            <w:r w:rsidRPr="00367B1F">
              <w:rPr>
                <w:rFonts w:ascii="Montserrat" w:eastAsia="Times New Roman" w:hAnsi="Montserrat" w:cs="Calibri"/>
                <w:b/>
                <w:bCs/>
                <w:color w:val="000000"/>
                <w:sz w:val="12"/>
                <w:szCs w:val="12"/>
                <w:lang w:val="es-MX" w:eastAsia="es-MX"/>
              </w:rPr>
              <w:t>% del Total</w:t>
            </w:r>
          </w:p>
        </w:tc>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b/>
                <w:bCs/>
                <w:color w:val="000000"/>
                <w:sz w:val="12"/>
                <w:szCs w:val="12"/>
                <w:lang w:val="es-MX" w:eastAsia="es-MX"/>
              </w:rPr>
            </w:pPr>
            <w:r w:rsidRPr="00367B1F">
              <w:rPr>
                <w:rFonts w:ascii="Montserrat" w:eastAsia="Times New Roman" w:hAnsi="Montserrat" w:cs="Calibri"/>
                <w:b/>
                <w:bCs/>
                <w:color w:val="000000"/>
                <w:sz w:val="12"/>
                <w:szCs w:val="12"/>
                <w:lang w:val="es-MX" w:eastAsia="es-MX"/>
              </w:rPr>
              <w:t>13.1</w:t>
            </w:r>
          </w:p>
        </w:tc>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b/>
                <w:bCs/>
                <w:color w:val="000000"/>
                <w:sz w:val="12"/>
                <w:szCs w:val="12"/>
                <w:lang w:val="es-MX" w:eastAsia="es-MX"/>
              </w:rPr>
            </w:pPr>
            <w:r w:rsidRPr="00367B1F">
              <w:rPr>
                <w:rFonts w:ascii="Montserrat" w:eastAsia="Times New Roman" w:hAnsi="Montserrat" w:cs="Calibri"/>
                <w:b/>
                <w:bCs/>
                <w:color w:val="000000"/>
                <w:sz w:val="12"/>
                <w:szCs w:val="12"/>
                <w:lang w:val="es-MX" w:eastAsia="es-MX"/>
              </w:rPr>
              <w:t>47.5</w:t>
            </w:r>
          </w:p>
        </w:tc>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b/>
                <w:bCs/>
                <w:color w:val="000000"/>
                <w:sz w:val="12"/>
                <w:szCs w:val="12"/>
                <w:lang w:val="es-MX" w:eastAsia="es-MX"/>
              </w:rPr>
            </w:pPr>
            <w:r w:rsidRPr="00367B1F">
              <w:rPr>
                <w:rFonts w:ascii="Montserrat" w:eastAsia="Times New Roman" w:hAnsi="Montserrat" w:cs="Calibri"/>
                <w:b/>
                <w:bCs/>
                <w:color w:val="000000"/>
                <w:sz w:val="12"/>
                <w:szCs w:val="12"/>
                <w:lang w:val="es-MX" w:eastAsia="es-MX"/>
              </w:rPr>
              <w:t>39.4</w:t>
            </w:r>
          </w:p>
        </w:tc>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367B1F" w:rsidRDefault="00F173CC" w:rsidP="00F173CC">
            <w:pPr>
              <w:spacing w:after="0"/>
              <w:jc w:val="center"/>
              <w:rPr>
                <w:rFonts w:ascii="Montserrat" w:eastAsia="Times New Roman" w:hAnsi="Montserrat" w:cs="Calibri"/>
                <w:b/>
                <w:bCs/>
                <w:color w:val="000000"/>
                <w:sz w:val="12"/>
                <w:szCs w:val="12"/>
                <w:lang w:val="es-MX" w:eastAsia="es-MX"/>
              </w:rPr>
            </w:pPr>
            <w:r w:rsidRPr="00367B1F">
              <w:rPr>
                <w:rFonts w:ascii="Montserrat" w:eastAsia="Times New Roman" w:hAnsi="Montserrat" w:cs="Calibri"/>
                <w:b/>
                <w:bCs/>
                <w:color w:val="000000"/>
                <w:sz w:val="12"/>
                <w:szCs w:val="12"/>
                <w:lang w:val="es-MX" w:eastAsia="es-MX"/>
              </w:rPr>
              <w:t>100</w:t>
            </w:r>
          </w:p>
        </w:tc>
        <w:tc>
          <w:tcPr>
            <w:tcW w:w="1200" w:type="dxa"/>
            <w:tcBorders>
              <w:top w:val="nil"/>
              <w:left w:val="nil"/>
              <w:bottom w:val="single" w:sz="8" w:space="0" w:color="808080"/>
              <w:right w:val="nil"/>
            </w:tcBorders>
            <w:shd w:val="clear" w:color="auto" w:fill="F2F2F2" w:themeFill="background1" w:themeFillShade="F2"/>
            <w:noWrap/>
            <w:vAlign w:val="center"/>
            <w:hideMark/>
          </w:tcPr>
          <w:p w:rsidR="00F173CC" w:rsidRPr="00367B1F" w:rsidRDefault="00F173CC" w:rsidP="00F173CC">
            <w:pPr>
              <w:spacing w:after="0"/>
              <w:rPr>
                <w:rFonts w:ascii="Montserrat" w:eastAsia="Times New Roman" w:hAnsi="Montserrat" w:cs="Calibri"/>
                <w:color w:val="000000"/>
                <w:sz w:val="12"/>
                <w:szCs w:val="12"/>
                <w:lang w:val="es-MX" w:eastAsia="es-MX"/>
              </w:rPr>
            </w:pPr>
            <w:r w:rsidRPr="00367B1F">
              <w:rPr>
                <w:rFonts w:ascii="Montserrat" w:eastAsia="Times New Roman" w:hAnsi="Montserrat" w:cs="Calibri"/>
                <w:color w:val="000000"/>
                <w:sz w:val="12"/>
                <w:szCs w:val="12"/>
                <w:lang w:val="es-MX" w:eastAsia="es-MX"/>
              </w:rPr>
              <w:t> </w:t>
            </w:r>
          </w:p>
        </w:tc>
      </w:tr>
      <w:tr w:rsidR="00F173CC" w:rsidRPr="00F173CC" w:rsidTr="00CA676E">
        <w:trPr>
          <w:trHeight w:val="315"/>
          <w:jc w:val="center"/>
        </w:trPr>
        <w:tc>
          <w:tcPr>
            <w:tcW w:w="7200" w:type="dxa"/>
            <w:gridSpan w:val="6"/>
            <w:tcBorders>
              <w:top w:val="nil"/>
              <w:left w:val="nil"/>
              <w:bottom w:val="nil"/>
              <w:right w:val="nil"/>
            </w:tcBorders>
            <w:shd w:val="clear" w:color="auto" w:fill="auto"/>
            <w:hideMark/>
          </w:tcPr>
          <w:p w:rsidR="00F173CC" w:rsidRPr="00367B1F" w:rsidRDefault="00F173CC" w:rsidP="00F173CC">
            <w:pPr>
              <w:spacing w:after="0"/>
              <w:rPr>
                <w:rFonts w:ascii="Montserrat" w:eastAsia="Times New Roman" w:hAnsi="Montserrat" w:cs="Calibri"/>
                <w:color w:val="000000"/>
                <w:sz w:val="12"/>
                <w:szCs w:val="12"/>
                <w:lang w:val="es-MX" w:eastAsia="es-MX"/>
              </w:rPr>
            </w:pPr>
            <w:r w:rsidRPr="00367B1F">
              <w:rPr>
                <w:rFonts w:ascii="Montserrat" w:eastAsia="Times New Roman" w:hAnsi="Montserrat" w:cs="Calibri"/>
                <w:b/>
                <w:bCs/>
                <w:color w:val="000000"/>
                <w:sz w:val="12"/>
                <w:szCs w:val="12"/>
                <w:lang w:val="es-MX" w:eastAsia="es-MX"/>
              </w:rPr>
              <w:t>Fuente</w:t>
            </w:r>
            <w:r w:rsidRPr="00367B1F">
              <w:rPr>
                <w:rFonts w:ascii="Montserrat" w:eastAsia="Times New Roman" w:hAnsi="Montserrat" w:cs="Calibri"/>
                <w:color w:val="000000"/>
                <w:sz w:val="12"/>
                <w:szCs w:val="12"/>
                <w:lang w:val="es-MX" w:eastAsia="es-MX"/>
              </w:rPr>
              <w:t>: Unidad de Evaluación del Desempeño, con Información proporcionada por las dependencias y entidades de la APF al CONEVAL.</w:t>
            </w:r>
          </w:p>
        </w:tc>
      </w:tr>
    </w:tbl>
    <w:p w:rsidR="00F173CC" w:rsidRPr="00F173CC" w:rsidRDefault="00F173CC" w:rsidP="00F173CC">
      <w:pPr>
        <w:keepNext/>
        <w:keepLines/>
        <w:outlineLvl w:val="0"/>
        <w:rPr>
          <w:sz w:val="20"/>
          <w:lang w:val="es-MX"/>
        </w:rPr>
      </w:pPr>
    </w:p>
    <w:p w:rsidR="00F173CC" w:rsidRPr="00F173CC" w:rsidRDefault="00F173CC" w:rsidP="00F173CC">
      <w:pPr>
        <w:keepNext/>
        <w:keepLines/>
        <w:outlineLvl w:val="0"/>
        <w:rPr>
          <w:sz w:val="20"/>
        </w:rPr>
      </w:pPr>
    </w:p>
    <w:p w:rsidR="00F173CC" w:rsidRPr="00F173CC" w:rsidRDefault="00F173CC" w:rsidP="00F173CC">
      <w:pPr>
        <w:keepNext/>
        <w:keepLines/>
        <w:outlineLvl w:val="0"/>
        <w:rPr>
          <w:sz w:val="20"/>
        </w:rPr>
      </w:pPr>
    </w:p>
    <w:p w:rsidR="00F173CC" w:rsidRPr="00F173CC" w:rsidRDefault="00F173CC" w:rsidP="00F173CC">
      <w:pPr>
        <w:keepNext/>
        <w:keepLines/>
        <w:outlineLvl w:val="0"/>
        <w:rPr>
          <w:sz w:val="20"/>
        </w:rPr>
      </w:pPr>
    </w:p>
    <w:p w:rsidR="00F173CC" w:rsidRPr="003C7433" w:rsidRDefault="00F173CC" w:rsidP="00C41D50">
      <w:pPr>
        <w:rPr>
          <w:lang w:val="es-MX"/>
        </w:rPr>
      </w:pPr>
    </w:p>
    <w:sectPr w:rsidR="00F173CC" w:rsidRPr="003C7433" w:rsidSect="00C41D50">
      <w:headerReference w:type="even" r:id="rId19"/>
      <w:headerReference w:type="default" r:id="rId20"/>
      <w:footerReference w:type="even" r:id="rId21"/>
      <w:footerReference w:type="default" r:id="rId22"/>
      <w:type w:val="nextColumn"/>
      <w:pgSz w:w="12240" w:h="15840" w:code="1"/>
      <w:pgMar w:top="992" w:right="1134" w:bottom="1247" w:left="1134" w:header="567" w:footer="709" w:gutter="0"/>
      <w:cols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D1C" w:rsidRDefault="00AE1D1C" w:rsidP="008A5271">
      <w:r>
        <w:separator/>
      </w:r>
    </w:p>
  </w:endnote>
  <w:endnote w:type="continuationSeparator" w:id="0">
    <w:p w:rsidR="00AE1D1C" w:rsidRDefault="00AE1D1C"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PresidenciaFuert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Caslon Pro">
    <w:panose1 w:val="0205050205050A020403"/>
    <w:charset w:val="00"/>
    <w:family w:val="roman"/>
    <w:notTrueType/>
    <w:pitch w:val="variable"/>
    <w:sig w:usb0="800000AF" w:usb1="5000205B" w:usb2="00000000" w:usb3="00000000" w:csb0="0000009B" w:csb1="00000000"/>
  </w:font>
  <w:font w:name="Soberana Sans">
    <w:panose1 w:val="02000000000000000000"/>
    <w:charset w:val="00"/>
    <w:family w:val="modern"/>
    <w:notTrueType/>
    <w:pitch w:val="variable"/>
    <w:sig w:usb0="800000AF" w:usb1="4000204B"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residencia Base">
    <w:altName w:val="Cambria"/>
    <w:panose1 w:val="00000000000000000000"/>
    <w:charset w:val="00"/>
    <w:family w:val="modern"/>
    <w:notTrueType/>
    <w:pitch w:val="variable"/>
    <w:sig w:usb0="800000AF" w:usb1="4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Pr="004A0C69" w:rsidRDefault="00CB7065"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Pr>
        <w:rStyle w:val="Nmerodepgina"/>
        <w:noProof/>
        <w:sz w:val="20"/>
        <w:szCs w:val="20"/>
      </w:rPr>
      <w:t>26</w:t>
    </w:r>
    <w:r w:rsidRPr="004A0C69">
      <w:rPr>
        <w:rStyle w:val="Nmerodepgina"/>
        <w:sz w:val="20"/>
        <w:szCs w:val="20"/>
      </w:rPr>
      <w:fldChar w:fldCharType="end"/>
    </w:r>
  </w:p>
  <w:p w:rsidR="00CB7065" w:rsidRDefault="00CB70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Pr="00B82D09" w:rsidRDefault="00CB7065" w:rsidP="00D900BA">
    <w:pPr>
      <w:pStyle w:val="Piedepgina"/>
      <w:framePr w:wrap="around" w:vAnchor="text" w:hAnchor="margin" w:xAlign="center" w:y="1"/>
      <w:rPr>
        <w:rStyle w:val="Nmerodepgina"/>
        <w:rFonts w:ascii="Montserrat" w:hAnsi="Montserrat"/>
        <w:sz w:val="20"/>
        <w:szCs w:val="20"/>
      </w:rPr>
    </w:pPr>
    <w:r w:rsidRPr="00B82D09">
      <w:rPr>
        <w:rStyle w:val="Nmerodepgina"/>
        <w:rFonts w:ascii="Montserrat" w:hAnsi="Montserrat"/>
        <w:sz w:val="20"/>
        <w:szCs w:val="20"/>
      </w:rPr>
      <w:fldChar w:fldCharType="begin"/>
    </w:r>
    <w:r w:rsidRPr="00B82D09">
      <w:rPr>
        <w:rStyle w:val="Nmerodepgina"/>
        <w:rFonts w:ascii="Montserrat" w:hAnsi="Montserrat"/>
        <w:sz w:val="20"/>
        <w:szCs w:val="20"/>
      </w:rPr>
      <w:instrText xml:space="preserve">PAGE  </w:instrText>
    </w:r>
    <w:r w:rsidRPr="00B82D09">
      <w:rPr>
        <w:rStyle w:val="Nmerodepgina"/>
        <w:rFonts w:ascii="Montserrat" w:hAnsi="Montserrat"/>
        <w:sz w:val="20"/>
        <w:szCs w:val="20"/>
      </w:rPr>
      <w:fldChar w:fldCharType="separate"/>
    </w:r>
    <w:r>
      <w:rPr>
        <w:rStyle w:val="Nmerodepgina"/>
        <w:rFonts w:ascii="Montserrat" w:hAnsi="Montserrat"/>
        <w:noProof/>
        <w:sz w:val="20"/>
        <w:szCs w:val="20"/>
      </w:rPr>
      <w:t>25</w:t>
    </w:r>
    <w:r w:rsidRPr="00B82D09">
      <w:rPr>
        <w:rStyle w:val="Nmerodepgina"/>
        <w:rFonts w:ascii="Montserrat" w:hAnsi="Montserrat"/>
        <w:sz w:val="20"/>
        <w:szCs w:val="20"/>
      </w:rPr>
      <w:fldChar w:fldCharType="end"/>
    </w:r>
  </w:p>
  <w:p w:rsidR="00CB7065" w:rsidRPr="00B82D09" w:rsidRDefault="00CB7065" w:rsidP="009215C1">
    <w:pPr>
      <w:pStyle w:val="Piedepgina"/>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D1C" w:rsidRDefault="00AE1D1C" w:rsidP="008A5271">
      <w:r>
        <w:separator/>
      </w:r>
    </w:p>
  </w:footnote>
  <w:footnote w:type="continuationSeparator" w:id="0">
    <w:p w:rsidR="00AE1D1C" w:rsidRDefault="00AE1D1C" w:rsidP="008A5271">
      <w:r>
        <w:continuationSeparator/>
      </w:r>
    </w:p>
  </w:footnote>
  <w:footnote w:id="1">
    <w:p w:rsidR="00CB7065" w:rsidRPr="00021D2A" w:rsidRDefault="00CB7065" w:rsidP="00F173CC">
      <w:pPr>
        <w:pStyle w:val="Textonotapie"/>
        <w:jc w:val="both"/>
        <w:rPr>
          <w:sz w:val="16"/>
          <w:lang w:val="es-MX"/>
        </w:rPr>
      </w:pPr>
      <w:r>
        <w:rPr>
          <w:rStyle w:val="Refdenotaalpie"/>
        </w:rPr>
        <w:t>1_/</w:t>
      </w:r>
      <w:r>
        <w:t xml:space="preserve"> </w:t>
      </w:r>
      <w:r w:rsidRPr="00021D2A">
        <w:rPr>
          <w:sz w:val="16"/>
        </w:rPr>
        <w:t>Con base en el Decreto por el que se reforman y adicionan diversas disposiciones a la Ley General de Contabilidad Gubernamental y a la Ley Federal de Presupuesto y Responsabilidad Hacendaria publicado en el Diario Oficial de la Federación el 30 de diciembre de 2015, se establece en el artículo Sexto Transitorio del mismo, que los trámites que se hayan iniciado ante la SFP en materia del Sistema de Evaluación del Desempeño serán concluidos por la SHCP, por lo que en este Informe se consideran exclusivamente a la SHCP y al CONEVAL como instancias coordinadoras del seguimiento a los ASM.</w:t>
      </w:r>
    </w:p>
  </w:footnote>
  <w:footnote w:id="2">
    <w:p w:rsidR="00CB7065" w:rsidRPr="00021D2A" w:rsidRDefault="00CB7065" w:rsidP="00F173CC">
      <w:pPr>
        <w:pStyle w:val="Textonotapie"/>
        <w:rPr>
          <w:sz w:val="16"/>
          <w:lang w:val="es-MX"/>
        </w:rPr>
      </w:pPr>
      <w:r>
        <w:rPr>
          <w:rStyle w:val="Refdenotaalpie"/>
        </w:rPr>
        <w:t>2_/</w:t>
      </w:r>
      <w:r>
        <w:t xml:space="preserve"> </w:t>
      </w:r>
      <w:r w:rsidRPr="00021D2A">
        <w:rPr>
          <w:sz w:val="16"/>
        </w:rPr>
        <w:t xml:space="preserve">Estos ASM son resultado de las Fichas de Monitoreo y Evaluación; asimismo, se incluyen ASM derivados de otros ejercicios de evaluación, tales como Evaluación de Satisfacción de Usuarios, Actualizaciones al Diagnóstico de los </w:t>
      </w:r>
      <w:r w:rsidRPr="00021D2A">
        <w:rPr>
          <w:sz w:val="16"/>
        </w:rPr>
        <w:t>Pp, Estudios de cobertura, etc., que coordinó el CONEVAL.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Default="00CB7065" w:rsidP="003416B0">
    <w:pPr>
      <w:pStyle w:val="Encabezado"/>
      <w:tabs>
        <w:tab w:val="left" w:pos="9781"/>
      </w:tabs>
      <w:spacing w:before="120" w:after="0"/>
    </w:pPr>
    <w:r w:rsidRPr="00900D51">
      <w:rPr>
        <w:noProof/>
        <w:lang w:val="es-MX" w:eastAsia="es-MX"/>
      </w:rPr>
      <w:drawing>
        <wp:inline distT="0" distB="0" distL="0" distR="0" wp14:anchorId="2FBE2B2F" wp14:editId="2D8B79CD">
          <wp:extent cx="1305496" cy="347349"/>
          <wp:effectExtent l="0" t="0" r="9525" b="0"/>
          <wp:docPr id="18" name="Imagen 18" descr="C:\Users\DOLORE~1\AppData\Local\Temp\Rar$DIa0.901\Firma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LORE~1\AppData\Local\Temp\Rar$DIa0.901\Firmas-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2835" cy="383890"/>
                  </a:xfrm>
                  <a:prstGeom prst="rect">
                    <a:avLst/>
                  </a:prstGeom>
                  <a:noFill/>
                  <a:ln>
                    <a:noFill/>
                  </a:ln>
                </pic:spPr>
              </pic:pic>
            </a:graphicData>
          </a:graphic>
        </wp:inline>
      </w:drawing>
    </w:r>
  </w:p>
  <w:p w:rsidR="00CB7065" w:rsidRDefault="00CB7065" w:rsidP="00541800">
    <w:pPr>
      <w:pStyle w:val="Encabezado"/>
      <w:tabs>
        <w:tab w:val="left" w:pos="9781"/>
      </w:tabs>
      <w:spacing w:after="0"/>
    </w:pPr>
  </w:p>
  <w:p w:rsidR="00CB7065" w:rsidRDefault="00CB7065" w:rsidP="003416B0">
    <w:pPr>
      <w:pStyle w:val="Encabezado"/>
      <w:tabs>
        <w:tab w:val="left" w:pos="9781"/>
      </w:tabs>
      <w:spacing w:after="0"/>
    </w:pPr>
    <w:r w:rsidRPr="004E3E5B">
      <w:rPr>
        <w:noProof/>
        <w:lang w:val="es-MX" w:eastAsia="es-MX"/>
      </w:rPr>
      <mc:AlternateContent>
        <mc:Choice Requires="wps">
          <w:drawing>
            <wp:anchor distT="0" distB="0" distL="114300" distR="114300" simplePos="0" relativeHeight="251665920" behindDoc="0" locked="0" layoutInCell="1" allowOverlap="1" wp14:anchorId="5ACC6B23" wp14:editId="6F370A5C">
              <wp:simplePos x="0" y="0"/>
              <wp:positionH relativeFrom="column">
                <wp:posOffset>0</wp:posOffset>
              </wp:positionH>
              <wp:positionV relativeFrom="paragraph">
                <wp:posOffset>112818</wp:posOffset>
              </wp:positionV>
              <wp:extent cx="6335395" cy="0"/>
              <wp:effectExtent l="0" t="19050" r="46355" b="38100"/>
              <wp:wrapNone/>
              <wp:docPr id="6" name="Conector recto 6"/>
              <wp:cNvGraphicFramePr/>
              <a:graphic xmlns:a="http://schemas.openxmlformats.org/drawingml/2006/main">
                <a:graphicData uri="http://schemas.microsoft.com/office/word/2010/wordprocessingShape">
                  <wps:wsp>
                    <wps:cNvCnPr/>
                    <wps:spPr>
                      <a:xfrm>
                        <a:off x="0" y="0"/>
                        <a:ext cx="6335395" cy="0"/>
                      </a:xfrm>
                      <a:prstGeom prst="line">
                        <a:avLst/>
                      </a:prstGeom>
                      <a:ln w="57150" cmpd="thickThin">
                        <a:solidFill>
                          <a:srgbClr val="D4C19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172ABFB" id="Conector recto 6"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9pt" to="498.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" strokecolor="#d4c19c" strokeweight="4.5pt">
              <v:stroke linestyle="thickThin"/>
            </v:line>
          </w:pict>
        </mc:Fallback>
      </mc:AlternateContent>
    </w:r>
  </w:p>
  <w:p w:rsidR="00CB7065" w:rsidRDefault="00CB7065" w:rsidP="00984F29">
    <w:pPr>
      <w:pStyle w:val="Encabezado"/>
      <w:tabs>
        <w:tab w:val="left" w:pos="978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Default="00CB7065" w:rsidP="00970889">
    <w:r>
      <w:rPr>
        <w:noProof/>
        <w:lang w:val="es-MX" w:eastAsia="es-MX"/>
      </w:rPr>
      <mc:AlternateContent>
        <mc:Choice Requires="wps">
          <w:drawing>
            <wp:anchor distT="0" distB="0" distL="114300" distR="114300" simplePos="0" relativeHeight="251662848" behindDoc="0" locked="0" layoutInCell="1" allowOverlap="1" wp14:anchorId="2D9553CC" wp14:editId="54BC93FF">
              <wp:simplePos x="0" y="0"/>
              <wp:positionH relativeFrom="column">
                <wp:posOffset>3817620</wp:posOffset>
              </wp:positionH>
              <wp:positionV relativeFrom="paragraph">
                <wp:posOffset>158962</wp:posOffset>
              </wp:positionV>
              <wp:extent cx="2624667" cy="572877"/>
              <wp:effectExtent l="0" t="0" r="0" b="0"/>
              <wp:wrapNone/>
              <wp:docPr id="34"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4667" cy="572877"/>
                      </a:xfrm>
                      <a:prstGeom prst="rect">
                        <a:avLst/>
                      </a:prstGeom>
                      <a:noFill/>
                      <a:ln>
                        <a:noFill/>
                      </a:ln>
                      <a:effectLst/>
                      <a:extLst>
                        <a:ext uri="{FAA26D3D-D897-4be2-8F04-BA451C77F1D7}"/>
                        <a:ext uri="{C572A759-6A51-4108-AA02-DFA0A04FC94B}"/>
                      </a:extLst>
                    </wps:spPr>
                    <wps:txbx>
                      <w:txbxContent>
                        <w:p w:rsidR="00CB7065" w:rsidRPr="00926765" w:rsidRDefault="00CB7065" w:rsidP="00970889">
                          <w:pPr>
                            <w:spacing w:line="260" w:lineRule="exact"/>
                            <w:jc w:val="center"/>
                            <w:rPr>
                              <w:rFonts w:ascii="Montserrat" w:eastAsia="Times New Roman" w:hAnsi="Montserrat"/>
                              <w:sz w:val="20"/>
                              <w:szCs w:val="18"/>
                            </w:rPr>
                          </w:pPr>
                          <w:r w:rsidRPr="00926765">
                            <w:rPr>
                              <w:rFonts w:ascii="Montserrat" w:eastAsia="Times New Roman" w:hAnsi="Montserrat"/>
                              <w:sz w:val="20"/>
                              <w:szCs w:val="18"/>
                            </w:rPr>
                            <w:t>Informes sobre la Situación 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53CC" id="_x0000_t202" coordsize="21600,21600" o:spt="202" path="m,l,21600r21600,l21600,xe">
              <v:stroke joinstyle="miter"/>
              <v:path gradientshapeok="t" o:connecttype="rect"/>
            </v:shapetype>
            <v:shape id="Cuadro de texto 15" o:spid="_x0000_s1026" type="#_x0000_t202" style="position:absolute;margin-left:300.6pt;margin-top:12.5pt;width:206.65pt;height:4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" filled="f" stroked="f">
              <v:textbox>
                <w:txbxContent>
                  <w:p w:rsidR="00CB7065" w:rsidRPr="00926765" w:rsidRDefault="00CB7065" w:rsidP="00970889">
                    <w:pPr>
                      <w:spacing w:line="260" w:lineRule="exact"/>
                      <w:jc w:val="center"/>
                      <w:rPr>
                        <w:rFonts w:ascii="Montserrat" w:eastAsia="Times New Roman" w:hAnsi="Montserrat"/>
                        <w:sz w:val="20"/>
                        <w:szCs w:val="18"/>
                      </w:rPr>
                    </w:pPr>
                    <w:r w:rsidRPr="00926765">
                      <w:rPr>
                        <w:rFonts w:ascii="Montserrat" w:eastAsia="Times New Roman" w:hAnsi="Montserrat"/>
                        <w:sz w:val="20"/>
                        <w:szCs w:val="18"/>
                      </w:rPr>
                      <w:t>Informes sobre la Situación Económica, las Finanzas Públicas y la Deuda Pública</w:t>
                    </w:r>
                  </w:p>
                </w:txbxContent>
              </v:textbox>
            </v:shape>
          </w:pict>
        </mc:Fallback>
      </mc:AlternateContent>
    </w:r>
  </w:p>
  <w:p w:rsidR="00CB7065" w:rsidRPr="00926765" w:rsidRDefault="00CB7065" w:rsidP="00970889">
    <w:pPr>
      <w:tabs>
        <w:tab w:val="center" w:pos="4252"/>
        <w:tab w:val="right" w:pos="8504"/>
      </w:tabs>
      <w:spacing w:after="0"/>
      <w:rPr>
        <w:rFonts w:ascii="Montserrat" w:eastAsia="Times New Roman" w:hAnsi="Montserrat"/>
        <w:sz w:val="18"/>
        <w:szCs w:val="18"/>
      </w:rPr>
    </w:pPr>
    <w:r>
      <w:rPr>
        <w:rFonts w:ascii="Montserrat" w:eastAsia="Times New Roman" w:hAnsi="Montserrat"/>
        <w:sz w:val="18"/>
        <w:szCs w:val="18"/>
      </w:rPr>
      <w:t>Primer Trimestre de 2019</w:t>
    </w:r>
  </w:p>
  <w:p w:rsidR="00CB7065" w:rsidRPr="00541800" w:rsidRDefault="00CB7065" w:rsidP="00970889">
    <w:pPr>
      <w:tabs>
        <w:tab w:val="center" w:pos="4252"/>
        <w:tab w:val="right" w:pos="8504"/>
      </w:tabs>
      <w:spacing w:after="0"/>
      <w:rPr>
        <w:rFonts w:eastAsia="Times New Roman"/>
        <w:sz w:val="20"/>
      </w:rPr>
    </w:pPr>
  </w:p>
  <w:p w:rsidR="00CB7065" w:rsidRPr="00541800" w:rsidRDefault="00CB7065" w:rsidP="00970889">
    <w:pPr>
      <w:tabs>
        <w:tab w:val="left" w:pos="2016"/>
      </w:tabs>
      <w:spacing w:after="0"/>
      <w:rPr>
        <w:rFonts w:eastAsia="Times New Roman"/>
        <w:sz w:val="20"/>
      </w:rPr>
    </w:pPr>
    <w:r>
      <w:rPr>
        <w:rFonts w:eastAsia="Times New Roman"/>
        <w:sz w:val="24"/>
      </w:rPr>
      <w:tab/>
    </w:r>
  </w:p>
  <w:p w:rsidR="00CB7065" w:rsidRPr="00970889" w:rsidRDefault="00CB7065" w:rsidP="00970889">
    <w:pPr>
      <w:pStyle w:val="Encabezado"/>
    </w:pPr>
    <w:r w:rsidRPr="004E3E5B">
      <w:rPr>
        <w:noProof/>
        <w:lang w:val="es-MX" w:eastAsia="es-MX"/>
      </w:rPr>
      <mc:AlternateContent>
        <mc:Choice Requires="wps">
          <w:drawing>
            <wp:anchor distT="0" distB="0" distL="114300" distR="114300" simplePos="0" relativeHeight="251663872" behindDoc="0" locked="0" layoutInCell="1" allowOverlap="1" wp14:anchorId="61868423" wp14:editId="00881F24">
              <wp:simplePos x="0" y="0"/>
              <wp:positionH relativeFrom="column">
                <wp:posOffset>50800</wp:posOffset>
              </wp:positionH>
              <wp:positionV relativeFrom="paragraph">
                <wp:posOffset>91652</wp:posOffset>
              </wp:positionV>
              <wp:extent cx="6335395" cy="0"/>
              <wp:effectExtent l="0" t="19050" r="46355" b="38100"/>
              <wp:wrapNone/>
              <wp:docPr id="504" name="Conector recto 504"/>
              <wp:cNvGraphicFramePr/>
              <a:graphic xmlns:a="http://schemas.openxmlformats.org/drawingml/2006/main">
                <a:graphicData uri="http://schemas.microsoft.com/office/word/2010/wordprocessingShape">
                  <wps:wsp>
                    <wps:cNvCnPr/>
                    <wps:spPr>
                      <a:xfrm>
                        <a:off x="0" y="0"/>
                        <a:ext cx="6335395" cy="0"/>
                      </a:xfrm>
                      <a:prstGeom prst="line">
                        <a:avLst/>
                      </a:prstGeom>
                      <a:ln w="57150" cmpd="thickThin">
                        <a:solidFill>
                          <a:srgbClr val="D4C19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F2416E" id="Conector recto 504"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7.2pt" to="502.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" strokecolor="#d4c19c" strokeweight="4.5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2837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ACAD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825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3A1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F04C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0444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5C8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A1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96A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9EA6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Listaconvietas"/>
      <w:lvlText w:val="*"/>
      <w:lvlJc w:val="left"/>
    </w:lvl>
  </w:abstractNum>
  <w:abstractNum w:abstractNumId="11"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2" w15:restartNumberingAfterBreak="0">
    <w:nsid w:val="03A637D8"/>
    <w:multiLevelType w:val="hybridMultilevel"/>
    <w:tmpl w:val="42703062"/>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3" w15:restartNumberingAfterBreak="0">
    <w:nsid w:val="0C9433B6"/>
    <w:multiLevelType w:val="hybridMultilevel"/>
    <w:tmpl w:val="0108E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34B4D06"/>
    <w:multiLevelType w:val="hybridMultilevel"/>
    <w:tmpl w:val="48100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7C400B4"/>
    <w:multiLevelType w:val="hybridMultilevel"/>
    <w:tmpl w:val="71C04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670E7D"/>
    <w:multiLevelType w:val="multilevel"/>
    <w:tmpl w:val="FED6EC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36E59ED"/>
    <w:multiLevelType w:val="hybridMultilevel"/>
    <w:tmpl w:val="63702086"/>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6FD6F73"/>
    <w:multiLevelType w:val="hybridMultilevel"/>
    <w:tmpl w:val="DD50F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2C4269"/>
    <w:multiLevelType w:val="multilevel"/>
    <w:tmpl w:val="B332296A"/>
    <w:styleLink w:val="Estilo1"/>
    <w:lvl w:ilvl="0">
      <w:start w:val="1"/>
      <w:numFmt w:val="decimal"/>
      <w:lvlText w:val="%1"/>
      <w:lvlJc w:val="left"/>
      <w:pPr>
        <w:tabs>
          <w:tab w:val="num" w:pos="720"/>
        </w:tabs>
        <w:ind w:left="1068" w:hanging="360"/>
      </w:pPr>
      <w:rPr>
        <w:rFonts w:ascii="Arial" w:hAnsi="Arial" w:hint="default"/>
        <w:b/>
        <w:sz w:val="24"/>
      </w:rPr>
    </w:lvl>
    <w:lvl w:ilvl="1">
      <w:start w:val="1"/>
      <w:numFmt w:val="decimal"/>
      <w:lvlText w:val="%2."/>
      <w:lvlJc w:val="left"/>
      <w:pPr>
        <w:tabs>
          <w:tab w:val="num" w:pos="734"/>
        </w:tabs>
        <w:ind w:left="734" w:hanging="284"/>
      </w:pPr>
      <w:rPr>
        <w:rFonts w:ascii="Arial" w:hAnsi="Arial" w:hint="default"/>
        <w:b/>
        <w:i w:val="0"/>
        <w:sz w:val="24"/>
      </w:rPr>
    </w:lvl>
    <w:lvl w:ilvl="2">
      <w:start w:val="4"/>
      <w:numFmt w:val="decimal"/>
      <w:isLgl/>
      <w:lvlText w:val="%3.1"/>
      <w:lvlJc w:val="left"/>
      <w:pPr>
        <w:tabs>
          <w:tab w:val="num" w:pos="2197"/>
        </w:tabs>
        <w:ind w:left="3772" w:hanging="1972"/>
      </w:pPr>
      <w:rPr>
        <w:rFonts w:ascii="PresidenciaFuerte" w:hAnsi="PresidenciaFuerte" w:cs="PresidenciaFuerte"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3" w15:restartNumberingAfterBreak="0">
    <w:nsid w:val="30BA0C70"/>
    <w:multiLevelType w:val="hybridMultilevel"/>
    <w:tmpl w:val="CBF85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385D0B96"/>
    <w:multiLevelType w:val="hybridMultilevel"/>
    <w:tmpl w:val="791CB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9AD6A4A"/>
    <w:multiLevelType w:val="hybridMultilevel"/>
    <w:tmpl w:val="ECC6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4B4A56"/>
    <w:multiLevelType w:val="hybridMultilevel"/>
    <w:tmpl w:val="F6688E9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644"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4BF832F5"/>
    <w:multiLevelType w:val="hybridMultilevel"/>
    <w:tmpl w:val="56B82FBC"/>
    <w:name w:val="Lista de titulos23233"/>
    <w:lvl w:ilvl="0" w:tplc="3FD67BD8">
      <w:start w:val="1"/>
      <w:numFmt w:val="decimal"/>
      <w:lvlText w:val="%1_/"/>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08017D"/>
    <w:multiLevelType w:val="hybridMultilevel"/>
    <w:tmpl w:val="94D2A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49B02C6"/>
    <w:multiLevelType w:val="hybridMultilevel"/>
    <w:tmpl w:val="5008C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034279"/>
    <w:multiLevelType w:val="hybridMultilevel"/>
    <w:tmpl w:val="CF7E8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4"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35"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6" w15:restartNumberingAfterBreak="0">
    <w:nsid w:val="6EBC04D6"/>
    <w:multiLevelType w:val="hybridMultilevel"/>
    <w:tmpl w:val="680E73AA"/>
    <w:lvl w:ilvl="0" w:tplc="AFF83424">
      <w:start w:val="1"/>
      <w:numFmt w:val="bullet"/>
      <w:pStyle w:val="Bal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AC6AA9"/>
    <w:multiLevelType w:val="hybridMultilevel"/>
    <w:tmpl w:val="62549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9"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40" w15:restartNumberingAfterBreak="0">
    <w:nsid w:val="7AB13D61"/>
    <w:multiLevelType w:val="hybridMultilevel"/>
    <w:tmpl w:val="BF86F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DA2A4A"/>
    <w:multiLevelType w:val="hybridMultilevel"/>
    <w:tmpl w:val="385C9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AB2A73"/>
    <w:multiLevelType w:val="hybridMultilevel"/>
    <w:tmpl w:val="56CAF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36"/>
  </w:num>
  <w:num w:numId="2">
    <w:abstractNumId w:val="34"/>
  </w:num>
  <w:num w:numId="3">
    <w:abstractNumId w:val="24"/>
  </w:num>
  <w:num w:numId="4">
    <w:abstractNumId w:val="38"/>
  </w:num>
  <w:num w:numId="5">
    <w:abstractNumId w:val="33"/>
  </w:num>
  <w:num w:numId="6">
    <w:abstractNumId w:val="31"/>
  </w:num>
  <w:num w:numId="7">
    <w:abstractNumId w:val="11"/>
  </w:num>
  <w:num w:numId="8">
    <w:abstractNumId w:val="35"/>
  </w:num>
  <w:num w:numId="9">
    <w:abstractNumId w:val="43"/>
  </w:num>
  <w:num w:numId="10">
    <w:abstractNumId w:val="39"/>
  </w:num>
  <w:num w:numId="11">
    <w:abstractNumId w:val="22"/>
  </w:num>
  <w:num w:numId="12">
    <w:abstractNumId w:val="16"/>
  </w:num>
  <w:num w:numId="13">
    <w:abstractNumId w:val="19"/>
  </w:num>
  <w:num w:numId="14">
    <w:abstractNumId w:val="40"/>
  </w:num>
  <w:num w:numId="15">
    <w:abstractNumId w:val="12"/>
  </w:num>
  <w:num w:numId="16">
    <w:abstractNumId w:val="29"/>
  </w:num>
  <w:num w:numId="17">
    <w:abstractNumId w:val="14"/>
  </w:num>
  <w:num w:numId="18">
    <w:abstractNumId w:val="37"/>
  </w:num>
  <w:num w:numId="19">
    <w:abstractNumId w:val="27"/>
  </w:num>
  <w:num w:numId="20">
    <w:abstractNumId w:val="21"/>
  </w:num>
  <w:num w:numId="21">
    <w:abstractNumId w:val="10"/>
    <w:lvlOverride w:ilvl="0">
      <w:lvl w:ilvl="0">
        <w:start w:val="1"/>
        <w:numFmt w:val="bullet"/>
        <w:pStyle w:val="Listaconvietas"/>
        <w:lvlText w:val=""/>
        <w:legacy w:legacy="1" w:legacySpace="0" w:legacyIndent="360"/>
        <w:lvlJc w:val="left"/>
        <w:pPr>
          <w:ind w:left="720" w:hanging="360"/>
        </w:pPr>
        <w:rPr>
          <w:rFonts w:ascii="Wingdings" w:hAnsi="Wingdings" w:hint="default"/>
          <w:sz w:val="12"/>
        </w:rPr>
      </w:lvl>
    </w:lvlOverride>
  </w:num>
  <w:num w:numId="22">
    <w:abstractNumId w:val="17"/>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15"/>
  </w:num>
  <w:num w:numId="34">
    <w:abstractNumId w:val="23"/>
  </w:num>
  <w:num w:numId="35">
    <w:abstractNumId w:val="30"/>
  </w:num>
  <w:num w:numId="36">
    <w:abstractNumId w:val="25"/>
  </w:num>
  <w:num w:numId="37">
    <w:abstractNumId w:val="32"/>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20"/>
  </w:num>
  <w:num w:numId="42">
    <w:abstractNumId w:val="42"/>
  </w:num>
  <w:num w:numId="43">
    <w:abstractNumId w:val="26"/>
  </w:num>
  <w:num w:numId="44">
    <w:abstractNumId w:val="13"/>
  </w:num>
  <w:num w:numId="45">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trackRevisions/>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A69"/>
    <w:rsid w:val="00000940"/>
    <w:rsid w:val="00000FBE"/>
    <w:rsid w:val="0000110B"/>
    <w:rsid w:val="00003670"/>
    <w:rsid w:val="000036E8"/>
    <w:rsid w:val="0000510D"/>
    <w:rsid w:val="00012A69"/>
    <w:rsid w:val="00017F28"/>
    <w:rsid w:val="00025652"/>
    <w:rsid w:val="0002709C"/>
    <w:rsid w:val="000318EE"/>
    <w:rsid w:val="00033862"/>
    <w:rsid w:val="00043120"/>
    <w:rsid w:val="000433E0"/>
    <w:rsid w:val="00044606"/>
    <w:rsid w:val="00045287"/>
    <w:rsid w:val="00045BDD"/>
    <w:rsid w:val="000466D0"/>
    <w:rsid w:val="000514AA"/>
    <w:rsid w:val="00052034"/>
    <w:rsid w:val="0005301F"/>
    <w:rsid w:val="00054462"/>
    <w:rsid w:val="000544D3"/>
    <w:rsid w:val="000556E5"/>
    <w:rsid w:val="00056352"/>
    <w:rsid w:val="00060BB0"/>
    <w:rsid w:val="00060DC8"/>
    <w:rsid w:val="00062540"/>
    <w:rsid w:val="00062C4D"/>
    <w:rsid w:val="00070FA4"/>
    <w:rsid w:val="00072CE2"/>
    <w:rsid w:val="00072FF0"/>
    <w:rsid w:val="000735B0"/>
    <w:rsid w:val="00074A8B"/>
    <w:rsid w:val="00074E52"/>
    <w:rsid w:val="000818F4"/>
    <w:rsid w:val="00081D3B"/>
    <w:rsid w:val="00082478"/>
    <w:rsid w:val="00090624"/>
    <w:rsid w:val="00091038"/>
    <w:rsid w:val="000919D1"/>
    <w:rsid w:val="000938D0"/>
    <w:rsid w:val="000975E1"/>
    <w:rsid w:val="000A0B5E"/>
    <w:rsid w:val="000A22C6"/>
    <w:rsid w:val="000A2E2A"/>
    <w:rsid w:val="000A3D7A"/>
    <w:rsid w:val="000A65A2"/>
    <w:rsid w:val="000B01BE"/>
    <w:rsid w:val="000B0DDF"/>
    <w:rsid w:val="000B66D1"/>
    <w:rsid w:val="000C03E5"/>
    <w:rsid w:val="000C1C92"/>
    <w:rsid w:val="000C3A62"/>
    <w:rsid w:val="000D195C"/>
    <w:rsid w:val="000D20B5"/>
    <w:rsid w:val="000D43CE"/>
    <w:rsid w:val="000D4543"/>
    <w:rsid w:val="000D6D0C"/>
    <w:rsid w:val="000E149A"/>
    <w:rsid w:val="000E7093"/>
    <w:rsid w:val="000F4CBC"/>
    <w:rsid w:val="000F6828"/>
    <w:rsid w:val="000F770F"/>
    <w:rsid w:val="00100EFE"/>
    <w:rsid w:val="00104483"/>
    <w:rsid w:val="001060BF"/>
    <w:rsid w:val="001062F3"/>
    <w:rsid w:val="0010711D"/>
    <w:rsid w:val="0010711F"/>
    <w:rsid w:val="00107564"/>
    <w:rsid w:val="0011100D"/>
    <w:rsid w:val="0011245B"/>
    <w:rsid w:val="001145A6"/>
    <w:rsid w:val="0011466E"/>
    <w:rsid w:val="00114799"/>
    <w:rsid w:val="0012786A"/>
    <w:rsid w:val="0012787F"/>
    <w:rsid w:val="001314EA"/>
    <w:rsid w:val="0013580D"/>
    <w:rsid w:val="00142412"/>
    <w:rsid w:val="00144E47"/>
    <w:rsid w:val="00146547"/>
    <w:rsid w:val="00151662"/>
    <w:rsid w:val="001550A7"/>
    <w:rsid w:val="00156A6D"/>
    <w:rsid w:val="00156F94"/>
    <w:rsid w:val="0016020A"/>
    <w:rsid w:val="00167ABE"/>
    <w:rsid w:val="001706E8"/>
    <w:rsid w:val="0017208F"/>
    <w:rsid w:val="00174AAE"/>
    <w:rsid w:val="00174F8E"/>
    <w:rsid w:val="00176AA4"/>
    <w:rsid w:val="00184B1A"/>
    <w:rsid w:val="0018683A"/>
    <w:rsid w:val="00186BFE"/>
    <w:rsid w:val="001878A0"/>
    <w:rsid w:val="00190204"/>
    <w:rsid w:val="00193F84"/>
    <w:rsid w:val="001962CF"/>
    <w:rsid w:val="001968CD"/>
    <w:rsid w:val="00196C04"/>
    <w:rsid w:val="001A2032"/>
    <w:rsid w:val="001A35AF"/>
    <w:rsid w:val="001A3EB8"/>
    <w:rsid w:val="001B07B6"/>
    <w:rsid w:val="001B1859"/>
    <w:rsid w:val="001B345D"/>
    <w:rsid w:val="001B3A9C"/>
    <w:rsid w:val="001B7691"/>
    <w:rsid w:val="001B7FF5"/>
    <w:rsid w:val="001C5AF5"/>
    <w:rsid w:val="001D502D"/>
    <w:rsid w:val="001D5592"/>
    <w:rsid w:val="001E16CD"/>
    <w:rsid w:val="001E1744"/>
    <w:rsid w:val="001E2A81"/>
    <w:rsid w:val="001E4FA1"/>
    <w:rsid w:val="001E694C"/>
    <w:rsid w:val="002012A2"/>
    <w:rsid w:val="00203342"/>
    <w:rsid w:val="00204F14"/>
    <w:rsid w:val="00210E88"/>
    <w:rsid w:val="00215571"/>
    <w:rsid w:val="00215A72"/>
    <w:rsid w:val="00224A8F"/>
    <w:rsid w:val="0022528B"/>
    <w:rsid w:val="00226F9B"/>
    <w:rsid w:val="00227D98"/>
    <w:rsid w:val="00237FB6"/>
    <w:rsid w:val="002412E3"/>
    <w:rsid w:val="00244A8F"/>
    <w:rsid w:val="002536BB"/>
    <w:rsid w:val="002536C4"/>
    <w:rsid w:val="0025693A"/>
    <w:rsid w:val="00264A0B"/>
    <w:rsid w:val="002662C1"/>
    <w:rsid w:val="00267C9C"/>
    <w:rsid w:val="002718F5"/>
    <w:rsid w:val="00283490"/>
    <w:rsid w:val="00283B01"/>
    <w:rsid w:val="00285850"/>
    <w:rsid w:val="00287E1B"/>
    <w:rsid w:val="00292927"/>
    <w:rsid w:val="00294333"/>
    <w:rsid w:val="002962F5"/>
    <w:rsid w:val="002A2E7E"/>
    <w:rsid w:val="002A5F10"/>
    <w:rsid w:val="002C5968"/>
    <w:rsid w:val="002D08D4"/>
    <w:rsid w:val="002D5526"/>
    <w:rsid w:val="002D626A"/>
    <w:rsid w:val="002E0004"/>
    <w:rsid w:val="002E1C8D"/>
    <w:rsid w:val="002E6C55"/>
    <w:rsid w:val="002F6030"/>
    <w:rsid w:val="002F782B"/>
    <w:rsid w:val="00301A0A"/>
    <w:rsid w:val="00302215"/>
    <w:rsid w:val="003049E0"/>
    <w:rsid w:val="003059F2"/>
    <w:rsid w:val="00305E0F"/>
    <w:rsid w:val="00305E78"/>
    <w:rsid w:val="00306DFA"/>
    <w:rsid w:val="0031052F"/>
    <w:rsid w:val="00313FC3"/>
    <w:rsid w:val="00314F63"/>
    <w:rsid w:val="00316AC2"/>
    <w:rsid w:val="0031797D"/>
    <w:rsid w:val="00320583"/>
    <w:rsid w:val="00323771"/>
    <w:rsid w:val="00323FC1"/>
    <w:rsid w:val="00325F45"/>
    <w:rsid w:val="00333ADC"/>
    <w:rsid w:val="00335691"/>
    <w:rsid w:val="003416B0"/>
    <w:rsid w:val="00341A95"/>
    <w:rsid w:val="00345F0E"/>
    <w:rsid w:val="0034677D"/>
    <w:rsid w:val="003475C2"/>
    <w:rsid w:val="00347634"/>
    <w:rsid w:val="003502D5"/>
    <w:rsid w:val="00353D90"/>
    <w:rsid w:val="00356998"/>
    <w:rsid w:val="00356C4B"/>
    <w:rsid w:val="00357B80"/>
    <w:rsid w:val="0036012B"/>
    <w:rsid w:val="00362880"/>
    <w:rsid w:val="0036370A"/>
    <w:rsid w:val="00363D07"/>
    <w:rsid w:val="00364320"/>
    <w:rsid w:val="00365255"/>
    <w:rsid w:val="003653D5"/>
    <w:rsid w:val="003658C6"/>
    <w:rsid w:val="00367B1F"/>
    <w:rsid w:val="0037156E"/>
    <w:rsid w:val="00371A3B"/>
    <w:rsid w:val="0037433B"/>
    <w:rsid w:val="00375088"/>
    <w:rsid w:val="003778D4"/>
    <w:rsid w:val="00381786"/>
    <w:rsid w:val="00382BC7"/>
    <w:rsid w:val="003844F5"/>
    <w:rsid w:val="00384CEF"/>
    <w:rsid w:val="003867EE"/>
    <w:rsid w:val="003918B7"/>
    <w:rsid w:val="003938B0"/>
    <w:rsid w:val="00395826"/>
    <w:rsid w:val="003B1EE5"/>
    <w:rsid w:val="003B35A1"/>
    <w:rsid w:val="003B5728"/>
    <w:rsid w:val="003B6012"/>
    <w:rsid w:val="003B6757"/>
    <w:rsid w:val="003B7809"/>
    <w:rsid w:val="003C1811"/>
    <w:rsid w:val="003C1BF5"/>
    <w:rsid w:val="003C3923"/>
    <w:rsid w:val="003C4A90"/>
    <w:rsid w:val="003C50CF"/>
    <w:rsid w:val="003C7433"/>
    <w:rsid w:val="003C7C59"/>
    <w:rsid w:val="003D3CA8"/>
    <w:rsid w:val="003D6F04"/>
    <w:rsid w:val="003E5780"/>
    <w:rsid w:val="003E657D"/>
    <w:rsid w:val="003E6981"/>
    <w:rsid w:val="003F1549"/>
    <w:rsid w:val="003F730C"/>
    <w:rsid w:val="00401190"/>
    <w:rsid w:val="00401D9C"/>
    <w:rsid w:val="00401E1F"/>
    <w:rsid w:val="00401EE0"/>
    <w:rsid w:val="004020D4"/>
    <w:rsid w:val="00402B60"/>
    <w:rsid w:val="0040342F"/>
    <w:rsid w:val="0040527F"/>
    <w:rsid w:val="00407FD0"/>
    <w:rsid w:val="004105DD"/>
    <w:rsid w:val="0041381E"/>
    <w:rsid w:val="00416907"/>
    <w:rsid w:val="00417BB9"/>
    <w:rsid w:val="004217B7"/>
    <w:rsid w:val="004232DB"/>
    <w:rsid w:val="004236A3"/>
    <w:rsid w:val="00424D8E"/>
    <w:rsid w:val="00427FBF"/>
    <w:rsid w:val="004326C7"/>
    <w:rsid w:val="00433BAF"/>
    <w:rsid w:val="004350B8"/>
    <w:rsid w:val="00437BEB"/>
    <w:rsid w:val="00450F7C"/>
    <w:rsid w:val="00452383"/>
    <w:rsid w:val="00452B99"/>
    <w:rsid w:val="0045307A"/>
    <w:rsid w:val="00455207"/>
    <w:rsid w:val="00456422"/>
    <w:rsid w:val="0045730D"/>
    <w:rsid w:val="004609F7"/>
    <w:rsid w:val="0046160A"/>
    <w:rsid w:val="00461A41"/>
    <w:rsid w:val="00462B8E"/>
    <w:rsid w:val="00464A04"/>
    <w:rsid w:val="00465A92"/>
    <w:rsid w:val="00466D02"/>
    <w:rsid w:val="00470445"/>
    <w:rsid w:val="0047120C"/>
    <w:rsid w:val="00477EE0"/>
    <w:rsid w:val="00481DA0"/>
    <w:rsid w:val="0048566F"/>
    <w:rsid w:val="00491ADC"/>
    <w:rsid w:val="00491D36"/>
    <w:rsid w:val="00494E1E"/>
    <w:rsid w:val="00495E44"/>
    <w:rsid w:val="004A0754"/>
    <w:rsid w:val="004A0C69"/>
    <w:rsid w:val="004A36A2"/>
    <w:rsid w:val="004A3E79"/>
    <w:rsid w:val="004A7995"/>
    <w:rsid w:val="004B056D"/>
    <w:rsid w:val="004B29E1"/>
    <w:rsid w:val="004B589A"/>
    <w:rsid w:val="004B5937"/>
    <w:rsid w:val="004B6912"/>
    <w:rsid w:val="004C0521"/>
    <w:rsid w:val="004C3647"/>
    <w:rsid w:val="004C7F88"/>
    <w:rsid w:val="004D0AB8"/>
    <w:rsid w:val="004D7A10"/>
    <w:rsid w:val="004E005F"/>
    <w:rsid w:val="004E4AA0"/>
    <w:rsid w:val="004E6B3B"/>
    <w:rsid w:val="004E798C"/>
    <w:rsid w:val="004F2D08"/>
    <w:rsid w:val="004F39E3"/>
    <w:rsid w:val="004F7645"/>
    <w:rsid w:val="004F7986"/>
    <w:rsid w:val="00504FFB"/>
    <w:rsid w:val="005052FB"/>
    <w:rsid w:val="00511187"/>
    <w:rsid w:val="00517E82"/>
    <w:rsid w:val="00520B29"/>
    <w:rsid w:val="00523E11"/>
    <w:rsid w:val="005322B0"/>
    <w:rsid w:val="00532DE3"/>
    <w:rsid w:val="0053654C"/>
    <w:rsid w:val="00540B4D"/>
    <w:rsid w:val="00541800"/>
    <w:rsid w:val="00543574"/>
    <w:rsid w:val="00544572"/>
    <w:rsid w:val="00546B87"/>
    <w:rsid w:val="00547CED"/>
    <w:rsid w:val="00553E4A"/>
    <w:rsid w:val="00553FE6"/>
    <w:rsid w:val="00554BB6"/>
    <w:rsid w:val="00555D82"/>
    <w:rsid w:val="00556B03"/>
    <w:rsid w:val="00560F30"/>
    <w:rsid w:val="00562FF7"/>
    <w:rsid w:val="005632C7"/>
    <w:rsid w:val="00563421"/>
    <w:rsid w:val="00564456"/>
    <w:rsid w:val="005653B3"/>
    <w:rsid w:val="0056605E"/>
    <w:rsid w:val="00567048"/>
    <w:rsid w:val="005711A3"/>
    <w:rsid w:val="00571209"/>
    <w:rsid w:val="005762DB"/>
    <w:rsid w:val="00577386"/>
    <w:rsid w:val="005831DD"/>
    <w:rsid w:val="0058544E"/>
    <w:rsid w:val="00585BD8"/>
    <w:rsid w:val="00590907"/>
    <w:rsid w:val="005A13E0"/>
    <w:rsid w:val="005A32B3"/>
    <w:rsid w:val="005A525E"/>
    <w:rsid w:val="005B02A4"/>
    <w:rsid w:val="005B2D3E"/>
    <w:rsid w:val="005B36D3"/>
    <w:rsid w:val="005B6267"/>
    <w:rsid w:val="005B73CF"/>
    <w:rsid w:val="005B77FF"/>
    <w:rsid w:val="005C06B0"/>
    <w:rsid w:val="005C24DB"/>
    <w:rsid w:val="005C2854"/>
    <w:rsid w:val="005C5BFA"/>
    <w:rsid w:val="005D2BFC"/>
    <w:rsid w:val="005D47C6"/>
    <w:rsid w:val="005D5B91"/>
    <w:rsid w:val="005D5CC8"/>
    <w:rsid w:val="005D6459"/>
    <w:rsid w:val="005D759D"/>
    <w:rsid w:val="005E10D2"/>
    <w:rsid w:val="005E483C"/>
    <w:rsid w:val="005E4A3E"/>
    <w:rsid w:val="005E5614"/>
    <w:rsid w:val="005F0C52"/>
    <w:rsid w:val="005F0F2C"/>
    <w:rsid w:val="005F29C5"/>
    <w:rsid w:val="005F3A15"/>
    <w:rsid w:val="005F4D43"/>
    <w:rsid w:val="005F65C8"/>
    <w:rsid w:val="00607943"/>
    <w:rsid w:val="00622815"/>
    <w:rsid w:val="0062335F"/>
    <w:rsid w:val="0063203A"/>
    <w:rsid w:val="00634BEE"/>
    <w:rsid w:val="00641E53"/>
    <w:rsid w:val="006431EC"/>
    <w:rsid w:val="0064418A"/>
    <w:rsid w:val="00646E98"/>
    <w:rsid w:val="00647C6C"/>
    <w:rsid w:val="00652A87"/>
    <w:rsid w:val="00652BB2"/>
    <w:rsid w:val="00652BFC"/>
    <w:rsid w:val="00654250"/>
    <w:rsid w:val="006553A3"/>
    <w:rsid w:val="00660439"/>
    <w:rsid w:val="0066350A"/>
    <w:rsid w:val="00664AEB"/>
    <w:rsid w:val="00665052"/>
    <w:rsid w:val="00670360"/>
    <w:rsid w:val="00673C8C"/>
    <w:rsid w:val="00683EAD"/>
    <w:rsid w:val="0068499C"/>
    <w:rsid w:val="00687071"/>
    <w:rsid w:val="00687D5C"/>
    <w:rsid w:val="00691AC1"/>
    <w:rsid w:val="006940AE"/>
    <w:rsid w:val="006A1FCF"/>
    <w:rsid w:val="006A2EB1"/>
    <w:rsid w:val="006A3F0B"/>
    <w:rsid w:val="006A4FB9"/>
    <w:rsid w:val="006A77CB"/>
    <w:rsid w:val="006B2A9E"/>
    <w:rsid w:val="006B3E5C"/>
    <w:rsid w:val="006B4E5F"/>
    <w:rsid w:val="006B6CF9"/>
    <w:rsid w:val="006C3CE4"/>
    <w:rsid w:val="006C4BD3"/>
    <w:rsid w:val="006C4C87"/>
    <w:rsid w:val="006E1449"/>
    <w:rsid w:val="006E1A43"/>
    <w:rsid w:val="006E583F"/>
    <w:rsid w:val="006E5BA2"/>
    <w:rsid w:val="006E79E8"/>
    <w:rsid w:val="006F1B3E"/>
    <w:rsid w:val="007027E8"/>
    <w:rsid w:val="00702840"/>
    <w:rsid w:val="00703BCF"/>
    <w:rsid w:val="0070748E"/>
    <w:rsid w:val="007205F3"/>
    <w:rsid w:val="007219DA"/>
    <w:rsid w:val="0072570A"/>
    <w:rsid w:val="007259BA"/>
    <w:rsid w:val="00726990"/>
    <w:rsid w:val="00727A56"/>
    <w:rsid w:val="00730C98"/>
    <w:rsid w:val="007316AC"/>
    <w:rsid w:val="007338C6"/>
    <w:rsid w:val="00741379"/>
    <w:rsid w:val="00741C2B"/>
    <w:rsid w:val="00747F63"/>
    <w:rsid w:val="0075473C"/>
    <w:rsid w:val="00757DD0"/>
    <w:rsid w:val="007609FE"/>
    <w:rsid w:val="00761346"/>
    <w:rsid w:val="00764BFE"/>
    <w:rsid w:val="00771705"/>
    <w:rsid w:val="007720CC"/>
    <w:rsid w:val="0077265C"/>
    <w:rsid w:val="007761B3"/>
    <w:rsid w:val="00782B69"/>
    <w:rsid w:val="007908F9"/>
    <w:rsid w:val="007928FC"/>
    <w:rsid w:val="007931EF"/>
    <w:rsid w:val="0079734B"/>
    <w:rsid w:val="007A3E29"/>
    <w:rsid w:val="007A416B"/>
    <w:rsid w:val="007A4DDE"/>
    <w:rsid w:val="007A6E77"/>
    <w:rsid w:val="007B0523"/>
    <w:rsid w:val="007B433A"/>
    <w:rsid w:val="007B6070"/>
    <w:rsid w:val="007B640F"/>
    <w:rsid w:val="007B7CEE"/>
    <w:rsid w:val="007C5B72"/>
    <w:rsid w:val="007C7AD4"/>
    <w:rsid w:val="007D3FAE"/>
    <w:rsid w:val="007D47AB"/>
    <w:rsid w:val="007D527B"/>
    <w:rsid w:val="007D52FF"/>
    <w:rsid w:val="007E01A7"/>
    <w:rsid w:val="007E3D7C"/>
    <w:rsid w:val="007E6633"/>
    <w:rsid w:val="007E6BBF"/>
    <w:rsid w:val="007F45CE"/>
    <w:rsid w:val="007F61FA"/>
    <w:rsid w:val="007F7C25"/>
    <w:rsid w:val="008033B2"/>
    <w:rsid w:val="00806EC8"/>
    <w:rsid w:val="008102CA"/>
    <w:rsid w:val="00811414"/>
    <w:rsid w:val="00812DF7"/>
    <w:rsid w:val="00817D2F"/>
    <w:rsid w:val="00821B1F"/>
    <w:rsid w:val="00826494"/>
    <w:rsid w:val="008274D8"/>
    <w:rsid w:val="00830140"/>
    <w:rsid w:val="00832EF8"/>
    <w:rsid w:val="008406FA"/>
    <w:rsid w:val="00841209"/>
    <w:rsid w:val="00841C72"/>
    <w:rsid w:val="0084549A"/>
    <w:rsid w:val="00847E3B"/>
    <w:rsid w:val="0085204F"/>
    <w:rsid w:val="00855FD9"/>
    <w:rsid w:val="00856A82"/>
    <w:rsid w:val="00857214"/>
    <w:rsid w:val="008606E4"/>
    <w:rsid w:val="00860A4C"/>
    <w:rsid w:val="00863936"/>
    <w:rsid w:val="00866587"/>
    <w:rsid w:val="008674B1"/>
    <w:rsid w:val="0087071A"/>
    <w:rsid w:val="00870821"/>
    <w:rsid w:val="0087351F"/>
    <w:rsid w:val="0087370C"/>
    <w:rsid w:val="008745D7"/>
    <w:rsid w:val="00875BEB"/>
    <w:rsid w:val="00877561"/>
    <w:rsid w:val="00880FD3"/>
    <w:rsid w:val="008834D9"/>
    <w:rsid w:val="00885CA3"/>
    <w:rsid w:val="008870F1"/>
    <w:rsid w:val="00887D62"/>
    <w:rsid w:val="008929C9"/>
    <w:rsid w:val="00892EBD"/>
    <w:rsid w:val="00893AF8"/>
    <w:rsid w:val="008A039C"/>
    <w:rsid w:val="008A5271"/>
    <w:rsid w:val="008A713D"/>
    <w:rsid w:val="008A771C"/>
    <w:rsid w:val="008B3036"/>
    <w:rsid w:val="008B50DE"/>
    <w:rsid w:val="008C148D"/>
    <w:rsid w:val="008C2193"/>
    <w:rsid w:val="008C298E"/>
    <w:rsid w:val="008D0772"/>
    <w:rsid w:val="008D08F6"/>
    <w:rsid w:val="008E00AF"/>
    <w:rsid w:val="008E1F57"/>
    <w:rsid w:val="008E4FBD"/>
    <w:rsid w:val="008E5805"/>
    <w:rsid w:val="008E7AAA"/>
    <w:rsid w:val="00900AF7"/>
    <w:rsid w:val="009027BC"/>
    <w:rsid w:val="009059B7"/>
    <w:rsid w:val="00906FAA"/>
    <w:rsid w:val="0091799E"/>
    <w:rsid w:val="0092003B"/>
    <w:rsid w:val="00920F38"/>
    <w:rsid w:val="0092116C"/>
    <w:rsid w:val="009215C1"/>
    <w:rsid w:val="00922856"/>
    <w:rsid w:val="009242AE"/>
    <w:rsid w:val="009248A3"/>
    <w:rsid w:val="00925758"/>
    <w:rsid w:val="009310A8"/>
    <w:rsid w:val="00932BFB"/>
    <w:rsid w:val="0093389F"/>
    <w:rsid w:val="00933920"/>
    <w:rsid w:val="00934365"/>
    <w:rsid w:val="00941A9F"/>
    <w:rsid w:val="00946A66"/>
    <w:rsid w:val="00947DC4"/>
    <w:rsid w:val="00965721"/>
    <w:rsid w:val="009662DE"/>
    <w:rsid w:val="00970889"/>
    <w:rsid w:val="009717AC"/>
    <w:rsid w:val="00971C7C"/>
    <w:rsid w:val="0097372E"/>
    <w:rsid w:val="00977863"/>
    <w:rsid w:val="009811C5"/>
    <w:rsid w:val="00984F29"/>
    <w:rsid w:val="00985AFB"/>
    <w:rsid w:val="00987E2A"/>
    <w:rsid w:val="00990B25"/>
    <w:rsid w:val="00991810"/>
    <w:rsid w:val="00992A42"/>
    <w:rsid w:val="00996A95"/>
    <w:rsid w:val="009971DE"/>
    <w:rsid w:val="009A1620"/>
    <w:rsid w:val="009A41B4"/>
    <w:rsid w:val="009A45B3"/>
    <w:rsid w:val="009A6912"/>
    <w:rsid w:val="009A7C2E"/>
    <w:rsid w:val="009B2F9D"/>
    <w:rsid w:val="009B31A9"/>
    <w:rsid w:val="009B5095"/>
    <w:rsid w:val="009B6E63"/>
    <w:rsid w:val="009B7267"/>
    <w:rsid w:val="009C0466"/>
    <w:rsid w:val="009C0B62"/>
    <w:rsid w:val="009C1959"/>
    <w:rsid w:val="009C1AD4"/>
    <w:rsid w:val="009C2991"/>
    <w:rsid w:val="009C2A05"/>
    <w:rsid w:val="009D1C31"/>
    <w:rsid w:val="009D355E"/>
    <w:rsid w:val="009D5C9A"/>
    <w:rsid w:val="009E03CA"/>
    <w:rsid w:val="009E4073"/>
    <w:rsid w:val="009E4611"/>
    <w:rsid w:val="009E6B6E"/>
    <w:rsid w:val="009E6CE4"/>
    <w:rsid w:val="009F088B"/>
    <w:rsid w:val="009F1E76"/>
    <w:rsid w:val="009F3102"/>
    <w:rsid w:val="009F3AF9"/>
    <w:rsid w:val="009F41E8"/>
    <w:rsid w:val="009F54D7"/>
    <w:rsid w:val="009F620B"/>
    <w:rsid w:val="009F6A14"/>
    <w:rsid w:val="009F7CF1"/>
    <w:rsid w:val="00A0003C"/>
    <w:rsid w:val="00A0186E"/>
    <w:rsid w:val="00A01C0C"/>
    <w:rsid w:val="00A023D5"/>
    <w:rsid w:val="00A07E95"/>
    <w:rsid w:val="00A14F6A"/>
    <w:rsid w:val="00A1552E"/>
    <w:rsid w:val="00A25A56"/>
    <w:rsid w:val="00A26963"/>
    <w:rsid w:val="00A27307"/>
    <w:rsid w:val="00A31592"/>
    <w:rsid w:val="00A33F62"/>
    <w:rsid w:val="00A3675A"/>
    <w:rsid w:val="00A36FA3"/>
    <w:rsid w:val="00A3745A"/>
    <w:rsid w:val="00A4148F"/>
    <w:rsid w:val="00A41FED"/>
    <w:rsid w:val="00A42609"/>
    <w:rsid w:val="00A4401E"/>
    <w:rsid w:val="00A4551F"/>
    <w:rsid w:val="00A45A4B"/>
    <w:rsid w:val="00A45DC6"/>
    <w:rsid w:val="00A47E92"/>
    <w:rsid w:val="00A54542"/>
    <w:rsid w:val="00A615AC"/>
    <w:rsid w:val="00A63DBC"/>
    <w:rsid w:val="00A6679C"/>
    <w:rsid w:val="00A6754B"/>
    <w:rsid w:val="00A7105B"/>
    <w:rsid w:val="00A71302"/>
    <w:rsid w:val="00A71BD4"/>
    <w:rsid w:val="00A738ED"/>
    <w:rsid w:val="00A73C62"/>
    <w:rsid w:val="00A916EC"/>
    <w:rsid w:val="00A9402C"/>
    <w:rsid w:val="00A9655D"/>
    <w:rsid w:val="00AA1BB2"/>
    <w:rsid w:val="00AA1D45"/>
    <w:rsid w:val="00AA77EE"/>
    <w:rsid w:val="00AB4179"/>
    <w:rsid w:val="00AC0E3A"/>
    <w:rsid w:val="00AC1D54"/>
    <w:rsid w:val="00AC331B"/>
    <w:rsid w:val="00AC4976"/>
    <w:rsid w:val="00AC5A65"/>
    <w:rsid w:val="00AC658F"/>
    <w:rsid w:val="00AC72BC"/>
    <w:rsid w:val="00AD035B"/>
    <w:rsid w:val="00AD1A1B"/>
    <w:rsid w:val="00AD5ED0"/>
    <w:rsid w:val="00AD7E96"/>
    <w:rsid w:val="00AE1D1C"/>
    <w:rsid w:val="00AE2181"/>
    <w:rsid w:val="00AE2438"/>
    <w:rsid w:val="00AE4FAD"/>
    <w:rsid w:val="00AF0F75"/>
    <w:rsid w:val="00B055C7"/>
    <w:rsid w:val="00B05864"/>
    <w:rsid w:val="00B07E95"/>
    <w:rsid w:val="00B10C89"/>
    <w:rsid w:val="00B137CD"/>
    <w:rsid w:val="00B13ADA"/>
    <w:rsid w:val="00B1431B"/>
    <w:rsid w:val="00B20F31"/>
    <w:rsid w:val="00B21B9C"/>
    <w:rsid w:val="00B239C1"/>
    <w:rsid w:val="00B27D65"/>
    <w:rsid w:val="00B3120A"/>
    <w:rsid w:val="00B323AD"/>
    <w:rsid w:val="00B33B28"/>
    <w:rsid w:val="00B62E04"/>
    <w:rsid w:val="00B66259"/>
    <w:rsid w:val="00B666D5"/>
    <w:rsid w:val="00B67936"/>
    <w:rsid w:val="00B75C5B"/>
    <w:rsid w:val="00B82045"/>
    <w:rsid w:val="00B82D09"/>
    <w:rsid w:val="00B8601D"/>
    <w:rsid w:val="00B87015"/>
    <w:rsid w:val="00B87FAD"/>
    <w:rsid w:val="00B90221"/>
    <w:rsid w:val="00B915AB"/>
    <w:rsid w:val="00B919CF"/>
    <w:rsid w:val="00B91B89"/>
    <w:rsid w:val="00B931A6"/>
    <w:rsid w:val="00B939A2"/>
    <w:rsid w:val="00BA1C51"/>
    <w:rsid w:val="00BA2D83"/>
    <w:rsid w:val="00BA3DC8"/>
    <w:rsid w:val="00BA5ACB"/>
    <w:rsid w:val="00BA6759"/>
    <w:rsid w:val="00BA7C4F"/>
    <w:rsid w:val="00BB22C1"/>
    <w:rsid w:val="00BB5E56"/>
    <w:rsid w:val="00BC055C"/>
    <w:rsid w:val="00BC3C3D"/>
    <w:rsid w:val="00BC5AEB"/>
    <w:rsid w:val="00BD150F"/>
    <w:rsid w:val="00BD4233"/>
    <w:rsid w:val="00BD4A6A"/>
    <w:rsid w:val="00BD4E72"/>
    <w:rsid w:val="00BD5C4A"/>
    <w:rsid w:val="00BE1F2C"/>
    <w:rsid w:val="00BE3351"/>
    <w:rsid w:val="00BE66C2"/>
    <w:rsid w:val="00BF0272"/>
    <w:rsid w:val="00BF2FFD"/>
    <w:rsid w:val="00BF3054"/>
    <w:rsid w:val="00BF32DF"/>
    <w:rsid w:val="00BF49E2"/>
    <w:rsid w:val="00BF611E"/>
    <w:rsid w:val="00BF6FFB"/>
    <w:rsid w:val="00C04DF2"/>
    <w:rsid w:val="00C0715E"/>
    <w:rsid w:val="00C1280B"/>
    <w:rsid w:val="00C145EF"/>
    <w:rsid w:val="00C1660E"/>
    <w:rsid w:val="00C2084D"/>
    <w:rsid w:val="00C25A59"/>
    <w:rsid w:val="00C2626B"/>
    <w:rsid w:val="00C32C65"/>
    <w:rsid w:val="00C357B0"/>
    <w:rsid w:val="00C35876"/>
    <w:rsid w:val="00C36A86"/>
    <w:rsid w:val="00C37B1B"/>
    <w:rsid w:val="00C41D50"/>
    <w:rsid w:val="00C441AA"/>
    <w:rsid w:val="00C44DC5"/>
    <w:rsid w:val="00C456FB"/>
    <w:rsid w:val="00C46B80"/>
    <w:rsid w:val="00C47DC9"/>
    <w:rsid w:val="00C5113F"/>
    <w:rsid w:val="00C52337"/>
    <w:rsid w:val="00C52BDF"/>
    <w:rsid w:val="00C52F6F"/>
    <w:rsid w:val="00C543AE"/>
    <w:rsid w:val="00C55F80"/>
    <w:rsid w:val="00C566F9"/>
    <w:rsid w:val="00C6621A"/>
    <w:rsid w:val="00C72CCA"/>
    <w:rsid w:val="00C8025E"/>
    <w:rsid w:val="00C839E8"/>
    <w:rsid w:val="00C85534"/>
    <w:rsid w:val="00C92F7A"/>
    <w:rsid w:val="00C94B29"/>
    <w:rsid w:val="00C95DD6"/>
    <w:rsid w:val="00C968D7"/>
    <w:rsid w:val="00CA01A1"/>
    <w:rsid w:val="00CA1E55"/>
    <w:rsid w:val="00CA5890"/>
    <w:rsid w:val="00CA676E"/>
    <w:rsid w:val="00CA7024"/>
    <w:rsid w:val="00CB020B"/>
    <w:rsid w:val="00CB30DC"/>
    <w:rsid w:val="00CB7065"/>
    <w:rsid w:val="00CC5210"/>
    <w:rsid w:val="00CD2674"/>
    <w:rsid w:val="00CD5BAE"/>
    <w:rsid w:val="00CD7507"/>
    <w:rsid w:val="00CE1A9C"/>
    <w:rsid w:val="00CE4827"/>
    <w:rsid w:val="00CE647B"/>
    <w:rsid w:val="00CE6DE0"/>
    <w:rsid w:val="00CF07D0"/>
    <w:rsid w:val="00CF10B7"/>
    <w:rsid w:val="00CF31BF"/>
    <w:rsid w:val="00CF7732"/>
    <w:rsid w:val="00CF7DC1"/>
    <w:rsid w:val="00D00886"/>
    <w:rsid w:val="00D0252E"/>
    <w:rsid w:val="00D066C3"/>
    <w:rsid w:val="00D13915"/>
    <w:rsid w:val="00D16407"/>
    <w:rsid w:val="00D20AFF"/>
    <w:rsid w:val="00D249FD"/>
    <w:rsid w:val="00D261A5"/>
    <w:rsid w:val="00D31996"/>
    <w:rsid w:val="00D35F66"/>
    <w:rsid w:val="00D365DD"/>
    <w:rsid w:val="00D3715A"/>
    <w:rsid w:val="00D3745D"/>
    <w:rsid w:val="00D4284F"/>
    <w:rsid w:val="00D461B8"/>
    <w:rsid w:val="00D4759B"/>
    <w:rsid w:val="00D47804"/>
    <w:rsid w:val="00D566C7"/>
    <w:rsid w:val="00D57F4F"/>
    <w:rsid w:val="00D60013"/>
    <w:rsid w:val="00D604E9"/>
    <w:rsid w:val="00D64A69"/>
    <w:rsid w:val="00D65749"/>
    <w:rsid w:val="00D7201F"/>
    <w:rsid w:val="00D7255B"/>
    <w:rsid w:val="00D73974"/>
    <w:rsid w:val="00D76396"/>
    <w:rsid w:val="00D77099"/>
    <w:rsid w:val="00D808FF"/>
    <w:rsid w:val="00D8100E"/>
    <w:rsid w:val="00D829DE"/>
    <w:rsid w:val="00D8350F"/>
    <w:rsid w:val="00D900BA"/>
    <w:rsid w:val="00DA1912"/>
    <w:rsid w:val="00DA246A"/>
    <w:rsid w:val="00DA3388"/>
    <w:rsid w:val="00DA3D2F"/>
    <w:rsid w:val="00DA4213"/>
    <w:rsid w:val="00DA4DC6"/>
    <w:rsid w:val="00DB2033"/>
    <w:rsid w:val="00DD091F"/>
    <w:rsid w:val="00DD1137"/>
    <w:rsid w:val="00DD2553"/>
    <w:rsid w:val="00DD28D7"/>
    <w:rsid w:val="00DD4195"/>
    <w:rsid w:val="00DD4EF0"/>
    <w:rsid w:val="00DD6943"/>
    <w:rsid w:val="00DE589D"/>
    <w:rsid w:val="00DE6677"/>
    <w:rsid w:val="00DF2568"/>
    <w:rsid w:val="00DF5D40"/>
    <w:rsid w:val="00E12F13"/>
    <w:rsid w:val="00E14A09"/>
    <w:rsid w:val="00E15A86"/>
    <w:rsid w:val="00E1701A"/>
    <w:rsid w:val="00E23513"/>
    <w:rsid w:val="00E236B0"/>
    <w:rsid w:val="00E23D53"/>
    <w:rsid w:val="00E23E6E"/>
    <w:rsid w:val="00E251DE"/>
    <w:rsid w:val="00E257F7"/>
    <w:rsid w:val="00E25EDB"/>
    <w:rsid w:val="00E2693D"/>
    <w:rsid w:val="00E33706"/>
    <w:rsid w:val="00E33977"/>
    <w:rsid w:val="00E360D4"/>
    <w:rsid w:val="00E40A98"/>
    <w:rsid w:val="00E41FCA"/>
    <w:rsid w:val="00E440D5"/>
    <w:rsid w:val="00E44C14"/>
    <w:rsid w:val="00E50A79"/>
    <w:rsid w:val="00E50D69"/>
    <w:rsid w:val="00E519D3"/>
    <w:rsid w:val="00E53109"/>
    <w:rsid w:val="00E537A0"/>
    <w:rsid w:val="00E617F1"/>
    <w:rsid w:val="00E627B4"/>
    <w:rsid w:val="00E668D9"/>
    <w:rsid w:val="00E72708"/>
    <w:rsid w:val="00E73618"/>
    <w:rsid w:val="00E74AC0"/>
    <w:rsid w:val="00E760DD"/>
    <w:rsid w:val="00E773EA"/>
    <w:rsid w:val="00E857AF"/>
    <w:rsid w:val="00E93C70"/>
    <w:rsid w:val="00E9500E"/>
    <w:rsid w:val="00E9565B"/>
    <w:rsid w:val="00E95C3C"/>
    <w:rsid w:val="00EA0106"/>
    <w:rsid w:val="00EA09D0"/>
    <w:rsid w:val="00EA248B"/>
    <w:rsid w:val="00EA3ED1"/>
    <w:rsid w:val="00EA6F97"/>
    <w:rsid w:val="00EB0637"/>
    <w:rsid w:val="00EC0F7C"/>
    <w:rsid w:val="00EC368D"/>
    <w:rsid w:val="00EC3CD7"/>
    <w:rsid w:val="00EC4722"/>
    <w:rsid w:val="00EC67D6"/>
    <w:rsid w:val="00ED5FBC"/>
    <w:rsid w:val="00ED7647"/>
    <w:rsid w:val="00EE406A"/>
    <w:rsid w:val="00EE5F69"/>
    <w:rsid w:val="00EF11EF"/>
    <w:rsid w:val="00EF61E0"/>
    <w:rsid w:val="00F00D86"/>
    <w:rsid w:val="00F03D57"/>
    <w:rsid w:val="00F04097"/>
    <w:rsid w:val="00F0555E"/>
    <w:rsid w:val="00F05F01"/>
    <w:rsid w:val="00F10F8A"/>
    <w:rsid w:val="00F173CC"/>
    <w:rsid w:val="00F23DC7"/>
    <w:rsid w:val="00F24E30"/>
    <w:rsid w:val="00F267B1"/>
    <w:rsid w:val="00F40601"/>
    <w:rsid w:val="00F40F70"/>
    <w:rsid w:val="00F40F8C"/>
    <w:rsid w:val="00F4197A"/>
    <w:rsid w:val="00F42B86"/>
    <w:rsid w:val="00F42BA6"/>
    <w:rsid w:val="00F44CB8"/>
    <w:rsid w:val="00F50590"/>
    <w:rsid w:val="00F50DB0"/>
    <w:rsid w:val="00F5284F"/>
    <w:rsid w:val="00F53064"/>
    <w:rsid w:val="00F55D1C"/>
    <w:rsid w:val="00F56BDE"/>
    <w:rsid w:val="00F579F3"/>
    <w:rsid w:val="00F610FC"/>
    <w:rsid w:val="00F65994"/>
    <w:rsid w:val="00F6737D"/>
    <w:rsid w:val="00F70BF9"/>
    <w:rsid w:val="00F7134F"/>
    <w:rsid w:val="00F71964"/>
    <w:rsid w:val="00F75238"/>
    <w:rsid w:val="00F7727C"/>
    <w:rsid w:val="00F802E6"/>
    <w:rsid w:val="00F84373"/>
    <w:rsid w:val="00F862C5"/>
    <w:rsid w:val="00F87FC8"/>
    <w:rsid w:val="00F901B6"/>
    <w:rsid w:val="00F9285A"/>
    <w:rsid w:val="00F94049"/>
    <w:rsid w:val="00F9439F"/>
    <w:rsid w:val="00FA2248"/>
    <w:rsid w:val="00FA2E0F"/>
    <w:rsid w:val="00FA66E4"/>
    <w:rsid w:val="00FB0B99"/>
    <w:rsid w:val="00FB20BF"/>
    <w:rsid w:val="00FB2904"/>
    <w:rsid w:val="00FB37F6"/>
    <w:rsid w:val="00FC1A2F"/>
    <w:rsid w:val="00FC30AA"/>
    <w:rsid w:val="00FD0477"/>
    <w:rsid w:val="00FD0673"/>
    <w:rsid w:val="00FD58B9"/>
    <w:rsid w:val="00FE2D92"/>
    <w:rsid w:val="00FE3762"/>
    <w:rsid w:val="00FE4625"/>
    <w:rsid w:val="00FE4B72"/>
    <w:rsid w:val="00FE5296"/>
    <w:rsid w:val="00FF5352"/>
    <w:rsid w:val="00FF60EC"/>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418161D-02B5-47A1-90CD-7F2CE10E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o normal"/>
    <w:qFormat/>
    <w:rsid w:val="00A45A4B"/>
    <w:pPr>
      <w:spacing w:after="120"/>
    </w:pPr>
    <w:rPr>
      <w:rFonts w:ascii="Montserrat Light" w:hAnsi="Montserrat Light"/>
      <w:sz w:val="22"/>
      <w:szCs w:val="24"/>
      <w:lang w:val="es-ES_tradnl" w:eastAsia="es-ES"/>
    </w:rPr>
  </w:style>
  <w:style w:type="paragraph" w:styleId="Ttulo1">
    <w:name w:val="heading 1"/>
    <w:aliases w:val="Título Principal"/>
    <w:basedOn w:val="Normal"/>
    <w:next w:val="Normal"/>
    <w:link w:val="Ttulo1Car"/>
    <w:uiPriority w:val="9"/>
    <w:qFormat/>
    <w:rsid w:val="00F42BA6"/>
    <w:pPr>
      <w:keepNext/>
      <w:keepLines/>
      <w:spacing w:after="0"/>
      <w:jc w:val="center"/>
      <w:outlineLvl w:val="0"/>
    </w:pPr>
    <w:rPr>
      <w:rFonts w:ascii="Montserrat" w:eastAsia="MS Gothic" w:hAnsi="Montserrat"/>
      <w:b/>
      <w:bCs/>
      <w:sz w:val="28"/>
      <w:szCs w:val="32"/>
    </w:rPr>
  </w:style>
  <w:style w:type="paragraph" w:styleId="Ttulo2">
    <w:name w:val="heading 2"/>
    <w:aliases w:val="Principal Contenido"/>
    <w:basedOn w:val="Normal"/>
    <w:next w:val="Normal"/>
    <w:link w:val="Ttulo2Car"/>
    <w:uiPriority w:val="9"/>
    <w:qFormat/>
    <w:rsid w:val="00F42BA6"/>
    <w:pPr>
      <w:keepNext/>
      <w:keepLines/>
      <w:spacing w:before="200" w:after="200"/>
      <w:outlineLvl w:val="1"/>
    </w:pPr>
    <w:rPr>
      <w:rFonts w:ascii="Montserrat" w:eastAsia="MS Gothic" w:hAnsi="Montserrat"/>
      <w:b/>
      <w:bCs/>
      <w:sz w:val="26"/>
      <w:szCs w:val="26"/>
    </w:rPr>
  </w:style>
  <w:style w:type="paragraph" w:styleId="Ttulo3">
    <w:name w:val="heading 3"/>
    <w:basedOn w:val="Normal"/>
    <w:next w:val="Normal"/>
    <w:link w:val="Ttulo3Car"/>
    <w:uiPriority w:val="9"/>
    <w:unhideWhenUsed/>
    <w:qFormat/>
    <w:rsid w:val="00F42BA6"/>
    <w:pPr>
      <w:keepNext/>
      <w:keepLines/>
      <w:spacing w:after="200"/>
      <w:outlineLvl w:val="2"/>
    </w:pPr>
    <w:rPr>
      <w:rFonts w:ascii="Montserrat" w:eastAsiaTheme="majorEastAsia" w:hAnsi="Montserrat" w:cstheme="majorBidi"/>
      <w:b/>
      <w:bCs/>
      <w:sz w:val="24"/>
      <w:szCs w:val="22"/>
      <w:lang w:val="es-MX" w:eastAsia="en-US"/>
    </w:rPr>
  </w:style>
  <w:style w:type="paragraph" w:styleId="Ttulo4">
    <w:name w:val="heading 4"/>
    <w:basedOn w:val="Normal"/>
    <w:next w:val="Normal"/>
    <w:link w:val="Ttulo4Car"/>
    <w:uiPriority w:val="9"/>
    <w:unhideWhenUsed/>
    <w:qFormat/>
    <w:rsid w:val="00F42BA6"/>
    <w:pPr>
      <w:keepNext/>
      <w:keepLines/>
      <w:outlineLvl w:val="3"/>
    </w:pPr>
    <w:rPr>
      <w:rFonts w:ascii="Montserrat" w:eastAsiaTheme="majorEastAsia" w:hAnsi="Montserrat" w:cstheme="majorBidi"/>
      <w:bCs/>
      <w:iCs/>
      <w:szCs w:val="22"/>
      <w:lang w:val="es-MX" w:eastAsia="en-US"/>
    </w:rPr>
  </w:style>
  <w:style w:type="paragraph" w:styleId="Ttulo5">
    <w:name w:val="heading 5"/>
    <w:basedOn w:val="Normal"/>
    <w:next w:val="Normal"/>
    <w:link w:val="Ttulo5Car"/>
    <w:uiPriority w:val="9"/>
    <w:unhideWhenUsed/>
    <w:qFormat/>
    <w:rsid w:val="00F42BA6"/>
    <w:pPr>
      <w:keepNext/>
      <w:keepLines/>
      <w:spacing w:after="200"/>
      <w:outlineLvl w:val="4"/>
    </w:pPr>
    <w:rPr>
      <w:rFonts w:ascii="Montserrat" w:eastAsiaTheme="majorEastAsia" w:hAnsi="Montserrat" w:cstheme="majorBidi"/>
      <w:color w:val="243F60" w:themeColor="accent1" w:themeShade="7F"/>
      <w:sz w:val="14"/>
      <w:szCs w:val="22"/>
      <w:lang w:val="es-MX" w:eastAsia="en-US"/>
    </w:rPr>
  </w:style>
  <w:style w:type="paragraph" w:styleId="Ttulo6">
    <w:name w:val="heading 6"/>
    <w:basedOn w:val="Normal"/>
    <w:next w:val="Normal"/>
    <w:link w:val="Ttulo6Car"/>
    <w:uiPriority w:val="9"/>
    <w:unhideWhenUsed/>
    <w:qFormat/>
    <w:rsid w:val="00C41D50"/>
    <w:pPr>
      <w:keepNext/>
      <w:keepLines/>
      <w:spacing w:before="200" w:after="0"/>
      <w:ind w:left="3600"/>
      <w:outlineLvl w:val="5"/>
    </w:pPr>
    <w:rPr>
      <w:rFonts w:ascii="Cambria" w:eastAsia="Times New Roman" w:hAnsi="Cambria"/>
      <w:i/>
      <w:iCs/>
      <w:color w:val="243F60"/>
      <w:sz w:val="24"/>
      <w:lang w:val="es-ES"/>
    </w:rPr>
  </w:style>
  <w:style w:type="paragraph" w:styleId="Ttulo7">
    <w:name w:val="heading 7"/>
    <w:basedOn w:val="Normal"/>
    <w:next w:val="Normal"/>
    <w:link w:val="Ttulo7Car"/>
    <w:uiPriority w:val="9"/>
    <w:unhideWhenUsed/>
    <w:qFormat/>
    <w:rsid w:val="00C41D50"/>
    <w:pPr>
      <w:keepNext/>
      <w:keepLines/>
      <w:spacing w:before="200" w:after="0"/>
      <w:ind w:left="4320"/>
      <w:outlineLvl w:val="6"/>
    </w:pPr>
    <w:rPr>
      <w:rFonts w:ascii="Cambria" w:eastAsia="Times New Roman" w:hAnsi="Cambria"/>
      <w:i/>
      <w:iCs/>
      <w:color w:val="404040"/>
      <w:sz w:val="24"/>
      <w:lang w:val="es-ES"/>
    </w:rPr>
  </w:style>
  <w:style w:type="paragraph" w:styleId="Ttulo8">
    <w:name w:val="heading 8"/>
    <w:basedOn w:val="Normal"/>
    <w:next w:val="Normal"/>
    <w:link w:val="Ttulo8Car"/>
    <w:uiPriority w:val="9"/>
    <w:unhideWhenUsed/>
    <w:qFormat/>
    <w:rsid w:val="00C41D50"/>
    <w:pPr>
      <w:keepNext/>
      <w:keepLines/>
      <w:spacing w:before="200" w:after="0"/>
      <w:ind w:left="5040"/>
      <w:outlineLvl w:val="7"/>
    </w:pPr>
    <w:rPr>
      <w:rFonts w:ascii="Cambria" w:eastAsia="Times New Roman" w:hAnsi="Cambria"/>
      <w:color w:val="404040"/>
      <w:sz w:val="20"/>
      <w:szCs w:val="20"/>
      <w:lang w:val="es-ES"/>
    </w:rPr>
  </w:style>
  <w:style w:type="paragraph" w:styleId="Ttulo9">
    <w:name w:val="heading 9"/>
    <w:basedOn w:val="Normal"/>
    <w:next w:val="Normal"/>
    <w:link w:val="Ttulo9Car"/>
    <w:uiPriority w:val="9"/>
    <w:unhideWhenUsed/>
    <w:qFormat/>
    <w:rsid w:val="00C41D50"/>
    <w:pPr>
      <w:keepNext/>
      <w:keepLines/>
      <w:spacing w:before="200" w:after="0"/>
      <w:ind w:left="5760"/>
      <w:outlineLvl w:val="8"/>
    </w:pPr>
    <w:rPr>
      <w:rFonts w:ascii="Cambria" w:eastAsia="Times New Roman" w:hAnsi="Cambria"/>
      <w:i/>
      <w:iCs/>
      <w:color w:val="40404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CD7507"/>
    <w:rPr>
      <w:rFonts w:ascii="Lucida Grande" w:hAnsi="Lucida Grande"/>
      <w:sz w:val="18"/>
      <w:szCs w:val="18"/>
    </w:rPr>
  </w:style>
  <w:style w:type="character" w:customStyle="1" w:styleId="TextodegloboCar">
    <w:name w:val="Texto de globo Car"/>
    <w:link w:val="Textodeglobo"/>
    <w:rsid w:val="00CD7507"/>
    <w:rPr>
      <w:rFonts w:ascii="Lucida Grande" w:hAnsi="Lucida Grande"/>
      <w:sz w:val="18"/>
      <w:szCs w:val="18"/>
    </w:rPr>
  </w:style>
  <w:style w:type="paragraph" w:styleId="Encabezado">
    <w:name w:val="header"/>
    <w:basedOn w:val="Normal"/>
    <w:link w:val="EncabezadoCar"/>
    <w:uiPriority w:val="99"/>
    <w:unhideWhenUsed/>
    <w:rsid w:val="009059B7"/>
    <w:pPr>
      <w:tabs>
        <w:tab w:val="center" w:pos="4252"/>
        <w:tab w:val="right" w:pos="8504"/>
      </w:tabs>
    </w:pPr>
    <w:rPr>
      <w:sz w:val="20"/>
    </w:rPr>
  </w:style>
  <w:style w:type="character" w:customStyle="1" w:styleId="EncabezadoCar">
    <w:name w:val="Encabezado Car"/>
    <w:basedOn w:val="Fuentedeprrafopredeter"/>
    <w:link w:val="Encabezado"/>
    <w:uiPriority w:val="99"/>
    <w:rsid w:val="009059B7"/>
    <w:rPr>
      <w:rFonts w:ascii="Montserrat" w:hAnsi="Montserrat"/>
      <w:szCs w:val="24"/>
      <w:lang w:val="es-ES_tradnl" w:eastAsia="es-ES"/>
    </w:rPr>
  </w:style>
  <w:style w:type="paragraph" w:styleId="Piedepgina">
    <w:name w:val="footer"/>
    <w:basedOn w:val="Normal"/>
    <w:link w:val="PiedepginaCar"/>
    <w:uiPriority w:val="99"/>
    <w:unhideWhenUsed/>
    <w:rsid w:val="00F42BA6"/>
    <w:pPr>
      <w:tabs>
        <w:tab w:val="center" w:pos="4252"/>
        <w:tab w:val="right" w:pos="8504"/>
      </w:tabs>
      <w:spacing w:after="0"/>
    </w:pPr>
  </w:style>
  <w:style w:type="character" w:customStyle="1" w:styleId="PiedepginaCar">
    <w:name w:val="Pie de página Car"/>
    <w:basedOn w:val="Fuentedeprrafopredeter"/>
    <w:link w:val="Piedepgina"/>
    <w:uiPriority w:val="99"/>
    <w:rsid w:val="00F42BA6"/>
    <w:rPr>
      <w:rFonts w:ascii="Montserrat Light" w:hAnsi="Montserrat Light"/>
      <w:sz w:val="22"/>
      <w:szCs w:val="24"/>
      <w:lang w:val="es-ES_tradnl" w:eastAsia="es-ES"/>
    </w:rPr>
  </w:style>
  <w:style w:type="character" w:styleId="Nmerodepgina">
    <w:name w:val="page number"/>
    <w:basedOn w:val="Fuentedeprrafopredeter"/>
    <w:unhideWhenUsed/>
    <w:rsid w:val="00A27307"/>
  </w:style>
  <w:style w:type="character" w:customStyle="1" w:styleId="Ttulo2Car">
    <w:name w:val="Título 2 Car"/>
    <w:aliases w:val="Principal Contenido Car"/>
    <w:link w:val="Ttulo2"/>
    <w:uiPriority w:val="9"/>
    <w:rsid w:val="00F42BA6"/>
    <w:rPr>
      <w:rFonts w:ascii="Montserrat" w:eastAsia="MS Gothic" w:hAnsi="Montserrat"/>
      <w:b/>
      <w:bCs/>
      <w:sz w:val="26"/>
      <w:szCs w:val="26"/>
      <w:lang w:val="es-ES_tradnl" w:eastAsia="es-ES"/>
    </w:rPr>
  </w:style>
  <w:style w:type="paragraph" w:customStyle="1" w:styleId="ColumnaSencilla">
    <w:name w:val="Columna Sencilla"/>
    <w:aliases w:val="texto standard"/>
    <w:basedOn w:val="Normal"/>
    <w:qFormat/>
    <w:rsid w:val="00F42BA6"/>
    <w:pPr>
      <w:jc w:val="both"/>
    </w:pPr>
  </w:style>
  <w:style w:type="character" w:customStyle="1" w:styleId="Ttulo1Car">
    <w:name w:val="Título 1 Car"/>
    <w:aliases w:val="Título Principal Car"/>
    <w:link w:val="Ttulo1"/>
    <w:uiPriority w:val="9"/>
    <w:rsid w:val="00F42BA6"/>
    <w:rPr>
      <w:rFonts w:ascii="Montserrat" w:eastAsia="MS Gothic" w:hAnsi="Montserrat"/>
      <w:b/>
      <w:bCs/>
      <w:sz w:val="28"/>
      <w:szCs w:val="32"/>
      <w:lang w:val="es-ES_tradnl" w:eastAsia="es-ES"/>
    </w:rPr>
  </w:style>
  <w:style w:type="paragraph" w:styleId="Ttulo">
    <w:name w:val="Title"/>
    <w:aliases w:val="Subtítulo principal"/>
    <w:basedOn w:val="Normal"/>
    <w:next w:val="Normal"/>
    <w:link w:val="TtuloCar"/>
    <w:uiPriority w:val="10"/>
    <w:qFormat/>
    <w:rsid w:val="00F42BA6"/>
    <w:pPr>
      <w:pBdr>
        <w:bottom w:val="single" w:sz="8" w:space="4" w:color="4F81BD"/>
      </w:pBdr>
      <w:spacing w:after="300"/>
      <w:contextualSpacing/>
      <w:jc w:val="center"/>
    </w:pPr>
    <w:rPr>
      <w:rFonts w:ascii="Montserrat" w:eastAsia="MS Gothic" w:hAnsi="Montserrat"/>
      <w:b/>
      <w:color w:val="FFFFFF"/>
      <w:spacing w:val="5"/>
      <w:kern w:val="28"/>
      <w:sz w:val="40"/>
      <w:szCs w:val="52"/>
    </w:rPr>
  </w:style>
  <w:style w:type="character" w:customStyle="1" w:styleId="TtuloCar">
    <w:name w:val="Título Car"/>
    <w:aliases w:val="Subtítulo principal Car"/>
    <w:link w:val="Ttulo"/>
    <w:uiPriority w:val="10"/>
    <w:rsid w:val="00F42BA6"/>
    <w:rPr>
      <w:rFonts w:ascii="Montserrat" w:eastAsia="MS Gothic" w:hAnsi="Montserrat"/>
      <w:b/>
      <w:color w:val="FFFFFF"/>
      <w:spacing w:val="5"/>
      <w:kern w:val="28"/>
      <w:sz w:val="40"/>
      <w:szCs w:val="52"/>
      <w:lang w:val="es-ES_tradnl" w:eastAsia="es-ES"/>
    </w:rPr>
  </w:style>
  <w:style w:type="paragraph" w:customStyle="1" w:styleId="Bala">
    <w:name w:val="Bala"/>
    <w:basedOn w:val="Normal"/>
    <w:qFormat/>
    <w:rsid w:val="00F42BA6"/>
    <w:pPr>
      <w:numPr>
        <w:numId w:val="1"/>
      </w:numPr>
      <w:autoSpaceDE w:val="0"/>
      <w:autoSpaceDN w:val="0"/>
      <w:adjustRightInd w:val="0"/>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2"/>
      </w:numPr>
      <w:ind w:left="454" w:hanging="227"/>
    </w:pPr>
  </w:style>
  <w:style w:type="paragraph" w:customStyle="1" w:styleId="Cdetexto">
    <w:name w:val="C. de texto"/>
    <w:basedOn w:val="Normal"/>
    <w:qFormat/>
    <w:rsid w:val="00F42BA6"/>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6F1B3E"/>
    <w:pPr>
      <w:spacing w:after="0"/>
      <w:contextualSpacing/>
    </w:pPr>
    <w:rPr>
      <w:rFonts w:ascii="Montserrat" w:eastAsia="Times New Roman" w:hAnsi="Montserrat"/>
      <w:b/>
      <w:noProof/>
      <w:sz w:val="18"/>
      <w:szCs w:val="20"/>
      <w:lang w:val="en-US" w:eastAsia="en-US"/>
    </w:rPr>
  </w:style>
  <w:style w:type="paragraph" w:customStyle="1" w:styleId="Cifraneg5p">
    <w:name w:val="Cifra neg 5p"/>
    <w:basedOn w:val="Normal"/>
    <w:next w:val="Normal"/>
    <w:qFormat/>
    <w:rsid w:val="009059B7"/>
    <w:pPr>
      <w:spacing w:before="20" w:after="0"/>
      <w:ind w:right="57"/>
      <w:jc w:val="right"/>
    </w:pPr>
    <w:rPr>
      <w:rFonts w:ascii="Montserrat" w:eastAsia="Calibri" w:hAnsi="Montserrat"/>
      <w:b/>
      <w:sz w:val="10"/>
      <w:szCs w:val="22"/>
      <w:lang w:val="es-ES"/>
    </w:rPr>
  </w:style>
  <w:style w:type="paragraph" w:customStyle="1" w:styleId="Cifranegra">
    <w:name w:val="Cifra negra"/>
    <w:basedOn w:val="Normal"/>
    <w:next w:val="Normal"/>
    <w:qFormat/>
    <w:rsid w:val="009059B7"/>
    <w:pPr>
      <w:spacing w:before="20" w:after="0"/>
      <w:jc w:val="right"/>
    </w:pPr>
    <w:rPr>
      <w:rFonts w:ascii="Montserrat" w:eastAsia="Calibri" w:hAnsi="Montserrat"/>
      <w:b/>
      <w:sz w:val="12"/>
      <w:szCs w:val="22"/>
      <w:lang w:val="es-MX" w:eastAsia="en-US"/>
    </w:rPr>
  </w:style>
  <w:style w:type="paragraph" w:customStyle="1" w:styleId="Cifras">
    <w:name w:val="Cifras"/>
    <w:basedOn w:val="Normal"/>
    <w:next w:val="Normal"/>
    <w:qFormat/>
    <w:rsid w:val="009059B7"/>
    <w:pPr>
      <w:spacing w:before="20" w:after="0"/>
      <w:jc w:val="right"/>
    </w:pPr>
    <w:rPr>
      <w:rFonts w:ascii="Montserrat" w:eastAsiaTheme="minorHAnsi" w:hAnsi="Montserrat"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9059B7"/>
    <w:pPr>
      <w:spacing w:after="0"/>
      <w:jc w:val="both"/>
    </w:pPr>
    <w:rPr>
      <w:rFonts w:ascii="Montserrat" w:eastAsia="Arial Unicode MS" w:hAnsi="Montserrat"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6F1B3E"/>
    <w:pPr>
      <w:spacing w:after="0"/>
      <w:jc w:val="center"/>
    </w:pPr>
    <w:rPr>
      <w:rFonts w:ascii="Montserrat" w:eastAsia="Calibri" w:hAnsi="Montserrat" w:cstheme="minorBidi"/>
      <w:b/>
      <w:color w:val="FFFFFF" w:themeColor="background1"/>
      <w:sz w:val="14"/>
      <w:szCs w:val="22"/>
      <w:lang w:val="es-MX"/>
    </w:rPr>
  </w:style>
  <w:style w:type="paragraph" w:customStyle="1" w:styleId="Textocuadro">
    <w:name w:val="Texto cuadro"/>
    <w:basedOn w:val="Normal"/>
    <w:next w:val="Normal"/>
    <w:rsid w:val="00F42BA6"/>
    <w:pPr>
      <w:spacing w:before="20" w:after="0"/>
    </w:pPr>
    <w:rPr>
      <w:rFonts w:ascii="Montserrat" w:eastAsia="Times New Roman" w:hAnsi="Montserrat"/>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F42BA6"/>
    <w:pPr>
      <w:spacing w:before="20" w:after="0"/>
    </w:pPr>
    <w:rPr>
      <w:rFonts w:ascii="Montserrat" w:eastAsiaTheme="minorHAnsi" w:hAnsi="Montserrat"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F42BA6"/>
    <w:pPr>
      <w:spacing w:after="0"/>
    </w:pPr>
    <w:rPr>
      <w:rFonts w:ascii="Montserrat" w:eastAsia="Calibri" w:hAnsi="Montserrat"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42BA6"/>
    <w:pPr>
      <w:spacing w:before="200" w:after="120"/>
    </w:pPr>
    <w:rPr>
      <w:rFonts w:ascii="Montserrat" w:eastAsiaTheme="minorHAnsi" w:hAnsi="Montserrat" w:cstheme="minorBidi"/>
      <w:b/>
      <w:sz w:val="24"/>
      <w:szCs w:val="22"/>
      <w:lang w:eastAsia="en-US"/>
    </w:rPr>
  </w:style>
  <w:style w:type="paragraph" w:customStyle="1" w:styleId="TITULOII">
    <w:name w:val="TITULO II"/>
    <w:rsid w:val="00F42BA6"/>
    <w:pPr>
      <w:spacing w:before="200" w:after="120"/>
    </w:pPr>
    <w:rPr>
      <w:rFonts w:ascii="Montserrat" w:eastAsiaTheme="majorEastAsia" w:hAnsi="Montserrat" w:cstheme="majorBidi"/>
      <w:b/>
      <w:bCs/>
      <w:sz w:val="22"/>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3"/>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4"/>
      </w:numPr>
    </w:pPr>
  </w:style>
  <w:style w:type="paragraph" w:customStyle="1" w:styleId="Vietaconletra2">
    <w:name w:val="Viñeta con letra 2"/>
    <w:basedOn w:val="Vietaconletra10"/>
    <w:qFormat/>
    <w:rsid w:val="00A45DC6"/>
    <w:pPr>
      <w:numPr>
        <w:numId w:val="5"/>
      </w:numPr>
      <w:ind w:left="1071" w:hanging="357"/>
    </w:pPr>
  </w:style>
  <w:style w:type="paragraph" w:customStyle="1" w:styleId="Vietaconletra0">
    <w:name w:val="Viñeta con letra)"/>
    <w:basedOn w:val="Normal"/>
    <w:qFormat/>
    <w:rsid w:val="00556B03"/>
    <w:pPr>
      <w:numPr>
        <w:numId w:val="6"/>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7"/>
      </w:numPr>
    </w:pPr>
  </w:style>
  <w:style w:type="paragraph" w:customStyle="1" w:styleId="Vietaconletra20">
    <w:name w:val="Viñeta con letra) 2"/>
    <w:basedOn w:val="Vietaconletra1"/>
    <w:qFormat/>
    <w:rsid w:val="00A45DC6"/>
    <w:pPr>
      <w:numPr>
        <w:numId w:val="8"/>
      </w:numPr>
      <w:ind w:left="1071" w:hanging="357"/>
    </w:pPr>
  </w:style>
  <w:style w:type="paragraph" w:customStyle="1" w:styleId="Vietaconnmero">
    <w:name w:val="Viñeta con número"/>
    <w:basedOn w:val="Normal"/>
    <w:rsid w:val="00556B03"/>
    <w:pPr>
      <w:numPr>
        <w:numId w:val="9"/>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0"/>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1"/>
      </w:numPr>
      <w:ind w:left="1071" w:hanging="357"/>
    </w:pPr>
  </w:style>
  <w:style w:type="paragraph" w:customStyle="1" w:styleId="Vietaflecha">
    <w:name w:val="Viñeta flecha"/>
    <w:basedOn w:val="Normal"/>
    <w:qFormat/>
    <w:rsid w:val="00556B03"/>
    <w:pPr>
      <w:numPr>
        <w:numId w:val="12"/>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42BA6"/>
    <w:rPr>
      <w:rFonts w:ascii="Montserrat" w:eastAsiaTheme="majorEastAsia" w:hAnsi="Montserrat" w:cstheme="majorBidi"/>
      <w:b/>
      <w:bCs/>
      <w:sz w:val="24"/>
      <w:szCs w:val="22"/>
      <w:lang w:eastAsia="en-US"/>
    </w:rPr>
  </w:style>
  <w:style w:type="character" w:customStyle="1" w:styleId="Ttulo4Car">
    <w:name w:val="Título 4 Car"/>
    <w:basedOn w:val="Fuentedeprrafopredeter"/>
    <w:link w:val="Ttulo4"/>
    <w:uiPriority w:val="9"/>
    <w:rsid w:val="00F42BA6"/>
    <w:rPr>
      <w:rFonts w:ascii="Montserrat" w:eastAsiaTheme="majorEastAsia" w:hAnsi="Montserrat" w:cstheme="majorBidi"/>
      <w:bCs/>
      <w:iCs/>
      <w:sz w:val="22"/>
      <w:szCs w:val="22"/>
      <w:lang w:eastAsia="en-US"/>
    </w:rPr>
  </w:style>
  <w:style w:type="character" w:customStyle="1" w:styleId="Ttulo5Car">
    <w:name w:val="Título 5 Car"/>
    <w:basedOn w:val="Fuentedeprrafopredeter"/>
    <w:link w:val="Ttulo5"/>
    <w:uiPriority w:val="9"/>
    <w:rsid w:val="00F42BA6"/>
    <w:rPr>
      <w:rFonts w:ascii="Montserrat" w:eastAsiaTheme="majorEastAsia" w:hAnsi="Montserrat" w:cstheme="majorBidi"/>
      <w:color w:val="243F60" w:themeColor="accent1" w:themeShade="7F"/>
      <w:sz w:val="14"/>
      <w:szCs w:val="22"/>
      <w:lang w:eastAsia="en-US"/>
    </w:rPr>
  </w:style>
  <w:style w:type="character" w:customStyle="1" w:styleId="CABEZACar">
    <w:name w:val="CABEZA Car"/>
    <w:basedOn w:val="Fuentedeprrafopredeter"/>
    <w:link w:val="CABEZA"/>
    <w:rsid w:val="006F1B3E"/>
    <w:rPr>
      <w:rFonts w:ascii="Montserrat" w:eastAsia="Times New Roman" w:hAnsi="Montserrat"/>
      <w:b/>
      <w:noProof/>
      <w:sz w:val="18"/>
      <w:lang w:val="en-US" w:eastAsia="en-US"/>
    </w:rPr>
  </w:style>
  <w:style w:type="paragraph" w:styleId="Textonotapie">
    <w:name w:val="footnote text"/>
    <w:basedOn w:val="Normal"/>
    <w:link w:val="TextonotapieCar"/>
    <w:unhideWhenUsed/>
    <w:rsid w:val="00764BFE"/>
    <w:pPr>
      <w:spacing w:after="0"/>
    </w:pPr>
    <w:rPr>
      <w:sz w:val="20"/>
      <w:szCs w:val="20"/>
    </w:rPr>
  </w:style>
  <w:style w:type="character" w:customStyle="1" w:styleId="TextonotapieCar">
    <w:name w:val="Texto nota pie Car"/>
    <w:basedOn w:val="Fuentedeprrafopredeter"/>
    <w:link w:val="Textonotapie"/>
    <w:rsid w:val="00764BFE"/>
    <w:rPr>
      <w:rFonts w:ascii="Adobe Caslon Pro" w:hAnsi="Adobe Caslon Pro"/>
      <w:color w:val="616265"/>
      <w:lang w:val="es-ES_tradnl" w:eastAsia="es-ES"/>
    </w:rPr>
  </w:style>
  <w:style w:type="character" w:styleId="Refdenotaalpie">
    <w:name w:val="footnote reference"/>
    <w:basedOn w:val="Fuentedeprrafopredeter"/>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6F1B3E"/>
    <w:rPr>
      <w:b w:val="0"/>
      <w:sz w:val="12"/>
      <w:szCs w:val="14"/>
    </w:rPr>
  </w:style>
  <w:style w:type="paragraph" w:styleId="Citadestacada">
    <w:name w:val="Intense Quote"/>
    <w:basedOn w:val="Normal"/>
    <w:next w:val="Normal"/>
    <w:link w:val="CitadestacadaCar"/>
    <w:uiPriority w:val="3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E583F"/>
    <w:rPr>
      <w:rFonts w:ascii="Soberana Sans" w:hAnsi="Soberana Sans"/>
      <w:b/>
      <w:bCs/>
      <w:i/>
      <w:iCs/>
      <w:color w:val="4F81BD" w:themeColor="accent1"/>
      <w:sz w:val="24"/>
      <w:szCs w:val="24"/>
      <w:lang w:val="es-ES_tradnl" w:eastAsia="es-ES"/>
    </w:rPr>
  </w:style>
  <w:style w:type="paragraph" w:styleId="Subttulo">
    <w:name w:val="Subtitle"/>
    <w:basedOn w:val="Normal"/>
    <w:next w:val="Normal"/>
    <w:link w:val="SubttuloCar"/>
    <w:uiPriority w:val="11"/>
    <w:qFormat/>
    <w:rsid w:val="00F42BA6"/>
    <w:pPr>
      <w:numPr>
        <w:ilvl w:val="1"/>
      </w:numPr>
      <w:spacing w:after="160"/>
    </w:pPr>
    <w:rPr>
      <w:rFonts w:ascii="Montserrat" w:eastAsiaTheme="minorEastAsia" w:hAnsi="Montserrat" w:cstheme="minorBidi"/>
      <w:color w:val="5A5A5A" w:themeColor="text1" w:themeTint="A5"/>
      <w:spacing w:val="15"/>
      <w:szCs w:val="22"/>
    </w:rPr>
  </w:style>
  <w:style w:type="character" w:customStyle="1" w:styleId="SubttuloCar">
    <w:name w:val="Subtítulo Car"/>
    <w:basedOn w:val="Fuentedeprrafopredeter"/>
    <w:link w:val="Subttulo"/>
    <w:uiPriority w:val="11"/>
    <w:rsid w:val="00F42BA6"/>
    <w:rPr>
      <w:rFonts w:ascii="Montserrat" w:eastAsiaTheme="minorEastAsia" w:hAnsi="Montserrat" w:cstheme="minorBidi"/>
      <w:color w:val="5A5A5A" w:themeColor="text1" w:themeTint="A5"/>
      <w:spacing w:val="15"/>
      <w:sz w:val="22"/>
      <w:szCs w:val="22"/>
      <w:lang w:val="es-ES_tradnl" w:eastAsia="es-ES"/>
    </w:rPr>
  </w:style>
  <w:style w:type="paragraph" w:styleId="Sinespaciado">
    <w:name w:val="No Spacing"/>
    <w:link w:val="SinespaciadoCar"/>
    <w:uiPriority w:val="1"/>
    <w:qFormat/>
    <w:rsid w:val="00F42BA6"/>
    <w:rPr>
      <w:rFonts w:ascii="Montserrat" w:hAnsi="Montserrat"/>
      <w:sz w:val="22"/>
      <w:szCs w:val="24"/>
      <w:lang w:val="es-ES_tradnl" w:eastAsia="es-ES"/>
    </w:rPr>
  </w:style>
  <w:style w:type="character" w:styleId="Hipervnculo">
    <w:name w:val="Hyperlink"/>
    <w:basedOn w:val="Fuentedeprrafopredeter"/>
    <w:uiPriority w:val="99"/>
    <w:unhideWhenUsed/>
    <w:rsid w:val="006E1A43"/>
    <w:rPr>
      <w:color w:val="0000FF"/>
      <w:u w:val="single"/>
    </w:rPr>
  </w:style>
  <w:style w:type="table" w:customStyle="1" w:styleId="Tablaconcuadrcula321">
    <w:name w:val="Tabla con cuadrícula321"/>
    <w:basedOn w:val="Tablanormal"/>
    <w:next w:val="Tablaconcuadrcula"/>
    <w:uiPriority w:val="59"/>
    <w:rsid w:val="00B902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B90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B902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29DE"/>
    <w:pPr>
      <w:autoSpaceDE w:val="0"/>
      <w:autoSpaceDN w:val="0"/>
      <w:adjustRightInd w:val="0"/>
    </w:pPr>
    <w:rPr>
      <w:rFonts w:ascii="Calibri" w:eastAsiaTheme="minorHAnsi" w:hAnsi="Calibri" w:cs="Calibri"/>
      <w:color w:val="000000"/>
      <w:sz w:val="24"/>
      <w:szCs w:val="24"/>
      <w:lang w:eastAsia="en-US"/>
    </w:rPr>
  </w:style>
  <w:style w:type="character" w:styleId="Refdecomentario">
    <w:name w:val="annotation reference"/>
    <w:basedOn w:val="Fuentedeprrafopredeter"/>
    <w:semiHidden/>
    <w:unhideWhenUsed/>
    <w:rsid w:val="00E44C14"/>
    <w:rPr>
      <w:sz w:val="16"/>
      <w:szCs w:val="16"/>
    </w:rPr>
  </w:style>
  <w:style w:type="paragraph" w:styleId="Textocomentario">
    <w:name w:val="annotation text"/>
    <w:basedOn w:val="Normal"/>
    <w:link w:val="TextocomentarioCar"/>
    <w:unhideWhenUsed/>
    <w:rsid w:val="00E44C14"/>
    <w:rPr>
      <w:sz w:val="20"/>
      <w:szCs w:val="20"/>
    </w:rPr>
  </w:style>
  <w:style w:type="character" w:customStyle="1" w:styleId="TextocomentarioCar">
    <w:name w:val="Texto comentario Car"/>
    <w:basedOn w:val="Fuentedeprrafopredeter"/>
    <w:link w:val="Textocomentario"/>
    <w:rsid w:val="00E44C14"/>
    <w:rPr>
      <w:rFonts w:ascii="Montserrat Light" w:hAnsi="Montserrat Light"/>
      <w:lang w:val="es-ES_tradnl" w:eastAsia="es-ES"/>
    </w:rPr>
  </w:style>
  <w:style w:type="paragraph" w:styleId="Asuntodelcomentario">
    <w:name w:val="annotation subject"/>
    <w:basedOn w:val="Textocomentario"/>
    <w:next w:val="Textocomentario"/>
    <w:link w:val="AsuntodelcomentarioCar"/>
    <w:unhideWhenUsed/>
    <w:rsid w:val="00E44C14"/>
    <w:rPr>
      <w:b/>
      <w:bCs/>
    </w:rPr>
  </w:style>
  <w:style w:type="character" w:customStyle="1" w:styleId="AsuntodelcomentarioCar">
    <w:name w:val="Asunto del comentario Car"/>
    <w:basedOn w:val="TextocomentarioCar"/>
    <w:link w:val="Asuntodelcomentario"/>
    <w:rsid w:val="00E44C14"/>
    <w:rPr>
      <w:rFonts w:ascii="Montserrat Light" w:hAnsi="Montserrat Light"/>
      <w:b/>
      <w:bCs/>
      <w:lang w:val="es-ES_tradnl" w:eastAsia="es-ES"/>
    </w:rPr>
  </w:style>
  <w:style w:type="paragraph" w:styleId="Prrafodelista">
    <w:name w:val="List Paragraph"/>
    <w:aliases w:val="lp1,List Paragraph1,Figura 1"/>
    <w:basedOn w:val="Normal"/>
    <w:link w:val="PrrafodelistaCar"/>
    <w:uiPriority w:val="34"/>
    <w:qFormat/>
    <w:rsid w:val="00E617F1"/>
    <w:pPr>
      <w:spacing w:after="160" w:line="259" w:lineRule="auto"/>
      <w:ind w:left="720"/>
      <w:contextualSpacing/>
    </w:pPr>
    <w:rPr>
      <w:rFonts w:asciiTheme="minorHAnsi" w:eastAsia="Batang" w:hAnsiTheme="minorHAnsi" w:cstheme="minorBidi"/>
      <w:szCs w:val="22"/>
      <w:lang w:val="es-MX" w:eastAsia="en-US"/>
    </w:rPr>
  </w:style>
  <w:style w:type="table" w:customStyle="1" w:styleId="Tablaconcuadrcula3211">
    <w:name w:val="Tabla con cuadrícula3211"/>
    <w:basedOn w:val="Tablanormal"/>
    <w:next w:val="Tablaconcuadrcula"/>
    <w:uiPriority w:val="59"/>
    <w:rsid w:val="008E00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8E00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rsid w:val="00C41D50"/>
    <w:rPr>
      <w:rFonts w:eastAsia="Times New Roman"/>
      <w:i/>
      <w:iCs/>
      <w:color w:val="243F60"/>
      <w:sz w:val="24"/>
      <w:szCs w:val="24"/>
      <w:lang w:val="es-ES" w:eastAsia="es-ES"/>
    </w:rPr>
  </w:style>
  <w:style w:type="character" w:customStyle="1" w:styleId="Ttulo7Car">
    <w:name w:val="Título 7 Car"/>
    <w:basedOn w:val="Fuentedeprrafopredeter"/>
    <w:link w:val="Ttulo7"/>
    <w:uiPriority w:val="9"/>
    <w:rsid w:val="00C41D50"/>
    <w:rPr>
      <w:rFonts w:eastAsia="Times New Roman"/>
      <w:i/>
      <w:iCs/>
      <w:color w:val="404040"/>
      <w:sz w:val="24"/>
      <w:szCs w:val="24"/>
      <w:lang w:val="es-ES" w:eastAsia="es-ES"/>
    </w:rPr>
  </w:style>
  <w:style w:type="character" w:customStyle="1" w:styleId="Ttulo8Car">
    <w:name w:val="Título 8 Car"/>
    <w:basedOn w:val="Fuentedeprrafopredeter"/>
    <w:link w:val="Ttulo8"/>
    <w:uiPriority w:val="9"/>
    <w:rsid w:val="00C41D50"/>
    <w:rPr>
      <w:rFonts w:eastAsia="Times New Roman"/>
      <w:color w:val="404040"/>
      <w:lang w:val="es-ES" w:eastAsia="es-ES"/>
    </w:rPr>
  </w:style>
  <w:style w:type="character" w:customStyle="1" w:styleId="Ttulo9Car">
    <w:name w:val="Título 9 Car"/>
    <w:basedOn w:val="Fuentedeprrafopredeter"/>
    <w:link w:val="Ttulo9"/>
    <w:uiPriority w:val="9"/>
    <w:rsid w:val="00C41D50"/>
    <w:rPr>
      <w:rFonts w:eastAsia="Times New Roman"/>
      <w:i/>
      <w:iCs/>
      <w:color w:val="404040"/>
      <w:lang w:val="es-ES" w:eastAsia="es-ES"/>
    </w:rPr>
  </w:style>
  <w:style w:type="character" w:styleId="Hipervnculovisitado">
    <w:name w:val="FollowedHyperlink"/>
    <w:basedOn w:val="Fuentedeprrafopredeter"/>
    <w:uiPriority w:val="99"/>
    <w:semiHidden/>
    <w:unhideWhenUsed/>
    <w:rsid w:val="00C41D50"/>
    <w:rPr>
      <w:color w:val="800080"/>
      <w:u w:val="single"/>
    </w:rPr>
  </w:style>
  <w:style w:type="paragraph" w:customStyle="1" w:styleId="xl66">
    <w:name w:val="xl66"/>
    <w:basedOn w:val="Normal"/>
    <w:rsid w:val="00C41D50"/>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67">
    <w:name w:val="xl67"/>
    <w:basedOn w:val="Normal"/>
    <w:rsid w:val="00C41D50"/>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68">
    <w:name w:val="xl68"/>
    <w:basedOn w:val="Normal"/>
    <w:rsid w:val="00C41D50"/>
    <w:pPr>
      <w:spacing w:before="100" w:beforeAutospacing="1" w:after="100" w:afterAutospacing="1"/>
      <w:jc w:val="center"/>
      <w:textAlignment w:val="top"/>
    </w:pPr>
    <w:rPr>
      <w:rFonts w:ascii="Adobe Caslon Pro" w:eastAsia="Times New Roman" w:hAnsi="Adobe Caslon Pro"/>
      <w:b/>
      <w:bCs/>
      <w:sz w:val="24"/>
      <w:lang w:val="es-MX" w:eastAsia="es-MX"/>
    </w:rPr>
  </w:style>
  <w:style w:type="paragraph" w:customStyle="1" w:styleId="xl69">
    <w:name w:val="xl69"/>
    <w:basedOn w:val="Normal"/>
    <w:rsid w:val="00C41D50"/>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0">
    <w:name w:val="xl70"/>
    <w:basedOn w:val="Normal"/>
    <w:rsid w:val="00C41D50"/>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1">
    <w:name w:val="xl71"/>
    <w:basedOn w:val="Normal"/>
    <w:rsid w:val="00C41D50"/>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2">
    <w:name w:val="xl72"/>
    <w:basedOn w:val="Normal"/>
    <w:rsid w:val="00C41D50"/>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3">
    <w:name w:val="xl73"/>
    <w:basedOn w:val="Normal"/>
    <w:rsid w:val="00C41D50"/>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4">
    <w:name w:val="xl74"/>
    <w:basedOn w:val="Normal"/>
    <w:rsid w:val="00C41D50"/>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5">
    <w:name w:val="xl75"/>
    <w:basedOn w:val="Normal"/>
    <w:rsid w:val="00C41D50"/>
    <w:pPr>
      <w:spacing w:before="100" w:beforeAutospacing="1" w:after="100" w:afterAutospacing="1"/>
    </w:pPr>
    <w:rPr>
      <w:rFonts w:ascii="Adobe Caslon Pro" w:eastAsia="Times New Roman" w:hAnsi="Adobe Caslon Pro"/>
      <w:sz w:val="24"/>
      <w:lang w:val="es-MX" w:eastAsia="es-MX"/>
    </w:rPr>
  </w:style>
  <w:style w:type="paragraph" w:customStyle="1" w:styleId="xl76">
    <w:name w:val="xl76"/>
    <w:basedOn w:val="Normal"/>
    <w:rsid w:val="00C41D50"/>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7">
    <w:name w:val="xl77"/>
    <w:basedOn w:val="Normal"/>
    <w:rsid w:val="00C41D50"/>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8">
    <w:name w:val="xl78"/>
    <w:basedOn w:val="Normal"/>
    <w:rsid w:val="00C41D50"/>
    <w:pPr>
      <w:pBdr>
        <w:bottom w:val="single" w:sz="4" w:space="0" w:color="auto"/>
      </w:pBd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9">
    <w:name w:val="xl79"/>
    <w:basedOn w:val="Normal"/>
    <w:rsid w:val="00C41D50"/>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0">
    <w:name w:val="xl80"/>
    <w:basedOn w:val="Normal"/>
    <w:rsid w:val="00C41D50"/>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1">
    <w:name w:val="xl81"/>
    <w:basedOn w:val="Normal"/>
    <w:rsid w:val="00C41D50"/>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2">
    <w:name w:val="xl82"/>
    <w:basedOn w:val="Normal"/>
    <w:rsid w:val="00C41D50"/>
    <w:pPr>
      <w:spacing w:before="100" w:beforeAutospacing="1" w:after="100" w:afterAutospacing="1"/>
      <w:textAlignment w:val="top"/>
    </w:pPr>
    <w:rPr>
      <w:rFonts w:ascii="Adobe Caslon Pro" w:eastAsia="Times New Roman" w:hAnsi="Adobe Caslon Pro"/>
      <w:color w:val="000000"/>
      <w:sz w:val="24"/>
      <w:lang w:val="es-MX" w:eastAsia="es-MX"/>
    </w:rPr>
  </w:style>
  <w:style w:type="paragraph" w:customStyle="1" w:styleId="xl83">
    <w:name w:val="xl83"/>
    <w:basedOn w:val="Normal"/>
    <w:rsid w:val="00C41D50"/>
    <w:pPr>
      <w:spacing w:before="100" w:beforeAutospacing="1" w:after="100" w:afterAutospacing="1"/>
      <w:jc w:val="both"/>
      <w:textAlignment w:val="top"/>
    </w:pPr>
    <w:rPr>
      <w:rFonts w:ascii="Adobe Caslon Pro" w:eastAsia="Times New Roman" w:hAnsi="Adobe Caslon Pro"/>
      <w:color w:val="000000"/>
      <w:sz w:val="24"/>
      <w:lang w:val="es-MX" w:eastAsia="es-MX"/>
    </w:rPr>
  </w:style>
  <w:style w:type="paragraph" w:customStyle="1" w:styleId="xl84">
    <w:name w:val="xl84"/>
    <w:basedOn w:val="Normal"/>
    <w:rsid w:val="00C41D50"/>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5">
    <w:name w:val="xl85"/>
    <w:basedOn w:val="Normal"/>
    <w:rsid w:val="00C41D50"/>
    <w:pPr>
      <w:spacing w:before="100" w:beforeAutospacing="1" w:after="100" w:afterAutospacing="1"/>
    </w:pPr>
    <w:rPr>
      <w:rFonts w:ascii="Adobe Caslon Pro" w:eastAsia="Times New Roman" w:hAnsi="Adobe Caslon Pro"/>
      <w:sz w:val="24"/>
      <w:lang w:val="es-MX" w:eastAsia="es-MX"/>
    </w:rPr>
  </w:style>
  <w:style w:type="paragraph" w:customStyle="1" w:styleId="xl86">
    <w:name w:val="xl86"/>
    <w:basedOn w:val="Normal"/>
    <w:rsid w:val="00C41D50"/>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87">
    <w:name w:val="xl87"/>
    <w:basedOn w:val="Normal"/>
    <w:rsid w:val="00C41D50"/>
    <w:pPr>
      <w:spacing w:before="100" w:beforeAutospacing="1" w:after="100" w:afterAutospacing="1"/>
    </w:pPr>
    <w:rPr>
      <w:rFonts w:ascii="Adobe Caslon Pro" w:eastAsia="Times New Roman" w:hAnsi="Adobe Caslon Pro"/>
      <w:sz w:val="24"/>
      <w:lang w:val="es-MX" w:eastAsia="es-MX"/>
    </w:rPr>
  </w:style>
  <w:style w:type="paragraph" w:customStyle="1" w:styleId="xl88">
    <w:name w:val="xl88"/>
    <w:basedOn w:val="Normal"/>
    <w:rsid w:val="00C41D50"/>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9">
    <w:name w:val="xl89"/>
    <w:basedOn w:val="Normal"/>
    <w:rsid w:val="00C41D50"/>
    <w:pPr>
      <w:shd w:val="clear" w:color="000000" w:fill="00B050"/>
      <w:spacing w:before="100" w:beforeAutospacing="1" w:after="100" w:afterAutospacing="1"/>
      <w:ind w:firstLineChars="200" w:firstLine="200"/>
    </w:pPr>
    <w:rPr>
      <w:rFonts w:ascii="Adobe Caslon Pro" w:eastAsia="Times New Roman" w:hAnsi="Adobe Caslon Pro"/>
      <w:b/>
      <w:bCs/>
      <w:color w:val="FFFFFF"/>
      <w:sz w:val="30"/>
      <w:szCs w:val="30"/>
      <w:lang w:val="es-MX" w:eastAsia="es-MX"/>
    </w:rPr>
  </w:style>
  <w:style w:type="paragraph" w:customStyle="1" w:styleId="xl90">
    <w:name w:val="xl90"/>
    <w:basedOn w:val="Normal"/>
    <w:rsid w:val="00C41D50"/>
    <w:pP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1">
    <w:name w:val="xl91"/>
    <w:basedOn w:val="Normal"/>
    <w:rsid w:val="00C41D50"/>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2">
    <w:name w:val="xl92"/>
    <w:basedOn w:val="Normal"/>
    <w:rsid w:val="00C41D50"/>
    <w:pP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3">
    <w:name w:val="xl93"/>
    <w:basedOn w:val="Normal"/>
    <w:rsid w:val="00C41D50"/>
    <w:pPr>
      <w:pBdr>
        <w:bottom w:val="single" w:sz="12" w:space="0" w:color="auto"/>
      </w:pBd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4">
    <w:name w:val="xl94"/>
    <w:basedOn w:val="Normal"/>
    <w:rsid w:val="00C41D50"/>
    <w:pPr>
      <w:pBdr>
        <w:bottom w:val="single" w:sz="8"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5">
    <w:name w:val="xl95"/>
    <w:basedOn w:val="Normal"/>
    <w:rsid w:val="00C41D50"/>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6">
    <w:name w:val="xl96"/>
    <w:basedOn w:val="Normal"/>
    <w:rsid w:val="00C41D50"/>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7">
    <w:name w:val="xl97"/>
    <w:basedOn w:val="Normal"/>
    <w:rsid w:val="00C41D50"/>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8">
    <w:name w:val="xl98"/>
    <w:basedOn w:val="Normal"/>
    <w:rsid w:val="00C41D50"/>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9">
    <w:name w:val="xl99"/>
    <w:basedOn w:val="Normal"/>
    <w:rsid w:val="00C41D50"/>
    <w:pPr>
      <w:pBdr>
        <w:bottom w:val="single" w:sz="4" w:space="0" w:color="auto"/>
      </w:pBd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100">
    <w:name w:val="xl100"/>
    <w:basedOn w:val="Normal"/>
    <w:rsid w:val="00C41D50"/>
    <w:pPr>
      <w:pBdr>
        <w:bottom w:val="single" w:sz="4" w:space="0" w:color="auto"/>
      </w:pBdr>
      <w:spacing w:before="100" w:beforeAutospacing="1" w:after="100" w:afterAutospacing="1"/>
      <w:jc w:val="center"/>
      <w:textAlignment w:val="top"/>
    </w:pPr>
    <w:rPr>
      <w:rFonts w:ascii="Adobe Caslon Pro" w:eastAsia="Times New Roman" w:hAnsi="Adobe Caslon Pro"/>
      <w:sz w:val="24"/>
      <w:lang w:val="es-MX" w:eastAsia="es-MX"/>
    </w:rPr>
  </w:style>
  <w:style w:type="table" w:customStyle="1" w:styleId="Tablaconcuadrcula1">
    <w:name w:val="Tabla con cuadrícula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1D50"/>
    <w:rPr>
      <w:rFonts w:ascii="Times New Roman" w:hAnsi="Times New Roman"/>
      <w:sz w:val="24"/>
    </w:rPr>
  </w:style>
  <w:style w:type="table" w:customStyle="1" w:styleId="Tablaconcuadrcula11">
    <w:name w:val="Tabla con cuadrícula1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Figura 1 Car"/>
    <w:basedOn w:val="Fuentedeprrafopredeter"/>
    <w:link w:val="Prrafodelista"/>
    <w:uiPriority w:val="34"/>
    <w:locked/>
    <w:rsid w:val="00C41D50"/>
    <w:rPr>
      <w:rFonts w:asciiTheme="minorHAnsi" w:eastAsia="Batang" w:hAnsiTheme="minorHAnsi" w:cstheme="minorBidi"/>
      <w:sz w:val="22"/>
      <w:szCs w:val="22"/>
      <w:lang w:eastAsia="en-US"/>
    </w:rPr>
  </w:style>
  <w:style w:type="paragraph" w:styleId="Revisin">
    <w:name w:val="Revision"/>
    <w:hidden/>
    <w:uiPriority w:val="99"/>
    <w:rsid w:val="00C41D50"/>
    <w:rPr>
      <w:rFonts w:ascii="Soberana Sans" w:hAnsi="Soberana Sans"/>
      <w:sz w:val="22"/>
      <w:szCs w:val="24"/>
      <w:lang w:val="es-ES_tradnl" w:eastAsia="es-ES"/>
    </w:rPr>
  </w:style>
  <w:style w:type="paragraph" w:styleId="Mapadeldocumento">
    <w:name w:val="Document Map"/>
    <w:basedOn w:val="Normal"/>
    <w:link w:val="MapadeldocumentoCar"/>
    <w:uiPriority w:val="99"/>
    <w:semiHidden/>
    <w:unhideWhenUsed/>
    <w:rsid w:val="00C41D50"/>
    <w:pPr>
      <w:spacing w:after="0"/>
    </w:pPr>
    <w:rPr>
      <w:rFonts w:ascii="Lucida Grande" w:hAnsi="Lucida Grande" w:cs="Lucida Grande"/>
      <w:sz w:val="24"/>
    </w:rPr>
  </w:style>
  <w:style w:type="character" w:customStyle="1" w:styleId="MapadeldocumentoCar">
    <w:name w:val="Mapa del documento Car"/>
    <w:basedOn w:val="Fuentedeprrafopredeter"/>
    <w:link w:val="Mapadeldocumento"/>
    <w:uiPriority w:val="99"/>
    <w:semiHidden/>
    <w:rsid w:val="00C41D50"/>
    <w:rPr>
      <w:rFonts w:ascii="Lucida Grande" w:hAnsi="Lucida Grande" w:cs="Lucida Grande"/>
      <w:sz w:val="24"/>
      <w:szCs w:val="24"/>
      <w:lang w:val="es-ES_tradnl" w:eastAsia="es-ES"/>
    </w:rPr>
  </w:style>
  <w:style w:type="character" w:customStyle="1" w:styleId="st">
    <w:name w:val="st"/>
    <w:basedOn w:val="Fuentedeprrafopredeter"/>
    <w:rsid w:val="00C41D50"/>
  </w:style>
  <w:style w:type="character" w:styleId="nfasis">
    <w:name w:val="Emphasis"/>
    <w:basedOn w:val="Fuentedeprrafopredeter"/>
    <w:uiPriority w:val="20"/>
    <w:qFormat/>
    <w:rsid w:val="00C41D50"/>
    <w:rPr>
      <w:b/>
      <w:bCs/>
      <w:i w:val="0"/>
      <w:iCs w:val="0"/>
    </w:rPr>
  </w:style>
  <w:style w:type="paragraph" w:styleId="Descripcin">
    <w:name w:val="caption"/>
    <w:basedOn w:val="Normal"/>
    <w:next w:val="Normal"/>
    <w:uiPriority w:val="35"/>
    <w:unhideWhenUsed/>
    <w:qFormat/>
    <w:rsid w:val="00C41D50"/>
    <w:pPr>
      <w:spacing w:after="200"/>
    </w:pPr>
    <w:rPr>
      <w:rFonts w:asciiTheme="minorHAnsi" w:eastAsiaTheme="minorHAnsi" w:hAnsiTheme="minorHAnsi" w:cstheme="minorBidi"/>
      <w:b/>
      <w:bCs/>
      <w:color w:val="4F81BD" w:themeColor="accent1"/>
      <w:sz w:val="18"/>
      <w:szCs w:val="18"/>
      <w:lang w:val="es-MX" w:eastAsia="en-US"/>
    </w:rPr>
  </w:style>
  <w:style w:type="paragraph" w:customStyle="1" w:styleId="SECRETARIADELAFUNCIONPUBLICA">
    <w:name w:val="SECRETARIA DE LA FUNCION PUBLICA"/>
    <w:basedOn w:val="Normal"/>
    <w:rsid w:val="00C41D50"/>
    <w:pPr>
      <w:spacing w:after="0"/>
    </w:pPr>
    <w:rPr>
      <w:rFonts w:ascii="Arial" w:eastAsia="Batang" w:hAnsi="Arial"/>
      <w:kern w:val="18"/>
      <w:sz w:val="18"/>
      <w:szCs w:val="20"/>
      <w:lang w:val="es-ES" w:eastAsia="en-US"/>
    </w:rPr>
  </w:style>
  <w:style w:type="numbering" w:customStyle="1" w:styleId="Estilo1">
    <w:name w:val="Estilo1"/>
    <w:rsid w:val="00C41D50"/>
    <w:pPr>
      <w:numPr>
        <w:numId w:val="20"/>
      </w:numPr>
    </w:pPr>
  </w:style>
  <w:style w:type="paragraph" w:customStyle="1" w:styleId="Notaalpie">
    <w:name w:val="Nota al pie"/>
    <w:basedOn w:val="Textonotapie"/>
    <w:link w:val="NotaalpieCar"/>
    <w:qFormat/>
    <w:rsid w:val="00C41D50"/>
    <w:pPr>
      <w:ind w:left="284" w:hanging="284"/>
      <w:jc w:val="both"/>
    </w:pPr>
    <w:rPr>
      <w:rFonts w:ascii="Soberana Sans" w:hAnsi="Soberana Sans"/>
      <w:sz w:val="16"/>
      <w:szCs w:val="16"/>
      <w:lang w:val="es-MX"/>
    </w:rPr>
  </w:style>
  <w:style w:type="character" w:customStyle="1" w:styleId="NotaalpieCar">
    <w:name w:val="Nota al pie Car"/>
    <w:link w:val="Notaalpie"/>
    <w:rsid w:val="00C41D50"/>
    <w:rPr>
      <w:rFonts w:ascii="Soberana Sans" w:hAnsi="Soberana Sans"/>
      <w:sz w:val="16"/>
      <w:szCs w:val="16"/>
      <w:lang w:eastAsia="es-ES"/>
    </w:rPr>
  </w:style>
  <w:style w:type="numbering" w:customStyle="1" w:styleId="Sinlista1">
    <w:name w:val="Sin lista1"/>
    <w:next w:val="Sinlista"/>
    <w:uiPriority w:val="99"/>
    <w:semiHidden/>
    <w:unhideWhenUsed/>
    <w:rsid w:val="00C41D50"/>
  </w:style>
  <w:style w:type="paragraph" w:styleId="Textoindependiente">
    <w:name w:val="Body Text"/>
    <w:basedOn w:val="Normal"/>
    <w:link w:val="TextoindependienteCar"/>
    <w:rsid w:val="00C41D50"/>
    <w:pPr>
      <w:spacing w:after="240" w:line="240" w:lineRule="atLeast"/>
      <w:ind w:firstLine="360"/>
      <w:jc w:val="both"/>
    </w:pPr>
    <w:rPr>
      <w:rFonts w:ascii="Calibri" w:eastAsia="Times New Roman" w:hAnsi="Calibri"/>
      <w:szCs w:val="22"/>
      <w:lang w:val="en-US" w:eastAsia="zh-CN"/>
    </w:rPr>
  </w:style>
  <w:style w:type="character" w:customStyle="1" w:styleId="TextoindependienteCar">
    <w:name w:val="Texto independiente Car"/>
    <w:basedOn w:val="Fuentedeprrafopredeter"/>
    <w:link w:val="Textoindependiente"/>
    <w:rsid w:val="00C41D50"/>
    <w:rPr>
      <w:rFonts w:ascii="Calibri" w:eastAsia="Times New Roman" w:hAnsi="Calibri"/>
      <w:sz w:val="22"/>
      <w:szCs w:val="22"/>
      <w:lang w:val="en-US" w:eastAsia="zh-CN"/>
    </w:rPr>
  </w:style>
  <w:style w:type="paragraph" w:customStyle="1" w:styleId="BlockQuotation">
    <w:name w:val="Block Quotation"/>
    <w:basedOn w:val="Textoindependiente"/>
    <w:link w:val="BlockQuotationChar"/>
    <w:rsid w:val="00C41D50"/>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C41D50"/>
    <w:rPr>
      <w:rFonts w:ascii="Calibri" w:eastAsia="Times New Roman" w:hAnsi="Calibri"/>
      <w:i/>
      <w:sz w:val="22"/>
      <w:szCs w:val="22"/>
      <w:lang w:val="en-US" w:eastAsia="zh-CN"/>
    </w:rPr>
  </w:style>
  <w:style w:type="character" w:styleId="Refdenotaalfinal">
    <w:name w:val="endnote reference"/>
    <w:rsid w:val="00C41D50"/>
    <w:rPr>
      <w:vertAlign w:val="superscript"/>
    </w:rPr>
  </w:style>
  <w:style w:type="paragraph" w:styleId="Textonotaalfinal">
    <w:name w:val="endnote text"/>
    <w:basedOn w:val="Normal"/>
    <w:link w:val="TextonotaalfinalCar"/>
    <w:rsid w:val="00C41D50"/>
    <w:pPr>
      <w:spacing w:after="200" w:line="276" w:lineRule="auto"/>
      <w:jc w:val="both"/>
    </w:pPr>
    <w:rPr>
      <w:rFonts w:ascii="Calibri" w:eastAsia="Times New Roman" w:hAnsi="Calibri"/>
      <w:szCs w:val="22"/>
      <w:lang w:val="en-US" w:eastAsia="zh-CN"/>
    </w:rPr>
  </w:style>
  <w:style w:type="character" w:customStyle="1" w:styleId="TextonotaalfinalCar">
    <w:name w:val="Texto nota al final Car"/>
    <w:basedOn w:val="Fuentedeprrafopredeter"/>
    <w:link w:val="Textonotaalfinal"/>
    <w:rsid w:val="00C41D50"/>
    <w:rPr>
      <w:rFonts w:ascii="Calibri" w:eastAsia="Times New Roman" w:hAnsi="Calibri"/>
      <w:sz w:val="22"/>
      <w:szCs w:val="22"/>
      <w:lang w:val="en-US" w:eastAsia="zh-CN"/>
    </w:rPr>
  </w:style>
  <w:style w:type="paragraph" w:styleId="ndice1">
    <w:name w:val="index 1"/>
    <w:basedOn w:val="Normal"/>
    <w:rsid w:val="00C41D50"/>
    <w:pPr>
      <w:spacing w:after="200" w:line="276" w:lineRule="auto"/>
      <w:jc w:val="both"/>
    </w:pPr>
    <w:rPr>
      <w:rFonts w:ascii="Calibri" w:eastAsia="Times New Roman" w:hAnsi="Calibri"/>
      <w:sz w:val="21"/>
      <w:szCs w:val="22"/>
      <w:lang w:val="en-US" w:eastAsia="zh-CN"/>
    </w:rPr>
  </w:style>
  <w:style w:type="paragraph" w:styleId="ndice2">
    <w:name w:val="index 2"/>
    <w:basedOn w:val="Normal"/>
    <w:rsid w:val="00C41D50"/>
    <w:pPr>
      <w:spacing w:after="200" w:line="276" w:lineRule="auto"/>
      <w:ind w:hanging="240"/>
      <w:jc w:val="both"/>
    </w:pPr>
    <w:rPr>
      <w:rFonts w:ascii="Calibri" w:eastAsia="Times New Roman" w:hAnsi="Calibri"/>
      <w:sz w:val="21"/>
      <w:szCs w:val="22"/>
      <w:lang w:val="en-US" w:eastAsia="zh-CN"/>
    </w:rPr>
  </w:style>
  <w:style w:type="paragraph" w:styleId="ndice3">
    <w:name w:val="index 3"/>
    <w:basedOn w:val="Normal"/>
    <w:rsid w:val="00C41D50"/>
    <w:pPr>
      <w:spacing w:after="200" w:line="276" w:lineRule="auto"/>
      <w:ind w:left="480" w:hanging="240"/>
      <w:jc w:val="both"/>
    </w:pPr>
    <w:rPr>
      <w:rFonts w:ascii="Calibri" w:eastAsia="Times New Roman" w:hAnsi="Calibri"/>
      <w:sz w:val="21"/>
      <w:szCs w:val="22"/>
      <w:lang w:val="en-US" w:eastAsia="zh-CN"/>
    </w:rPr>
  </w:style>
  <w:style w:type="paragraph" w:styleId="ndice4">
    <w:name w:val="index 4"/>
    <w:basedOn w:val="Normal"/>
    <w:rsid w:val="00C41D50"/>
    <w:pPr>
      <w:spacing w:after="200" w:line="276" w:lineRule="auto"/>
      <w:ind w:left="600" w:hanging="240"/>
      <w:jc w:val="both"/>
    </w:pPr>
    <w:rPr>
      <w:rFonts w:ascii="Calibri" w:eastAsia="Times New Roman" w:hAnsi="Calibri"/>
      <w:sz w:val="21"/>
      <w:szCs w:val="22"/>
      <w:lang w:val="en-US" w:eastAsia="zh-CN"/>
    </w:rPr>
  </w:style>
  <w:style w:type="paragraph" w:styleId="ndice5">
    <w:name w:val="index 5"/>
    <w:basedOn w:val="Normal"/>
    <w:rsid w:val="00C41D50"/>
    <w:pPr>
      <w:spacing w:after="200" w:line="276" w:lineRule="auto"/>
      <w:ind w:left="840"/>
      <w:jc w:val="both"/>
    </w:pPr>
    <w:rPr>
      <w:rFonts w:ascii="Calibri" w:eastAsia="Times New Roman" w:hAnsi="Calibri"/>
      <w:sz w:val="21"/>
      <w:szCs w:val="22"/>
      <w:lang w:val="en-US" w:eastAsia="zh-CN"/>
    </w:rPr>
  </w:style>
  <w:style w:type="paragraph" w:styleId="Ttulodendice">
    <w:name w:val="index heading"/>
    <w:basedOn w:val="Normal"/>
    <w:next w:val="ndice1"/>
    <w:rsid w:val="00C41D50"/>
    <w:pPr>
      <w:spacing w:after="200" w:line="480" w:lineRule="atLeast"/>
      <w:jc w:val="both"/>
    </w:pPr>
    <w:rPr>
      <w:rFonts w:ascii="Calibri" w:eastAsia="Times New Roman" w:hAnsi="Calibri"/>
      <w:spacing w:val="-5"/>
      <w:sz w:val="28"/>
      <w:szCs w:val="22"/>
      <w:lang w:val="en-US" w:eastAsia="zh-CN"/>
    </w:rPr>
  </w:style>
  <w:style w:type="character" w:customStyle="1" w:styleId="Lead-inEmphasis">
    <w:name w:val="Lead-in Emphasis"/>
    <w:rsid w:val="00C41D50"/>
    <w:rPr>
      <w:caps/>
      <w:sz w:val="18"/>
    </w:rPr>
  </w:style>
  <w:style w:type="paragraph" w:styleId="Listaconvietas">
    <w:name w:val="List Bullet"/>
    <w:basedOn w:val="Normal"/>
    <w:rsid w:val="00C41D50"/>
    <w:pPr>
      <w:numPr>
        <w:numId w:val="21"/>
      </w:numPr>
      <w:tabs>
        <w:tab w:val="num" w:pos="720"/>
      </w:tabs>
      <w:spacing w:after="240" w:line="240" w:lineRule="atLeast"/>
      <w:ind w:right="720"/>
      <w:jc w:val="both"/>
    </w:pPr>
    <w:rPr>
      <w:rFonts w:ascii="Calibri" w:eastAsia="Times New Roman" w:hAnsi="Calibri"/>
      <w:szCs w:val="22"/>
      <w:lang w:val="en-US" w:eastAsia="zh-CN"/>
    </w:rPr>
  </w:style>
  <w:style w:type="paragraph" w:styleId="Textomacro">
    <w:name w:val="macro"/>
    <w:basedOn w:val="Textoindependiente"/>
    <w:link w:val="TextomacroCar"/>
    <w:rsid w:val="00C41D50"/>
    <w:pPr>
      <w:spacing w:line="240" w:lineRule="auto"/>
      <w:jc w:val="left"/>
    </w:pPr>
    <w:rPr>
      <w:rFonts w:ascii="Courier New" w:hAnsi="Courier New"/>
    </w:rPr>
  </w:style>
  <w:style w:type="character" w:customStyle="1" w:styleId="TextomacroCar">
    <w:name w:val="Texto macro Car"/>
    <w:basedOn w:val="Fuentedeprrafopredeter"/>
    <w:link w:val="Textomacro"/>
    <w:rsid w:val="00C41D50"/>
    <w:rPr>
      <w:rFonts w:ascii="Courier New" w:eastAsia="Times New Roman" w:hAnsi="Courier New"/>
      <w:sz w:val="22"/>
      <w:szCs w:val="22"/>
      <w:lang w:val="en-US" w:eastAsia="zh-CN"/>
    </w:rPr>
  </w:style>
  <w:style w:type="paragraph" w:customStyle="1" w:styleId="SubtitleCover">
    <w:name w:val="Subtitle Cover"/>
    <w:basedOn w:val="TitleCover"/>
    <w:next w:val="Textoindependiente"/>
    <w:rsid w:val="00C41D50"/>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C41D50"/>
    <w:pPr>
      <w:keepNext/>
      <w:keepLines/>
      <w:spacing w:after="240" w:line="720" w:lineRule="atLeast"/>
      <w:jc w:val="center"/>
    </w:pPr>
    <w:rPr>
      <w:rFonts w:ascii="Calibri" w:eastAsia="Times New Roman" w:hAnsi="Calibri"/>
      <w:caps/>
      <w:spacing w:val="65"/>
      <w:kern w:val="20"/>
      <w:sz w:val="64"/>
      <w:szCs w:val="22"/>
      <w:lang w:val="en-US" w:eastAsia="zh-CN"/>
    </w:rPr>
  </w:style>
  <w:style w:type="paragraph" w:styleId="Tabladeilustraciones">
    <w:name w:val="table of figures"/>
    <w:basedOn w:val="Normal"/>
    <w:rsid w:val="00C41D50"/>
    <w:pPr>
      <w:spacing w:after="200" w:line="276" w:lineRule="auto"/>
      <w:jc w:val="both"/>
    </w:pPr>
    <w:rPr>
      <w:rFonts w:ascii="Calibri" w:eastAsia="Times New Roman" w:hAnsi="Calibri"/>
      <w:szCs w:val="22"/>
      <w:lang w:val="en-US" w:eastAsia="zh-CN"/>
    </w:rPr>
  </w:style>
  <w:style w:type="paragraph" w:styleId="TDC1">
    <w:name w:val="toc 1"/>
    <w:basedOn w:val="Normal"/>
    <w:uiPriority w:val="39"/>
    <w:qFormat/>
    <w:rsid w:val="00C41D50"/>
    <w:pPr>
      <w:spacing w:before="120" w:after="0" w:line="276" w:lineRule="auto"/>
    </w:pPr>
    <w:rPr>
      <w:rFonts w:ascii="Calibri" w:eastAsia="Times New Roman" w:hAnsi="Calibri" w:cs="Calibri"/>
      <w:b/>
      <w:bCs/>
      <w:i/>
      <w:iCs/>
      <w:sz w:val="24"/>
      <w:lang w:val="en-US" w:eastAsia="zh-CN"/>
    </w:rPr>
  </w:style>
  <w:style w:type="paragraph" w:styleId="TDC2">
    <w:name w:val="toc 2"/>
    <w:basedOn w:val="Normal"/>
    <w:uiPriority w:val="39"/>
    <w:qFormat/>
    <w:rsid w:val="00C41D50"/>
    <w:pPr>
      <w:spacing w:before="120" w:after="0" w:line="276" w:lineRule="auto"/>
      <w:ind w:left="220"/>
    </w:pPr>
    <w:rPr>
      <w:rFonts w:ascii="Calibri" w:eastAsia="Times New Roman" w:hAnsi="Calibri" w:cs="Calibri"/>
      <w:b/>
      <w:bCs/>
      <w:szCs w:val="22"/>
      <w:lang w:val="en-US" w:eastAsia="zh-CN"/>
    </w:rPr>
  </w:style>
  <w:style w:type="paragraph" w:styleId="TDC3">
    <w:name w:val="toc 3"/>
    <w:basedOn w:val="Normal"/>
    <w:uiPriority w:val="39"/>
    <w:qFormat/>
    <w:rsid w:val="00C41D50"/>
    <w:pPr>
      <w:spacing w:after="0" w:line="276" w:lineRule="auto"/>
      <w:ind w:left="440"/>
    </w:pPr>
    <w:rPr>
      <w:rFonts w:ascii="Calibri" w:eastAsia="Times New Roman" w:hAnsi="Calibri" w:cs="Calibri"/>
      <w:sz w:val="20"/>
      <w:szCs w:val="20"/>
      <w:lang w:val="en-US" w:eastAsia="zh-CN"/>
    </w:rPr>
  </w:style>
  <w:style w:type="paragraph" w:styleId="TDC4">
    <w:name w:val="toc 4"/>
    <w:basedOn w:val="Normal"/>
    <w:rsid w:val="00C41D50"/>
    <w:pPr>
      <w:spacing w:after="0" w:line="276" w:lineRule="auto"/>
      <w:ind w:left="660"/>
    </w:pPr>
    <w:rPr>
      <w:rFonts w:ascii="Calibri" w:eastAsia="Times New Roman" w:hAnsi="Calibri" w:cs="Calibri"/>
      <w:sz w:val="20"/>
      <w:szCs w:val="20"/>
      <w:lang w:val="en-US" w:eastAsia="zh-CN"/>
    </w:rPr>
  </w:style>
  <w:style w:type="paragraph" w:styleId="TDC5">
    <w:name w:val="toc 5"/>
    <w:basedOn w:val="Normal"/>
    <w:rsid w:val="00C41D50"/>
    <w:pPr>
      <w:spacing w:after="0" w:line="276" w:lineRule="auto"/>
      <w:ind w:left="880"/>
    </w:pPr>
    <w:rPr>
      <w:rFonts w:ascii="Calibri" w:eastAsia="Times New Roman" w:hAnsi="Calibri" w:cs="Calibri"/>
      <w:sz w:val="20"/>
      <w:szCs w:val="20"/>
      <w:lang w:val="en-US" w:eastAsia="zh-CN"/>
    </w:rPr>
  </w:style>
  <w:style w:type="paragraph" w:customStyle="1" w:styleId="Columnheadings">
    <w:name w:val="Column headings"/>
    <w:basedOn w:val="Normal"/>
    <w:rsid w:val="00C41D50"/>
    <w:pPr>
      <w:keepNext/>
      <w:spacing w:before="80" w:after="200" w:line="276" w:lineRule="auto"/>
      <w:jc w:val="center"/>
    </w:pPr>
    <w:rPr>
      <w:rFonts w:ascii="Calibri" w:eastAsia="Times New Roman" w:hAnsi="Calibri"/>
      <w:caps/>
      <w:sz w:val="14"/>
      <w:szCs w:val="22"/>
      <w:lang w:val="en-US" w:eastAsia="zh-CN"/>
    </w:rPr>
  </w:style>
  <w:style w:type="paragraph" w:customStyle="1" w:styleId="CompanyName">
    <w:name w:val="Company Name"/>
    <w:basedOn w:val="Textoindependiente"/>
    <w:rsid w:val="00C41D50"/>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rsid w:val="00C41D50"/>
    <w:pPr>
      <w:tabs>
        <w:tab w:val="right" w:leader="dot" w:pos="7560"/>
      </w:tabs>
      <w:spacing w:after="200" w:line="276" w:lineRule="auto"/>
      <w:jc w:val="both"/>
    </w:pPr>
    <w:rPr>
      <w:rFonts w:ascii="Calibri" w:eastAsia="Times New Roman" w:hAnsi="Calibri"/>
      <w:szCs w:val="22"/>
      <w:lang w:val="en-US" w:eastAsia="zh-CN"/>
    </w:rPr>
  </w:style>
  <w:style w:type="paragraph" w:styleId="Encabezadodelista">
    <w:name w:val="toa heading"/>
    <w:basedOn w:val="Normal"/>
    <w:next w:val="Textoconsangra"/>
    <w:rsid w:val="00C41D50"/>
    <w:pPr>
      <w:keepNext/>
      <w:spacing w:after="200" w:line="720" w:lineRule="atLeast"/>
      <w:jc w:val="both"/>
    </w:pPr>
    <w:rPr>
      <w:rFonts w:ascii="Calibri" w:eastAsia="Times New Roman" w:hAnsi="Calibri"/>
      <w:caps/>
      <w:spacing w:val="-10"/>
      <w:kern w:val="28"/>
      <w:szCs w:val="22"/>
      <w:lang w:val="en-US" w:eastAsia="zh-CN"/>
    </w:rPr>
  </w:style>
  <w:style w:type="paragraph" w:customStyle="1" w:styleId="Rowlabels">
    <w:name w:val="Row labels"/>
    <w:basedOn w:val="Normal"/>
    <w:rsid w:val="00C41D50"/>
    <w:pPr>
      <w:keepNext/>
      <w:spacing w:before="40" w:after="200" w:line="276" w:lineRule="auto"/>
      <w:jc w:val="both"/>
    </w:pPr>
    <w:rPr>
      <w:rFonts w:ascii="Calibri" w:eastAsia="Times New Roman" w:hAnsi="Calibri"/>
      <w:sz w:val="18"/>
      <w:szCs w:val="22"/>
      <w:lang w:val="en-US" w:eastAsia="zh-CN"/>
    </w:rPr>
  </w:style>
  <w:style w:type="paragraph" w:customStyle="1" w:styleId="Percentage">
    <w:name w:val="Percentage"/>
    <w:basedOn w:val="Normal"/>
    <w:rsid w:val="00C41D50"/>
    <w:pPr>
      <w:spacing w:before="40" w:after="200" w:line="276" w:lineRule="auto"/>
      <w:jc w:val="center"/>
    </w:pPr>
    <w:rPr>
      <w:rFonts w:ascii="Calibri" w:eastAsia="Times New Roman" w:hAnsi="Calibri"/>
      <w:sz w:val="18"/>
      <w:szCs w:val="22"/>
      <w:lang w:val="en-US" w:eastAsia="zh-CN"/>
    </w:rPr>
  </w:style>
  <w:style w:type="paragraph" w:customStyle="1" w:styleId="NumberedList">
    <w:name w:val="Numbered List"/>
    <w:basedOn w:val="Normal"/>
    <w:link w:val="NumberedListChar"/>
    <w:rsid w:val="00C41D50"/>
    <w:pPr>
      <w:numPr>
        <w:numId w:val="22"/>
      </w:numPr>
      <w:spacing w:after="240" w:line="312" w:lineRule="auto"/>
      <w:contextualSpacing/>
      <w:jc w:val="both"/>
    </w:pPr>
    <w:rPr>
      <w:rFonts w:ascii="Calibri" w:eastAsia="Times New Roman" w:hAnsi="Calibri"/>
      <w:szCs w:val="22"/>
      <w:lang w:val="en-US" w:eastAsia="zh-CN"/>
    </w:rPr>
  </w:style>
  <w:style w:type="character" w:customStyle="1" w:styleId="NumberedListChar">
    <w:name w:val="Numbered List Char"/>
    <w:link w:val="NumberedList"/>
    <w:rsid w:val="00C41D50"/>
    <w:rPr>
      <w:rFonts w:ascii="Calibri" w:eastAsia="Times New Roman" w:hAnsi="Calibri"/>
      <w:sz w:val="22"/>
      <w:szCs w:val="22"/>
      <w:lang w:val="en-US" w:eastAsia="zh-CN"/>
    </w:rPr>
  </w:style>
  <w:style w:type="paragraph" w:customStyle="1" w:styleId="NumberedListBold">
    <w:name w:val="Numbered List Bold"/>
    <w:basedOn w:val="NumberedList"/>
    <w:link w:val="NumberedListBoldChar"/>
    <w:rsid w:val="00C41D50"/>
    <w:rPr>
      <w:b/>
      <w:bCs/>
    </w:rPr>
  </w:style>
  <w:style w:type="character" w:customStyle="1" w:styleId="NumberedListBoldChar">
    <w:name w:val="Numbered List Bold Char"/>
    <w:link w:val="NumberedListBold"/>
    <w:rsid w:val="00C41D50"/>
    <w:rPr>
      <w:rFonts w:ascii="Calibri" w:eastAsia="Times New Roman" w:hAnsi="Calibri"/>
      <w:b/>
      <w:bCs/>
      <w:sz w:val="22"/>
      <w:szCs w:val="22"/>
      <w:lang w:val="en-US" w:eastAsia="zh-CN"/>
    </w:rPr>
  </w:style>
  <w:style w:type="paragraph" w:customStyle="1" w:styleId="LineSpace">
    <w:name w:val="Line Space"/>
    <w:basedOn w:val="Normal"/>
    <w:rsid w:val="00C41D50"/>
    <w:pPr>
      <w:spacing w:after="200" w:line="276" w:lineRule="auto"/>
      <w:jc w:val="both"/>
    </w:pPr>
    <w:rPr>
      <w:rFonts w:ascii="Verdana" w:eastAsia="Times New Roman" w:hAnsi="Verdana"/>
      <w:sz w:val="12"/>
      <w:szCs w:val="22"/>
      <w:lang w:val="en-US" w:eastAsia="zh-CN"/>
    </w:rPr>
  </w:style>
  <w:style w:type="character" w:customStyle="1" w:styleId="SinespaciadoCar">
    <w:name w:val="Sin espaciado Car"/>
    <w:link w:val="Sinespaciado"/>
    <w:uiPriority w:val="1"/>
    <w:rsid w:val="00C41D50"/>
    <w:rPr>
      <w:rFonts w:ascii="Montserrat" w:hAnsi="Montserrat"/>
      <w:sz w:val="22"/>
      <w:szCs w:val="24"/>
      <w:lang w:val="es-ES_tradnl" w:eastAsia="es-ES"/>
    </w:rPr>
  </w:style>
  <w:style w:type="character" w:styleId="Textoennegrita">
    <w:name w:val="Strong"/>
    <w:uiPriority w:val="22"/>
    <w:qFormat/>
    <w:rsid w:val="00C41D50"/>
    <w:rPr>
      <w:b/>
      <w:bCs/>
    </w:rPr>
  </w:style>
  <w:style w:type="paragraph" w:styleId="Cita">
    <w:name w:val="Quote"/>
    <w:basedOn w:val="Normal"/>
    <w:next w:val="Normal"/>
    <w:link w:val="CitaCar"/>
    <w:uiPriority w:val="29"/>
    <w:qFormat/>
    <w:rsid w:val="00C41D50"/>
    <w:pPr>
      <w:spacing w:after="200" w:line="276" w:lineRule="auto"/>
      <w:jc w:val="both"/>
    </w:pPr>
    <w:rPr>
      <w:rFonts w:ascii="Calibri" w:eastAsia="Times New Roman" w:hAnsi="Calibri"/>
      <w:i/>
      <w:iCs/>
      <w:color w:val="000000"/>
      <w:szCs w:val="22"/>
      <w:lang w:val="en-US" w:eastAsia="zh-CN"/>
    </w:rPr>
  </w:style>
  <w:style w:type="character" w:customStyle="1" w:styleId="CitaCar">
    <w:name w:val="Cita Car"/>
    <w:basedOn w:val="Fuentedeprrafopredeter"/>
    <w:link w:val="Cita"/>
    <w:uiPriority w:val="29"/>
    <w:rsid w:val="00C41D50"/>
    <w:rPr>
      <w:rFonts w:ascii="Calibri" w:eastAsia="Times New Roman" w:hAnsi="Calibri"/>
      <w:i/>
      <w:iCs/>
      <w:color w:val="000000"/>
      <w:sz w:val="22"/>
      <w:szCs w:val="22"/>
      <w:lang w:val="en-US" w:eastAsia="zh-CN"/>
    </w:rPr>
  </w:style>
  <w:style w:type="character" w:styleId="nfasissutil">
    <w:name w:val="Subtle Emphasis"/>
    <w:uiPriority w:val="19"/>
    <w:qFormat/>
    <w:rsid w:val="00C41D50"/>
    <w:rPr>
      <w:i/>
      <w:iCs/>
      <w:color w:val="808080"/>
    </w:rPr>
  </w:style>
  <w:style w:type="character" w:styleId="nfasisintenso">
    <w:name w:val="Intense Emphasis"/>
    <w:uiPriority w:val="21"/>
    <w:qFormat/>
    <w:rsid w:val="00C41D50"/>
    <w:rPr>
      <w:b/>
      <w:bCs/>
      <w:i/>
      <w:iCs/>
      <w:color w:val="4F81BD"/>
    </w:rPr>
  </w:style>
  <w:style w:type="character" w:styleId="Referenciasutil">
    <w:name w:val="Subtle Reference"/>
    <w:uiPriority w:val="31"/>
    <w:qFormat/>
    <w:rsid w:val="00C41D50"/>
    <w:rPr>
      <w:smallCaps/>
      <w:color w:val="C0504D"/>
      <w:u w:val="single"/>
    </w:rPr>
  </w:style>
  <w:style w:type="character" w:styleId="Referenciaintensa">
    <w:name w:val="Intense Reference"/>
    <w:uiPriority w:val="32"/>
    <w:qFormat/>
    <w:rsid w:val="00C41D50"/>
    <w:rPr>
      <w:b/>
      <w:bCs/>
      <w:smallCaps/>
      <w:color w:val="C0504D"/>
      <w:spacing w:val="5"/>
      <w:u w:val="single"/>
    </w:rPr>
  </w:style>
  <w:style w:type="character" w:styleId="Ttulodellibro">
    <w:name w:val="Book Title"/>
    <w:uiPriority w:val="33"/>
    <w:qFormat/>
    <w:rsid w:val="00C41D50"/>
    <w:rPr>
      <w:b/>
      <w:bCs/>
      <w:smallCaps/>
      <w:spacing w:val="5"/>
    </w:rPr>
  </w:style>
  <w:style w:type="paragraph" w:styleId="TtuloTDC">
    <w:name w:val="TOC Heading"/>
    <w:basedOn w:val="Ttulo1"/>
    <w:next w:val="Normal"/>
    <w:uiPriority w:val="39"/>
    <w:unhideWhenUsed/>
    <w:qFormat/>
    <w:rsid w:val="00C41D50"/>
    <w:pPr>
      <w:spacing w:before="480" w:line="276" w:lineRule="auto"/>
      <w:jc w:val="both"/>
      <w:outlineLvl w:val="9"/>
    </w:pPr>
    <w:rPr>
      <w:rFonts w:ascii="Calibri" w:eastAsia="Times New Roman" w:hAnsi="Calibri"/>
      <w:color w:val="20807E"/>
      <w:sz w:val="36"/>
      <w:szCs w:val="28"/>
      <w:lang w:val="en-US" w:eastAsia="zh-CN"/>
    </w:rPr>
  </w:style>
  <w:style w:type="paragraph" w:customStyle="1" w:styleId="05BC2C2812214721B0E643442EA253EB">
    <w:name w:val="05BC2C2812214721B0E643442EA253EB"/>
    <w:rsid w:val="00C41D50"/>
    <w:pPr>
      <w:spacing w:after="200" w:line="276" w:lineRule="auto"/>
    </w:pPr>
    <w:rPr>
      <w:rFonts w:ascii="Calibri" w:eastAsia="Times New Roman" w:hAnsi="Calibri"/>
      <w:sz w:val="22"/>
      <w:szCs w:val="22"/>
      <w:lang w:val="en-US" w:eastAsia="ja-JP"/>
    </w:rPr>
  </w:style>
  <w:style w:type="paragraph" w:styleId="TDC6">
    <w:name w:val="toc 6"/>
    <w:basedOn w:val="Normal"/>
    <w:next w:val="Normal"/>
    <w:autoRedefine/>
    <w:rsid w:val="00C41D50"/>
    <w:pPr>
      <w:spacing w:after="0" w:line="276" w:lineRule="auto"/>
      <w:ind w:left="1100"/>
    </w:pPr>
    <w:rPr>
      <w:rFonts w:ascii="Calibri" w:eastAsia="Times New Roman" w:hAnsi="Calibri" w:cs="Calibri"/>
      <w:sz w:val="20"/>
      <w:szCs w:val="20"/>
      <w:lang w:val="en-US" w:eastAsia="zh-CN"/>
    </w:rPr>
  </w:style>
  <w:style w:type="paragraph" w:styleId="TDC7">
    <w:name w:val="toc 7"/>
    <w:basedOn w:val="Normal"/>
    <w:next w:val="Normal"/>
    <w:autoRedefine/>
    <w:rsid w:val="00C41D50"/>
    <w:pPr>
      <w:spacing w:after="0" w:line="276" w:lineRule="auto"/>
      <w:ind w:left="1320"/>
    </w:pPr>
    <w:rPr>
      <w:rFonts w:ascii="Calibri" w:eastAsia="Times New Roman" w:hAnsi="Calibri" w:cs="Calibri"/>
      <w:sz w:val="20"/>
      <w:szCs w:val="20"/>
      <w:lang w:val="en-US" w:eastAsia="zh-CN"/>
    </w:rPr>
  </w:style>
  <w:style w:type="paragraph" w:styleId="TDC8">
    <w:name w:val="toc 8"/>
    <w:basedOn w:val="Normal"/>
    <w:next w:val="Normal"/>
    <w:autoRedefine/>
    <w:rsid w:val="00C41D50"/>
    <w:pPr>
      <w:spacing w:after="0" w:line="276" w:lineRule="auto"/>
      <w:ind w:left="1540"/>
    </w:pPr>
    <w:rPr>
      <w:rFonts w:ascii="Calibri" w:eastAsia="Times New Roman" w:hAnsi="Calibri" w:cs="Calibri"/>
      <w:sz w:val="20"/>
      <w:szCs w:val="20"/>
      <w:lang w:val="en-US" w:eastAsia="zh-CN"/>
    </w:rPr>
  </w:style>
  <w:style w:type="paragraph" w:styleId="TDC9">
    <w:name w:val="toc 9"/>
    <w:basedOn w:val="Normal"/>
    <w:next w:val="Normal"/>
    <w:autoRedefine/>
    <w:rsid w:val="00C41D50"/>
    <w:pPr>
      <w:spacing w:after="0" w:line="276" w:lineRule="auto"/>
      <w:ind w:left="1760"/>
    </w:pPr>
    <w:rPr>
      <w:rFonts w:ascii="Calibri" w:eastAsia="Times New Roman" w:hAnsi="Calibri" w:cs="Calibri"/>
      <w:sz w:val="20"/>
      <w:szCs w:val="20"/>
      <w:lang w:val="en-US" w:eastAsia="zh-CN"/>
    </w:rPr>
  </w:style>
  <w:style w:type="table" w:customStyle="1" w:styleId="Tablaconcuadrcula22">
    <w:name w:val="Tabla con cuadrícula22"/>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3antes">
    <w:name w:val="Fuente cuadro 3 antes"/>
    <w:basedOn w:val="Normal"/>
    <w:rsid w:val="00C41D50"/>
    <w:pPr>
      <w:spacing w:before="60" w:after="0"/>
      <w:jc w:val="both"/>
    </w:pPr>
    <w:rPr>
      <w:rFonts w:ascii="Presidencia Base" w:eastAsia="Arial Unicode MS" w:hAnsi="Presidencia Base" w:cstheme="minorBidi"/>
      <w:sz w:val="14"/>
      <w:szCs w:val="22"/>
      <w:lang w:val="es-MX" w:eastAsia="en-US"/>
    </w:rPr>
  </w:style>
  <w:style w:type="paragraph" w:customStyle="1" w:styleId="01BodyTEXT">
    <w:name w:val="01 Body TEXT"/>
    <w:basedOn w:val="Normal"/>
    <w:qFormat/>
    <w:rsid w:val="00C41D50"/>
    <w:pPr>
      <w:spacing w:before="40" w:after="180" w:line="340" w:lineRule="exact"/>
      <w:jc w:val="both"/>
    </w:pPr>
    <w:rPr>
      <w:rFonts w:ascii="Century Gothic" w:eastAsia="Century Gothic" w:hAnsi="Century Gothic"/>
      <w:color w:val="595959"/>
      <w:kern w:val="20"/>
      <w:lang w:val="es-MX" w:eastAsia="ja-JP"/>
    </w:rPr>
  </w:style>
  <w:style w:type="paragraph" w:customStyle="1" w:styleId="IFTEXTO">
    <w:name w:val="IFTEXTO"/>
    <w:basedOn w:val="Normal"/>
    <w:qFormat/>
    <w:rsid w:val="00C41D50"/>
    <w:pPr>
      <w:spacing w:after="360" w:line="300" w:lineRule="exact"/>
      <w:jc w:val="both"/>
    </w:pPr>
    <w:rPr>
      <w:rFonts w:ascii="Arial" w:eastAsia="Times New Roman" w:hAnsi="Arial" w:cs="Arial"/>
      <w:lang w:val="es-ES"/>
    </w:rPr>
  </w:style>
  <w:style w:type="character" w:customStyle="1" w:styleId="apple-converted-space">
    <w:name w:val="apple-converted-space"/>
    <w:basedOn w:val="Fuentedeprrafopredeter"/>
    <w:rsid w:val="00C41D50"/>
  </w:style>
  <w:style w:type="character" w:customStyle="1" w:styleId="st1">
    <w:name w:val="st1"/>
    <w:basedOn w:val="Fuentedeprrafopredeter"/>
    <w:rsid w:val="00C41D50"/>
  </w:style>
  <w:style w:type="numbering" w:customStyle="1" w:styleId="Sinlista2">
    <w:name w:val="Sin lista2"/>
    <w:next w:val="Sinlista"/>
    <w:uiPriority w:val="99"/>
    <w:semiHidden/>
    <w:unhideWhenUsed/>
    <w:rsid w:val="00C41D50"/>
  </w:style>
  <w:style w:type="table" w:customStyle="1" w:styleId="Tablaconcuadrcula33">
    <w:name w:val="Tabla con cuadrícula33"/>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C41D50"/>
  </w:style>
  <w:style w:type="numbering" w:customStyle="1" w:styleId="Sinlista11">
    <w:name w:val="Sin lista11"/>
    <w:next w:val="Sinlista"/>
    <w:uiPriority w:val="99"/>
    <w:semiHidden/>
    <w:unhideWhenUsed/>
    <w:rsid w:val="00C41D50"/>
  </w:style>
  <w:style w:type="table" w:customStyle="1" w:styleId="Tablaconcuadrcula221">
    <w:name w:val="Tabla con cuadrícula22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8">
    <w:name w:val="xl128"/>
    <w:basedOn w:val="Normal"/>
    <w:rsid w:val="00C41D50"/>
    <w:pPr>
      <w:pBdr>
        <w:bottom w:val="single" w:sz="12" w:space="0" w:color="auto"/>
      </w:pBdr>
      <w:shd w:val="clear" w:color="000000" w:fill="FFFFFF"/>
      <w:spacing w:before="100" w:beforeAutospacing="1" w:after="100" w:afterAutospacing="1"/>
      <w:jc w:val="center"/>
      <w:textAlignment w:val="center"/>
    </w:pPr>
    <w:rPr>
      <w:rFonts w:ascii="Soberana Sans" w:eastAsia="Times New Roman" w:hAnsi="Soberana Sans"/>
      <w:sz w:val="14"/>
      <w:szCs w:val="14"/>
      <w:lang w:val="es-MX" w:eastAsia="es-MX"/>
    </w:rPr>
  </w:style>
  <w:style w:type="paragraph" w:customStyle="1" w:styleId="xl129">
    <w:name w:val="xl129"/>
    <w:basedOn w:val="Normal"/>
    <w:rsid w:val="00C41D50"/>
    <w:pPr>
      <w:spacing w:before="100" w:beforeAutospacing="1" w:after="100" w:afterAutospacing="1"/>
    </w:pPr>
    <w:rPr>
      <w:rFonts w:ascii="Times New Roman" w:eastAsia="Times New Roman" w:hAnsi="Times New Roman"/>
      <w:szCs w:val="22"/>
      <w:lang w:val="es-MX" w:eastAsia="es-MX"/>
    </w:rPr>
  </w:style>
  <w:style w:type="paragraph" w:customStyle="1" w:styleId="xl130">
    <w:name w:val="xl130"/>
    <w:basedOn w:val="Normal"/>
    <w:rsid w:val="00C41D50"/>
    <w:pPr>
      <w:pBdr>
        <w:top w:val="single" w:sz="12" w:space="0" w:color="auto"/>
        <w:bottom w:val="single" w:sz="4" w:space="0" w:color="BFBFBF"/>
      </w:pBdr>
      <w:shd w:val="clear" w:color="000000" w:fill="FFFFFF"/>
      <w:spacing w:before="100" w:beforeAutospacing="1" w:after="100" w:afterAutospacing="1"/>
      <w:jc w:val="center"/>
      <w:textAlignment w:val="center"/>
    </w:pPr>
    <w:rPr>
      <w:rFonts w:ascii="Soberana Sans" w:eastAsia="Times New Roman" w:hAnsi="Soberana Sans"/>
      <w:sz w:val="12"/>
      <w:szCs w:val="12"/>
      <w:lang w:val="es-MX" w:eastAsia="es-MX"/>
    </w:rPr>
  </w:style>
  <w:style w:type="paragraph" w:customStyle="1" w:styleId="xl131">
    <w:name w:val="xl131"/>
    <w:basedOn w:val="Normal"/>
    <w:rsid w:val="00C41D50"/>
    <w:pPr>
      <w:pBdr>
        <w:top w:val="single" w:sz="12" w:space="0" w:color="auto"/>
        <w:bottom w:val="single" w:sz="4" w:space="0" w:color="BFBFBF"/>
      </w:pBdr>
      <w:shd w:val="clear" w:color="000000" w:fill="FFFFFF"/>
      <w:spacing w:before="100" w:beforeAutospacing="1" w:after="100" w:afterAutospacing="1"/>
      <w:textAlignment w:val="center"/>
    </w:pPr>
    <w:rPr>
      <w:rFonts w:ascii="Soberana Sans" w:eastAsia="Times New Roman" w:hAnsi="Soberana Sans"/>
      <w:sz w:val="12"/>
      <w:szCs w:val="12"/>
      <w:lang w:val="es-MX" w:eastAsia="es-MX"/>
    </w:rPr>
  </w:style>
  <w:style w:type="paragraph" w:customStyle="1" w:styleId="xl132">
    <w:name w:val="xl132"/>
    <w:basedOn w:val="Normal"/>
    <w:rsid w:val="00C41D50"/>
    <w:pPr>
      <w:pBdr>
        <w:top w:val="single" w:sz="4" w:space="0" w:color="BFBFBF"/>
        <w:bottom w:val="single" w:sz="4" w:space="0" w:color="BFBFBF"/>
      </w:pBdr>
      <w:shd w:val="clear" w:color="000000" w:fill="FFFFFF"/>
      <w:spacing w:before="100" w:beforeAutospacing="1" w:after="100" w:afterAutospacing="1"/>
      <w:jc w:val="center"/>
      <w:textAlignment w:val="center"/>
    </w:pPr>
    <w:rPr>
      <w:rFonts w:ascii="Soberana Sans" w:eastAsia="Times New Roman" w:hAnsi="Soberana Sans"/>
      <w:sz w:val="12"/>
      <w:szCs w:val="12"/>
      <w:lang w:val="es-MX" w:eastAsia="es-MX"/>
    </w:rPr>
  </w:style>
  <w:style w:type="paragraph" w:customStyle="1" w:styleId="xl133">
    <w:name w:val="xl133"/>
    <w:basedOn w:val="Normal"/>
    <w:rsid w:val="00C41D50"/>
    <w:pPr>
      <w:pBdr>
        <w:top w:val="single" w:sz="4" w:space="0" w:color="BFBFBF"/>
        <w:bottom w:val="single" w:sz="4" w:space="0" w:color="BFBFBF"/>
      </w:pBdr>
      <w:shd w:val="clear" w:color="000000" w:fill="FFFFFF"/>
      <w:spacing w:before="100" w:beforeAutospacing="1" w:after="100" w:afterAutospacing="1"/>
      <w:textAlignment w:val="center"/>
    </w:pPr>
    <w:rPr>
      <w:rFonts w:ascii="Soberana Sans" w:eastAsia="Times New Roman" w:hAnsi="Soberana Sans"/>
      <w:sz w:val="12"/>
      <w:szCs w:val="12"/>
      <w:lang w:val="es-MX" w:eastAsia="es-MX"/>
    </w:rPr>
  </w:style>
  <w:style w:type="paragraph" w:customStyle="1" w:styleId="xl134">
    <w:name w:val="xl134"/>
    <w:basedOn w:val="Normal"/>
    <w:rsid w:val="00C41D50"/>
    <w:pPr>
      <w:pBdr>
        <w:top w:val="single" w:sz="4" w:space="0" w:color="BFBFBF"/>
        <w:bottom w:val="single" w:sz="12" w:space="0" w:color="auto"/>
      </w:pBdr>
      <w:shd w:val="clear" w:color="000000" w:fill="FFFFFF"/>
      <w:spacing w:before="100" w:beforeAutospacing="1" w:after="100" w:afterAutospacing="1"/>
      <w:jc w:val="center"/>
      <w:textAlignment w:val="center"/>
    </w:pPr>
    <w:rPr>
      <w:rFonts w:ascii="Soberana Sans" w:eastAsia="Times New Roman" w:hAnsi="Soberana Sans"/>
      <w:sz w:val="12"/>
      <w:szCs w:val="12"/>
      <w:lang w:val="es-MX" w:eastAsia="es-MX"/>
    </w:rPr>
  </w:style>
  <w:style w:type="paragraph" w:customStyle="1" w:styleId="xl135">
    <w:name w:val="xl135"/>
    <w:basedOn w:val="Normal"/>
    <w:rsid w:val="00C41D50"/>
    <w:pPr>
      <w:pBdr>
        <w:top w:val="single" w:sz="4" w:space="0" w:color="BFBFBF"/>
        <w:bottom w:val="single" w:sz="12" w:space="0" w:color="auto"/>
      </w:pBdr>
      <w:shd w:val="clear" w:color="000000" w:fill="FFFFFF"/>
      <w:spacing w:before="100" w:beforeAutospacing="1" w:after="100" w:afterAutospacing="1"/>
      <w:textAlignment w:val="center"/>
    </w:pPr>
    <w:rPr>
      <w:rFonts w:ascii="Soberana Sans" w:eastAsia="Times New Roman" w:hAnsi="Soberana Sans"/>
      <w:sz w:val="12"/>
      <w:szCs w:val="12"/>
      <w:lang w:val="es-MX" w:eastAsia="es-MX"/>
    </w:rPr>
  </w:style>
  <w:style w:type="paragraph" w:customStyle="1" w:styleId="xl136">
    <w:name w:val="xl136"/>
    <w:basedOn w:val="Normal"/>
    <w:rsid w:val="00C41D50"/>
    <w:pPr>
      <w:shd w:val="clear" w:color="000000" w:fill="EAF1DD"/>
      <w:spacing w:before="100" w:beforeAutospacing="1" w:after="100" w:afterAutospacing="1"/>
      <w:jc w:val="center"/>
      <w:textAlignment w:val="center"/>
    </w:pPr>
    <w:rPr>
      <w:rFonts w:ascii="Soberana Sans" w:eastAsia="Times New Roman" w:hAnsi="Soberana Sans"/>
      <w:sz w:val="18"/>
      <w:szCs w:val="18"/>
      <w:lang w:val="es-MX" w:eastAsia="es-MX"/>
    </w:rPr>
  </w:style>
  <w:style w:type="paragraph" w:customStyle="1" w:styleId="xl137">
    <w:name w:val="xl137"/>
    <w:basedOn w:val="Normal"/>
    <w:rsid w:val="00C41D50"/>
    <w:pPr>
      <w:pBdr>
        <w:top w:val="single" w:sz="12" w:space="0" w:color="auto"/>
      </w:pBdr>
      <w:shd w:val="clear" w:color="000000" w:fill="FFFFFF"/>
      <w:spacing w:before="100" w:beforeAutospacing="1" w:after="100" w:afterAutospacing="1"/>
      <w:textAlignment w:val="center"/>
    </w:pPr>
    <w:rPr>
      <w:rFonts w:ascii="Soberana Sans" w:eastAsia="Times New Roman" w:hAnsi="Soberana Sans"/>
      <w:sz w:val="10"/>
      <w:szCs w:val="10"/>
      <w:lang w:val="es-MX" w:eastAsia="es-MX"/>
    </w:rPr>
  </w:style>
  <w:style w:type="table" w:styleId="Tablanormal2">
    <w:name w:val="Plain Table 2"/>
    <w:basedOn w:val="Tablanormal"/>
    <w:uiPriority w:val="42"/>
    <w:rsid w:val="00C41D5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Sinlista3">
    <w:name w:val="Sin lista3"/>
    <w:next w:val="Sinlista"/>
    <w:uiPriority w:val="99"/>
    <w:semiHidden/>
    <w:unhideWhenUsed/>
    <w:rsid w:val="00BC5AEB"/>
  </w:style>
  <w:style w:type="paragraph" w:customStyle="1" w:styleId="msonormal0">
    <w:name w:val="msonormal"/>
    <w:basedOn w:val="Normal"/>
    <w:rsid w:val="00BC5AEB"/>
    <w:pPr>
      <w:spacing w:before="100" w:beforeAutospacing="1" w:after="100" w:afterAutospacing="1"/>
    </w:pPr>
    <w:rPr>
      <w:rFonts w:ascii="Times New Roman" w:eastAsia="Times New Roman" w:hAnsi="Times New Roman"/>
      <w:sz w:val="24"/>
      <w:lang w:val="es-MX" w:eastAsia="es-MX"/>
    </w:rPr>
  </w:style>
  <w:style w:type="paragraph" w:customStyle="1" w:styleId="font5">
    <w:name w:val="font5"/>
    <w:basedOn w:val="Normal"/>
    <w:rsid w:val="00BC5AEB"/>
    <w:pPr>
      <w:spacing w:before="100" w:beforeAutospacing="1" w:after="100" w:afterAutospacing="1"/>
    </w:pPr>
    <w:rPr>
      <w:rFonts w:ascii="Montserrat" w:eastAsia="Times New Roman" w:hAnsi="Montserrat"/>
      <w:b/>
      <w:bCs/>
      <w:color w:val="000000"/>
      <w:szCs w:val="22"/>
      <w:lang w:val="es-MX" w:eastAsia="es-MX"/>
    </w:rPr>
  </w:style>
  <w:style w:type="paragraph" w:customStyle="1" w:styleId="font6">
    <w:name w:val="font6"/>
    <w:basedOn w:val="Normal"/>
    <w:rsid w:val="00BC5AEB"/>
    <w:pPr>
      <w:spacing w:before="100" w:beforeAutospacing="1" w:after="100" w:afterAutospacing="1"/>
    </w:pPr>
    <w:rPr>
      <w:rFonts w:ascii="Montserrat" w:eastAsia="Times New Roman" w:hAnsi="Montserrat"/>
      <w:color w:val="000000"/>
      <w:szCs w:val="22"/>
      <w:lang w:val="es-MX" w:eastAsia="es-MX"/>
    </w:rPr>
  </w:style>
  <w:style w:type="paragraph" w:customStyle="1" w:styleId="font7">
    <w:name w:val="font7"/>
    <w:basedOn w:val="Normal"/>
    <w:rsid w:val="00BC5AEB"/>
    <w:pPr>
      <w:spacing w:before="100" w:beforeAutospacing="1" w:after="100" w:afterAutospacing="1"/>
    </w:pPr>
    <w:rPr>
      <w:rFonts w:ascii="Montserrat" w:eastAsia="Times New Roman" w:hAnsi="Montserrat"/>
      <w:b/>
      <w:bCs/>
      <w:color w:val="000000"/>
      <w:szCs w:val="22"/>
      <w:lang w:val="es-MX" w:eastAsia="es-MX"/>
    </w:rPr>
  </w:style>
  <w:style w:type="paragraph" w:customStyle="1" w:styleId="font8">
    <w:name w:val="font8"/>
    <w:basedOn w:val="Normal"/>
    <w:rsid w:val="00BC5AEB"/>
    <w:pPr>
      <w:spacing w:before="100" w:beforeAutospacing="1" w:after="100" w:afterAutospacing="1"/>
    </w:pPr>
    <w:rPr>
      <w:rFonts w:ascii="Montserrat" w:eastAsia="Times New Roman" w:hAnsi="Montserrat"/>
      <w:color w:val="000000"/>
      <w:szCs w:val="22"/>
      <w:lang w:val="es-MX" w:eastAsia="es-MX"/>
    </w:rPr>
  </w:style>
  <w:style w:type="paragraph" w:customStyle="1" w:styleId="xl64">
    <w:name w:val="xl64"/>
    <w:basedOn w:val="Normal"/>
    <w:rsid w:val="00BC5AEB"/>
    <w:pPr>
      <w:spacing w:before="100" w:beforeAutospacing="1" w:after="100" w:afterAutospacing="1"/>
      <w:jc w:val="center"/>
    </w:pPr>
    <w:rPr>
      <w:rFonts w:ascii="Times New Roman" w:eastAsia="Times New Roman" w:hAnsi="Times New Roman"/>
      <w:sz w:val="24"/>
      <w:lang w:val="es-MX" w:eastAsia="es-MX"/>
    </w:rPr>
  </w:style>
  <w:style w:type="paragraph" w:customStyle="1" w:styleId="xl65">
    <w:name w:val="xl65"/>
    <w:basedOn w:val="Normal"/>
    <w:rsid w:val="00BC5AEB"/>
    <w:pPr>
      <w:spacing w:before="100" w:beforeAutospacing="1" w:after="100" w:afterAutospacing="1"/>
    </w:pPr>
    <w:rPr>
      <w:rFonts w:ascii="Montserrat" w:eastAsia="Times New Roman" w:hAnsi="Montserrat"/>
      <w:b/>
      <w:bCs/>
      <w:sz w:val="24"/>
      <w:lang w:val="es-MX" w:eastAsia="es-MX"/>
    </w:rPr>
  </w:style>
  <w:style w:type="table" w:customStyle="1" w:styleId="Tablaconcuadrcula35">
    <w:name w:val="Tabla con cuadrícula35"/>
    <w:basedOn w:val="Tablanormal"/>
    <w:next w:val="Tablaconcuadrcula"/>
    <w:uiPriority w:val="59"/>
    <w:rsid w:val="00F173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2">
    <w:name w:val="Estilo12"/>
    <w:rsid w:val="00F1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5320">
      <w:bodyDiv w:val="1"/>
      <w:marLeft w:val="0"/>
      <w:marRight w:val="0"/>
      <w:marTop w:val="0"/>
      <w:marBottom w:val="0"/>
      <w:divBdr>
        <w:top w:val="none" w:sz="0" w:space="0" w:color="auto"/>
        <w:left w:val="none" w:sz="0" w:space="0" w:color="auto"/>
        <w:bottom w:val="none" w:sz="0" w:space="0" w:color="auto"/>
        <w:right w:val="none" w:sz="0" w:space="0" w:color="auto"/>
      </w:divBdr>
    </w:div>
    <w:div w:id="99498232">
      <w:bodyDiv w:val="1"/>
      <w:marLeft w:val="0"/>
      <w:marRight w:val="0"/>
      <w:marTop w:val="0"/>
      <w:marBottom w:val="0"/>
      <w:divBdr>
        <w:top w:val="none" w:sz="0" w:space="0" w:color="auto"/>
        <w:left w:val="none" w:sz="0" w:space="0" w:color="auto"/>
        <w:bottom w:val="none" w:sz="0" w:space="0" w:color="auto"/>
        <w:right w:val="none" w:sz="0" w:space="0" w:color="auto"/>
      </w:divBdr>
    </w:div>
    <w:div w:id="464087901">
      <w:bodyDiv w:val="1"/>
      <w:marLeft w:val="0"/>
      <w:marRight w:val="0"/>
      <w:marTop w:val="0"/>
      <w:marBottom w:val="0"/>
      <w:divBdr>
        <w:top w:val="none" w:sz="0" w:space="0" w:color="auto"/>
        <w:left w:val="none" w:sz="0" w:space="0" w:color="auto"/>
        <w:bottom w:val="none" w:sz="0" w:space="0" w:color="auto"/>
        <w:right w:val="none" w:sz="0" w:space="0" w:color="auto"/>
      </w:divBdr>
    </w:div>
    <w:div w:id="927082000">
      <w:bodyDiv w:val="1"/>
      <w:marLeft w:val="0"/>
      <w:marRight w:val="0"/>
      <w:marTop w:val="0"/>
      <w:marBottom w:val="0"/>
      <w:divBdr>
        <w:top w:val="none" w:sz="0" w:space="0" w:color="auto"/>
        <w:left w:val="none" w:sz="0" w:space="0" w:color="auto"/>
        <w:bottom w:val="none" w:sz="0" w:space="0" w:color="auto"/>
        <w:right w:val="none" w:sz="0" w:space="0" w:color="auto"/>
      </w:divBdr>
    </w:div>
    <w:div w:id="932516718">
      <w:bodyDiv w:val="1"/>
      <w:marLeft w:val="0"/>
      <w:marRight w:val="0"/>
      <w:marTop w:val="0"/>
      <w:marBottom w:val="0"/>
      <w:divBdr>
        <w:top w:val="none" w:sz="0" w:space="0" w:color="auto"/>
        <w:left w:val="none" w:sz="0" w:space="0" w:color="auto"/>
        <w:bottom w:val="none" w:sz="0" w:space="0" w:color="auto"/>
        <w:right w:val="none" w:sz="0" w:space="0" w:color="auto"/>
      </w:divBdr>
    </w:div>
    <w:div w:id="971327403">
      <w:bodyDiv w:val="1"/>
      <w:marLeft w:val="0"/>
      <w:marRight w:val="0"/>
      <w:marTop w:val="0"/>
      <w:marBottom w:val="0"/>
      <w:divBdr>
        <w:top w:val="none" w:sz="0" w:space="0" w:color="auto"/>
        <w:left w:val="none" w:sz="0" w:space="0" w:color="auto"/>
        <w:bottom w:val="none" w:sz="0" w:space="0" w:color="auto"/>
        <w:right w:val="none" w:sz="0" w:space="0" w:color="auto"/>
      </w:divBdr>
    </w:div>
    <w:div w:id="1561749731">
      <w:bodyDiv w:val="1"/>
      <w:marLeft w:val="0"/>
      <w:marRight w:val="0"/>
      <w:marTop w:val="0"/>
      <w:marBottom w:val="0"/>
      <w:divBdr>
        <w:top w:val="none" w:sz="0" w:space="0" w:color="auto"/>
        <w:left w:val="none" w:sz="0" w:space="0" w:color="auto"/>
        <w:bottom w:val="none" w:sz="0" w:space="0" w:color="auto"/>
        <w:right w:val="none" w:sz="0" w:space="0" w:color="auto"/>
      </w:divBdr>
    </w:div>
    <w:div w:id="1637562157">
      <w:bodyDiv w:val="1"/>
      <w:marLeft w:val="0"/>
      <w:marRight w:val="0"/>
      <w:marTop w:val="0"/>
      <w:marBottom w:val="0"/>
      <w:divBdr>
        <w:top w:val="none" w:sz="0" w:space="0" w:color="auto"/>
        <w:left w:val="none" w:sz="0" w:space="0" w:color="auto"/>
        <w:bottom w:val="none" w:sz="0" w:space="0" w:color="auto"/>
        <w:right w:val="none" w:sz="0" w:space="0" w:color="auto"/>
      </w:divBdr>
    </w:div>
    <w:div w:id="1937588755">
      <w:bodyDiv w:val="1"/>
      <w:marLeft w:val="0"/>
      <w:marRight w:val="0"/>
      <w:marTop w:val="0"/>
      <w:marBottom w:val="0"/>
      <w:divBdr>
        <w:top w:val="none" w:sz="0" w:space="0" w:color="auto"/>
        <w:left w:val="none" w:sz="0" w:space="0" w:color="auto"/>
        <w:bottom w:val="none" w:sz="0" w:space="0" w:color="auto"/>
        <w:right w:val="none" w:sz="0" w:space="0" w:color="auto"/>
      </w:divBdr>
    </w:div>
    <w:div w:id="1980988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G:\DASE\Trimestrales\2019\1T2019\Base%20trimestra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G:\DASE\Trimestrales\2019\1T2019\Base%20trimestral.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G:\DASE\Trimestrales\2019\1T2019\Base%20trimestral.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G:\DASE\Trimestrales\2019\1T2019\Base%20trimestral.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G:\DASE\Trimestrales\2019\1T2019\Base%20trimestral.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G:\DASE\Trimestrales\2019\1T2019\Base%20trimestral.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G:\DASE\Trimestrales\2019\1T2019\Base%20trimestral.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G:\DASE\Trimestrales\2019\1T2019\Base%20trimestr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800" b="1" i="0" baseline="0">
                <a:effectLst/>
                <a:latin typeface="Montserrat" panose="00000500000000000000" pitchFamily="2" charset="0"/>
              </a:rPr>
              <a:t>Gráfica 1. Distribución porcentual por tipo de ASM</a:t>
            </a:r>
            <a:endParaRPr lang="es-MX" sz="800">
              <a:effectLst/>
              <a:latin typeface="Montserrat" panose="00000500000000000000" pitchFamily="2"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9964435695538058"/>
          <c:y val="0.1670501603966171"/>
          <c:w val="0.41830380577427823"/>
          <c:h val="0.69717300962379702"/>
        </c:manualLayout>
      </c:layout>
      <c:pieChart>
        <c:varyColors val="1"/>
        <c:ser>
          <c:idx val="0"/>
          <c:order val="0"/>
          <c:dPt>
            <c:idx val="0"/>
            <c:bubble3D val="0"/>
            <c:spPr>
              <a:solidFill>
                <a:srgbClr val="621132"/>
              </a:solidFill>
              <a:ln w="19050">
                <a:solidFill>
                  <a:schemeClr val="lt1"/>
                </a:solidFill>
              </a:ln>
              <a:effectLst/>
            </c:spPr>
            <c:extLst>
              <c:ext xmlns:c16="http://schemas.microsoft.com/office/drawing/2014/chart" uri="{C3380CC4-5D6E-409C-BE32-E72D297353CC}">
                <c16:uniqueId val="{00000001-E1C1-4E6A-9950-CA63BFEC0025}"/>
              </c:ext>
            </c:extLst>
          </c:dPt>
          <c:dPt>
            <c:idx val="1"/>
            <c:bubble3D val="0"/>
            <c:spPr>
              <a:solidFill>
                <a:srgbClr val="56242A"/>
              </a:solidFill>
              <a:ln w="19050">
                <a:solidFill>
                  <a:schemeClr val="lt1"/>
                </a:solidFill>
              </a:ln>
              <a:effectLst/>
            </c:spPr>
            <c:extLst>
              <c:ext xmlns:c16="http://schemas.microsoft.com/office/drawing/2014/chart" uri="{C3380CC4-5D6E-409C-BE32-E72D297353CC}">
                <c16:uniqueId val="{00000003-E1C1-4E6A-9950-CA63BFEC0025}"/>
              </c:ext>
            </c:extLst>
          </c:dPt>
          <c:dPt>
            <c:idx val="2"/>
            <c:bubble3D val="0"/>
            <c:spPr>
              <a:solidFill>
                <a:srgbClr val="B38E5D"/>
              </a:solidFill>
              <a:ln w="19050">
                <a:solidFill>
                  <a:schemeClr val="lt1"/>
                </a:solidFill>
              </a:ln>
              <a:effectLst/>
            </c:spPr>
            <c:extLst>
              <c:ext xmlns:c16="http://schemas.microsoft.com/office/drawing/2014/chart" uri="{C3380CC4-5D6E-409C-BE32-E72D297353CC}">
                <c16:uniqueId val="{00000005-E1C1-4E6A-9950-CA63BFEC0025}"/>
              </c:ext>
            </c:extLst>
          </c:dPt>
          <c:dPt>
            <c:idx val="3"/>
            <c:bubble3D val="0"/>
            <c:spPr>
              <a:solidFill>
                <a:srgbClr val="D4C19C"/>
              </a:solidFill>
              <a:ln w="19050">
                <a:solidFill>
                  <a:schemeClr val="lt1"/>
                </a:solidFill>
              </a:ln>
              <a:effectLst/>
            </c:spPr>
            <c:extLst>
              <c:ext xmlns:c16="http://schemas.microsoft.com/office/drawing/2014/chart" uri="{C3380CC4-5D6E-409C-BE32-E72D297353CC}">
                <c16:uniqueId val="{00000007-E1C1-4E6A-9950-CA63BFEC0025}"/>
              </c:ext>
            </c:extLst>
          </c:dPt>
          <c:dLbls>
            <c:dLbl>
              <c:idx val="0"/>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ontserrat" panose="00000500000000000000" pitchFamily="2" charset="0"/>
                        <a:ea typeface="+mn-ea"/>
                        <a:cs typeface="+mn-cs"/>
                      </a:defRPr>
                    </a:pPr>
                    <a:fld id="{186D5ACA-921C-47BC-AEA8-9D6EBF5E995E}" type="VALUE">
                      <a:rPr lang="en-US" sz="700">
                        <a:solidFill>
                          <a:schemeClr val="bg1"/>
                        </a:solidFill>
                        <a:latin typeface="Montserrat" panose="00000500000000000000" pitchFamily="2" charset="0"/>
                      </a:rPr>
                      <a:pPr>
                        <a:defRPr sz="700">
                          <a:solidFill>
                            <a:schemeClr val="bg1"/>
                          </a:solidFill>
                          <a:latin typeface="Montserrat" panose="00000500000000000000" pitchFamily="2" charset="0"/>
                        </a:defRPr>
                      </a:pPr>
                      <a:t>[VALOR]</a:t>
                    </a:fld>
                    <a:endParaRPr lang="en-US" sz="700">
                      <a:solidFill>
                        <a:schemeClr val="bg1"/>
                      </a:solidFill>
                      <a:latin typeface="Montserrat" panose="00000500000000000000" pitchFamily="2" charset="0"/>
                    </a:endParaRPr>
                  </a:p>
                  <a:p>
                    <a:pPr>
                      <a:defRPr sz="700">
                        <a:solidFill>
                          <a:schemeClr val="bg1"/>
                        </a:solidFill>
                        <a:latin typeface="Montserrat" panose="00000500000000000000" pitchFamily="2" charset="0"/>
                      </a:defRPr>
                    </a:pPr>
                    <a:r>
                      <a:rPr lang="en-US" sz="700">
                        <a:solidFill>
                          <a:schemeClr val="bg1"/>
                        </a:solidFill>
                        <a:latin typeface="Montserrat" panose="00000500000000000000" pitchFamily="2" charset="0"/>
                      </a:rPr>
                      <a:t>(55.9%)</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ontserrat" panose="00000500000000000000" pitchFamily="2" charset="0"/>
                      <a:ea typeface="+mn-ea"/>
                      <a:cs typeface="+mn-cs"/>
                    </a:defRPr>
                  </a:pPr>
                  <a:endParaRPr lang="es-MX"/>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1C1-4E6A-9950-CA63BFEC0025}"/>
                </c:ext>
              </c:extLst>
            </c:dLbl>
            <c:dLbl>
              <c:idx val="1"/>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ontserrat" panose="00000500000000000000" pitchFamily="2" charset="0"/>
                        <a:ea typeface="+mn-ea"/>
                        <a:cs typeface="+mn-cs"/>
                      </a:defRPr>
                    </a:pPr>
                    <a:fld id="{E3C917A3-4ED5-42A4-8544-0B6476AC6A5D}" type="VALUE">
                      <a:rPr lang="en-US" sz="700">
                        <a:solidFill>
                          <a:schemeClr val="bg1"/>
                        </a:solidFill>
                        <a:latin typeface="Montserrat" panose="00000500000000000000" pitchFamily="2" charset="0"/>
                      </a:rPr>
                      <a:pPr>
                        <a:defRPr sz="700">
                          <a:solidFill>
                            <a:schemeClr val="bg1"/>
                          </a:solidFill>
                          <a:latin typeface="Montserrat" panose="00000500000000000000" pitchFamily="2" charset="0"/>
                        </a:defRPr>
                      </a:pPr>
                      <a:t>[VALOR]</a:t>
                    </a:fld>
                    <a:endParaRPr lang="en-US" sz="700">
                      <a:solidFill>
                        <a:schemeClr val="bg1"/>
                      </a:solidFill>
                      <a:latin typeface="Montserrat" panose="00000500000000000000" pitchFamily="2" charset="0"/>
                    </a:endParaRPr>
                  </a:p>
                  <a:p>
                    <a:pPr>
                      <a:defRPr sz="700">
                        <a:solidFill>
                          <a:schemeClr val="bg1"/>
                        </a:solidFill>
                        <a:latin typeface="Montserrat" panose="00000500000000000000" pitchFamily="2" charset="0"/>
                      </a:defRPr>
                    </a:pPr>
                    <a:r>
                      <a:rPr lang="en-US" sz="700">
                        <a:solidFill>
                          <a:schemeClr val="bg1"/>
                        </a:solidFill>
                        <a:latin typeface="Montserrat" panose="00000500000000000000" pitchFamily="2" charset="0"/>
                      </a:rPr>
                      <a:t>(41.4%)</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ontserrat" panose="00000500000000000000" pitchFamily="2" charset="0"/>
                      <a:ea typeface="+mn-ea"/>
                      <a:cs typeface="+mn-cs"/>
                    </a:defRPr>
                  </a:pPr>
                  <a:endParaRPr lang="es-MX"/>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1C1-4E6A-9950-CA63BFEC0025}"/>
                </c:ext>
              </c:extLst>
            </c:dLbl>
            <c:dLbl>
              <c:idx val="2"/>
              <c:layout>
                <c:manualLayout>
                  <c:x val="-0.10604702537182852"/>
                  <c:y val="5.4294254884806069E-2"/>
                </c:manualLayout>
              </c:layout>
              <c:tx>
                <c:rich>
                  <a:bodyPr/>
                  <a:lstStyle/>
                  <a:p>
                    <a:fld id="{6BC789E3-8D1F-4785-B467-FD2DE1D6E9A0}" type="VALUE">
                      <a:rPr lang="en-US"/>
                      <a:pPr/>
                      <a:t>[VALOR]</a:t>
                    </a:fld>
                    <a:endParaRPr lang="en-US"/>
                  </a:p>
                  <a:p>
                    <a:r>
                      <a:rPr lang="en-US"/>
                      <a:t>(2.0%)</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1C1-4E6A-9950-CA63BFEC0025}"/>
                </c:ext>
              </c:extLst>
            </c:dLbl>
            <c:dLbl>
              <c:idx val="3"/>
              <c:layout>
                <c:manualLayout>
                  <c:x val="0.14383530183727034"/>
                  <c:y val="6.5426144648585594E-2"/>
                </c:manualLayout>
              </c:layout>
              <c:tx>
                <c:rich>
                  <a:bodyPr/>
                  <a:lstStyle/>
                  <a:p>
                    <a:fld id="{9A29BD83-14F9-494C-85DA-8377BC38BFD4}" type="VALUE">
                      <a:rPr lang="en-US"/>
                      <a:pPr/>
                      <a:t>[VALOR]</a:t>
                    </a:fld>
                    <a:endParaRPr lang="en-US"/>
                  </a:p>
                  <a:p>
                    <a:r>
                      <a:rPr lang="en-US"/>
                      <a:t>(0.7%)</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1C1-4E6A-9950-CA63BFEC002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ontserrat" panose="00000500000000000000" pitchFamily="2" charset="0"/>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APF!$C$88:$C$91</c:f>
              <c:strCache>
                <c:ptCount val="4"/>
                <c:pt idx="0">
                  <c:v>Específico</c:v>
                </c:pt>
                <c:pt idx="1">
                  <c:v>Institucional</c:v>
                </c:pt>
                <c:pt idx="2">
                  <c:v>Interinstitucional</c:v>
                </c:pt>
                <c:pt idx="3">
                  <c:v>Intergubernamental</c:v>
                </c:pt>
              </c:strCache>
            </c:strRef>
          </c:cat>
          <c:val>
            <c:numRef>
              <c:f>APF!$D$88:$D$91</c:f>
              <c:numCache>
                <c:formatCode>0</c:formatCode>
                <c:ptCount val="4"/>
                <c:pt idx="0">
                  <c:v>254</c:v>
                </c:pt>
                <c:pt idx="1">
                  <c:v>188</c:v>
                </c:pt>
                <c:pt idx="2">
                  <c:v>9</c:v>
                </c:pt>
                <c:pt idx="3">
                  <c:v>3</c:v>
                </c:pt>
              </c:numCache>
            </c:numRef>
          </c:val>
          <c:extLst>
            <c:ext xmlns:c16="http://schemas.microsoft.com/office/drawing/2014/chart" uri="{C3380CC4-5D6E-409C-BE32-E72D297353CC}">
              <c16:uniqueId val="{00000008-E1C1-4E6A-9950-CA63BFEC002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ontserrat" panose="00000500000000000000" pitchFamily="2"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800" b="1" i="0" baseline="0">
                <a:effectLst/>
                <a:latin typeface="Montserrat" panose="00000500000000000000" pitchFamily="2" charset="0"/>
              </a:rPr>
              <a:t>Gráfica 2. Distribución porcentual por instancia coordinada</a:t>
            </a:r>
            <a:endParaRPr lang="es-MX" sz="800">
              <a:effectLst/>
              <a:latin typeface="Montserrat" panose="00000500000000000000" pitchFamily="2"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3.0555555555555555E-2"/>
          <c:y val="0.20719925634295713"/>
          <c:w val="0.93888888888888888"/>
          <c:h val="0.62058654126567525"/>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621132"/>
              </a:solidFill>
              <a:ln>
                <a:noFill/>
              </a:ln>
              <a:effectLst/>
            </c:spPr>
            <c:extLst>
              <c:ext xmlns:c16="http://schemas.microsoft.com/office/drawing/2014/chart" uri="{C3380CC4-5D6E-409C-BE32-E72D297353CC}">
                <c16:uniqueId val="{00000001-8E2B-4EED-BA72-FB386BF3DEE2}"/>
              </c:ext>
            </c:extLst>
          </c:dPt>
          <c:dPt>
            <c:idx val="1"/>
            <c:invertIfNegative val="0"/>
            <c:bubble3D val="0"/>
            <c:spPr>
              <a:solidFill>
                <a:srgbClr val="D4C19C"/>
              </a:solidFill>
              <a:ln>
                <a:noFill/>
              </a:ln>
              <a:effectLst/>
            </c:spPr>
            <c:extLst>
              <c:ext xmlns:c16="http://schemas.microsoft.com/office/drawing/2014/chart" uri="{C3380CC4-5D6E-409C-BE32-E72D297353CC}">
                <c16:uniqueId val="{00000003-8E2B-4EED-BA72-FB386BF3DEE2}"/>
              </c:ext>
            </c:extLst>
          </c:dPt>
          <c:dLbls>
            <c:dLbl>
              <c:idx val="0"/>
              <c:tx>
                <c:rich>
                  <a:bodyPr/>
                  <a:lstStyle/>
                  <a:p>
                    <a:fld id="{D9280066-E608-4F6A-B3E5-99D00FB8AAA2}" type="VALUE">
                      <a:rPr lang="en-US"/>
                      <a:pPr/>
                      <a:t>[VALOR]</a:t>
                    </a:fld>
                    <a:endParaRPr lang="en-US"/>
                  </a:p>
                  <a:p>
                    <a:r>
                      <a:rPr lang="en-US"/>
                      <a:t>(45.6%)</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E2B-4EED-BA72-FB386BF3DEE2}"/>
                </c:ext>
              </c:extLst>
            </c:dLbl>
            <c:dLbl>
              <c:idx val="1"/>
              <c:tx>
                <c:rich>
                  <a:bodyPr/>
                  <a:lstStyle/>
                  <a:p>
                    <a:fld id="{A1711784-3E81-46EE-8FAB-D83368A330E4}" type="VALUE">
                      <a:rPr lang="en-US"/>
                      <a:pPr/>
                      <a:t>[VALOR]</a:t>
                    </a:fld>
                    <a:endParaRPr lang="en-US"/>
                  </a:p>
                  <a:p>
                    <a:r>
                      <a:rPr lang="en-US"/>
                      <a:t>54.4%)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E2B-4EED-BA72-FB386BF3DEE2}"/>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ontserrat" panose="00000500000000000000" pitchFamily="2"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APF!$C$107:$C$108</c:f>
              <c:strCache>
                <c:ptCount val="2"/>
                <c:pt idx="0">
                  <c:v> SHCP </c:v>
                </c:pt>
                <c:pt idx="1">
                  <c:v> CONEVAL </c:v>
                </c:pt>
              </c:strCache>
            </c:strRef>
          </c:cat>
          <c:val>
            <c:numRef>
              <c:f>APF!$D$107:$D$108</c:f>
              <c:numCache>
                <c:formatCode>_-* #,##0_-;\-* #,##0_-;_-* "-"??_-;_-@_-</c:formatCode>
                <c:ptCount val="2"/>
                <c:pt idx="0">
                  <c:v>207</c:v>
                </c:pt>
                <c:pt idx="1">
                  <c:v>247</c:v>
                </c:pt>
              </c:numCache>
            </c:numRef>
          </c:val>
          <c:extLst>
            <c:ext xmlns:c16="http://schemas.microsoft.com/office/drawing/2014/chart" uri="{C3380CC4-5D6E-409C-BE32-E72D297353CC}">
              <c16:uniqueId val="{00000004-8E2B-4EED-BA72-FB386BF3DEE2}"/>
            </c:ext>
          </c:extLst>
        </c:ser>
        <c:dLbls>
          <c:dLblPos val="outEnd"/>
          <c:showLegendKey val="0"/>
          <c:showVal val="1"/>
          <c:showCatName val="0"/>
          <c:showSerName val="0"/>
          <c:showPercent val="0"/>
          <c:showBubbleSize val="0"/>
        </c:dLbls>
        <c:gapWidth val="219"/>
        <c:overlap val="-27"/>
        <c:axId val="-716824048"/>
        <c:axId val="-716830032"/>
      </c:barChart>
      <c:catAx>
        <c:axId val="-71682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16830032"/>
        <c:crosses val="autoZero"/>
        <c:auto val="1"/>
        <c:lblAlgn val="ctr"/>
        <c:lblOffset val="100"/>
        <c:noMultiLvlLbl val="0"/>
      </c:catAx>
      <c:valAx>
        <c:axId val="-716830032"/>
        <c:scaling>
          <c:orientation val="minMax"/>
        </c:scaling>
        <c:delete val="1"/>
        <c:axPos val="l"/>
        <c:numFmt formatCode="_-* #,##0_-;\-* #,##0_-;_-* &quot;-&quot;??_-;_-@_-" sourceLinked="1"/>
        <c:majorTickMark val="none"/>
        <c:minorTickMark val="none"/>
        <c:tickLblPos val="nextTo"/>
        <c:crossAx val="-716824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800" b="1" i="0" baseline="0">
                <a:effectLst/>
                <a:latin typeface="Montserrat" panose="00000500000000000000" pitchFamily="2" charset="0"/>
              </a:rPr>
              <a:t>Gráfica 3. Cantidad de ASM por rango de avance porcentual al primer trimestre 2019</a:t>
            </a:r>
            <a:endParaRPr lang="es-MX" sz="800">
              <a:effectLst/>
              <a:latin typeface="Montserrat" panose="00000500000000000000" pitchFamily="2"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3.0555555555555555E-2"/>
          <c:y val="0.27756780402449693"/>
          <c:w val="0.93888888888888888"/>
          <c:h val="0.51374307378244388"/>
        </c:manualLayout>
      </c:layout>
      <c:barChart>
        <c:barDir val="col"/>
        <c:grouping val="clustered"/>
        <c:varyColors val="0"/>
        <c:ser>
          <c:idx val="0"/>
          <c:order val="0"/>
          <c:tx>
            <c:strRef>
              <c:f>APF!$C$121</c:f>
              <c:strCache>
                <c:ptCount val="1"/>
                <c:pt idx="0">
                  <c:v>Específico</c:v>
                </c:pt>
              </c:strCache>
            </c:strRef>
          </c:tx>
          <c:spPr>
            <a:solidFill>
              <a:srgbClr val="62113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APF!$D$120:$J$120</c:f>
              <c:strCache>
                <c:ptCount val="7"/>
                <c:pt idx="0">
                  <c:v>Avance de 0%</c:v>
                </c:pt>
                <c:pt idx="1">
                  <c:v>&gt;0% a 25%</c:v>
                </c:pt>
                <c:pt idx="2">
                  <c:v>&gt;25% a 50%</c:v>
                </c:pt>
                <c:pt idx="3">
                  <c:v>&gt;50% a 75%</c:v>
                </c:pt>
                <c:pt idx="4">
                  <c:v>&gt;75% a &lt;100%</c:v>
                </c:pt>
                <c:pt idx="5">
                  <c:v>100%</c:v>
                </c:pt>
                <c:pt idx="6">
                  <c:v>Cancelados</c:v>
                </c:pt>
              </c:strCache>
            </c:strRef>
          </c:cat>
          <c:val>
            <c:numRef>
              <c:f>APF!$D$121:$J$121</c:f>
              <c:numCache>
                <c:formatCode>General</c:formatCode>
                <c:ptCount val="7"/>
                <c:pt idx="0">
                  <c:v>40</c:v>
                </c:pt>
                <c:pt idx="1">
                  <c:v>28</c:v>
                </c:pt>
                <c:pt idx="2">
                  <c:v>31</c:v>
                </c:pt>
                <c:pt idx="3">
                  <c:v>20</c:v>
                </c:pt>
                <c:pt idx="4">
                  <c:v>30</c:v>
                </c:pt>
                <c:pt idx="5">
                  <c:v>104</c:v>
                </c:pt>
                <c:pt idx="6">
                  <c:v>1</c:v>
                </c:pt>
              </c:numCache>
            </c:numRef>
          </c:val>
          <c:extLst>
            <c:ext xmlns:c16="http://schemas.microsoft.com/office/drawing/2014/chart" uri="{C3380CC4-5D6E-409C-BE32-E72D297353CC}">
              <c16:uniqueId val="{00000000-8E4C-4DE2-9C5D-BA3F8B77D46F}"/>
            </c:ext>
          </c:extLst>
        </c:ser>
        <c:ser>
          <c:idx val="1"/>
          <c:order val="1"/>
          <c:tx>
            <c:strRef>
              <c:f>APF!$C$122</c:f>
              <c:strCache>
                <c:ptCount val="1"/>
                <c:pt idx="0">
                  <c:v>Institucional</c:v>
                </c:pt>
              </c:strCache>
            </c:strRef>
          </c:tx>
          <c:spPr>
            <a:solidFill>
              <a:srgbClr val="56242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APF!$D$120:$J$120</c:f>
              <c:strCache>
                <c:ptCount val="7"/>
                <c:pt idx="0">
                  <c:v>Avance de 0%</c:v>
                </c:pt>
                <c:pt idx="1">
                  <c:v>&gt;0% a 25%</c:v>
                </c:pt>
                <c:pt idx="2">
                  <c:v>&gt;25% a 50%</c:v>
                </c:pt>
                <c:pt idx="3">
                  <c:v>&gt;50% a 75%</c:v>
                </c:pt>
                <c:pt idx="4">
                  <c:v>&gt;75% a &lt;100%</c:v>
                </c:pt>
                <c:pt idx="5">
                  <c:v>100%</c:v>
                </c:pt>
                <c:pt idx="6">
                  <c:v>Cancelados</c:v>
                </c:pt>
              </c:strCache>
            </c:strRef>
          </c:cat>
          <c:val>
            <c:numRef>
              <c:f>APF!$D$122:$J$122</c:f>
              <c:numCache>
                <c:formatCode>General</c:formatCode>
                <c:ptCount val="7"/>
                <c:pt idx="0">
                  <c:v>44</c:v>
                </c:pt>
                <c:pt idx="1">
                  <c:v>17</c:v>
                </c:pt>
                <c:pt idx="2">
                  <c:v>26</c:v>
                </c:pt>
                <c:pt idx="3">
                  <c:v>17</c:v>
                </c:pt>
                <c:pt idx="4">
                  <c:v>21</c:v>
                </c:pt>
                <c:pt idx="5">
                  <c:v>61</c:v>
                </c:pt>
                <c:pt idx="6">
                  <c:v>2</c:v>
                </c:pt>
              </c:numCache>
            </c:numRef>
          </c:val>
          <c:extLst>
            <c:ext xmlns:c16="http://schemas.microsoft.com/office/drawing/2014/chart" uri="{C3380CC4-5D6E-409C-BE32-E72D297353CC}">
              <c16:uniqueId val="{00000001-8E4C-4DE2-9C5D-BA3F8B77D46F}"/>
            </c:ext>
          </c:extLst>
        </c:ser>
        <c:ser>
          <c:idx val="2"/>
          <c:order val="2"/>
          <c:tx>
            <c:strRef>
              <c:f>APF!$C$123</c:f>
              <c:strCache>
                <c:ptCount val="1"/>
                <c:pt idx="0">
                  <c:v>Interinstitucional</c:v>
                </c:pt>
              </c:strCache>
            </c:strRef>
          </c:tx>
          <c:spPr>
            <a:solidFill>
              <a:srgbClr val="B38E5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APF!$D$120:$J$120</c:f>
              <c:strCache>
                <c:ptCount val="7"/>
                <c:pt idx="0">
                  <c:v>Avance de 0%</c:v>
                </c:pt>
                <c:pt idx="1">
                  <c:v>&gt;0% a 25%</c:v>
                </c:pt>
                <c:pt idx="2">
                  <c:v>&gt;25% a 50%</c:v>
                </c:pt>
                <c:pt idx="3">
                  <c:v>&gt;50% a 75%</c:v>
                </c:pt>
                <c:pt idx="4">
                  <c:v>&gt;75% a &lt;100%</c:v>
                </c:pt>
                <c:pt idx="5">
                  <c:v>100%</c:v>
                </c:pt>
                <c:pt idx="6">
                  <c:v>Cancelados</c:v>
                </c:pt>
              </c:strCache>
            </c:strRef>
          </c:cat>
          <c:val>
            <c:numRef>
              <c:f>APF!$D$123:$J$123</c:f>
              <c:numCache>
                <c:formatCode>General</c:formatCode>
                <c:ptCount val="7"/>
                <c:pt idx="0">
                  <c:v>5</c:v>
                </c:pt>
                <c:pt idx="1">
                  <c:v>1</c:v>
                </c:pt>
                <c:pt idx="2">
                  <c:v>1</c:v>
                </c:pt>
                <c:pt idx="5">
                  <c:v>2</c:v>
                </c:pt>
              </c:numCache>
            </c:numRef>
          </c:val>
          <c:extLst>
            <c:ext xmlns:c16="http://schemas.microsoft.com/office/drawing/2014/chart" uri="{C3380CC4-5D6E-409C-BE32-E72D297353CC}">
              <c16:uniqueId val="{00000002-8E4C-4DE2-9C5D-BA3F8B77D46F}"/>
            </c:ext>
          </c:extLst>
        </c:ser>
        <c:ser>
          <c:idx val="3"/>
          <c:order val="3"/>
          <c:tx>
            <c:strRef>
              <c:f>APF!$C$124</c:f>
              <c:strCache>
                <c:ptCount val="1"/>
                <c:pt idx="0">
                  <c:v>Intergubernamental</c:v>
                </c:pt>
              </c:strCache>
            </c:strRef>
          </c:tx>
          <c:spPr>
            <a:solidFill>
              <a:srgbClr val="D4C19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APF!$D$120:$J$120</c:f>
              <c:strCache>
                <c:ptCount val="7"/>
                <c:pt idx="0">
                  <c:v>Avance de 0%</c:v>
                </c:pt>
                <c:pt idx="1">
                  <c:v>&gt;0% a 25%</c:v>
                </c:pt>
                <c:pt idx="2">
                  <c:v>&gt;25% a 50%</c:v>
                </c:pt>
                <c:pt idx="3">
                  <c:v>&gt;50% a 75%</c:v>
                </c:pt>
                <c:pt idx="4">
                  <c:v>&gt;75% a &lt;100%</c:v>
                </c:pt>
                <c:pt idx="5">
                  <c:v>100%</c:v>
                </c:pt>
                <c:pt idx="6">
                  <c:v>Cancelados</c:v>
                </c:pt>
              </c:strCache>
            </c:strRef>
          </c:cat>
          <c:val>
            <c:numRef>
              <c:f>APF!$D$124:$J$124</c:f>
              <c:numCache>
                <c:formatCode>General</c:formatCode>
                <c:ptCount val="7"/>
                <c:pt idx="0">
                  <c:v>1</c:v>
                </c:pt>
                <c:pt idx="2">
                  <c:v>1</c:v>
                </c:pt>
                <c:pt idx="3">
                  <c:v>1</c:v>
                </c:pt>
              </c:numCache>
            </c:numRef>
          </c:val>
          <c:extLst>
            <c:ext xmlns:c16="http://schemas.microsoft.com/office/drawing/2014/chart" uri="{C3380CC4-5D6E-409C-BE32-E72D297353CC}">
              <c16:uniqueId val="{00000003-8E4C-4DE2-9C5D-BA3F8B77D46F}"/>
            </c:ext>
          </c:extLst>
        </c:ser>
        <c:dLbls>
          <c:dLblPos val="outEnd"/>
          <c:showLegendKey val="0"/>
          <c:showVal val="1"/>
          <c:showCatName val="0"/>
          <c:showSerName val="0"/>
          <c:showPercent val="0"/>
          <c:showBubbleSize val="0"/>
        </c:dLbls>
        <c:gapWidth val="219"/>
        <c:overlap val="-27"/>
        <c:axId val="-716821872"/>
        <c:axId val="-716805552"/>
      </c:barChart>
      <c:catAx>
        <c:axId val="-71682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anose="00000500000000000000" pitchFamily="2" charset="0"/>
                <a:ea typeface="+mn-ea"/>
                <a:cs typeface="+mn-cs"/>
              </a:defRPr>
            </a:pPr>
            <a:endParaRPr lang="es-MX"/>
          </a:p>
        </c:txPr>
        <c:crossAx val="-716805552"/>
        <c:crosses val="autoZero"/>
        <c:auto val="1"/>
        <c:lblAlgn val="ctr"/>
        <c:lblOffset val="100"/>
        <c:noMultiLvlLbl val="0"/>
      </c:catAx>
      <c:valAx>
        <c:axId val="-716805552"/>
        <c:scaling>
          <c:orientation val="minMax"/>
        </c:scaling>
        <c:delete val="1"/>
        <c:axPos val="l"/>
        <c:numFmt formatCode="General" sourceLinked="1"/>
        <c:majorTickMark val="none"/>
        <c:minorTickMark val="none"/>
        <c:tickLblPos val="nextTo"/>
        <c:crossAx val="-7168218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ontserrat" panose="00000500000000000000" pitchFamily="2"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i="0" baseline="0">
                <a:effectLst/>
                <a:latin typeface="Montserrat" panose="00000500000000000000" pitchFamily="2" charset="0"/>
              </a:rPr>
              <a:t>Gráfica 4. ASM concluidos por Ramo, dependencia o entidad al  primer trimeste 2019</a:t>
            </a:r>
            <a:endParaRPr lang="es-MX" sz="800">
              <a:effectLst/>
              <a:latin typeface="Montserrat" panose="00000500000000000000" pitchFamily="2"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9724228180310102"/>
          <c:y val="7.0597176610517814E-2"/>
          <c:w val="0.7806360525193996"/>
          <c:h val="0.88181777579544218"/>
        </c:manualLayout>
      </c:layout>
      <c:barChart>
        <c:barDir val="bar"/>
        <c:grouping val="clustered"/>
        <c:varyColors val="0"/>
        <c:ser>
          <c:idx val="0"/>
          <c:order val="0"/>
          <c:spPr>
            <a:solidFill>
              <a:srgbClr val="62113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APF!$D$140:$E$170</c:f>
              <c:multiLvlStrCache>
                <c:ptCount val="31"/>
                <c:lvl>
                  <c:pt idx="0">
                    <c:v>ISSSTE</c:v>
                  </c:pt>
                  <c:pt idx="1">
                    <c:v>IMSS</c:v>
                  </c:pt>
                  <c:pt idx="2">
                    <c:v>CDI</c:v>
                  </c:pt>
                  <c:pt idx="3">
                    <c:v>INMUJERES</c:v>
                  </c:pt>
                  <c:pt idx="4">
                    <c:v>SFP</c:v>
                  </c:pt>
                  <c:pt idx="5">
                    <c:v>ANGELES VERDES</c:v>
                  </c:pt>
                  <c:pt idx="6">
                    <c:v>FONATUR</c:v>
                  </c:pt>
                  <c:pt idx="7">
                    <c:v>SECTUR</c:v>
                  </c:pt>
                  <c:pt idx="8">
                    <c:v>INAPAM</c:v>
                  </c:pt>
                  <c:pt idx="9">
                    <c:v>INDESOL</c:v>
                  </c:pt>
                  <c:pt idx="10">
                    <c:v>BIENESTAR</c:v>
                  </c:pt>
                  <c:pt idx="11">
                    <c:v>IMSS</c:v>
                  </c:pt>
                  <c:pt idx="12">
                    <c:v>CONUUE</c:v>
                  </c:pt>
                  <c:pt idx="13">
                    <c:v>CONAFOR</c:v>
                  </c:pt>
                  <c:pt idx="14">
                    <c:v>CONAGUA</c:v>
                  </c:pt>
                  <c:pt idx="15">
                    <c:v>SEMARNAT</c:v>
                  </c:pt>
                  <c:pt idx="16">
                    <c:v>CONAVI</c:v>
                  </c:pt>
                  <c:pt idx="17">
                    <c:v>RAN</c:v>
                  </c:pt>
                  <c:pt idx="18">
                    <c:v>SEDATU</c:v>
                  </c:pt>
                  <c:pt idx="19">
                    <c:v>DIF</c:v>
                  </c:pt>
                  <c:pt idx="20">
                    <c:v>SALUD</c:v>
                  </c:pt>
                  <c:pt idx="21">
                    <c:v>SEP</c:v>
                  </c:pt>
                  <c:pt idx="22">
                    <c:v>CONADE</c:v>
                  </c:pt>
                  <c:pt idx="23">
                    <c:v>SCT</c:v>
                  </c:pt>
                  <c:pt idx="24">
                    <c:v>SAGARPA</c:v>
                  </c:pt>
                  <c:pt idx="25">
                    <c:v>TESOFE</c:v>
                  </c:pt>
                  <c:pt idx="26">
                    <c:v>CENAPRED</c:v>
                  </c:pt>
                  <c:pt idx="27">
                    <c:v>CNS</c:v>
                  </c:pt>
                  <c:pt idx="28">
                    <c:v>CONAVIM</c:v>
                  </c:pt>
                  <c:pt idx="29">
                    <c:v>SEGOB</c:v>
                  </c:pt>
                  <c:pt idx="30">
                    <c:v>SESNSP</c:v>
                  </c:pt>
                </c:lvl>
                <c:lvl>
                  <c:pt idx="0">
                    <c:v>51</c:v>
                  </c:pt>
                  <c:pt idx="1">
                    <c:v>50</c:v>
                  </c:pt>
                  <c:pt idx="2">
                    <c:v>47</c:v>
                  </c:pt>
                  <c:pt idx="4">
                    <c:v>27</c:v>
                  </c:pt>
                  <c:pt idx="5">
                    <c:v>21</c:v>
                  </c:pt>
                  <c:pt idx="8">
                    <c:v>20</c:v>
                  </c:pt>
                  <c:pt idx="11">
                    <c:v>19</c:v>
                  </c:pt>
                  <c:pt idx="12">
                    <c:v>18</c:v>
                  </c:pt>
                  <c:pt idx="13">
                    <c:v>16</c:v>
                  </c:pt>
                  <c:pt idx="16">
                    <c:v>15</c:v>
                  </c:pt>
                  <c:pt idx="19">
                    <c:v>12</c:v>
                  </c:pt>
                  <c:pt idx="21">
                    <c:v>11</c:v>
                  </c:pt>
                  <c:pt idx="23">
                    <c:v>09</c:v>
                  </c:pt>
                  <c:pt idx="24">
                    <c:v>08</c:v>
                  </c:pt>
                  <c:pt idx="25">
                    <c:v>06</c:v>
                  </c:pt>
                  <c:pt idx="26">
                    <c:v>04</c:v>
                  </c:pt>
                </c:lvl>
              </c:multiLvlStrCache>
            </c:multiLvlStrRef>
          </c:cat>
          <c:val>
            <c:numRef>
              <c:f>APF!$F$140:$F$170</c:f>
              <c:numCache>
                <c:formatCode>General</c:formatCode>
                <c:ptCount val="31"/>
                <c:pt idx="0">
                  <c:v>1</c:v>
                </c:pt>
                <c:pt idx="1">
                  <c:v>1</c:v>
                </c:pt>
                <c:pt idx="2">
                  <c:v>6</c:v>
                </c:pt>
                <c:pt idx="3">
                  <c:v>8</c:v>
                </c:pt>
                <c:pt idx="4">
                  <c:v>1</c:v>
                </c:pt>
                <c:pt idx="5">
                  <c:v>3</c:v>
                </c:pt>
                <c:pt idx="6">
                  <c:v>11</c:v>
                </c:pt>
                <c:pt idx="7">
                  <c:v>5</c:v>
                </c:pt>
                <c:pt idx="8">
                  <c:v>4</c:v>
                </c:pt>
                <c:pt idx="9">
                  <c:v>1</c:v>
                </c:pt>
                <c:pt idx="10">
                  <c:v>16</c:v>
                </c:pt>
                <c:pt idx="11">
                  <c:v>4</c:v>
                </c:pt>
                <c:pt idx="12">
                  <c:v>3</c:v>
                </c:pt>
                <c:pt idx="13">
                  <c:v>2</c:v>
                </c:pt>
                <c:pt idx="14">
                  <c:v>2</c:v>
                </c:pt>
                <c:pt idx="15">
                  <c:v>14</c:v>
                </c:pt>
                <c:pt idx="16">
                  <c:v>1</c:v>
                </c:pt>
                <c:pt idx="17">
                  <c:v>2</c:v>
                </c:pt>
                <c:pt idx="18">
                  <c:v>5</c:v>
                </c:pt>
                <c:pt idx="19">
                  <c:v>3</c:v>
                </c:pt>
                <c:pt idx="20">
                  <c:v>5</c:v>
                </c:pt>
                <c:pt idx="21">
                  <c:v>37</c:v>
                </c:pt>
                <c:pt idx="22">
                  <c:v>1</c:v>
                </c:pt>
                <c:pt idx="23">
                  <c:v>6</c:v>
                </c:pt>
                <c:pt idx="24">
                  <c:v>6</c:v>
                </c:pt>
                <c:pt idx="25">
                  <c:v>1</c:v>
                </c:pt>
                <c:pt idx="26">
                  <c:v>3</c:v>
                </c:pt>
                <c:pt idx="27">
                  <c:v>2</c:v>
                </c:pt>
                <c:pt idx="28">
                  <c:v>1</c:v>
                </c:pt>
                <c:pt idx="29">
                  <c:v>10</c:v>
                </c:pt>
                <c:pt idx="30">
                  <c:v>2</c:v>
                </c:pt>
              </c:numCache>
            </c:numRef>
          </c:val>
          <c:extLst>
            <c:ext xmlns:c16="http://schemas.microsoft.com/office/drawing/2014/chart" uri="{C3380CC4-5D6E-409C-BE32-E72D297353CC}">
              <c16:uniqueId val="{00000000-419E-45A0-857A-B5A22C1D7228}"/>
            </c:ext>
          </c:extLst>
        </c:ser>
        <c:dLbls>
          <c:dLblPos val="outEnd"/>
          <c:showLegendKey val="0"/>
          <c:showVal val="1"/>
          <c:showCatName val="0"/>
          <c:showSerName val="0"/>
          <c:showPercent val="0"/>
          <c:showBubbleSize val="0"/>
        </c:dLbls>
        <c:gapWidth val="182"/>
        <c:axId val="-716821328"/>
        <c:axId val="-716802832"/>
      </c:barChart>
      <c:catAx>
        <c:axId val="-716821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anose="00000500000000000000" pitchFamily="2" charset="0"/>
                <a:ea typeface="+mn-ea"/>
                <a:cs typeface="+mn-cs"/>
              </a:defRPr>
            </a:pPr>
            <a:endParaRPr lang="es-MX"/>
          </a:p>
        </c:txPr>
        <c:crossAx val="-716802832"/>
        <c:crosses val="autoZero"/>
        <c:auto val="1"/>
        <c:lblAlgn val="ctr"/>
        <c:lblOffset val="100"/>
        <c:noMultiLvlLbl val="0"/>
      </c:catAx>
      <c:valAx>
        <c:axId val="-716802832"/>
        <c:scaling>
          <c:orientation val="minMax"/>
        </c:scaling>
        <c:delete val="1"/>
        <c:axPos val="b"/>
        <c:numFmt formatCode="General" sourceLinked="1"/>
        <c:majorTickMark val="none"/>
        <c:minorTickMark val="none"/>
        <c:tickLblPos val="nextTo"/>
        <c:crossAx val="-716821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800" b="1" i="0" baseline="0">
                <a:effectLst/>
                <a:latin typeface="Montserrat" panose="00000500000000000000" pitchFamily="2" charset="0"/>
              </a:rPr>
              <a:t>Gráfica 5. Cantidad de ASM por rango de avance porcentual al primer trimestre 2019</a:t>
            </a:r>
            <a:endParaRPr lang="es-MX" sz="800">
              <a:effectLst/>
              <a:latin typeface="Montserrat" panose="00000500000000000000" pitchFamily="2"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3.0555555555555555E-2"/>
          <c:y val="0.26636410032079322"/>
          <c:w val="0.93888888888888888"/>
          <c:h val="0.5156875182268883"/>
        </c:manualLayout>
      </c:layout>
      <c:barChart>
        <c:barDir val="col"/>
        <c:grouping val="clustered"/>
        <c:varyColors val="0"/>
        <c:ser>
          <c:idx val="0"/>
          <c:order val="0"/>
          <c:tx>
            <c:strRef>
              <c:f>SHCP!$B$65</c:f>
              <c:strCache>
                <c:ptCount val="1"/>
                <c:pt idx="0">
                  <c:v>Específico</c:v>
                </c:pt>
              </c:strCache>
            </c:strRef>
          </c:tx>
          <c:spPr>
            <a:solidFill>
              <a:srgbClr val="62113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SHCP!$C$64:$I$64</c:f>
              <c:strCache>
                <c:ptCount val="7"/>
                <c:pt idx="0">
                  <c:v>Avance de 0%</c:v>
                </c:pt>
                <c:pt idx="1">
                  <c:v>&gt;0% a 25%</c:v>
                </c:pt>
                <c:pt idx="2">
                  <c:v>&gt;25% a 50%</c:v>
                </c:pt>
                <c:pt idx="3">
                  <c:v>&gt;50% a 75%</c:v>
                </c:pt>
                <c:pt idx="4">
                  <c:v>&gt;75% a &lt;100%</c:v>
                </c:pt>
                <c:pt idx="5">
                  <c:v>100%</c:v>
                </c:pt>
                <c:pt idx="6">
                  <c:v>Cancelados</c:v>
                </c:pt>
              </c:strCache>
            </c:strRef>
          </c:cat>
          <c:val>
            <c:numRef>
              <c:f>SHCP!$C$65:$I$65</c:f>
              <c:numCache>
                <c:formatCode>General</c:formatCode>
                <c:ptCount val="7"/>
                <c:pt idx="0">
                  <c:v>19</c:v>
                </c:pt>
                <c:pt idx="1">
                  <c:v>15</c:v>
                </c:pt>
                <c:pt idx="2">
                  <c:v>8</c:v>
                </c:pt>
                <c:pt idx="3">
                  <c:v>11</c:v>
                </c:pt>
                <c:pt idx="4">
                  <c:v>13</c:v>
                </c:pt>
                <c:pt idx="5">
                  <c:v>34</c:v>
                </c:pt>
                <c:pt idx="6">
                  <c:v>1</c:v>
                </c:pt>
              </c:numCache>
            </c:numRef>
          </c:val>
          <c:extLst>
            <c:ext xmlns:c16="http://schemas.microsoft.com/office/drawing/2014/chart" uri="{C3380CC4-5D6E-409C-BE32-E72D297353CC}">
              <c16:uniqueId val="{00000000-3BE5-4EE6-B397-D67AB6F8BCD1}"/>
            </c:ext>
          </c:extLst>
        </c:ser>
        <c:ser>
          <c:idx val="1"/>
          <c:order val="1"/>
          <c:tx>
            <c:strRef>
              <c:f>SHCP!$B$66</c:f>
              <c:strCache>
                <c:ptCount val="1"/>
                <c:pt idx="0">
                  <c:v>Institucional</c:v>
                </c:pt>
              </c:strCache>
            </c:strRef>
          </c:tx>
          <c:spPr>
            <a:solidFill>
              <a:srgbClr val="56242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SHCP!$C$64:$I$64</c:f>
              <c:strCache>
                <c:ptCount val="7"/>
                <c:pt idx="0">
                  <c:v>Avance de 0%</c:v>
                </c:pt>
                <c:pt idx="1">
                  <c:v>&gt;0% a 25%</c:v>
                </c:pt>
                <c:pt idx="2">
                  <c:v>&gt;25% a 50%</c:v>
                </c:pt>
                <c:pt idx="3">
                  <c:v>&gt;50% a 75%</c:v>
                </c:pt>
                <c:pt idx="4">
                  <c:v>&gt;75% a &lt;100%</c:v>
                </c:pt>
                <c:pt idx="5">
                  <c:v>100%</c:v>
                </c:pt>
                <c:pt idx="6">
                  <c:v>Cancelados</c:v>
                </c:pt>
              </c:strCache>
            </c:strRef>
          </c:cat>
          <c:val>
            <c:numRef>
              <c:f>SHCP!$C$66:$I$66</c:f>
              <c:numCache>
                <c:formatCode>General</c:formatCode>
                <c:ptCount val="7"/>
                <c:pt idx="0">
                  <c:v>37</c:v>
                </c:pt>
                <c:pt idx="1">
                  <c:v>8</c:v>
                </c:pt>
                <c:pt idx="2">
                  <c:v>5</c:v>
                </c:pt>
                <c:pt idx="3">
                  <c:v>7</c:v>
                </c:pt>
                <c:pt idx="4">
                  <c:v>9</c:v>
                </c:pt>
                <c:pt idx="5">
                  <c:v>32</c:v>
                </c:pt>
                <c:pt idx="6">
                  <c:v>2</c:v>
                </c:pt>
              </c:numCache>
            </c:numRef>
          </c:val>
          <c:extLst>
            <c:ext xmlns:c16="http://schemas.microsoft.com/office/drawing/2014/chart" uri="{C3380CC4-5D6E-409C-BE32-E72D297353CC}">
              <c16:uniqueId val="{00000001-3BE5-4EE6-B397-D67AB6F8BCD1}"/>
            </c:ext>
          </c:extLst>
        </c:ser>
        <c:ser>
          <c:idx val="2"/>
          <c:order val="2"/>
          <c:tx>
            <c:strRef>
              <c:f>SHCP!$B$67</c:f>
              <c:strCache>
                <c:ptCount val="1"/>
                <c:pt idx="0">
                  <c:v>Interinstitucional</c:v>
                </c:pt>
              </c:strCache>
            </c:strRef>
          </c:tx>
          <c:spPr>
            <a:solidFill>
              <a:srgbClr val="B38E5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SHCP!$C$64:$I$64</c:f>
              <c:strCache>
                <c:ptCount val="7"/>
                <c:pt idx="0">
                  <c:v>Avance de 0%</c:v>
                </c:pt>
                <c:pt idx="1">
                  <c:v>&gt;0% a 25%</c:v>
                </c:pt>
                <c:pt idx="2">
                  <c:v>&gt;25% a 50%</c:v>
                </c:pt>
                <c:pt idx="3">
                  <c:v>&gt;50% a 75%</c:v>
                </c:pt>
                <c:pt idx="4">
                  <c:v>&gt;75% a &lt;100%</c:v>
                </c:pt>
                <c:pt idx="5">
                  <c:v>100%</c:v>
                </c:pt>
                <c:pt idx="6">
                  <c:v>Cancelados</c:v>
                </c:pt>
              </c:strCache>
            </c:strRef>
          </c:cat>
          <c:val>
            <c:numRef>
              <c:f>SHCP!$C$67:$I$67</c:f>
              <c:numCache>
                <c:formatCode>General</c:formatCode>
                <c:ptCount val="7"/>
                <c:pt idx="0">
                  <c:v>1</c:v>
                </c:pt>
                <c:pt idx="2">
                  <c:v>1</c:v>
                </c:pt>
                <c:pt idx="5">
                  <c:v>2</c:v>
                </c:pt>
              </c:numCache>
            </c:numRef>
          </c:val>
          <c:extLst>
            <c:ext xmlns:c16="http://schemas.microsoft.com/office/drawing/2014/chart" uri="{C3380CC4-5D6E-409C-BE32-E72D297353CC}">
              <c16:uniqueId val="{00000002-3BE5-4EE6-B397-D67AB6F8BCD1}"/>
            </c:ext>
          </c:extLst>
        </c:ser>
        <c:ser>
          <c:idx val="3"/>
          <c:order val="3"/>
          <c:tx>
            <c:strRef>
              <c:f>SHCP!$B$68</c:f>
              <c:strCache>
                <c:ptCount val="1"/>
                <c:pt idx="0">
                  <c:v>Intergubernamental</c:v>
                </c:pt>
              </c:strCache>
            </c:strRef>
          </c:tx>
          <c:spPr>
            <a:solidFill>
              <a:srgbClr val="D4C19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SHCP!$C$64:$I$64</c:f>
              <c:strCache>
                <c:ptCount val="7"/>
                <c:pt idx="0">
                  <c:v>Avance de 0%</c:v>
                </c:pt>
                <c:pt idx="1">
                  <c:v>&gt;0% a 25%</c:v>
                </c:pt>
                <c:pt idx="2">
                  <c:v>&gt;25% a 50%</c:v>
                </c:pt>
                <c:pt idx="3">
                  <c:v>&gt;50% a 75%</c:v>
                </c:pt>
                <c:pt idx="4">
                  <c:v>&gt;75% a &lt;100%</c:v>
                </c:pt>
                <c:pt idx="5">
                  <c:v>100%</c:v>
                </c:pt>
                <c:pt idx="6">
                  <c:v>Cancelados</c:v>
                </c:pt>
              </c:strCache>
            </c:strRef>
          </c:cat>
          <c:val>
            <c:numRef>
              <c:f>SHCP!$C$68:$I$68</c:f>
              <c:numCache>
                <c:formatCode>General</c:formatCode>
                <c:ptCount val="7"/>
                <c:pt idx="2">
                  <c:v>1</c:v>
                </c:pt>
                <c:pt idx="3">
                  <c:v>1</c:v>
                </c:pt>
              </c:numCache>
            </c:numRef>
          </c:val>
          <c:extLst>
            <c:ext xmlns:c16="http://schemas.microsoft.com/office/drawing/2014/chart" uri="{C3380CC4-5D6E-409C-BE32-E72D297353CC}">
              <c16:uniqueId val="{00000003-3BE5-4EE6-B397-D67AB6F8BCD1}"/>
            </c:ext>
          </c:extLst>
        </c:ser>
        <c:dLbls>
          <c:dLblPos val="outEnd"/>
          <c:showLegendKey val="0"/>
          <c:showVal val="1"/>
          <c:showCatName val="0"/>
          <c:showSerName val="0"/>
          <c:showPercent val="0"/>
          <c:showBubbleSize val="0"/>
        </c:dLbls>
        <c:gapWidth val="219"/>
        <c:overlap val="-27"/>
        <c:axId val="-716820240"/>
        <c:axId val="-1024252256"/>
      </c:barChart>
      <c:catAx>
        <c:axId val="-71682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anose="00000500000000000000" pitchFamily="2" charset="0"/>
                <a:ea typeface="+mn-ea"/>
                <a:cs typeface="+mn-cs"/>
              </a:defRPr>
            </a:pPr>
            <a:endParaRPr lang="es-MX"/>
          </a:p>
        </c:txPr>
        <c:crossAx val="-1024252256"/>
        <c:crosses val="autoZero"/>
        <c:auto val="1"/>
        <c:lblAlgn val="ctr"/>
        <c:lblOffset val="100"/>
        <c:noMultiLvlLbl val="0"/>
      </c:catAx>
      <c:valAx>
        <c:axId val="-1024252256"/>
        <c:scaling>
          <c:orientation val="minMax"/>
        </c:scaling>
        <c:delete val="1"/>
        <c:axPos val="l"/>
        <c:numFmt formatCode="General" sourceLinked="1"/>
        <c:majorTickMark val="none"/>
        <c:minorTickMark val="none"/>
        <c:tickLblPos val="nextTo"/>
        <c:crossAx val="-7168202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ontserrat" panose="00000500000000000000" pitchFamily="2"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i="0" baseline="0">
                <a:effectLst/>
                <a:latin typeface="Montserrat" panose="00000500000000000000" pitchFamily="2" charset="0"/>
              </a:rPr>
              <a:t>Gráfica 6. ASM concluidos por Ramo, dependencia o entidad al  primer trimeste 2019</a:t>
            </a:r>
            <a:endParaRPr lang="es-MX" sz="800">
              <a:effectLst/>
              <a:latin typeface="Montserrat" panose="00000500000000000000" pitchFamily="2"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25897834645669293"/>
          <c:y val="0.10546543221475579"/>
          <c:w val="0.71046609798775151"/>
          <c:h val="0.8171238481135682"/>
        </c:manualLayout>
      </c:layout>
      <c:barChart>
        <c:barDir val="bar"/>
        <c:grouping val="clustered"/>
        <c:varyColors val="0"/>
        <c:ser>
          <c:idx val="0"/>
          <c:order val="0"/>
          <c:spPr>
            <a:solidFill>
              <a:srgbClr val="62113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ontserrat" panose="00000500000000000000" pitchFamily="2"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SHCP!$D$84:$E$103</c:f>
              <c:multiLvlStrCache>
                <c:ptCount val="20"/>
                <c:lvl>
                  <c:pt idx="0">
                    <c:v>ISSSTE</c:v>
                  </c:pt>
                  <c:pt idx="1">
                    <c:v>INMUJERES</c:v>
                  </c:pt>
                  <c:pt idx="2">
                    <c:v>SFP</c:v>
                  </c:pt>
                  <c:pt idx="3">
                    <c:v>ANGELES VERDES</c:v>
                  </c:pt>
                  <c:pt idx="4">
                    <c:v>FONATUR</c:v>
                  </c:pt>
                  <c:pt idx="5">
                    <c:v>SECTUR</c:v>
                  </c:pt>
                  <c:pt idx="6">
                    <c:v>CONUUE</c:v>
                  </c:pt>
                  <c:pt idx="7">
                    <c:v>CONAGUA</c:v>
                  </c:pt>
                  <c:pt idx="8">
                    <c:v>SEMARNAT</c:v>
                  </c:pt>
                  <c:pt idx="9">
                    <c:v>CONAVI</c:v>
                  </c:pt>
                  <c:pt idx="10">
                    <c:v>RAN</c:v>
                  </c:pt>
                  <c:pt idx="11">
                    <c:v>SEDATU</c:v>
                  </c:pt>
                  <c:pt idx="12">
                    <c:v>SEP</c:v>
                  </c:pt>
                  <c:pt idx="13">
                    <c:v>SCT</c:v>
                  </c:pt>
                  <c:pt idx="14">
                    <c:v>TESOFE</c:v>
                  </c:pt>
                  <c:pt idx="15">
                    <c:v>CENAPRED</c:v>
                  </c:pt>
                  <c:pt idx="16">
                    <c:v>CNS</c:v>
                  </c:pt>
                  <c:pt idx="17">
                    <c:v>CONAVIM</c:v>
                  </c:pt>
                  <c:pt idx="18">
                    <c:v>SEGOB</c:v>
                  </c:pt>
                  <c:pt idx="19">
                    <c:v>SESNSP</c:v>
                  </c:pt>
                </c:lvl>
                <c:lvl>
                  <c:pt idx="0">
                    <c:v>51</c:v>
                  </c:pt>
                  <c:pt idx="1">
                    <c:v>47</c:v>
                  </c:pt>
                  <c:pt idx="2">
                    <c:v>27</c:v>
                  </c:pt>
                  <c:pt idx="3">
                    <c:v>21</c:v>
                  </c:pt>
                  <c:pt idx="6">
                    <c:v>18</c:v>
                  </c:pt>
                  <c:pt idx="7">
                    <c:v>16</c:v>
                  </c:pt>
                  <c:pt idx="9">
                    <c:v>15</c:v>
                  </c:pt>
                  <c:pt idx="12">
                    <c:v>11</c:v>
                  </c:pt>
                  <c:pt idx="13">
                    <c:v>09</c:v>
                  </c:pt>
                  <c:pt idx="14">
                    <c:v>06</c:v>
                  </c:pt>
                  <c:pt idx="15">
                    <c:v>04</c:v>
                  </c:pt>
                </c:lvl>
              </c:multiLvlStrCache>
            </c:multiLvlStrRef>
          </c:cat>
          <c:val>
            <c:numRef>
              <c:f>SHCP!$F$84:$F$103</c:f>
              <c:numCache>
                <c:formatCode>General</c:formatCode>
                <c:ptCount val="20"/>
                <c:pt idx="0">
                  <c:v>1</c:v>
                </c:pt>
                <c:pt idx="1">
                  <c:v>5</c:v>
                </c:pt>
                <c:pt idx="2">
                  <c:v>1</c:v>
                </c:pt>
                <c:pt idx="3">
                  <c:v>3</c:v>
                </c:pt>
                <c:pt idx="4">
                  <c:v>11</c:v>
                </c:pt>
                <c:pt idx="5">
                  <c:v>5</c:v>
                </c:pt>
                <c:pt idx="6">
                  <c:v>3</c:v>
                </c:pt>
                <c:pt idx="7">
                  <c:v>1</c:v>
                </c:pt>
                <c:pt idx="8">
                  <c:v>1</c:v>
                </c:pt>
                <c:pt idx="9">
                  <c:v>1</c:v>
                </c:pt>
                <c:pt idx="10">
                  <c:v>2</c:v>
                </c:pt>
                <c:pt idx="11">
                  <c:v>1</c:v>
                </c:pt>
                <c:pt idx="12">
                  <c:v>8</c:v>
                </c:pt>
                <c:pt idx="13">
                  <c:v>6</c:v>
                </c:pt>
                <c:pt idx="14">
                  <c:v>1</c:v>
                </c:pt>
                <c:pt idx="15">
                  <c:v>3</c:v>
                </c:pt>
                <c:pt idx="16">
                  <c:v>2</c:v>
                </c:pt>
                <c:pt idx="17">
                  <c:v>1</c:v>
                </c:pt>
                <c:pt idx="18">
                  <c:v>10</c:v>
                </c:pt>
                <c:pt idx="19">
                  <c:v>2</c:v>
                </c:pt>
              </c:numCache>
            </c:numRef>
          </c:val>
          <c:extLst>
            <c:ext xmlns:c16="http://schemas.microsoft.com/office/drawing/2014/chart" uri="{C3380CC4-5D6E-409C-BE32-E72D297353CC}">
              <c16:uniqueId val="{00000000-A35F-4B6B-B345-B0611298523F}"/>
            </c:ext>
          </c:extLst>
        </c:ser>
        <c:dLbls>
          <c:dLblPos val="outEnd"/>
          <c:showLegendKey val="0"/>
          <c:showVal val="1"/>
          <c:showCatName val="0"/>
          <c:showSerName val="0"/>
          <c:showPercent val="0"/>
          <c:showBubbleSize val="0"/>
        </c:dLbls>
        <c:gapWidth val="182"/>
        <c:axId val="-1024253344"/>
        <c:axId val="-1024257696"/>
      </c:barChart>
      <c:catAx>
        <c:axId val="-1024253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anose="00000500000000000000" pitchFamily="2" charset="0"/>
                <a:ea typeface="+mn-ea"/>
                <a:cs typeface="+mn-cs"/>
              </a:defRPr>
            </a:pPr>
            <a:endParaRPr lang="es-MX"/>
          </a:p>
        </c:txPr>
        <c:crossAx val="-1024257696"/>
        <c:crosses val="autoZero"/>
        <c:auto val="1"/>
        <c:lblAlgn val="ctr"/>
        <c:lblOffset val="100"/>
        <c:noMultiLvlLbl val="0"/>
      </c:catAx>
      <c:valAx>
        <c:axId val="-1024257696"/>
        <c:scaling>
          <c:orientation val="minMax"/>
        </c:scaling>
        <c:delete val="1"/>
        <c:axPos val="b"/>
        <c:numFmt formatCode="General" sourceLinked="1"/>
        <c:majorTickMark val="none"/>
        <c:minorTickMark val="none"/>
        <c:tickLblPos val="nextTo"/>
        <c:crossAx val="-102425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800" b="1" i="0" baseline="0">
                <a:effectLst/>
                <a:latin typeface="Montserrat" panose="00000500000000000000" pitchFamily="2" charset="0"/>
              </a:rPr>
              <a:t>Gráfica 7. Cantidad de ASM por rango de avance porcentual al primer trimestre 2019</a:t>
            </a:r>
            <a:endParaRPr lang="es-MX" sz="800">
              <a:effectLst/>
              <a:latin typeface="Montserrat" panose="00000500000000000000" pitchFamily="2"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3.0555555555555555E-2"/>
          <c:y val="0.27761628754738993"/>
          <c:w val="0.93888888888888888"/>
          <c:h val="0.51776210265383493"/>
        </c:manualLayout>
      </c:layout>
      <c:barChart>
        <c:barDir val="col"/>
        <c:grouping val="clustered"/>
        <c:varyColors val="0"/>
        <c:ser>
          <c:idx val="0"/>
          <c:order val="0"/>
          <c:tx>
            <c:strRef>
              <c:f>CONEVAL!$B$55</c:f>
              <c:strCache>
                <c:ptCount val="1"/>
                <c:pt idx="0">
                  <c:v>Específico</c:v>
                </c:pt>
              </c:strCache>
            </c:strRef>
          </c:tx>
          <c:spPr>
            <a:solidFill>
              <a:srgbClr val="62113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CONEVAL!$C$54:$H$54</c:f>
              <c:strCache>
                <c:ptCount val="6"/>
                <c:pt idx="0">
                  <c:v>Avance de 0%</c:v>
                </c:pt>
                <c:pt idx="1">
                  <c:v>&gt;0% a 25%</c:v>
                </c:pt>
                <c:pt idx="2">
                  <c:v>&gt;25% a 50%</c:v>
                </c:pt>
                <c:pt idx="3">
                  <c:v>&gt;50% a 75%</c:v>
                </c:pt>
                <c:pt idx="4">
                  <c:v>&gt;75% a &lt;100%</c:v>
                </c:pt>
                <c:pt idx="5">
                  <c:v>100%</c:v>
                </c:pt>
              </c:strCache>
            </c:strRef>
          </c:cat>
          <c:val>
            <c:numRef>
              <c:f>CONEVAL!$C$55:$H$55</c:f>
              <c:numCache>
                <c:formatCode>General</c:formatCode>
                <c:ptCount val="6"/>
                <c:pt idx="0">
                  <c:v>21</c:v>
                </c:pt>
                <c:pt idx="1">
                  <c:v>13</c:v>
                </c:pt>
                <c:pt idx="2">
                  <c:v>23</c:v>
                </c:pt>
                <c:pt idx="3">
                  <c:v>9</c:v>
                </c:pt>
                <c:pt idx="4">
                  <c:v>17</c:v>
                </c:pt>
                <c:pt idx="5">
                  <c:v>70</c:v>
                </c:pt>
              </c:numCache>
            </c:numRef>
          </c:val>
          <c:extLst>
            <c:ext xmlns:c16="http://schemas.microsoft.com/office/drawing/2014/chart" uri="{C3380CC4-5D6E-409C-BE32-E72D297353CC}">
              <c16:uniqueId val="{00000000-C89B-4A08-9FEE-944E4766020D}"/>
            </c:ext>
          </c:extLst>
        </c:ser>
        <c:ser>
          <c:idx val="1"/>
          <c:order val="1"/>
          <c:tx>
            <c:strRef>
              <c:f>CONEVAL!$B$56</c:f>
              <c:strCache>
                <c:ptCount val="1"/>
                <c:pt idx="0">
                  <c:v>Institucional</c:v>
                </c:pt>
              </c:strCache>
            </c:strRef>
          </c:tx>
          <c:spPr>
            <a:solidFill>
              <a:srgbClr val="56242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CONEVAL!$C$54:$H$54</c:f>
              <c:strCache>
                <c:ptCount val="6"/>
                <c:pt idx="0">
                  <c:v>Avance de 0%</c:v>
                </c:pt>
                <c:pt idx="1">
                  <c:v>&gt;0% a 25%</c:v>
                </c:pt>
                <c:pt idx="2">
                  <c:v>&gt;25% a 50%</c:v>
                </c:pt>
                <c:pt idx="3">
                  <c:v>&gt;50% a 75%</c:v>
                </c:pt>
                <c:pt idx="4">
                  <c:v>&gt;75% a &lt;100%</c:v>
                </c:pt>
                <c:pt idx="5">
                  <c:v>100%</c:v>
                </c:pt>
              </c:strCache>
            </c:strRef>
          </c:cat>
          <c:val>
            <c:numRef>
              <c:f>CONEVAL!$C$56:$H$56</c:f>
              <c:numCache>
                <c:formatCode>General</c:formatCode>
                <c:ptCount val="6"/>
                <c:pt idx="0">
                  <c:v>7</c:v>
                </c:pt>
                <c:pt idx="1">
                  <c:v>9</c:v>
                </c:pt>
                <c:pt idx="2">
                  <c:v>21</c:v>
                </c:pt>
                <c:pt idx="3">
                  <c:v>10</c:v>
                </c:pt>
                <c:pt idx="4">
                  <c:v>12</c:v>
                </c:pt>
                <c:pt idx="5">
                  <c:v>29</c:v>
                </c:pt>
              </c:numCache>
            </c:numRef>
          </c:val>
          <c:extLst>
            <c:ext xmlns:c16="http://schemas.microsoft.com/office/drawing/2014/chart" uri="{C3380CC4-5D6E-409C-BE32-E72D297353CC}">
              <c16:uniqueId val="{00000001-C89B-4A08-9FEE-944E4766020D}"/>
            </c:ext>
          </c:extLst>
        </c:ser>
        <c:ser>
          <c:idx val="2"/>
          <c:order val="2"/>
          <c:tx>
            <c:strRef>
              <c:f>CONEVAL!$B$57</c:f>
              <c:strCache>
                <c:ptCount val="1"/>
                <c:pt idx="0">
                  <c:v>Interinstitucional</c:v>
                </c:pt>
              </c:strCache>
            </c:strRef>
          </c:tx>
          <c:spPr>
            <a:solidFill>
              <a:srgbClr val="B38E5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CONEVAL!$C$54:$H$54</c:f>
              <c:strCache>
                <c:ptCount val="6"/>
                <c:pt idx="0">
                  <c:v>Avance de 0%</c:v>
                </c:pt>
                <c:pt idx="1">
                  <c:v>&gt;0% a 25%</c:v>
                </c:pt>
                <c:pt idx="2">
                  <c:v>&gt;25% a 50%</c:v>
                </c:pt>
                <c:pt idx="3">
                  <c:v>&gt;50% a 75%</c:v>
                </c:pt>
                <c:pt idx="4">
                  <c:v>&gt;75% a &lt;100%</c:v>
                </c:pt>
                <c:pt idx="5">
                  <c:v>100%</c:v>
                </c:pt>
              </c:strCache>
            </c:strRef>
          </c:cat>
          <c:val>
            <c:numRef>
              <c:f>CONEVAL!$C$57:$H$57</c:f>
              <c:numCache>
                <c:formatCode>General</c:formatCode>
                <c:ptCount val="6"/>
                <c:pt idx="0">
                  <c:v>4</c:v>
                </c:pt>
                <c:pt idx="1">
                  <c:v>1</c:v>
                </c:pt>
              </c:numCache>
            </c:numRef>
          </c:val>
          <c:extLst>
            <c:ext xmlns:c16="http://schemas.microsoft.com/office/drawing/2014/chart" uri="{C3380CC4-5D6E-409C-BE32-E72D297353CC}">
              <c16:uniqueId val="{00000002-C89B-4A08-9FEE-944E4766020D}"/>
            </c:ext>
          </c:extLst>
        </c:ser>
        <c:ser>
          <c:idx val="3"/>
          <c:order val="3"/>
          <c:tx>
            <c:strRef>
              <c:f>CONEVAL!$B$58</c:f>
              <c:strCache>
                <c:ptCount val="1"/>
                <c:pt idx="0">
                  <c:v>Intergubernamental</c:v>
                </c:pt>
              </c:strCache>
            </c:strRef>
          </c:tx>
          <c:spPr>
            <a:solidFill>
              <a:srgbClr val="D4C19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CONEVAL!$C$54:$H$54</c:f>
              <c:strCache>
                <c:ptCount val="6"/>
                <c:pt idx="0">
                  <c:v>Avance de 0%</c:v>
                </c:pt>
                <c:pt idx="1">
                  <c:v>&gt;0% a 25%</c:v>
                </c:pt>
                <c:pt idx="2">
                  <c:v>&gt;25% a 50%</c:v>
                </c:pt>
                <c:pt idx="3">
                  <c:v>&gt;50% a 75%</c:v>
                </c:pt>
                <c:pt idx="4">
                  <c:v>&gt;75% a &lt;100%</c:v>
                </c:pt>
                <c:pt idx="5">
                  <c:v>100%</c:v>
                </c:pt>
              </c:strCache>
            </c:strRef>
          </c:cat>
          <c:val>
            <c:numRef>
              <c:f>CONEVAL!$C$58:$H$58</c:f>
              <c:numCache>
                <c:formatCode>General</c:formatCode>
                <c:ptCount val="6"/>
                <c:pt idx="0">
                  <c:v>1</c:v>
                </c:pt>
              </c:numCache>
            </c:numRef>
          </c:val>
          <c:extLst>
            <c:ext xmlns:c16="http://schemas.microsoft.com/office/drawing/2014/chart" uri="{C3380CC4-5D6E-409C-BE32-E72D297353CC}">
              <c16:uniqueId val="{00000003-C89B-4A08-9FEE-944E4766020D}"/>
            </c:ext>
          </c:extLst>
        </c:ser>
        <c:dLbls>
          <c:dLblPos val="outEnd"/>
          <c:showLegendKey val="0"/>
          <c:showVal val="1"/>
          <c:showCatName val="0"/>
          <c:showSerName val="0"/>
          <c:showPercent val="0"/>
          <c:showBubbleSize val="0"/>
        </c:dLbls>
        <c:gapWidth val="219"/>
        <c:overlap val="-27"/>
        <c:axId val="-1024267488"/>
        <c:axId val="-1024260960"/>
      </c:barChart>
      <c:catAx>
        <c:axId val="-102426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anose="00000500000000000000" pitchFamily="2" charset="0"/>
                <a:ea typeface="+mn-ea"/>
                <a:cs typeface="+mn-cs"/>
              </a:defRPr>
            </a:pPr>
            <a:endParaRPr lang="es-MX"/>
          </a:p>
        </c:txPr>
        <c:crossAx val="-1024260960"/>
        <c:crosses val="autoZero"/>
        <c:auto val="1"/>
        <c:lblAlgn val="ctr"/>
        <c:lblOffset val="100"/>
        <c:noMultiLvlLbl val="0"/>
      </c:catAx>
      <c:valAx>
        <c:axId val="-1024260960"/>
        <c:scaling>
          <c:orientation val="minMax"/>
        </c:scaling>
        <c:delete val="1"/>
        <c:axPos val="l"/>
        <c:numFmt formatCode="General" sourceLinked="1"/>
        <c:majorTickMark val="none"/>
        <c:minorTickMark val="none"/>
        <c:tickLblPos val="nextTo"/>
        <c:crossAx val="-10242674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ontserrat" panose="00000500000000000000" pitchFamily="2"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i="0" baseline="0">
                <a:effectLst/>
                <a:latin typeface="Montserrat" panose="00000500000000000000" pitchFamily="2" charset="0"/>
              </a:rPr>
              <a:t>Gráfica 8. ASM concluidos por Ramo, dependencia o entidad al  primer trimeste 2019</a:t>
            </a:r>
            <a:endParaRPr lang="es-MX" sz="800">
              <a:effectLst/>
              <a:latin typeface="Montserrat" panose="00000500000000000000" pitchFamily="2"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7259029546607407"/>
          <c:y val="0.1249821908404628"/>
          <c:w val="0.80042411989712636"/>
          <c:h val="0.76430212504371353"/>
        </c:manualLayout>
      </c:layout>
      <c:barChart>
        <c:barDir val="bar"/>
        <c:grouping val="clustered"/>
        <c:varyColors val="0"/>
        <c:ser>
          <c:idx val="0"/>
          <c:order val="0"/>
          <c:spPr>
            <a:solidFill>
              <a:srgbClr val="62113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ontserrat" panose="00000500000000000000" pitchFamily="2"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CONEVAL!$D$67:$E$82</c:f>
              <c:multiLvlStrCache>
                <c:ptCount val="16"/>
                <c:lvl>
                  <c:pt idx="0">
                    <c:v>IMSS</c:v>
                  </c:pt>
                  <c:pt idx="1">
                    <c:v>CDI</c:v>
                  </c:pt>
                  <c:pt idx="2">
                    <c:v>INMUJERES</c:v>
                  </c:pt>
                  <c:pt idx="3">
                    <c:v>INAPAM</c:v>
                  </c:pt>
                  <c:pt idx="4">
                    <c:v>INDESOL</c:v>
                  </c:pt>
                  <c:pt idx="5">
                    <c:v>BIENESTAR</c:v>
                  </c:pt>
                  <c:pt idx="6">
                    <c:v>IMSS</c:v>
                  </c:pt>
                  <c:pt idx="7">
                    <c:v>CONAFOR</c:v>
                  </c:pt>
                  <c:pt idx="8">
                    <c:v>CONAGUA</c:v>
                  </c:pt>
                  <c:pt idx="9">
                    <c:v>SEMARNAT</c:v>
                  </c:pt>
                  <c:pt idx="10">
                    <c:v>SEDATU</c:v>
                  </c:pt>
                  <c:pt idx="11">
                    <c:v>DIF</c:v>
                  </c:pt>
                  <c:pt idx="12">
                    <c:v>SALUD</c:v>
                  </c:pt>
                  <c:pt idx="13">
                    <c:v>SEP</c:v>
                  </c:pt>
                  <c:pt idx="14">
                    <c:v>CONADE</c:v>
                  </c:pt>
                  <c:pt idx="15">
                    <c:v>SAGARPA</c:v>
                  </c:pt>
                </c:lvl>
                <c:lvl>
                  <c:pt idx="0">
                    <c:v>50</c:v>
                  </c:pt>
                  <c:pt idx="1">
                    <c:v>47</c:v>
                  </c:pt>
                  <c:pt idx="3">
                    <c:v>20</c:v>
                  </c:pt>
                  <c:pt idx="6">
                    <c:v>19</c:v>
                  </c:pt>
                  <c:pt idx="7">
                    <c:v>16</c:v>
                  </c:pt>
                  <c:pt idx="10">
                    <c:v>15</c:v>
                  </c:pt>
                  <c:pt idx="11">
                    <c:v>12</c:v>
                  </c:pt>
                  <c:pt idx="13">
                    <c:v>11</c:v>
                  </c:pt>
                  <c:pt idx="15">
                    <c:v>08</c:v>
                  </c:pt>
                </c:lvl>
              </c:multiLvlStrCache>
            </c:multiLvlStrRef>
          </c:cat>
          <c:val>
            <c:numRef>
              <c:f>CONEVAL!$F$67:$F$82</c:f>
              <c:numCache>
                <c:formatCode>General</c:formatCode>
                <c:ptCount val="16"/>
                <c:pt idx="0">
                  <c:v>1</c:v>
                </c:pt>
                <c:pt idx="1">
                  <c:v>6</c:v>
                </c:pt>
                <c:pt idx="2">
                  <c:v>3</c:v>
                </c:pt>
                <c:pt idx="3">
                  <c:v>4</c:v>
                </c:pt>
                <c:pt idx="4">
                  <c:v>1</c:v>
                </c:pt>
                <c:pt idx="5">
                  <c:v>16</c:v>
                </c:pt>
                <c:pt idx="6">
                  <c:v>4</c:v>
                </c:pt>
                <c:pt idx="7">
                  <c:v>2</c:v>
                </c:pt>
                <c:pt idx="8">
                  <c:v>1</c:v>
                </c:pt>
                <c:pt idx="9">
                  <c:v>13</c:v>
                </c:pt>
                <c:pt idx="10">
                  <c:v>4</c:v>
                </c:pt>
                <c:pt idx="11">
                  <c:v>3</c:v>
                </c:pt>
                <c:pt idx="12">
                  <c:v>5</c:v>
                </c:pt>
                <c:pt idx="13">
                  <c:v>29</c:v>
                </c:pt>
                <c:pt idx="14">
                  <c:v>1</c:v>
                </c:pt>
                <c:pt idx="15">
                  <c:v>6</c:v>
                </c:pt>
              </c:numCache>
            </c:numRef>
          </c:val>
          <c:extLst>
            <c:ext xmlns:c16="http://schemas.microsoft.com/office/drawing/2014/chart" uri="{C3380CC4-5D6E-409C-BE32-E72D297353CC}">
              <c16:uniqueId val="{00000000-5A91-4F73-AE5E-5ACCCB5B4C48}"/>
            </c:ext>
          </c:extLst>
        </c:ser>
        <c:dLbls>
          <c:dLblPos val="outEnd"/>
          <c:showLegendKey val="0"/>
          <c:showVal val="1"/>
          <c:showCatName val="0"/>
          <c:showSerName val="0"/>
          <c:showPercent val="0"/>
          <c:showBubbleSize val="0"/>
        </c:dLbls>
        <c:gapWidth val="182"/>
        <c:axId val="-1024265312"/>
        <c:axId val="-1024252800"/>
      </c:barChart>
      <c:catAx>
        <c:axId val="-1024265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anose="00000500000000000000" pitchFamily="2" charset="0"/>
                <a:ea typeface="+mn-ea"/>
                <a:cs typeface="+mn-cs"/>
              </a:defRPr>
            </a:pPr>
            <a:endParaRPr lang="es-MX"/>
          </a:p>
        </c:txPr>
        <c:crossAx val="-1024252800"/>
        <c:crosses val="autoZero"/>
        <c:auto val="1"/>
        <c:lblAlgn val="ctr"/>
        <c:lblOffset val="100"/>
        <c:noMultiLvlLbl val="0"/>
      </c:catAx>
      <c:valAx>
        <c:axId val="-1024252800"/>
        <c:scaling>
          <c:orientation val="minMax"/>
        </c:scaling>
        <c:delete val="1"/>
        <c:axPos val="b"/>
        <c:numFmt formatCode="General" sourceLinked="1"/>
        <c:majorTickMark val="none"/>
        <c:minorTickMark val="none"/>
        <c:tickLblPos val="nextTo"/>
        <c:crossAx val="-1024265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0.90451</cdr:y>
    </cdr:from>
    <cdr:to>
      <cdr:x>1</cdr:x>
      <cdr:y>1</cdr:y>
    </cdr:to>
    <cdr:sp macro="" textlink="">
      <cdr:nvSpPr>
        <cdr:cNvPr id="2" name="CuadroTexto 1">
          <a:extLst xmlns:a="http://schemas.openxmlformats.org/drawingml/2006/main">
            <a:ext uri="{FF2B5EF4-FFF2-40B4-BE49-F238E27FC236}">
              <a16:creationId xmlns:a16="http://schemas.microsoft.com/office/drawing/2014/main" id="{3C390A0B-2742-41C6-BB8E-899832B0512F}"/>
            </a:ext>
          </a:extLst>
        </cdr:cNvPr>
        <cdr:cNvSpPr txBox="1"/>
      </cdr:nvSpPr>
      <cdr:spPr>
        <a:xfrm xmlns:a="http://schemas.openxmlformats.org/drawingml/2006/main">
          <a:off x="0" y="2481263"/>
          <a:ext cx="4572000" cy="26193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600" b="1">
              <a:latin typeface="Montserrat" panose="00000500000000000000" pitchFamily="2" charset="0"/>
            </a:rPr>
            <a:t>Fuente: </a:t>
          </a:r>
          <a:r>
            <a:rPr lang="es-MX" sz="600">
              <a:latin typeface="Montserrat" panose="00000500000000000000" pitchFamily="2" charset="0"/>
            </a:rPr>
            <a:t>Unidad de Evaluación del Desempeño, con Información proporcionada por las dependencias y entidades de la APF a las instancias coordinadoras (SHCP y CONEVAL).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0.90451</cdr:y>
    </cdr:from>
    <cdr:to>
      <cdr:x>1</cdr:x>
      <cdr:y>1</cdr:y>
    </cdr:to>
    <cdr:sp macro="" textlink="">
      <cdr:nvSpPr>
        <cdr:cNvPr id="2" name="CuadroTexto 1">
          <a:extLst xmlns:a="http://schemas.openxmlformats.org/drawingml/2006/main">
            <a:ext uri="{FF2B5EF4-FFF2-40B4-BE49-F238E27FC236}">
              <a16:creationId xmlns:a16="http://schemas.microsoft.com/office/drawing/2014/main" id="{79DC0F78-4484-471D-BBE3-340C0FCB15E4}"/>
            </a:ext>
          </a:extLst>
        </cdr:cNvPr>
        <cdr:cNvSpPr txBox="1"/>
      </cdr:nvSpPr>
      <cdr:spPr>
        <a:xfrm xmlns:a="http://schemas.openxmlformats.org/drawingml/2006/main">
          <a:off x="0" y="2481263"/>
          <a:ext cx="4572000" cy="26193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600" b="1">
              <a:latin typeface="Montserrat" panose="00000500000000000000" pitchFamily="2" charset="0"/>
            </a:rPr>
            <a:t>Fuente: </a:t>
          </a:r>
          <a:r>
            <a:rPr lang="es-MX" sz="600">
              <a:latin typeface="Montserrat" panose="00000500000000000000" pitchFamily="2" charset="0"/>
            </a:rPr>
            <a:t>Unidad de Evaluación del Desempeño, con Información proporcionada por las dependencias y entidades de la APF a las instancias coordinadoras (SHCP y CONEVAL).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0.89005</cdr:y>
    </cdr:from>
    <cdr:to>
      <cdr:x>1</cdr:x>
      <cdr:y>0.98553</cdr:y>
    </cdr:to>
    <cdr:sp macro="" textlink="">
      <cdr:nvSpPr>
        <cdr:cNvPr id="2" name="CuadroTexto 1">
          <a:extLst xmlns:a="http://schemas.openxmlformats.org/drawingml/2006/main">
            <a:ext uri="{FF2B5EF4-FFF2-40B4-BE49-F238E27FC236}">
              <a16:creationId xmlns:a16="http://schemas.microsoft.com/office/drawing/2014/main" id="{D41DA535-7F90-4A2A-9EBE-6BDD2B638964}"/>
            </a:ext>
          </a:extLst>
        </cdr:cNvPr>
        <cdr:cNvSpPr txBox="1"/>
      </cdr:nvSpPr>
      <cdr:spPr>
        <a:xfrm xmlns:a="http://schemas.openxmlformats.org/drawingml/2006/main">
          <a:off x="0" y="2441575"/>
          <a:ext cx="4572000" cy="26193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600" b="1">
              <a:latin typeface="Montserrat" panose="00000500000000000000" pitchFamily="2" charset="0"/>
            </a:rPr>
            <a:t>Fuente: </a:t>
          </a:r>
          <a:r>
            <a:rPr lang="es-MX" sz="600">
              <a:latin typeface="Montserrat" panose="00000500000000000000" pitchFamily="2" charset="0"/>
            </a:rPr>
            <a:t>Unidad de Evaluación del Desempeño, con Información proporcionada por las dependencias y entidades de la APF a las instancias coordinadoras (SHCP y CONEVAL).</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0.96146</cdr:y>
    </cdr:from>
    <cdr:to>
      <cdr:x>1</cdr:x>
      <cdr:y>1</cdr:y>
    </cdr:to>
    <cdr:sp macro="" textlink="">
      <cdr:nvSpPr>
        <cdr:cNvPr id="2" name="CuadroTexto 1">
          <a:extLst xmlns:a="http://schemas.openxmlformats.org/drawingml/2006/main">
            <a:ext uri="{FF2B5EF4-FFF2-40B4-BE49-F238E27FC236}">
              <a16:creationId xmlns:a16="http://schemas.microsoft.com/office/drawing/2014/main" id="{BDFF32FD-D3D3-4C44-B027-38E7C37AA19E}"/>
            </a:ext>
          </a:extLst>
        </cdr:cNvPr>
        <cdr:cNvSpPr txBox="1"/>
      </cdr:nvSpPr>
      <cdr:spPr>
        <a:xfrm xmlns:a="http://schemas.openxmlformats.org/drawingml/2006/main">
          <a:off x="0" y="6415088"/>
          <a:ext cx="6315076" cy="25717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600" b="1">
              <a:latin typeface="Montserrat" panose="00000500000000000000" pitchFamily="2" charset="0"/>
            </a:rPr>
            <a:t>Fuente: </a:t>
          </a:r>
          <a:r>
            <a:rPr lang="es-MX" sz="600">
              <a:latin typeface="Montserrat" panose="00000500000000000000" pitchFamily="2" charset="0"/>
            </a:rPr>
            <a:t>Unidad de Evaluación del Desempeño, con información proporcionada por las dependencias y entidades de la APF a las instancias coordinadoras (SHCP y CONEVAL).</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0.90451</cdr:y>
    </cdr:from>
    <cdr:to>
      <cdr:x>1</cdr:x>
      <cdr:y>1</cdr:y>
    </cdr:to>
    <cdr:sp macro="" textlink="">
      <cdr:nvSpPr>
        <cdr:cNvPr id="2" name="CuadroTexto 1">
          <a:extLst xmlns:a="http://schemas.openxmlformats.org/drawingml/2006/main">
            <a:ext uri="{FF2B5EF4-FFF2-40B4-BE49-F238E27FC236}">
              <a16:creationId xmlns:a16="http://schemas.microsoft.com/office/drawing/2014/main" id="{D41DA535-7F90-4A2A-9EBE-6BDD2B638964}"/>
            </a:ext>
          </a:extLst>
        </cdr:cNvPr>
        <cdr:cNvSpPr txBox="1"/>
      </cdr:nvSpPr>
      <cdr:spPr>
        <a:xfrm xmlns:a="http://schemas.openxmlformats.org/drawingml/2006/main">
          <a:off x="0" y="2481263"/>
          <a:ext cx="4572000" cy="26193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600" b="1">
              <a:latin typeface="Montserrat" panose="00000500000000000000" pitchFamily="2" charset="0"/>
            </a:rPr>
            <a:t>Fuente: </a:t>
          </a:r>
          <a:r>
            <a:rPr lang="es-MX" sz="600">
              <a:latin typeface="Montserrat" panose="00000500000000000000" pitchFamily="2" charset="0"/>
            </a:rPr>
            <a:t>Unidad de Evaluación del Desempeño, con información proporcionada por las dependencias y entidades de la APF a la SHCP.</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0.94495</cdr:y>
    </cdr:from>
    <cdr:to>
      <cdr:x>1</cdr:x>
      <cdr:y>1</cdr:y>
    </cdr:to>
    <cdr:sp macro="" textlink="">
      <cdr:nvSpPr>
        <cdr:cNvPr id="3" name="CuadroTexto 1">
          <a:extLst xmlns:a="http://schemas.openxmlformats.org/drawingml/2006/main">
            <a:ext uri="{FF2B5EF4-FFF2-40B4-BE49-F238E27FC236}">
              <a16:creationId xmlns:a16="http://schemas.microsoft.com/office/drawing/2014/main" id="{ABCA150B-4C32-4E07-87AC-EE9C494A9457}"/>
            </a:ext>
          </a:extLst>
        </cdr:cNvPr>
        <cdr:cNvSpPr txBox="1"/>
      </cdr:nvSpPr>
      <cdr:spPr>
        <a:xfrm xmlns:a="http://schemas.openxmlformats.org/drawingml/2006/main">
          <a:off x="0" y="4495802"/>
          <a:ext cx="4572000" cy="26193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600" b="1">
              <a:latin typeface="Montserrat" panose="00000500000000000000" pitchFamily="2" charset="0"/>
            </a:rPr>
            <a:t>Fuente: </a:t>
          </a:r>
          <a:r>
            <a:rPr lang="es-MX" sz="600">
              <a:latin typeface="Montserrat" panose="00000500000000000000" pitchFamily="2" charset="0"/>
            </a:rPr>
            <a:t>Unidad de Evaluación del Desempeño, con Información proporcionada por las dependencias y entidades de la APF a la SHCP.</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0.90451</cdr:y>
    </cdr:from>
    <cdr:to>
      <cdr:x>1</cdr:x>
      <cdr:y>1</cdr:y>
    </cdr:to>
    <cdr:sp macro="" textlink="">
      <cdr:nvSpPr>
        <cdr:cNvPr id="2" name="CuadroTexto 1">
          <a:extLst xmlns:a="http://schemas.openxmlformats.org/drawingml/2006/main">
            <a:ext uri="{FF2B5EF4-FFF2-40B4-BE49-F238E27FC236}">
              <a16:creationId xmlns:a16="http://schemas.microsoft.com/office/drawing/2014/main" id="{79B7B732-FB71-48FF-B6A6-6E2D4FBBCFF6}"/>
            </a:ext>
          </a:extLst>
        </cdr:cNvPr>
        <cdr:cNvSpPr txBox="1"/>
      </cdr:nvSpPr>
      <cdr:spPr>
        <a:xfrm xmlns:a="http://schemas.openxmlformats.org/drawingml/2006/main">
          <a:off x="0" y="2481263"/>
          <a:ext cx="4572000" cy="26193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600" b="1">
              <a:latin typeface="Montserrat" panose="00000500000000000000" pitchFamily="2" charset="0"/>
            </a:rPr>
            <a:t>Fuente: </a:t>
          </a:r>
          <a:r>
            <a:rPr lang="es-MX" sz="600">
              <a:latin typeface="Montserrat" panose="00000500000000000000" pitchFamily="2" charset="0"/>
            </a:rPr>
            <a:t>Unidad de Evaluación del Desempeño, con Información proporcionada por las dependencias y entidades de la APF al CONEVAL.</a:t>
          </a:r>
        </a:p>
      </cdr:txBody>
    </cdr:sp>
  </cdr:relSizeAnchor>
</c:userShapes>
</file>

<file path=word/drawings/drawing8.xml><?xml version="1.0" encoding="utf-8"?>
<c:userShapes xmlns:c="http://schemas.openxmlformats.org/drawingml/2006/chart">
  <cdr:relSizeAnchor xmlns:cdr="http://schemas.openxmlformats.org/drawingml/2006/chartDrawing">
    <cdr:from>
      <cdr:x>0.00613</cdr:x>
      <cdr:y>0.9308</cdr:y>
    </cdr:from>
    <cdr:to>
      <cdr:x>1</cdr:x>
      <cdr:y>0.99605</cdr:y>
    </cdr:to>
    <cdr:sp macro="" textlink="">
      <cdr:nvSpPr>
        <cdr:cNvPr id="2" name="CuadroTexto 1">
          <a:extLst xmlns:a="http://schemas.openxmlformats.org/drawingml/2006/main">
            <a:ext uri="{FF2B5EF4-FFF2-40B4-BE49-F238E27FC236}">
              <a16:creationId xmlns:a16="http://schemas.microsoft.com/office/drawing/2014/main" id="{C08DA034-73B9-47D9-9464-DACEC9B3D96C}"/>
            </a:ext>
          </a:extLst>
        </cdr:cNvPr>
        <cdr:cNvSpPr txBox="1"/>
      </cdr:nvSpPr>
      <cdr:spPr>
        <a:xfrm xmlns:a="http://schemas.openxmlformats.org/drawingml/2006/main">
          <a:off x="31749" y="3736975"/>
          <a:ext cx="5145089" cy="26193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600" b="1">
              <a:latin typeface="Montserrat" panose="00000500000000000000" pitchFamily="2" charset="0"/>
            </a:rPr>
            <a:t>Fuente: </a:t>
          </a:r>
          <a:r>
            <a:rPr lang="es-MX" sz="600">
              <a:latin typeface="Montserrat" panose="00000500000000000000" pitchFamily="2" charset="0"/>
            </a:rPr>
            <a:t>Unidad de Evaluación del Desempeño, con Información proporcionada por las dependencias y entidades de la APF al CONEVAL.</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8130d3c44f3c12a6ae5a48ec6d4e8b52">
  <xsd:schema xmlns:xsd="http://www.w3.org/2001/XMLSchema" xmlns:p="http://schemas.microsoft.com/office/2006/metadata/properties" xmlns:ns1="http://schemas.microsoft.com/sharepoint/v3" targetNamespace="http://schemas.microsoft.com/office/2006/metadata/properties" ma:root="true" ma:fieldsID="0a9c18cec8232505ae19336f8ecb4d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E4CB-157B-49BC-AFAA-A203ECDDCCB0}">
  <ds:schemaRefs>
    <ds:schemaRef ds:uri="http://schemas.microsoft.com/sharepoint/v3/contenttype/forms"/>
  </ds:schemaRefs>
</ds:datastoreItem>
</file>

<file path=customXml/itemProps2.xml><?xml version="1.0" encoding="utf-8"?>
<ds:datastoreItem xmlns:ds="http://schemas.openxmlformats.org/officeDocument/2006/customXml" ds:itemID="{7C7DDFDA-4CD9-48F9-AA81-719E3B053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1E8EDDE-D7C9-4762-8CC4-4C74ECD243D7}">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07A8EB2A-4678-4227-9559-49D05B73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7121</Words>
  <Characters>39166</Characters>
  <Application>Microsoft Office Word</Application>
  <DocSecurity>0</DocSecurity>
  <Lines>326</Lines>
  <Paragraphs>92</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46195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Alejandro Leyva Pineda</cp:lastModifiedBy>
  <cp:revision>2</cp:revision>
  <cp:lastPrinted>2019-01-10T17:26:00Z</cp:lastPrinted>
  <dcterms:created xsi:type="dcterms:W3CDTF">2019-04-26T15:39:00Z</dcterms:created>
  <dcterms:modified xsi:type="dcterms:W3CDTF">2019-04-26T15:39:00Z</dcterms:modified>
</cp:coreProperties>
</file>