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ED6" w:rsidRPr="00F63204" w:rsidRDefault="00746A60" w:rsidP="00F63204">
      <w:pPr>
        <w:spacing w:after="240" w:afterAutospacing="0"/>
        <w:jc w:val="center"/>
        <w:rPr>
          <w:rFonts w:eastAsiaTheme="minorHAnsi"/>
          <w:b/>
          <w:color w:val="0E4E7A"/>
          <w:sz w:val="28"/>
          <w:szCs w:val="24"/>
          <w:lang w:val="es-MX"/>
        </w:rPr>
      </w:pPr>
      <w:bookmarkStart w:id="0" w:name="_GoBack"/>
      <w:bookmarkEnd w:id="0"/>
      <w:r w:rsidRPr="00F63204">
        <w:rPr>
          <w:rFonts w:eastAsiaTheme="minorHAnsi"/>
          <w:b/>
          <w:color w:val="0E4E7A"/>
          <w:sz w:val="28"/>
          <w:szCs w:val="24"/>
          <w:lang w:val="es-MX"/>
        </w:rPr>
        <w:t>Re</w:t>
      </w:r>
      <w:r w:rsidR="00162ED6" w:rsidRPr="00F63204">
        <w:rPr>
          <w:rFonts w:eastAsiaTheme="minorHAnsi"/>
          <w:b/>
          <w:color w:val="0E4E7A"/>
          <w:sz w:val="28"/>
          <w:szCs w:val="24"/>
          <w:lang w:val="es-MX"/>
        </w:rPr>
        <w:t>sumen Ejecutivo</w:t>
      </w:r>
    </w:p>
    <w:p w:rsidR="00BB770A" w:rsidRDefault="00BB770A" w:rsidP="00BB770A">
      <w:pPr>
        <w:keepNext/>
        <w:keepLines/>
        <w:spacing w:before="240" w:after="200" w:afterAutospacing="0"/>
        <w:jc w:val="center"/>
        <w:outlineLvl w:val="0"/>
        <w:rPr>
          <w:rFonts w:eastAsiaTheme="minorHAnsi"/>
          <w:b/>
          <w:color w:val="0E4E7A"/>
          <w:sz w:val="28"/>
          <w:szCs w:val="24"/>
          <w:lang w:val="es-MX"/>
        </w:rPr>
      </w:pPr>
      <w:bookmarkStart w:id="1" w:name="_Toc505364418"/>
      <w:bookmarkStart w:id="2" w:name="_Toc510441395"/>
      <w:r w:rsidRPr="00BB770A">
        <w:rPr>
          <w:rFonts w:eastAsiaTheme="minorHAnsi"/>
          <w:b/>
          <w:color w:val="0E4E7A"/>
          <w:sz w:val="28"/>
          <w:szCs w:val="24"/>
          <w:lang w:val="es-MX"/>
        </w:rPr>
        <w:t>Evaluación Específica del Fondo de Aportaciones para el Fortalecimiento de los Municipios (FORTAMUN), a través, de los indicadores de los programas que mayormente operaron con recursos del fondo de la Dirección de General de Servicios Públicos, para el ejercicio fiscal 2017</w:t>
      </w:r>
    </w:p>
    <w:p w:rsidR="00C40A09" w:rsidRDefault="00A91CD1" w:rsidP="00966B46">
      <w:pPr>
        <w:keepNext/>
        <w:keepLines/>
        <w:spacing w:before="240" w:after="200" w:afterAutospacing="0"/>
        <w:outlineLvl w:val="0"/>
        <w:rPr>
          <w:rFonts w:eastAsia="MS Gothic" w:cs="Times New Roman"/>
          <w:b/>
          <w:color w:val="0E4E7A"/>
          <w:sz w:val="28"/>
          <w:szCs w:val="32"/>
          <w:lang w:val="es-MX"/>
        </w:rPr>
      </w:pPr>
      <w:r w:rsidRPr="00BB770A">
        <w:rPr>
          <w:rFonts w:eastAsia="MS Gothic" w:cs="Times New Roman"/>
          <w:b/>
          <w:color w:val="0E4E7A"/>
          <w:sz w:val="28"/>
          <w:szCs w:val="32"/>
          <w:lang w:val="es-MX"/>
        </w:rPr>
        <w:t>Introducción</w:t>
      </w:r>
      <w:bookmarkEnd w:id="1"/>
      <w:bookmarkEnd w:id="2"/>
    </w:p>
    <w:p w:rsidR="00C40A09" w:rsidRPr="00C40A09" w:rsidRDefault="00C40A09" w:rsidP="00C40A09">
      <w:pPr>
        <w:spacing w:after="240" w:afterAutospacing="0"/>
        <w:rPr>
          <w:rFonts w:eastAsia="Calibri" w:cs="Times New Roman"/>
          <w:szCs w:val="24"/>
          <w:lang w:val="es-MX"/>
        </w:rPr>
      </w:pPr>
      <w:r w:rsidRPr="00C40A09">
        <w:rPr>
          <w:rFonts w:eastAsia="Calibri" w:cs="Times New Roman"/>
          <w:szCs w:val="24"/>
          <w:lang w:val="es-MX"/>
        </w:rPr>
        <w:t xml:space="preserve">El sistema actual de Evaluación de Desempeño en México tiene como antecedente un marco legal que se ha ido transformando a lo largo de varias décadas de acuerdo con diferentes esquemas presupuestarios; para operacionalizar este enfoque, existe un marco normativo que se desprende desde la Constitución Política de los Estados Unidos Mexicanos; la cual, en su artículo 134, expone: </w:t>
      </w:r>
    </w:p>
    <w:p w:rsidR="00C40A09" w:rsidRPr="00C40A09" w:rsidRDefault="00C40A09" w:rsidP="00C40A09">
      <w:pPr>
        <w:spacing w:after="240" w:afterAutospacing="0"/>
        <w:ind w:left="284" w:right="333"/>
        <w:rPr>
          <w:rFonts w:eastAsia="Calibri" w:cs="Times New Roman"/>
          <w:szCs w:val="24"/>
          <w:lang w:val="es-MX"/>
        </w:rPr>
      </w:pPr>
      <w:r w:rsidRPr="00C40A09">
        <w:rPr>
          <w:rFonts w:eastAsia="Calibri" w:cs="Times New Roman"/>
          <w:szCs w:val="24"/>
          <w:lang w:val="es-MX"/>
        </w:rPr>
        <w:t xml:space="preserve">Los recursos económicos de que dispongan la Federación, las entidades federativas, los Municipios y las demarcaciones territoriales de la Ciudad de México, se administrarán con </w:t>
      </w:r>
      <w:r w:rsidRPr="00C40A09">
        <w:rPr>
          <w:rFonts w:eastAsia="Calibri" w:cs="Times New Roman"/>
          <w:b/>
          <w:szCs w:val="24"/>
          <w:lang w:val="es-MX"/>
        </w:rPr>
        <w:t>eficiencia, eficacia, economía, transparencia y honradez</w:t>
      </w:r>
      <w:r w:rsidRPr="00C40A09">
        <w:rPr>
          <w:rFonts w:eastAsia="Calibri" w:cs="Times New Roman"/>
          <w:szCs w:val="24"/>
          <w:lang w:val="es-MX"/>
        </w:rPr>
        <w:t>; para cumplir con los objetivos a los que están predestinados, (DOF 29-01-2016).</w:t>
      </w:r>
    </w:p>
    <w:p w:rsidR="00C40A09" w:rsidRPr="00C40A09" w:rsidRDefault="00C40A09" w:rsidP="00C40A09">
      <w:pPr>
        <w:spacing w:after="240" w:afterAutospacing="0"/>
        <w:ind w:right="333"/>
        <w:rPr>
          <w:rFonts w:eastAsia="Calibri" w:cs="Times New Roman"/>
          <w:szCs w:val="24"/>
          <w:lang w:val="es-MX"/>
        </w:rPr>
      </w:pPr>
      <w:r w:rsidRPr="00C40A09">
        <w:rPr>
          <w:rFonts w:eastAsia="Calibri" w:cs="Times New Roman"/>
          <w:szCs w:val="24"/>
          <w:lang w:val="es-MX"/>
        </w:rPr>
        <w:t>Por su parte, en el artículo 108 de la Constitución Política del Estado de Colima refiere que: Los recursos y fondos públicos que administren, custodien o ejerzan los poderes del Estado, los municipios, los órganos autónomos previstos por esta Constitución, los organismos descentralizados contemplados en las leyes, empresas de participación pública, fideicomisos públicos del Estado y municipios, así como a cargo de cualquier persona física o moral, pública o privada, se manejarán con eficiencia, eficacia, economía, transparencia y honradez, para satisfacer los objetivos a los que están destinados.</w:t>
      </w:r>
    </w:p>
    <w:p w:rsidR="00C40A09" w:rsidRPr="00C40A09" w:rsidRDefault="00C40A09" w:rsidP="00C40A09">
      <w:pPr>
        <w:spacing w:after="240" w:afterAutospacing="0"/>
        <w:ind w:right="333"/>
        <w:rPr>
          <w:rFonts w:eastAsia="Calibri" w:cs="Times New Roman"/>
          <w:szCs w:val="24"/>
          <w:lang w:val="es-MX"/>
        </w:rPr>
      </w:pPr>
      <w:r w:rsidRPr="00C40A09">
        <w:rPr>
          <w:rFonts w:eastAsia="Calibri" w:cs="Times New Roman"/>
          <w:szCs w:val="24"/>
          <w:lang w:val="es-MX"/>
        </w:rPr>
        <w:t xml:space="preserve">El ejercicio de dichos recursos será objeto de evaluación, control y fiscalización por parte del Órgano Superior de Auditoría y Fiscalización Gubernamental del Estado previsto por esta Constitución, con el propósito de que los recursos que se asignen en </w:t>
      </w:r>
      <w:r w:rsidRPr="00C40A09">
        <w:rPr>
          <w:rFonts w:eastAsia="Calibri" w:cs="Times New Roman"/>
          <w:szCs w:val="24"/>
          <w:lang w:val="es-MX"/>
        </w:rPr>
        <w:lastRenderedPageBreak/>
        <w:t>los respectivos presupuestos, se administren y ejerzan en los términos del párrafo anterior.</w:t>
      </w:r>
    </w:p>
    <w:p w:rsidR="00C40A09" w:rsidRPr="00C40A09" w:rsidRDefault="00C40A09" w:rsidP="00C40A09">
      <w:pPr>
        <w:spacing w:after="240" w:afterAutospacing="0"/>
        <w:rPr>
          <w:rFonts w:eastAsia="Calibri" w:cs="Times New Roman"/>
          <w:szCs w:val="24"/>
          <w:lang w:val="es-MX"/>
        </w:rPr>
      </w:pPr>
      <w:r w:rsidRPr="00C40A09">
        <w:rPr>
          <w:rFonts w:eastAsia="Calibri" w:cs="Times New Roman"/>
          <w:szCs w:val="24"/>
          <w:lang w:val="es-MX"/>
        </w:rPr>
        <w:t>Derivado de estos artículos se plantea el problema de cómo determinar que se cumplan las características de este mandato constitucional, es decir, cómo y bajo qué parámetros se miden.</w:t>
      </w:r>
    </w:p>
    <w:p w:rsidR="00C40A09" w:rsidRPr="00C40A09" w:rsidRDefault="00C40A09" w:rsidP="00C40A09">
      <w:pPr>
        <w:spacing w:after="240" w:afterAutospacing="0"/>
        <w:rPr>
          <w:rFonts w:eastAsia="Calibri" w:cs="Times New Roman"/>
          <w:szCs w:val="24"/>
          <w:lang w:val="es-MX"/>
        </w:rPr>
      </w:pPr>
      <w:r w:rsidRPr="00C40A09">
        <w:rPr>
          <w:rFonts w:eastAsia="Calibri" w:cs="Times New Roman"/>
          <w:szCs w:val="24"/>
          <w:lang w:val="es-MX"/>
        </w:rPr>
        <w:t xml:space="preserve">Es así como en la Ley de Coordinación Fiscal (LCF), artículo 49, se señala como será el control, evaluación y fiscalización del manejo de los recursos federales: </w:t>
      </w:r>
    </w:p>
    <w:p w:rsidR="00C40A09" w:rsidRPr="00C40A09" w:rsidRDefault="00C40A09" w:rsidP="00C40A09">
      <w:pPr>
        <w:spacing w:after="240" w:afterAutospacing="0"/>
        <w:ind w:left="284" w:right="333"/>
        <w:rPr>
          <w:rFonts w:eastAsia="Calibri" w:cs="Times New Roman"/>
          <w:szCs w:val="24"/>
          <w:lang w:val="es-MX"/>
        </w:rPr>
      </w:pPr>
      <w:r w:rsidRPr="00C40A09">
        <w:rPr>
          <w:rFonts w:eastAsia="Calibri" w:cs="Times New Roman"/>
          <w:szCs w:val="24"/>
          <w:lang w:val="es-MX"/>
        </w:rPr>
        <w:t xml:space="preserve">V. El ejercicio de los recursos a que se refiere el presente capítulo deberá sujetarse a la evaluación del desempeño a que se refiere el artículo 110 de la Ley Federal de Presupuesto y Responsabilidad Hacendaria. </w:t>
      </w:r>
      <w:r w:rsidRPr="00C40A09">
        <w:rPr>
          <w:rFonts w:eastAsia="Calibri" w:cs="Times New Roman"/>
          <w:b/>
          <w:szCs w:val="24"/>
          <w:lang w:val="es-MX"/>
        </w:rPr>
        <w:t>Los resultados del ejercicio de dichos recursos deberán ser evaluados, con base en indicadores, a fin de verificar el cumplimiento de los objetivos a los que se encuentran destinados los Fondos de Aportaciones Federales</w:t>
      </w:r>
      <w:r w:rsidRPr="00C40A09">
        <w:rPr>
          <w:rFonts w:eastAsia="Calibri" w:cs="Times New Roman"/>
          <w:szCs w:val="24"/>
          <w:lang w:val="es-MX"/>
        </w:rPr>
        <w:t xml:space="preserve"> conforme a la presente Ley, </w:t>
      </w:r>
      <w:r w:rsidRPr="00C40A09">
        <w:rPr>
          <w:rFonts w:eastAsia="Calibri" w:cs="Times New Roman"/>
          <w:b/>
          <w:szCs w:val="24"/>
          <w:lang w:val="es-MX"/>
        </w:rPr>
        <w:t>incluyendo, en su caso, el resultado cuando concurran recursos de las entidades federativas, municipios</w:t>
      </w:r>
      <w:r w:rsidRPr="00C40A09">
        <w:rPr>
          <w:rFonts w:eastAsia="Calibri" w:cs="Times New Roman"/>
          <w:szCs w:val="24"/>
          <w:lang w:val="es-MX"/>
        </w:rPr>
        <w:t xml:space="preserve"> o demarcaciones territoriales de la Ciudad de México (DOF 18-07-2016)</w:t>
      </w:r>
      <w:r w:rsidRPr="00C40A09">
        <w:rPr>
          <w:rFonts w:eastAsia="Calibri" w:cs="Century Gothic"/>
          <w:color w:val="000000"/>
          <w:szCs w:val="24"/>
          <w:lang w:val="es-MX"/>
        </w:rPr>
        <w:t>.</w:t>
      </w:r>
    </w:p>
    <w:p w:rsidR="00C40A09" w:rsidRPr="00C40A09" w:rsidRDefault="00C40A09" w:rsidP="00C40A09">
      <w:pPr>
        <w:spacing w:after="240" w:afterAutospacing="0"/>
        <w:rPr>
          <w:rFonts w:eastAsia="Calibri" w:cs="Century Gothic"/>
          <w:color w:val="000000"/>
          <w:szCs w:val="24"/>
          <w:lang w:val="es-MX"/>
        </w:rPr>
      </w:pPr>
      <w:r w:rsidRPr="00C40A09">
        <w:rPr>
          <w:rFonts w:eastAsia="Calibri" w:cs="Century Gothic"/>
          <w:color w:val="000000"/>
          <w:szCs w:val="24"/>
          <w:lang w:val="es-MX"/>
        </w:rPr>
        <w:t xml:space="preserve">Por tanto, la </w:t>
      </w:r>
      <w:r w:rsidRPr="00C40A09">
        <w:rPr>
          <w:rFonts w:eastAsia="Calibri" w:cs="Century Gothic"/>
          <w:b/>
          <w:color w:val="000000"/>
          <w:szCs w:val="24"/>
          <w:lang w:val="es-MX"/>
        </w:rPr>
        <w:t>evaluación de los Fondos y sus resultados forma parte del Sistema de Evaluación del Desempeño</w:t>
      </w:r>
      <w:r w:rsidRPr="00C40A09">
        <w:rPr>
          <w:rFonts w:eastAsia="Calibri" w:cs="Century Gothic"/>
          <w:color w:val="000000"/>
          <w:szCs w:val="24"/>
          <w:lang w:val="es-MX"/>
        </w:rPr>
        <w:t xml:space="preserve"> (SED), así como del programa de mejoramiento de la gestión, mismo que a su vez, se articula sistemáticamente con la planeación y el proceso presupuestario. Ante esto el Artículo 110 de la Ley Federal de Presupuesto y Responsabilidad Hacendaria (LFPRH) menciona:</w:t>
      </w:r>
    </w:p>
    <w:p w:rsidR="00C40A09" w:rsidRPr="00C40A09" w:rsidRDefault="00C40A09" w:rsidP="00C40A09">
      <w:pPr>
        <w:spacing w:after="240" w:afterAutospacing="0"/>
        <w:ind w:left="284" w:right="333"/>
        <w:rPr>
          <w:rFonts w:eastAsia="Calibri" w:cs="Century Gothic"/>
          <w:color w:val="000000"/>
          <w:szCs w:val="24"/>
          <w:lang w:val="es-MX"/>
        </w:rPr>
      </w:pPr>
      <w:r w:rsidRPr="00C40A09">
        <w:rPr>
          <w:rFonts w:eastAsia="Calibri" w:cs="Century Gothic"/>
          <w:color w:val="000000"/>
          <w:szCs w:val="24"/>
          <w:lang w:val="es-MX"/>
        </w:rPr>
        <w:t xml:space="preserve">La evaluación del desempeño se realizará a través de la </w:t>
      </w:r>
      <w:r w:rsidRPr="00C40A09">
        <w:rPr>
          <w:rFonts w:eastAsia="Calibri" w:cs="Century Gothic"/>
          <w:b/>
          <w:color w:val="000000"/>
          <w:szCs w:val="24"/>
          <w:lang w:val="es-MX"/>
        </w:rPr>
        <w:t>verificación del grado de cumplimiento de objetivos y metas</w:t>
      </w:r>
      <w:r w:rsidRPr="00C40A09">
        <w:rPr>
          <w:rFonts w:eastAsia="Calibri" w:cs="Century Gothic"/>
          <w:color w:val="000000"/>
          <w:szCs w:val="24"/>
          <w:lang w:val="es-MX"/>
        </w:rPr>
        <w:t>, con base en indicadores estratégicos y de gestión que permitan conocer los resultados de la aplicación de los recursos públicos federales” (DOF 30- 12-2015).</w:t>
      </w:r>
    </w:p>
    <w:p w:rsidR="00C40A09" w:rsidRPr="00C40A09" w:rsidRDefault="00C40A09" w:rsidP="00C40A09">
      <w:pPr>
        <w:spacing w:after="240" w:afterAutospacing="0"/>
        <w:ind w:right="49"/>
        <w:rPr>
          <w:rFonts w:eastAsia="Calibri" w:cs="Century Gothic"/>
          <w:color w:val="000000"/>
          <w:szCs w:val="24"/>
          <w:lang w:val="es-MX"/>
        </w:rPr>
      </w:pPr>
      <w:r w:rsidRPr="00C40A09">
        <w:rPr>
          <w:rFonts w:eastAsia="Calibri" w:cs="Century Gothic"/>
          <w:color w:val="000000"/>
          <w:szCs w:val="24"/>
          <w:lang w:val="es-MX"/>
        </w:rPr>
        <w:t>En el artículo 111, se concreta más claramente el objetivo de la medición, y se especifica la obligatoriedad para los ejecutores:</w:t>
      </w:r>
    </w:p>
    <w:p w:rsidR="00C40A09" w:rsidRPr="00C40A09" w:rsidRDefault="00C40A09" w:rsidP="00C40A09">
      <w:pPr>
        <w:spacing w:after="240" w:afterAutospacing="0"/>
        <w:ind w:left="284" w:right="333"/>
        <w:rPr>
          <w:rFonts w:eastAsia="Calibri" w:cs="Century Gothic"/>
          <w:color w:val="000000"/>
          <w:szCs w:val="24"/>
          <w:lang w:val="es-MX"/>
        </w:rPr>
      </w:pPr>
      <w:r w:rsidRPr="00C40A09">
        <w:rPr>
          <w:rFonts w:eastAsia="Calibri" w:cs="Century Gothic"/>
          <w:color w:val="000000"/>
          <w:szCs w:val="24"/>
          <w:lang w:val="es-MX"/>
        </w:rPr>
        <w:t xml:space="preserve">[…] permitirá </w:t>
      </w:r>
      <w:r w:rsidRPr="00C40A09">
        <w:rPr>
          <w:rFonts w:eastAsia="Calibri" w:cs="Century Gothic"/>
          <w:b/>
          <w:color w:val="000000"/>
          <w:szCs w:val="24"/>
          <w:lang w:val="es-MX"/>
        </w:rPr>
        <w:t>identificar la eficiencia, economía, eficacia, y la calidad en la Administración Pública Federal y el impacto social</w:t>
      </w:r>
      <w:r w:rsidRPr="00C40A09">
        <w:rPr>
          <w:rFonts w:eastAsia="Calibri" w:cs="Century Gothic"/>
          <w:color w:val="000000"/>
          <w:szCs w:val="24"/>
          <w:lang w:val="es-MX"/>
        </w:rPr>
        <w:t xml:space="preserve"> del ejercicio del gasto público, […] dicho sistema de evaluación </w:t>
      </w:r>
      <w:r w:rsidRPr="00C40A09">
        <w:rPr>
          <w:rFonts w:eastAsia="Calibri" w:cs="Century Gothic"/>
          <w:color w:val="000000"/>
          <w:szCs w:val="24"/>
          <w:lang w:val="es-MX"/>
        </w:rPr>
        <w:lastRenderedPageBreak/>
        <w:t xml:space="preserve">del desempeño a que se refiere el párrafo anterior del presente artículo </w:t>
      </w:r>
      <w:r w:rsidRPr="00C40A09">
        <w:rPr>
          <w:rFonts w:eastAsia="Calibri" w:cs="Century Gothic"/>
          <w:b/>
          <w:color w:val="000000"/>
          <w:szCs w:val="24"/>
          <w:lang w:val="es-MX"/>
        </w:rPr>
        <w:t>será obligatorio para los ejecutores de gasto</w:t>
      </w:r>
      <w:r w:rsidRPr="00C40A09">
        <w:rPr>
          <w:rFonts w:eastAsia="Calibri" w:cs="Century Gothic"/>
          <w:color w:val="000000"/>
          <w:szCs w:val="24"/>
          <w:lang w:val="es-MX"/>
        </w:rPr>
        <w:t>, (DOF 30- 12-2015).</w:t>
      </w:r>
    </w:p>
    <w:p w:rsidR="00C40A09" w:rsidRPr="00C40A09" w:rsidRDefault="00C40A09" w:rsidP="00C40A09">
      <w:pPr>
        <w:spacing w:after="240" w:afterAutospacing="0"/>
        <w:rPr>
          <w:rFonts w:eastAsia="Calibri" w:cs="Century Gothic"/>
          <w:color w:val="000000"/>
          <w:szCs w:val="24"/>
          <w:lang w:val="es-MX"/>
        </w:rPr>
      </w:pPr>
      <w:r w:rsidRPr="00C40A09">
        <w:rPr>
          <w:rFonts w:eastAsia="Calibri" w:cs="Times New Roman"/>
          <w:szCs w:val="24"/>
          <w:lang w:val="es-MX"/>
        </w:rPr>
        <w:t>A este conjunto de normas se anexa la</w:t>
      </w:r>
      <w:r w:rsidRPr="00C40A09">
        <w:rPr>
          <w:rFonts w:eastAsia="Calibri" w:cs="Century Gothic"/>
          <w:color w:val="000000"/>
          <w:szCs w:val="24"/>
          <w:lang w:val="es-MX"/>
        </w:rPr>
        <w:t xml:space="preserve"> Ley General de Contabilidad Gubernamental (LGCG), donde se señala la obligatoriedad de cumplir con la ley para todos los niveles de gobierno, lo que da origen a la armonización contable y al ente que la regula, el Consejo Nacional de Armonización Contable (CONAC). En esta ley se menciona la integración de la cuenta pública en las entidades federativas, en sus fracciones III y IV del artículo 53 señalan que la cuenta pública de las entidades federativas contendrá como mínimo: </w:t>
      </w:r>
    </w:p>
    <w:p w:rsidR="00C40A09" w:rsidRPr="00C40A09" w:rsidRDefault="00C40A09" w:rsidP="00C40A09">
      <w:pPr>
        <w:spacing w:after="240" w:afterAutospacing="0"/>
        <w:ind w:left="284" w:right="333"/>
        <w:rPr>
          <w:rFonts w:eastAsia="Calibri" w:cs="Century Gothic"/>
          <w:color w:val="000000"/>
          <w:szCs w:val="24"/>
          <w:lang w:val="es-MX"/>
        </w:rPr>
      </w:pPr>
      <w:r w:rsidRPr="00C40A09">
        <w:rPr>
          <w:rFonts w:eastAsia="Calibri" w:cs="Century Gothic"/>
          <w:color w:val="000000"/>
          <w:szCs w:val="24"/>
          <w:lang w:val="es-MX"/>
        </w:rPr>
        <w:t xml:space="preserve">III. Información programática, de acuerdo con la clasificación establecida en la fracción III del artículo 46 de esta ley, el cual indica que, la información programática deberá tener la desagregación siguiente: a) Gasto por categoría programática; b) Programas y proyectos de inversión; </w:t>
      </w:r>
      <w:r w:rsidRPr="00C40A09">
        <w:rPr>
          <w:rFonts w:eastAsia="Calibri" w:cs="Century Gothic"/>
          <w:b/>
          <w:color w:val="000000"/>
          <w:szCs w:val="24"/>
          <w:lang w:val="es-MX"/>
        </w:rPr>
        <w:t>c) Indicadores de resultados</w:t>
      </w:r>
      <w:r w:rsidRPr="00C40A09">
        <w:rPr>
          <w:rFonts w:eastAsia="Calibri" w:cs="Century Gothic"/>
          <w:color w:val="000000"/>
          <w:szCs w:val="24"/>
          <w:lang w:val="es-MX"/>
        </w:rPr>
        <w:t xml:space="preserve">; y </w:t>
      </w:r>
    </w:p>
    <w:p w:rsidR="00C40A09" w:rsidRPr="00C40A09" w:rsidRDefault="00C40A09" w:rsidP="00C40A09">
      <w:pPr>
        <w:spacing w:after="240" w:afterAutospacing="0"/>
        <w:ind w:left="284" w:right="333"/>
        <w:rPr>
          <w:rFonts w:eastAsia="Calibri" w:cs="Century Gothic"/>
          <w:color w:val="000000"/>
          <w:szCs w:val="24"/>
          <w:lang w:val="es-MX"/>
        </w:rPr>
      </w:pPr>
      <w:r w:rsidRPr="00C40A09">
        <w:rPr>
          <w:rFonts w:eastAsia="Calibri" w:cs="Century Gothic"/>
          <w:color w:val="000000"/>
          <w:szCs w:val="24"/>
          <w:lang w:val="es-MX"/>
        </w:rPr>
        <w:t>IV. Análisis cualitativo de los indicadores de la postura fiscal, estableciendo su vínculo con los objetivos y prioridades definidas en la materia, en el programa económico anual.</w:t>
      </w:r>
      <w:r w:rsidRPr="00C40A09">
        <w:rPr>
          <w:rFonts w:eastAsia="Calibri" w:cs="Times New Roman"/>
          <w:szCs w:val="24"/>
          <w:lang w:val="es-MX"/>
        </w:rPr>
        <w:t xml:space="preserve"> (DOF 18-07-2016)</w:t>
      </w:r>
      <w:r w:rsidRPr="00C40A09">
        <w:rPr>
          <w:rFonts w:eastAsia="Calibri" w:cs="Century Gothic"/>
          <w:color w:val="000000"/>
          <w:szCs w:val="24"/>
          <w:lang w:val="es-MX"/>
        </w:rPr>
        <w:t>.</w:t>
      </w:r>
    </w:p>
    <w:p w:rsidR="00C40A09" w:rsidRPr="00C40A09" w:rsidRDefault="00C40A09" w:rsidP="00C40A09">
      <w:pPr>
        <w:spacing w:after="240" w:afterAutospacing="0"/>
        <w:rPr>
          <w:rFonts w:eastAsia="Calibri" w:cs="Century Gothic"/>
          <w:color w:val="000000"/>
          <w:szCs w:val="24"/>
          <w:lang w:val="es-MX"/>
        </w:rPr>
      </w:pPr>
      <w:r w:rsidRPr="00C40A09">
        <w:rPr>
          <w:rFonts w:eastAsia="Calibri" w:cs="Century Gothic"/>
          <w:color w:val="000000"/>
          <w:szCs w:val="24"/>
          <w:lang w:val="es-MX"/>
        </w:rPr>
        <w:t>De no cumplir con la normatividad anteriormente descrita en materia de uso y destino de los recursos, existen sanciones administrativas para los servidores públicos, expuestas en los artículos 85 y 86 de esta misma ley.</w:t>
      </w:r>
    </w:p>
    <w:p w:rsidR="00C40A09" w:rsidRPr="00C40A09" w:rsidRDefault="00C40A09" w:rsidP="00C40A09">
      <w:pPr>
        <w:spacing w:after="240" w:afterAutospacing="0"/>
        <w:rPr>
          <w:rFonts w:eastAsia="Calibri" w:cs="Century Gothic"/>
          <w:color w:val="000000"/>
          <w:szCs w:val="24"/>
          <w:lang w:val="es-MX"/>
        </w:rPr>
      </w:pPr>
      <w:r w:rsidRPr="00C40A09">
        <w:rPr>
          <w:rFonts w:eastAsia="Calibri" w:cs="Century Gothic"/>
          <w:color w:val="000000"/>
          <w:szCs w:val="24"/>
          <w:lang w:val="es-MX"/>
        </w:rPr>
        <w:t>En el caso de la Ley de Planeación Democrática para el Desarrollo del estado de Colima establece en la sección cuarta “del control, evaluación y actualización” en su artículo 63 establece:</w:t>
      </w:r>
    </w:p>
    <w:p w:rsidR="00C40A09" w:rsidRPr="00C40A09" w:rsidRDefault="00C40A09" w:rsidP="00C40A09">
      <w:pPr>
        <w:numPr>
          <w:ilvl w:val="0"/>
          <w:numId w:val="5"/>
        </w:numPr>
        <w:spacing w:after="240" w:afterAutospacing="0"/>
        <w:contextualSpacing/>
        <w:rPr>
          <w:rFonts w:eastAsia="Calibri" w:cs="Century Gothic"/>
          <w:color w:val="000000"/>
          <w:szCs w:val="24"/>
          <w:lang w:val="es-MX"/>
        </w:rPr>
      </w:pPr>
      <w:r w:rsidRPr="00C40A09">
        <w:rPr>
          <w:rFonts w:eastAsia="Calibri" w:cs="Century Gothic"/>
          <w:color w:val="000000"/>
          <w:szCs w:val="24"/>
          <w:lang w:val="es-MX"/>
        </w:rPr>
        <w:t xml:space="preserve">Las etapas de control y evaluación consistirán en el conjunto de actividades de verificación, medición, así como de detección y corrección de desviaciones o insuficiencias de carácter cualitativo y cuantitativo, tanto en la instrumentación como en la ejecución de los planes y los programas, centrándose en los correspondientes principios, objetivos, estrategias y prioridades. </w:t>
      </w:r>
    </w:p>
    <w:p w:rsidR="00C40A09" w:rsidRPr="00C40A09" w:rsidRDefault="00C40A09" w:rsidP="00C40A09">
      <w:pPr>
        <w:spacing w:after="240" w:afterAutospacing="0"/>
        <w:ind w:left="720"/>
        <w:contextualSpacing/>
        <w:rPr>
          <w:rFonts w:eastAsia="Calibri" w:cs="Century Gothic"/>
          <w:color w:val="000000"/>
          <w:szCs w:val="24"/>
          <w:lang w:val="es-MX"/>
        </w:rPr>
      </w:pPr>
    </w:p>
    <w:p w:rsidR="00C40A09" w:rsidRDefault="00C40A09" w:rsidP="00C40A09">
      <w:pPr>
        <w:numPr>
          <w:ilvl w:val="0"/>
          <w:numId w:val="5"/>
        </w:numPr>
        <w:spacing w:after="240" w:afterAutospacing="0"/>
        <w:contextualSpacing/>
        <w:rPr>
          <w:rFonts w:eastAsia="Calibri" w:cs="Century Gothic"/>
          <w:color w:val="000000"/>
          <w:szCs w:val="24"/>
          <w:lang w:val="es-MX"/>
        </w:rPr>
      </w:pPr>
      <w:r w:rsidRPr="00C40A09">
        <w:rPr>
          <w:rFonts w:eastAsia="Calibri" w:cs="Century Gothic"/>
          <w:color w:val="000000"/>
          <w:szCs w:val="24"/>
          <w:lang w:val="es-MX"/>
        </w:rPr>
        <w:t xml:space="preserve">El control y evaluación de la planeación del desarrollo estará a cargo de la Secretaría de Planeación y Finanzas y de la </w:t>
      </w:r>
      <w:r w:rsidRPr="00C40A09">
        <w:rPr>
          <w:rFonts w:eastAsia="Calibri" w:cs="Century Gothic"/>
          <w:color w:val="000000"/>
          <w:szCs w:val="24"/>
          <w:lang w:val="es-MX"/>
        </w:rPr>
        <w:lastRenderedPageBreak/>
        <w:t xml:space="preserve">dependencia o </w:t>
      </w:r>
      <w:r w:rsidRPr="00C40A09">
        <w:rPr>
          <w:rFonts w:eastAsia="Calibri" w:cs="Century Gothic"/>
          <w:b/>
          <w:color w:val="000000"/>
          <w:szCs w:val="24"/>
          <w:lang w:val="es-MX"/>
        </w:rPr>
        <w:t>entidad municipal</w:t>
      </w:r>
      <w:r w:rsidRPr="00C40A09">
        <w:rPr>
          <w:rFonts w:eastAsia="Calibri" w:cs="Century Gothic"/>
          <w:color w:val="000000"/>
          <w:szCs w:val="24"/>
          <w:lang w:val="es-MX"/>
        </w:rPr>
        <w:t xml:space="preserve"> competente en materia de planeación, en el ámbito de su respectiva competencia, quienes podrán promover la implementación de unidades de evaluación las cuales se integrarán en los términos que dispongan los reglamentos que deriven de la presente Ley y deberán garantizar la participación de técnicos, académicos y profesionistas expertos en la materia de los sectores público, privado y social.</w:t>
      </w:r>
    </w:p>
    <w:p w:rsidR="00C40A09" w:rsidRPr="00C40A09" w:rsidRDefault="00C40A09" w:rsidP="00C40A09">
      <w:pPr>
        <w:spacing w:after="240" w:afterAutospacing="0"/>
        <w:contextualSpacing/>
        <w:rPr>
          <w:rFonts w:eastAsia="Calibri" w:cs="Century Gothic"/>
          <w:color w:val="000000"/>
          <w:szCs w:val="24"/>
          <w:lang w:val="es-MX"/>
        </w:rPr>
      </w:pPr>
    </w:p>
    <w:p w:rsidR="00C40A09" w:rsidRPr="00C40A09" w:rsidRDefault="00C40A09" w:rsidP="00C40A09">
      <w:pPr>
        <w:spacing w:after="240" w:afterAutospacing="0"/>
        <w:rPr>
          <w:rFonts w:eastAsia="Calibri" w:cs="Century Gothic"/>
          <w:color w:val="000000"/>
          <w:szCs w:val="24"/>
          <w:lang w:val="es-MX"/>
        </w:rPr>
      </w:pPr>
      <w:r w:rsidRPr="00C40A09">
        <w:rPr>
          <w:rFonts w:eastAsia="Calibri" w:cs="Century Gothic"/>
          <w:color w:val="000000"/>
          <w:szCs w:val="24"/>
          <w:lang w:val="es-MX"/>
        </w:rPr>
        <w:t xml:space="preserve">Por otra parte, el CONAC en cumplimiento con la LGCG emite la NORMA para establecer el formato para la difusión de los resultados de las evaluaciones de los recursos federales ministrados a las entidades federativas; en el numeral 11, refiere que para garantizar la evaluación orientada a resultados y retroalimentar el SED, </w:t>
      </w:r>
      <w:r w:rsidRPr="00C40A09">
        <w:rPr>
          <w:rFonts w:eastAsia="Calibri" w:cs="Century Gothic"/>
          <w:b/>
          <w:color w:val="000000"/>
          <w:szCs w:val="24"/>
          <w:lang w:val="es-MX"/>
        </w:rPr>
        <w:t xml:space="preserve">los entes públicos podrán aplicar los tipos de evaluación determinados en el numeral Décimo Sexto de los Lineamientos de Evaluación </w:t>
      </w:r>
      <w:r w:rsidRPr="00C40A09">
        <w:rPr>
          <w:rFonts w:eastAsia="Calibri" w:cs="Century Gothic"/>
          <w:color w:val="000000"/>
          <w:szCs w:val="24"/>
          <w:lang w:val="es-MX"/>
        </w:rPr>
        <w:t>de la APF, los cuales son los siguientes:</w:t>
      </w:r>
    </w:p>
    <w:p w:rsidR="00C40A09" w:rsidRPr="009C1C1C" w:rsidRDefault="00C40A09" w:rsidP="009C1C1C">
      <w:pPr>
        <w:numPr>
          <w:ilvl w:val="0"/>
          <w:numId w:val="6"/>
        </w:numPr>
        <w:spacing w:after="0" w:afterAutospacing="0"/>
        <w:contextualSpacing/>
        <w:rPr>
          <w:rFonts w:eastAsia="Calibri" w:cs="Times New Roman"/>
          <w:szCs w:val="24"/>
          <w:lang w:val="es-ES_tradnl"/>
        </w:rPr>
      </w:pPr>
      <w:r w:rsidRPr="009C1C1C">
        <w:rPr>
          <w:rFonts w:eastAsia="Calibri" w:cs="Times New Roman"/>
          <w:szCs w:val="24"/>
          <w:lang w:val="es-ES_tradnl"/>
        </w:rPr>
        <w:t>Evaluación de Consistencia y Resultados</w:t>
      </w:r>
    </w:p>
    <w:p w:rsidR="00C40A09" w:rsidRPr="009C1C1C" w:rsidRDefault="00C40A09" w:rsidP="009C1C1C">
      <w:pPr>
        <w:numPr>
          <w:ilvl w:val="0"/>
          <w:numId w:val="6"/>
        </w:numPr>
        <w:spacing w:after="0" w:afterAutospacing="0"/>
        <w:contextualSpacing/>
        <w:rPr>
          <w:rFonts w:eastAsia="Calibri" w:cs="Times New Roman"/>
          <w:szCs w:val="24"/>
          <w:lang w:val="es-ES_tradnl"/>
        </w:rPr>
      </w:pPr>
      <w:r w:rsidRPr="009C1C1C">
        <w:rPr>
          <w:rFonts w:eastAsia="Calibri" w:cs="Times New Roman"/>
          <w:szCs w:val="24"/>
          <w:lang w:val="es-ES_tradnl"/>
        </w:rPr>
        <w:t>Evaluación de Indicadores</w:t>
      </w:r>
    </w:p>
    <w:p w:rsidR="00C40A09" w:rsidRPr="009C1C1C" w:rsidRDefault="00C40A09" w:rsidP="009C1C1C">
      <w:pPr>
        <w:numPr>
          <w:ilvl w:val="0"/>
          <w:numId w:val="6"/>
        </w:numPr>
        <w:spacing w:after="0" w:afterAutospacing="0"/>
        <w:contextualSpacing/>
        <w:rPr>
          <w:rFonts w:eastAsia="Calibri" w:cs="Times New Roman"/>
          <w:szCs w:val="24"/>
          <w:lang w:val="es-ES_tradnl"/>
        </w:rPr>
      </w:pPr>
      <w:r w:rsidRPr="009C1C1C">
        <w:rPr>
          <w:rFonts w:eastAsia="Calibri" w:cs="Times New Roman"/>
          <w:szCs w:val="24"/>
          <w:lang w:val="es-ES_tradnl"/>
        </w:rPr>
        <w:t>Evaluación de Procesos</w:t>
      </w:r>
    </w:p>
    <w:p w:rsidR="00C40A09" w:rsidRPr="009C1C1C" w:rsidRDefault="00C40A09" w:rsidP="009C1C1C">
      <w:pPr>
        <w:numPr>
          <w:ilvl w:val="0"/>
          <w:numId w:val="6"/>
        </w:numPr>
        <w:spacing w:after="0" w:afterAutospacing="0"/>
        <w:contextualSpacing/>
        <w:rPr>
          <w:rFonts w:eastAsia="Calibri" w:cs="Times New Roman"/>
          <w:szCs w:val="24"/>
          <w:lang w:val="es-ES_tradnl"/>
        </w:rPr>
      </w:pPr>
      <w:r w:rsidRPr="009C1C1C">
        <w:rPr>
          <w:rFonts w:eastAsia="Calibri" w:cs="Times New Roman"/>
          <w:szCs w:val="24"/>
          <w:lang w:val="es-ES_tradnl"/>
        </w:rPr>
        <w:t>Evaluación de Impacto</w:t>
      </w:r>
    </w:p>
    <w:p w:rsidR="009C1C1C" w:rsidRDefault="00C40A09" w:rsidP="009C1C1C">
      <w:pPr>
        <w:numPr>
          <w:ilvl w:val="0"/>
          <w:numId w:val="6"/>
        </w:numPr>
        <w:spacing w:after="0" w:afterAutospacing="0"/>
        <w:contextualSpacing/>
        <w:rPr>
          <w:rFonts w:eastAsia="Calibri" w:cs="Times New Roman"/>
          <w:b/>
          <w:szCs w:val="24"/>
          <w:lang w:val="es-ES_tradnl"/>
        </w:rPr>
      </w:pPr>
      <w:r w:rsidRPr="009C1C1C">
        <w:rPr>
          <w:rFonts w:eastAsia="Calibri" w:cs="Times New Roman"/>
          <w:b/>
          <w:szCs w:val="24"/>
          <w:lang w:val="es-ES_tradnl"/>
        </w:rPr>
        <w:t>Evaluación Específica</w:t>
      </w:r>
    </w:p>
    <w:p w:rsidR="009C1C1C" w:rsidRPr="009C1C1C" w:rsidRDefault="009C1C1C" w:rsidP="009C1C1C">
      <w:pPr>
        <w:spacing w:after="0" w:afterAutospacing="0"/>
        <w:ind w:left="720"/>
        <w:contextualSpacing/>
        <w:rPr>
          <w:rFonts w:eastAsia="Calibri" w:cs="Times New Roman"/>
          <w:b/>
          <w:szCs w:val="24"/>
          <w:lang w:val="es-ES_tradnl"/>
        </w:rPr>
      </w:pPr>
    </w:p>
    <w:p w:rsidR="00C40A09" w:rsidRPr="00C40A09" w:rsidRDefault="00C40A09" w:rsidP="00C40A09">
      <w:pPr>
        <w:spacing w:after="240" w:afterAutospacing="0"/>
        <w:rPr>
          <w:rFonts w:eastAsia="Calibri" w:cs="Times New Roman"/>
          <w:szCs w:val="24"/>
          <w:lang w:val="es-ES_tradnl"/>
        </w:rPr>
      </w:pPr>
      <w:r w:rsidRPr="00C40A09">
        <w:rPr>
          <w:rFonts w:eastAsia="Calibri" w:cs="Times New Roman"/>
          <w:szCs w:val="24"/>
          <w:lang w:val="es-ES_tradnl"/>
        </w:rPr>
        <w:t>Es importante señalar que la Evaluación del Fondo se realiza a través del programa presupuestario que mayormente operó con recursos de este o bien que sea de relevancia social, para que así, se evalúe el fondo.</w:t>
      </w:r>
    </w:p>
    <w:p w:rsidR="00C40A09" w:rsidRPr="00C40A09" w:rsidRDefault="00C40A09" w:rsidP="00C40A09">
      <w:pPr>
        <w:spacing w:after="240" w:afterAutospacing="0"/>
        <w:rPr>
          <w:rFonts w:eastAsia="Calibri" w:cs="Times New Roman"/>
          <w:szCs w:val="24"/>
          <w:lang w:val="es-ES_tradnl"/>
        </w:rPr>
      </w:pPr>
      <w:r w:rsidRPr="00C40A09">
        <w:rPr>
          <w:rFonts w:eastAsia="Calibri" w:cs="Times New Roman"/>
          <w:szCs w:val="24"/>
          <w:lang w:val="es-ES_tradnl"/>
        </w:rPr>
        <w:t>Bajo este contexto legal, el H. Ayuntamiento Constitucional de Colima del Estado de Colima, estableció realizar una Evaluación Específica del Fondo de Aportaciones para el Fortalecimiento de los Municipios (FORTAMUN), a través, de los indicadores de los programas que mayormente operaron con recursos del fondo de la Dirección de General de Servicios Públicos, para el ejercicio fiscal 2017. De acuerdo a los términos de referencia para la evaluación externa 2018 los objetivos que contempla son:</w:t>
      </w:r>
    </w:p>
    <w:p w:rsidR="00C40A09" w:rsidRPr="00C40A09" w:rsidRDefault="00C40A09" w:rsidP="00C40A09">
      <w:pPr>
        <w:spacing w:after="240" w:afterAutospacing="0"/>
        <w:rPr>
          <w:rFonts w:eastAsia="Calibri" w:cs="Times New Roman"/>
          <w:b/>
          <w:szCs w:val="24"/>
          <w:lang w:val="es-ES_tradnl"/>
        </w:rPr>
      </w:pPr>
      <w:r w:rsidRPr="00C40A09">
        <w:rPr>
          <w:rFonts w:eastAsia="Calibri" w:cs="Times New Roman"/>
          <w:b/>
          <w:szCs w:val="24"/>
          <w:lang w:val="es-ES_tradnl"/>
        </w:rPr>
        <w:t>Objetivo General:</w:t>
      </w:r>
    </w:p>
    <w:p w:rsidR="00C40A09" w:rsidRDefault="00C40A09" w:rsidP="00C40A09">
      <w:pPr>
        <w:spacing w:after="240" w:afterAutospacing="0"/>
        <w:rPr>
          <w:rFonts w:eastAsia="Calibri" w:cs="Times New Roman"/>
          <w:szCs w:val="24"/>
          <w:lang w:val="es-ES_tradnl"/>
        </w:rPr>
      </w:pPr>
      <w:r w:rsidRPr="00C40A09">
        <w:rPr>
          <w:rFonts w:eastAsia="Calibri" w:cs="Times New Roman"/>
          <w:szCs w:val="24"/>
          <w:lang w:val="es-ES_tradnl"/>
        </w:rPr>
        <w:t xml:space="preserve">Realizar la Evaluación Específica del Fondo de Aportaciones para el Fortalecimiento de los Municipios (FORTAMUN),  a través de los indicadores de los programas que mayormente operó con recursos del  </w:t>
      </w:r>
      <w:r w:rsidRPr="00C40A09">
        <w:rPr>
          <w:rFonts w:eastAsia="Calibri" w:cs="Times New Roman"/>
          <w:szCs w:val="24"/>
          <w:lang w:val="es-ES_tradnl"/>
        </w:rPr>
        <w:lastRenderedPageBreak/>
        <w:t>fondo de la Dirección de General de Servicios Públicos, para el ejercicio fiscal 2017, con la finalidad de proveer información que retroalimente su diseño, gestión y resultados.</w:t>
      </w:r>
    </w:p>
    <w:p w:rsidR="00C40A09" w:rsidRPr="00C40A09" w:rsidRDefault="00C40A09" w:rsidP="00C40A09">
      <w:pPr>
        <w:spacing w:after="240" w:afterAutospacing="0"/>
        <w:rPr>
          <w:rFonts w:eastAsia="Calibri" w:cs="Times New Roman"/>
          <w:szCs w:val="24"/>
          <w:lang w:val="es-ES_tradnl"/>
        </w:rPr>
      </w:pPr>
    </w:p>
    <w:p w:rsidR="00C40A09" w:rsidRPr="00C40A09" w:rsidRDefault="00C40A09" w:rsidP="00C40A09">
      <w:pPr>
        <w:spacing w:after="240" w:afterAutospacing="0"/>
        <w:rPr>
          <w:rFonts w:eastAsia="Calibri" w:cs="Times New Roman"/>
          <w:b/>
          <w:szCs w:val="24"/>
          <w:lang w:val="es-ES_tradnl"/>
        </w:rPr>
      </w:pPr>
      <w:r w:rsidRPr="00C40A09">
        <w:rPr>
          <w:rFonts w:eastAsia="Calibri" w:cs="Times New Roman"/>
          <w:b/>
          <w:szCs w:val="24"/>
          <w:lang w:val="es-ES_tradnl"/>
        </w:rPr>
        <w:t>Objetivos Específicos:</w:t>
      </w:r>
    </w:p>
    <w:p w:rsidR="00C40A09" w:rsidRPr="00C40A09" w:rsidRDefault="00C40A09" w:rsidP="00C40A09">
      <w:pPr>
        <w:numPr>
          <w:ilvl w:val="0"/>
          <w:numId w:val="6"/>
        </w:numPr>
        <w:spacing w:after="0" w:afterAutospacing="0"/>
        <w:contextualSpacing/>
        <w:rPr>
          <w:rFonts w:eastAsia="Calibri" w:cs="Times New Roman"/>
          <w:szCs w:val="24"/>
          <w:lang w:val="es-ES_tradnl"/>
        </w:rPr>
      </w:pPr>
      <w:r w:rsidRPr="00C40A09">
        <w:rPr>
          <w:rFonts w:eastAsia="Calibri" w:cs="Times New Roman"/>
          <w:szCs w:val="24"/>
          <w:lang w:val="es-ES_tradnl"/>
        </w:rPr>
        <w:t xml:space="preserve">Analizar de uso de los recursos del FORTAMUN. </w:t>
      </w:r>
    </w:p>
    <w:p w:rsidR="00C40A09" w:rsidRPr="00C40A09" w:rsidRDefault="00C40A09" w:rsidP="00C40A09">
      <w:pPr>
        <w:numPr>
          <w:ilvl w:val="0"/>
          <w:numId w:val="6"/>
        </w:numPr>
        <w:spacing w:after="0" w:afterAutospacing="0"/>
        <w:contextualSpacing/>
        <w:rPr>
          <w:rFonts w:eastAsia="Calibri" w:cs="Times New Roman"/>
          <w:szCs w:val="24"/>
          <w:lang w:val="es-ES_tradnl"/>
        </w:rPr>
      </w:pPr>
      <w:r w:rsidRPr="00C40A09">
        <w:rPr>
          <w:rFonts w:eastAsia="Calibri" w:cs="Times New Roman"/>
          <w:szCs w:val="24"/>
          <w:lang w:val="es-ES_tradnl"/>
        </w:rPr>
        <w:t>Analizar la vinculación del objetivo de los indicadores de los programas que mayormente operaron con  recursos del fondo de la Dirección de General de Servicios Públicos para el ejercicio fiscal 2017 con el instrumento de política pública (Plan Municipal de Desarrollo).</w:t>
      </w:r>
    </w:p>
    <w:p w:rsidR="00C40A09" w:rsidRPr="00C40A09" w:rsidRDefault="00C40A09" w:rsidP="00C40A09">
      <w:pPr>
        <w:numPr>
          <w:ilvl w:val="0"/>
          <w:numId w:val="6"/>
        </w:numPr>
        <w:spacing w:after="0" w:afterAutospacing="0"/>
        <w:contextualSpacing/>
        <w:rPr>
          <w:rFonts w:eastAsia="Calibri" w:cs="Times New Roman"/>
          <w:szCs w:val="24"/>
          <w:lang w:val="es-ES_tradnl"/>
        </w:rPr>
      </w:pPr>
      <w:r w:rsidRPr="00C40A09">
        <w:rPr>
          <w:rFonts w:eastAsia="Calibri" w:cs="Times New Roman"/>
          <w:szCs w:val="24"/>
          <w:lang w:val="es-ES_tradnl"/>
        </w:rPr>
        <w:t>Analizar la consistencia del indicador.</w:t>
      </w:r>
    </w:p>
    <w:p w:rsidR="00C40A09" w:rsidRPr="00C40A09" w:rsidRDefault="00C40A09" w:rsidP="00C40A09">
      <w:pPr>
        <w:numPr>
          <w:ilvl w:val="0"/>
          <w:numId w:val="6"/>
        </w:numPr>
        <w:spacing w:after="200" w:afterAutospacing="0"/>
        <w:contextualSpacing/>
        <w:jc w:val="left"/>
        <w:rPr>
          <w:rFonts w:eastAsia="Calibri" w:cs="Times New Roman"/>
          <w:szCs w:val="24"/>
          <w:lang w:val="es-ES_tradnl"/>
        </w:rPr>
      </w:pPr>
      <w:r w:rsidRPr="00C40A09">
        <w:rPr>
          <w:rFonts w:eastAsia="Calibri" w:cs="Times New Roman"/>
          <w:szCs w:val="24"/>
          <w:lang w:val="es-ES_tradnl"/>
        </w:rPr>
        <w:t>Analizar la consistencia de los datos de los indicadores.</w:t>
      </w:r>
    </w:p>
    <w:p w:rsidR="00C40A09" w:rsidRPr="00C40A09" w:rsidRDefault="00C40A09" w:rsidP="00C40A09">
      <w:pPr>
        <w:numPr>
          <w:ilvl w:val="0"/>
          <w:numId w:val="6"/>
        </w:numPr>
        <w:spacing w:after="0" w:afterAutospacing="0"/>
        <w:contextualSpacing/>
        <w:rPr>
          <w:rFonts w:eastAsia="Calibri" w:cs="Times New Roman"/>
          <w:szCs w:val="24"/>
          <w:lang w:val="es-ES_tradnl"/>
        </w:rPr>
      </w:pPr>
      <w:r w:rsidRPr="00C40A09">
        <w:rPr>
          <w:rFonts w:eastAsia="Calibri" w:cs="Times New Roman"/>
          <w:szCs w:val="24"/>
          <w:lang w:val="es-ES_tradnl"/>
        </w:rPr>
        <w:t>Analizar los resultados de los indicadores de dichos programas, con respecto a la meta y línea base.</w:t>
      </w:r>
    </w:p>
    <w:p w:rsidR="00C40A09" w:rsidRPr="00C40A09" w:rsidRDefault="00C40A09" w:rsidP="00C40A09">
      <w:pPr>
        <w:spacing w:after="0" w:afterAutospacing="0"/>
        <w:ind w:left="720"/>
        <w:contextualSpacing/>
        <w:rPr>
          <w:rFonts w:ascii="Arial" w:eastAsia="Calibri" w:hAnsi="Arial" w:cs="Arial"/>
          <w:sz w:val="20"/>
          <w:szCs w:val="20"/>
        </w:rPr>
      </w:pPr>
    </w:p>
    <w:p w:rsidR="00C40A09" w:rsidRPr="00C40A09" w:rsidRDefault="00C40A09" w:rsidP="00C40A09">
      <w:pPr>
        <w:spacing w:after="240" w:afterAutospacing="0"/>
        <w:rPr>
          <w:rFonts w:eastAsia="Calibri" w:cs="Times New Roman"/>
          <w:szCs w:val="24"/>
          <w:lang w:val="es-ES_tradnl"/>
        </w:rPr>
      </w:pPr>
      <w:r w:rsidRPr="00C40A09">
        <w:rPr>
          <w:rFonts w:eastAsia="Calibri" w:cs="Times New Roman"/>
          <w:szCs w:val="24"/>
          <w:lang w:val="es-ES_tradnl"/>
        </w:rPr>
        <w:t>Así, el presente documento se compone de los siguientes apartados:</w:t>
      </w:r>
    </w:p>
    <w:p w:rsidR="00C40A09" w:rsidRPr="00C40A09" w:rsidRDefault="00C40A09" w:rsidP="00C40A09">
      <w:pPr>
        <w:spacing w:after="240" w:afterAutospacing="0"/>
        <w:rPr>
          <w:rFonts w:eastAsia="Calibri" w:cs="Times New Roman"/>
          <w:szCs w:val="24"/>
          <w:lang w:val="es-ES_tradnl"/>
        </w:rPr>
      </w:pPr>
      <w:r w:rsidRPr="00C40A09">
        <w:rPr>
          <w:rFonts w:eastAsia="Calibri" w:cs="Times New Roman"/>
          <w:szCs w:val="24"/>
          <w:lang w:val="es-ES_tradnl"/>
        </w:rPr>
        <w:t>Primero se tiene la “Metodología de la evaluación” donde se describe el procedimiento empleado, seguido del capítulo 1. “Análisis de la inversión de los recursos del FORTAMUN”, donde se analiza el uso y destino del recurso de dicho fondo, continuado con el capítulo 2. “Análisis de los indicadores del programa operado por la Dirección de General de Servicios Públicos”. En el siguiente apartado se establecen las principales “Conclusiones” y por último el “Análisis FODA y Recomendaciones”, estableciendo las fortalezas, oportunidades, debilidades y amenazas en la ejecución del programa y las principales Recomendaciones derivadas del resultado de la evaluación.</w:t>
      </w:r>
    </w:p>
    <w:p w:rsidR="005D1724" w:rsidRDefault="006838CB" w:rsidP="00F13994">
      <w:pPr>
        <w:pStyle w:val="Ttulo1"/>
      </w:pPr>
      <w:bookmarkStart w:id="3" w:name="_Toc436179737"/>
      <w:r>
        <w:t>II</w:t>
      </w:r>
      <w:r w:rsidR="00050B7F" w:rsidRPr="00F13994">
        <w:t xml:space="preserve">. </w:t>
      </w:r>
      <w:bookmarkEnd w:id="3"/>
      <w:r w:rsidR="006F3444" w:rsidRPr="00F13994">
        <w:t>Principales hallazgos</w:t>
      </w:r>
      <w:r w:rsidR="00435A24" w:rsidRPr="00F13994">
        <w:t>.</w:t>
      </w:r>
    </w:p>
    <w:p w:rsidR="00C40A09" w:rsidRDefault="00A67817" w:rsidP="00C40A09">
      <w:r>
        <w:t xml:space="preserve">Durante la realización de la </w:t>
      </w:r>
      <w:r w:rsidRPr="00A67817">
        <w:t xml:space="preserve">Evaluación Específica del Fondo de Aportaciones para el Fortalecimiento de los Municipios (FORTAMUN), a través, de los indicadores de los programas que mayormente operaron con recursos </w:t>
      </w:r>
      <w:r>
        <w:t>del F</w:t>
      </w:r>
      <w:r w:rsidRPr="00A67817">
        <w:t>ondo de la Dirección de General de Servicios Públicos, para el ejercicio fiscal 2017</w:t>
      </w:r>
      <w:r>
        <w:t>, se encontró que la MIR del Programa de Servicios Pú</w:t>
      </w:r>
      <w:r w:rsidR="002A6E61">
        <w:t xml:space="preserve">blicos tendría que ser reajustada con base a los objetivos de  </w:t>
      </w:r>
      <w:r w:rsidR="002A6E61">
        <w:lastRenderedPageBreak/>
        <w:t xml:space="preserve">cada programa  que lo compone, aunado a una correcta  alineación con  la política pública. </w:t>
      </w:r>
    </w:p>
    <w:p w:rsidR="002A6E61" w:rsidRDefault="002A6E61" w:rsidP="00C40A09">
      <w:pPr>
        <w:rPr>
          <w:rFonts w:eastAsia="Calibri" w:cs="Times New Roman"/>
          <w:lang w:val="es-MX"/>
        </w:rPr>
      </w:pPr>
      <w:r w:rsidRPr="00C40A09">
        <w:rPr>
          <w:rFonts w:eastAsia="Calibri" w:cs="Times New Roman"/>
          <w:lang w:val="es-MX"/>
        </w:rPr>
        <w:t>En cuanto a la información proporcionada, se presentan inconsistencias debido a la carencia de un control en los sistemas de información, lo que genera que los resultados y avances sean opacados por ello</w:t>
      </w:r>
      <w:r>
        <w:rPr>
          <w:rFonts w:eastAsia="Calibri" w:cs="Times New Roman"/>
          <w:lang w:val="es-MX"/>
        </w:rPr>
        <w:t xml:space="preserve">. </w:t>
      </w:r>
    </w:p>
    <w:p w:rsidR="002A6E61" w:rsidRPr="009C1C1C" w:rsidRDefault="002A6E61" w:rsidP="00C40A09">
      <w:pPr>
        <w:rPr>
          <w:rFonts w:eastAsia="Calibri" w:cs="Times New Roman"/>
          <w:b/>
          <w:color w:val="0E4E7A"/>
        </w:rPr>
      </w:pPr>
      <w:r>
        <w:rPr>
          <w:lang w:val="es-MX"/>
        </w:rPr>
        <w:t>En cuanto a lo</w:t>
      </w:r>
      <w:r w:rsidRPr="00150DC1">
        <w:t>os datos reportados</w:t>
      </w:r>
      <w:r>
        <w:t xml:space="preserve"> por la Dirección</w:t>
      </w:r>
      <w:r w:rsidRPr="00150DC1">
        <w:t xml:space="preserve">, </w:t>
      </w:r>
      <w:r>
        <w:t xml:space="preserve">se encontró una  serie de </w:t>
      </w:r>
      <w:r w:rsidRPr="00150DC1">
        <w:t>inconsistencia</w:t>
      </w:r>
      <w:r>
        <w:t>s</w:t>
      </w:r>
      <w:r w:rsidRPr="00150DC1">
        <w:t>, lo que refleja que no hay un adecuado manejo de los sistemas de información.</w:t>
      </w:r>
    </w:p>
    <w:p w:rsidR="006838CB" w:rsidRDefault="006838CB" w:rsidP="006838CB">
      <w:pPr>
        <w:pStyle w:val="Ttulo1"/>
      </w:pPr>
      <w:r w:rsidRPr="006838CB">
        <w:t>III</w:t>
      </w:r>
      <w:r w:rsidR="00B767CF" w:rsidRPr="00B767CF">
        <w:t>. Análisis FODA</w:t>
      </w:r>
    </w:p>
    <w:p w:rsidR="006838CB" w:rsidRDefault="00B3458A" w:rsidP="006838CB">
      <w:pPr>
        <w:rPr>
          <w:rFonts w:eastAsiaTheme="majorEastAsia" w:cs="Arial"/>
          <w:b/>
          <w:bCs/>
          <w:color w:val="0E4E7A"/>
          <w:spacing w:val="4"/>
          <w:sz w:val="28"/>
          <w:szCs w:val="24"/>
        </w:rPr>
      </w:pPr>
      <w:r>
        <w:rPr>
          <w:rFonts w:eastAsiaTheme="majorEastAsia" w:cs="Arial"/>
          <w:b/>
          <w:bCs/>
          <w:color w:val="0E4E7A"/>
          <w:spacing w:val="4"/>
          <w:sz w:val="28"/>
          <w:szCs w:val="24"/>
        </w:rPr>
        <w:t xml:space="preserve">Análisis </w:t>
      </w:r>
      <w:bookmarkStart w:id="4" w:name="_Toc458516694"/>
      <w:bookmarkStart w:id="5" w:name="_Toc481770194"/>
      <w:r w:rsidR="001D1B5D">
        <w:rPr>
          <w:rFonts w:eastAsiaTheme="majorEastAsia" w:cs="Arial"/>
          <w:b/>
          <w:bCs/>
          <w:color w:val="0E4E7A"/>
          <w:spacing w:val="4"/>
          <w:sz w:val="28"/>
          <w:szCs w:val="24"/>
        </w:rPr>
        <w:t xml:space="preserve">organizacional </w:t>
      </w:r>
    </w:p>
    <w:p w:rsidR="00B3458A" w:rsidRDefault="00B3458A" w:rsidP="006838CB">
      <w:pPr>
        <w:rPr>
          <w:rFonts w:eastAsia="Calibri" w:cs="Times New Roman"/>
          <w:b/>
          <w:color w:val="0E4E7A"/>
        </w:rPr>
      </w:pPr>
      <w:r w:rsidRPr="006838CB">
        <w:rPr>
          <w:rFonts w:eastAsia="Calibri" w:cs="Times New Roman"/>
          <w:b/>
          <w:color w:val="0E4E7A"/>
        </w:rPr>
        <w:t>Fortalezas:</w:t>
      </w:r>
      <w:bookmarkEnd w:id="4"/>
      <w:bookmarkEnd w:id="5"/>
    </w:p>
    <w:p w:rsidR="00C40A09" w:rsidRDefault="00C40A09" w:rsidP="00C40A09">
      <w:pPr>
        <w:pStyle w:val="Prrafodelista"/>
        <w:numPr>
          <w:ilvl w:val="0"/>
          <w:numId w:val="7"/>
        </w:numPr>
      </w:pPr>
      <w:r>
        <w:t>El programa 27 “Ciudad Limpia” cuenta con un marco lógico</w:t>
      </w:r>
    </w:p>
    <w:p w:rsidR="00C40A09" w:rsidRDefault="00C40A09" w:rsidP="00C40A09">
      <w:pPr>
        <w:pStyle w:val="Prrafodelista"/>
        <w:numPr>
          <w:ilvl w:val="0"/>
          <w:numId w:val="7"/>
        </w:numPr>
      </w:pPr>
      <w:r w:rsidRPr="00395D3E">
        <w:t>Las MIR cuentan con las variables mínimas requeridas por la normatividad</w:t>
      </w:r>
    </w:p>
    <w:p w:rsidR="00C40A09" w:rsidRPr="00C40A09" w:rsidRDefault="00C40A09" w:rsidP="00C40A09">
      <w:pPr>
        <w:pStyle w:val="Prrafodelista"/>
        <w:numPr>
          <w:ilvl w:val="0"/>
          <w:numId w:val="7"/>
        </w:numPr>
      </w:pPr>
      <w:r w:rsidRPr="00395D3E">
        <w:t>Se realizó la evaluación del FORTAMUN para dar cumplimiento al mandato</w:t>
      </w:r>
      <w:r>
        <w:t xml:space="preserve"> </w:t>
      </w:r>
      <w:r w:rsidRPr="00395D3E">
        <w:t>constitucional</w:t>
      </w:r>
    </w:p>
    <w:p w:rsidR="009C2A0D" w:rsidRDefault="009C2A0D" w:rsidP="006838CB">
      <w:pPr>
        <w:rPr>
          <w:rFonts w:eastAsia="Calibri" w:cs="Times New Roman"/>
          <w:b/>
          <w:color w:val="0E4E7A"/>
        </w:rPr>
      </w:pPr>
      <w:bookmarkStart w:id="6" w:name="_Toc488411685"/>
      <w:r w:rsidRPr="006838CB">
        <w:rPr>
          <w:rFonts w:eastAsia="Calibri" w:cs="Times New Roman"/>
          <w:b/>
          <w:color w:val="0E4E7A"/>
        </w:rPr>
        <w:t>Debilidades:</w:t>
      </w:r>
      <w:bookmarkEnd w:id="6"/>
      <w:r w:rsidRPr="006838CB">
        <w:rPr>
          <w:rFonts w:eastAsia="Calibri" w:cs="Times New Roman"/>
          <w:b/>
          <w:color w:val="0E4E7A"/>
        </w:rPr>
        <w:t xml:space="preserve"> </w:t>
      </w:r>
    </w:p>
    <w:p w:rsidR="00C40A09" w:rsidRDefault="00C40A09" w:rsidP="00C40A09">
      <w:pPr>
        <w:pStyle w:val="Prrafodelista"/>
        <w:numPr>
          <w:ilvl w:val="0"/>
          <w:numId w:val="11"/>
        </w:numPr>
      </w:pPr>
      <w:r>
        <w:t>La relación causal del árbol de problemas es deficiente y por ende no muestra las necesidades en materia de servicios públicos del municipio.</w:t>
      </w:r>
    </w:p>
    <w:p w:rsidR="00C40A09" w:rsidRDefault="00C40A09" w:rsidP="00C40A09">
      <w:pPr>
        <w:pStyle w:val="Prrafodelista"/>
        <w:numPr>
          <w:ilvl w:val="0"/>
          <w:numId w:val="11"/>
        </w:numPr>
      </w:pPr>
      <w:r>
        <w:t>La traducción entre árbol de problemas y objetivos es literal en positivo, y no reflejan objetivos y estos a su vez, no tienen correspondencia con los objetivos planteados en la MIR.</w:t>
      </w:r>
    </w:p>
    <w:p w:rsidR="00C40A09" w:rsidRDefault="00C40A09" w:rsidP="00C40A09">
      <w:pPr>
        <w:pStyle w:val="Prrafodelista"/>
        <w:numPr>
          <w:ilvl w:val="0"/>
          <w:numId w:val="11"/>
        </w:numPr>
      </w:pPr>
      <w:r w:rsidRPr="00CC0915">
        <w:t>No se tiene claridad en el dato de línea base, lo que impide que se pueda realizar una interpretación del resultado de manera óptima</w:t>
      </w:r>
      <w:r>
        <w:t xml:space="preserve">. </w:t>
      </w:r>
    </w:p>
    <w:p w:rsidR="00C40A09" w:rsidRPr="00C40A09" w:rsidRDefault="00C40A09" w:rsidP="00C40A09">
      <w:pPr>
        <w:pStyle w:val="Prrafodelista"/>
        <w:numPr>
          <w:ilvl w:val="0"/>
          <w:numId w:val="11"/>
        </w:numPr>
        <w:rPr>
          <w:rFonts w:eastAsia="Calibri" w:cs="Times New Roman"/>
          <w:b/>
          <w:color w:val="0E4E7A"/>
        </w:rPr>
      </w:pPr>
      <w:r w:rsidRPr="00150DC1">
        <w:t>Los datos reportados, presentan inconsistencia, lo que refleja que no hay un adecuado manejo de los sistemas de información.</w:t>
      </w:r>
    </w:p>
    <w:p w:rsidR="00B767CF" w:rsidRPr="006838CB" w:rsidRDefault="00B767CF" w:rsidP="006838CB">
      <w:pPr>
        <w:rPr>
          <w:rFonts w:eastAsia="Calibri" w:cs="Times New Roman"/>
          <w:b/>
          <w:color w:val="0E4E7A"/>
          <w:sz w:val="28"/>
        </w:rPr>
      </w:pPr>
      <w:bookmarkStart w:id="7" w:name="_Toc458516696"/>
      <w:bookmarkStart w:id="8" w:name="_Toc479769328"/>
      <w:r w:rsidRPr="006838CB">
        <w:rPr>
          <w:rFonts w:eastAsia="Calibri" w:cs="Times New Roman"/>
          <w:b/>
          <w:color w:val="0E4E7A"/>
          <w:sz w:val="28"/>
        </w:rPr>
        <w:t xml:space="preserve">Análisis </w:t>
      </w:r>
      <w:r w:rsidR="001D1B5D">
        <w:rPr>
          <w:rFonts w:eastAsia="Calibri" w:cs="Times New Roman"/>
          <w:b/>
          <w:color w:val="0E4E7A"/>
          <w:sz w:val="28"/>
        </w:rPr>
        <w:t>del c</w:t>
      </w:r>
      <w:bookmarkEnd w:id="7"/>
      <w:bookmarkEnd w:id="8"/>
      <w:r w:rsidR="001D1B5D">
        <w:rPr>
          <w:rFonts w:eastAsia="Calibri" w:cs="Times New Roman"/>
          <w:b/>
          <w:color w:val="0E4E7A"/>
          <w:sz w:val="28"/>
        </w:rPr>
        <w:t xml:space="preserve">ontexto </w:t>
      </w:r>
    </w:p>
    <w:p w:rsidR="00EB2302" w:rsidRDefault="00B3458A" w:rsidP="006838CB">
      <w:pPr>
        <w:rPr>
          <w:rFonts w:eastAsia="Calibri" w:cs="Times New Roman"/>
          <w:b/>
          <w:color w:val="0E4E7A"/>
        </w:rPr>
      </w:pPr>
      <w:bookmarkStart w:id="9" w:name="_Toc458516697"/>
      <w:bookmarkStart w:id="10" w:name="_Toc481770197"/>
      <w:r w:rsidRPr="006838CB">
        <w:rPr>
          <w:rFonts w:eastAsia="Calibri" w:cs="Times New Roman"/>
          <w:b/>
          <w:color w:val="0E4E7A"/>
        </w:rPr>
        <w:t>Oportunidades:</w:t>
      </w:r>
      <w:bookmarkStart w:id="11" w:name="_Toc481770198"/>
      <w:bookmarkEnd w:id="9"/>
      <w:bookmarkEnd w:id="10"/>
    </w:p>
    <w:p w:rsidR="00C40A09" w:rsidRDefault="00C40A09" w:rsidP="00C40A09">
      <w:pPr>
        <w:pStyle w:val="Prrafodelista"/>
        <w:numPr>
          <w:ilvl w:val="0"/>
          <w:numId w:val="8"/>
        </w:numPr>
      </w:pPr>
      <w:r>
        <w:lastRenderedPageBreak/>
        <w:t>El cambio en la administración podría realizar un Plan Municipal de Desarrollo, enfocado a Resultados, que cuente con objetivos de los cuáles se desprendan los programas presupuestarios.</w:t>
      </w:r>
    </w:p>
    <w:p w:rsidR="00C40A09" w:rsidRDefault="00C40A09" w:rsidP="00C40A09">
      <w:pPr>
        <w:pStyle w:val="Prrafodelista"/>
        <w:numPr>
          <w:ilvl w:val="0"/>
          <w:numId w:val="8"/>
        </w:numPr>
      </w:pPr>
      <w:r w:rsidRPr="00395D3E">
        <w:t>Dejar precedente a la siguiente administración sobre el trabajo de implementación del Modelo de gestión para Resultados</w:t>
      </w:r>
      <w:r>
        <w:t>.</w:t>
      </w:r>
    </w:p>
    <w:p w:rsidR="00C40A09" w:rsidRDefault="00C40A09" w:rsidP="00C40A09">
      <w:pPr>
        <w:pStyle w:val="Prrafodelista"/>
        <w:numPr>
          <w:ilvl w:val="0"/>
          <w:numId w:val="8"/>
        </w:numPr>
      </w:pPr>
      <w:r>
        <w:t>La relación causal del árbol de problemas es deficiente y por ende no muestra las necesidades en materia de servicios públicos del municipio.</w:t>
      </w:r>
    </w:p>
    <w:p w:rsidR="00C40A09" w:rsidRDefault="00C40A09" w:rsidP="00C40A09">
      <w:pPr>
        <w:pStyle w:val="Prrafodelista"/>
        <w:numPr>
          <w:ilvl w:val="0"/>
          <w:numId w:val="8"/>
        </w:numPr>
      </w:pPr>
      <w:r>
        <w:t>La traducción entre árbol de problemas y objetivos es literal en positivo, y no reflejan objetivos y estos a su vez, no tienen correspondencia con los objetivos planteados en la MIR.</w:t>
      </w:r>
    </w:p>
    <w:p w:rsidR="00C40A09" w:rsidRDefault="00C40A09" w:rsidP="00C40A09">
      <w:pPr>
        <w:pStyle w:val="Prrafodelista"/>
        <w:numPr>
          <w:ilvl w:val="0"/>
          <w:numId w:val="8"/>
        </w:numPr>
      </w:pPr>
      <w:r w:rsidRPr="00CC0915">
        <w:t>No se tiene claridad en el dato de línea base, lo que impide que se pueda realizar una interpretación del resultado de manera óptima</w:t>
      </w:r>
      <w:r>
        <w:t>.</w:t>
      </w:r>
    </w:p>
    <w:p w:rsidR="00C40A09" w:rsidRPr="00C40A09" w:rsidRDefault="00C40A09" w:rsidP="006838CB">
      <w:pPr>
        <w:pStyle w:val="Prrafodelista"/>
        <w:numPr>
          <w:ilvl w:val="0"/>
          <w:numId w:val="8"/>
        </w:numPr>
      </w:pPr>
      <w:r w:rsidRPr="00150DC1">
        <w:t>Los datos reportados, presentan inconsistencia, lo que refleja que no hay un adecuado manejo de los sistemas de información.</w:t>
      </w:r>
    </w:p>
    <w:p w:rsidR="00B3458A" w:rsidRDefault="00B3458A" w:rsidP="00C40A09">
      <w:pPr>
        <w:tabs>
          <w:tab w:val="left" w:pos="1890"/>
        </w:tabs>
        <w:rPr>
          <w:rFonts w:eastAsia="Calibri" w:cs="Times New Roman"/>
          <w:b/>
          <w:color w:val="0E4E7A"/>
        </w:rPr>
      </w:pPr>
      <w:r w:rsidRPr="006838CB">
        <w:rPr>
          <w:rFonts w:eastAsia="Calibri" w:cs="Times New Roman"/>
          <w:b/>
          <w:color w:val="0E4E7A"/>
        </w:rPr>
        <w:t>Amenazas:</w:t>
      </w:r>
      <w:bookmarkEnd w:id="11"/>
    </w:p>
    <w:p w:rsidR="00C40A09" w:rsidRPr="00C40A09" w:rsidRDefault="00C40A09" w:rsidP="00C40A09">
      <w:pPr>
        <w:pStyle w:val="Prrafodelista"/>
        <w:numPr>
          <w:ilvl w:val="0"/>
          <w:numId w:val="10"/>
        </w:numPr>
        <w:tabs>
          <w:tab w:val="left" w:pos="1890"/>
        </w:tabs>
        <w:rPr>
          <w:rFonts w:eastAsia="Calibri" w:cs="Times New Roman"/>
          <w:b/>
          <w:color w:val="0E4E7A"/>
        </w:rPr>
      </w:pPr>
      <w:r>
        <w:t xml:space="preserve">El cambio en la administración podría no darle seguimiento a los ASM derivados de las evaluaciones al Fondo. </w:t>
      </w:r>
    </w:p>
    <w:p w:rsidR="00B767CF" w:rsidRDefault="006838CB" w:rsidP="00B767CF">
      <w:pPr>
        <w:pStyle w:val="Ttulo1"/>
      </w:pPr>
      <w:r>
        <w:t xml:space="preserve">IV. </w:t>
      </w:r>
      <w:r w:rsidR="00B767CF" w:rsidRPr="00F13994">
        <w:t xml:space="preserve">Conclusiones </w:t>
      </w:r>
    </w:p>
    <w:p w:rsidR="00C40A09" w:rsidRPr="00C40A09" w:rsidRDefault="00C40A09" w:rsidP="00C40A09">
      <w:pPr>
        <w:spacing w:after="160" w:afterAutospacing="0"/>
        <w:rPr>
          <w:rFonts w:eastAsia="Calibri" w:cs="Times New Roman"/>
          <w:lang w:val="es-MX"/>
        </w:rPr>
      </w:pPr>
      <w:r w:rsidRPr="00C40A09">
        <w:rPr>
          <w:rFonts w:eastAsia="Calibri" w:cs="Times New Roman"/>
          <w:lang w:val="es-MX"/>
        </w:rPr>
        <w:t>Derivado del análisis se puede concluir que el programa operado por la Dirección de Servicios Públicos es muy amplio, por lo que el Fin tendría que estar vinculado a un objetivo de política pública derivado del Plan Municipal de Desarrollo, y el propósito estar enfocado a las función de la Dirección, y los componentes a los bienes y servicios ofertados por el programa con el número de actividades necesarias para producirlos.</w:t>
      </w:r>
    </w:p>
    <w:p w:rsidR="00C40A09" w:rsidRPr="00C40A09" w:rsidRDefault="00C40A09" w:rsidP="00C40A09">
      <w:pPr>
        <w:spacing w:after="160" w:afterAutospacing="0"/>
        <w:rPr>
          <w:rFonts w:eastAsia="Calibri" w:cs="Times New Roman"/>
          <w:lang w:val="es-MX"/>
        </w:rPr>
      </w:pPr>
      <w:r w:rsidRPr="00C40A09">
        <w:rPr>
          <w:rFonts w:eastAsia="Calibri" w:cs="Times New Roman"/>
          <w:lang w:val="es-MX"/>
        </w:rPr>
        <w:t xml:space="preserve">O por el contrario, separar los servicios ya que abordan problemáticas muy distintas y responden a diversas necesidades. Todo ello, bajo la metodología del marco lógico, con la participación del personal operativo y los tomadores de decisiones. Ya que como está planteado actualmente, no se identifican los avances o logros en la materia. </w:t>
      </w:r>
    </w:p>
    <w:p w:rsidR="00C40A09" w:rsidRPr="00C40A09" w:rsidRDefault="00C40A09" w:rsidP="00C40A09">
      <w:pPr>
        <w:spacing w:after="160" w:afterAutospacing="0"/>
        <w:rPr>
          <w:rFonts w:eastAsia="Calibri" w:cs="Times New Roman"/>
          <w:lang w:val="es-MX"/>
        </w:rPr>
      </w:pPr>
      <w:r w:rsidRPr="00C40A09">
        <w:rPr>
          <w:rFonts w:eastAsia="Calibri" w:cs="Times New Roman"/>
          <w:lang w:val="es-MX"/>
        </w:rPr>
        <w:t xml:space="preserve">Por lo que un área de oportunidad o amenaza puede ser el cambio de administración; puesto que se podría impulsar la realización de un Plan Municipal de Desarrollo, enfocado a Resultados, que cuente con </w:t>
      </w:r>
      <w:r w:rsidRPr="00C40A09">
        <w:rPr>
          <w:rFonts w:eastAsia="Calibri" w:cs="Times New Roman"/>
          <w:lang w:val="es-MX"/>
        </w:rPr>
        <w:lastRenderedPageBreak/>
        <w:t>objetivos de los cuáles se desprendan los programas presupuestarios que respondan  a las necesidades y problemáticas de los Colimenses.</w:t>
      </w:r>
    </w:p>
    <w:p w:rsidR="00C40A09" w:rsidRDefault="00C40A09" w:rsidP="00C40A09">
      <w:pPr>
        <w:spacing w:after="160" w:afterAutospacing="0"/>
        <w:rPr>
          <w:rFonts w:eastAsia="Calibri" w:cs="Times New Roman"/>
          <w:lang w:val="es-MX"/>
        </w:rPr>
      </w:pPr>
      <w:r w:rsidRPr="00C40A09">
        <w:rPr>
          <w:rFonts w:eastAsia="Calibri" w:cs="Times New Roman"/>
          <w:lang w:val="es-MX"/>
        </w:rPr>
        <w:t>En cuanto a la información proporcionada, se presentan inconsistencias debido a la carencia de un control en los sistemas de información, lo que genera que los resultados y avances sean opacados por ello.</w:t>
      </w:r>
    </w:p>
    <w:p w:rsidR="009C1C1C" w:rsidRPr="00C40A09" w:rsidRDefault="009C1C1C" w:rsidP="00C40A09">
      <w:pPr>
        <w:spacing w:after="160" w:afterAutospacing="0"/>
        <w:rPr>
          <w:rFonts w:eastAsia="Calibri" w:cs="Times New Roman"/>
          <w:lang w:val="es-MX"/>
        </w:rPr>
      </w:pPr>
    </w:p>
    <w:p w:rsidR="006E56EB" w:rsidRDefault="006838CB" w:rsidP="00BB770A">
      <w:pPr>
        <w:pStyle w:val="Ttulo1"/>
        <w:rPr>
          <w:rFonts w:eastAsia="Calibri" w:cs="Calibri Light"/>
          <w:i/>
          <w:iCs/>
          <w:szCs w:val="26"/>
          <w:lang w:val="es-MX"/>
        </w:rPr>
      </w:pPr>
      <w:bookmarkStart w:id="12" w:name="_Toc481770200"/>
      <w:r>
        <w:t xml:space="preserve">V. </w:t>
      </w:r>
      <w:r w:rsidR="00B3458A" w:rsidRPr="006838CB">
        <w:t>Recomendaciones</w:t>
      </w:r>
      <w:bookmarkEnd w:id="12"/>
      <w:r w:rsidR="00B3458A" w:rsidRPr="00B3458A">
        <w:rPr>
          <w:rFonts w:eastAsia="Calibri" w:cs="Calibri Light"/>
          <w:i/>
          <w:iCs/>
          <w:szCs w:val="26"/>
          <w:lang w:val="es-MX"/>
        </w:rPr>
        <w:t xml:space="preserve"> </w:t>
      </w:r>
    </w:p>
    <w:p w:rsidR="00C40A09" w:rsidRDefault="00C40A09" w:rsidP="00C40A09">
      <w:pPr>
        <w:pStyle w:val="Prrafodelista"/>
        <w:numPr>
          <w:ilvl w:val="0"/>
          <w:numId w:val="9"/>
        </w:numPr>
      </w:pPr>
      <w:r>
        <w:t>Se recomienda continuar con la visión enfocada a resultados, y que se cuente con el sustento lógico que implica la MML.</w:t>
      </w:r>
    </w:p>
    <w:p w:rsidR="00C40A09" w:rsidRDefault="00C40A09" w:rsidP="00C40A09">
      <w:pPr>
        <w:pStyle w:val="Prrafodelista"/>
        <w:numPr>
          <w:ilvl w:val="0"/>
          <w:numId w:val="9"/>
        </w:numPr>
      </w:pPr>
      <w:r>
        <w:t>Se recomienda continuar con el cumplimiento de la existencia de una MIR por programa.</w:t>
      </w:r>
    </w:p>
    <w:p w:rsidR="00C40A09" w:rsidRDefault="00C40A09" w:rsidP="00C40A09">
      <w:pPr>
        <w:pStyle w:val="Prrafodelista"/>
        <w:numPr>
          <w:ilvl w:val="0"/>
          <w:numId w:val="9"/>
        </w:numPr>
      </w:pPr>
      <w:r>
        <w:t>Se recomienda dar seguimiento a las recomendaciones y al proceso de evaluación del Fondo en beneficio de los colimenses.</w:t>
      </w:r>
    </w:p>
    <w:p w:rsidR="00C40A09" w:rsidRDefault="00C40A09" w:rsidP="00C40A09">
      <w:pPr>
        <w:pStyle w:val="Prrafodelista"/>
        <w:numPr>
          <w:ilvl w:val="0"/>
          <w:numId w:val="9"/>
        </w:numPr>
      </w:pPr>
      <w:r>
        <w:t>Se recomienda realizar un Plan Municipal de Desarrollo, enfocado a Resultados que permita el crecimiento del municipio en cuanto a los servicios públicos.</w:t>
      </w:r>
    </w:p>
    <w:p w:rsidR="00C40A09" w:rsidRDefault="00C40A09" w:rsidP="00C40A09">
      <w:pPr>
        <w:pStyle w:val="Prrafodelista"/>
        <w:numPr>
          <w:ilvl w:val="0"/>
          <w:numId w:val="9"/>
        </w:numPr>
      </w:pPr>
      <w:r>
        <w:t>Se recomienda mantener la visión y operación en función del Presupuesto basado en Resultados y el Sistema de Evaluación del Desempeño.</w:t>
      </w:r>
    </w:p>
    <w:p w:rsidR="00C40A09" w:rsidRDefault="00C40A09" w:rsidP="00C40A09">
      <w:pPr>
        <w:pStyle w:val="Prrafodelista"/>
        <w:numPr>
          <w:ilvl w:val="0"/>
          <w:numId w:val="9"/>
        </w:numPr>
      </w:pPr>
      <w:r>
        <w:t>Se recomienda realizar un ejercicio con los tomadores de decisión de la Dirección de Servicios Públicos y los operativos para que se desarrolle un árbol de problemas que responda a las necesidades o problemáticas que vice el municipio en la materia.</w:t>
      </w:r>
    </w:p>
    <w:p w:rsidR="00C40A09" w:rsidRDefault="00C40A09" w:rsidP="00C40A09">
      <w:pPr>
        <w:pStyle w:val="Prrafodelista"/>
        <w:numPr>
          <w:ilvl w:val="0"/>
          <w:numId w:val="9"/>
        </w:numPr>
      </w:pPr>
      <w:r>
        <w:t>Se recomienda realizar un ejercicio integral que pueda reflejar objetivos viables para el cumplimiento de éstos.</w:t>
      </w:r>
    </w:p>
    <w:p w:rsidR="00C40A09" w:rsidRDefault="00C40A09" w:rsidP="00C40A09">
      <w:pPr>
        <w:pStyle w:val="Prrafodelista"/>
        <w:numPr>
          <w:ilvl w:val="0"/>
          <w:numId w:val="9"/>
        </w:numPr>
      </w:pPr>
      <w:r>
        <w:t>Establecer un manual de implementación del Modelo de Gestión para Resultados, con la finalidad de unificar criterios en las diferentes áreas.</w:t>
      </w:r>
    </w:p>
    <w:p w:rsidR="00C40A09" w:rsidRDefault="00C40A09" w:rsidP="00C40A09">
      <w:pPr>
        <w:pStyle w:val="Prrafodelista"/>
        <w:numPr>
          <w:ilvl w:val="0"/>
          <w:numId w:val="9"/>
        </w:numPr>
      </w:pPr>
      <w:r>
        <w:t>Se recomienda mejorar los sistemas de información, mediante instrumentos y monitoreo por el área competente.</w:t>
      </w:r>
    </w:p>
    <w:p w:rsidR="00C40A09" w:rsidRPr="00C40A09" w:rsidRDefault="00C40A09" w:rsidP="00C40A09">
      <w:pPr>
        <w:pStyle w:val="Prrafodelista"/>
        <w:numPr>
          <w:ilvl w:val="0"/>
          <w:numId w:val="9"/>
        </w:numPr>
      </w:pPr>
      <w:r w:rsidRPr="00C40A09">
        <w:rPr>
          <w:szCs w:val="24"/>
        </w:rPr>
        <w:t>Se recomienda dejar la evidencia para que los nuevos servidores públicos continúen con el proceso de implementación del SED.</w:t>
      </w:r>
    </w:p>
    <w:p w:rsidR="00C40A09" w:rsidRDefault="00C40A09" w:rsidP="00C40A09"/>
    <w:p w:rsidR="00C40A09" w:rsidRDefault="00C40A09" w:rsidP="00C40A09"/>
    <w:p w:rsidR="00C40A09" w:rsidRDefault="00C40A09" w:rsidP="00C40A09"/>
    <w:p w:rsidR="00C40A09" w:rsidRDefault="00C40A09" w:rsidP="00C40A09"/>
    <w:p w:rsidR="00C40A09" w:rsidRDefault="00C40A09" w:rsidP="00C40A09"/>
    <w:p w:rsidR="00C40A09" w:rsidRDefault="00C40A09" w:rsidP="00C40A09"/>
    <w:p w:rsidR="00C40A09" w:rsidRPr="00C40A09" w:rsidRDefault="00C40A09" w:rsidP="00C40A09"/>
    <w:tbl>
      <w:tblPr>
        <w:tblStyle w:val="Tablaconcuadrcula"/>
        <w:tblpPr w:leftFromText="141" w:rightFromText="141" w:vertAnchor="text" w:horzAnchor="margin" w:tblpY="429"/>
        <w:tblW w:w="86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69"/>
      </w:tblGrid>
      <w:tr w:rsidR="00C40A09" w:rsidRPr="00AA318A" w:rsidTr="009C1C1C">
        <w:trPr>
          <w:trHeight w:val="142"/>
        </w:trPr>
        <w:tc>
          <w:tcPr>
            <w:tcW w:w="8669" w:type="dxa"/>
          </w:tcPr>
          <w:p w:rsidR="00C40A09" w:rsidRPr="009C1C1C" w:rsidRDefault="00C40A09" w:rsidP="00C40A09">
            <w:pPr>
              <w:contextualSpacing/>
              <w:rPr>
                <w:b/>
                <w:sz w:val="19"/>
                <w:szCs w:val="19"/>
              </w:rPr>
            </w:pPr>
            <w:r w:rsidRPr="009C1C1C">
              <w:rPr>
                <w:b/>
                <w:sz w:val="19"/>
                <w:szCs w:val="19"/>
              </w:rPr>
              <w:t xml:space="preserve">Nombre de la evaluación: </w:t>
            </w:r>
          </w:p>
        </w:tc>
      </w:tr>
      <w:tr w:rsidR="00C40A09" w:rsidRPr="00AA318A" w:rsidTr="009C1C1C">
        <w:trPr>
          <w:trHeight w:val="586"/>
        </w:trPr>
        <w:tc>
          <w:tcPr>
            <w:tcW w:w="8669" w:type="dxa"/>
          </w:tcPr>
          <w:p w:rsidR="00C40A09" w:rsidRPr="009C1C1C" w:rsidRDefault="00C40A09" w:rsidP="00C40A09">
            <w:pPr>
              <w:contextualSpacing/>
              <w:rPr>
                <w:sz w:val="19"/>
                <w:szCs w:val="19"/>
              </w:rPr>
            </w:pPr>
            <w:r w:rsidRPr="009C1C1C">
              <w:rPr>
                <w:sz w:val="19"/>
                <w:szCs w:val="19"/>
              </w:rPr>
              <w:t>Evaluación Específica del Fondo de Aportaciones para el Fortalecimiento de los Municipios (FORTAMUN), a través, de los indicadores de los programas que mayormente operaron con recursos del fondo de la Dirección de General de Servicios Públicos, para el ejercicio fiscal 2017</w:t>
            </w:r>
          </w:p>
        </w:tc>
      </w:tr>
      <w:tr w:rsidR="00C40A09" w:rsidRPr="00AA318A" w:rsidTr="009C1C1C">
        <w:trPr>
          <w:trHeight w:val="80"/>
        </w:trPr>
        <w:tc>
          <w:tcPr>
            <w:tcW w:w="8669" w:type="dxa"/>
          </w:tcPr>
          <w:p w:rsidR="00C40A09" w:rsidRPr="009C1C1C" w:rsidRDefault="00C40A09" w:rsidP="00C40A09">
            <w:pPr>
              <w:contextualSpacing/>
              <w:rPr>
                <w:sz w:val="19"/>
                <w:szCs w:val="19"/>
              </w:rPr>
            </w:pPr>
          </w:p>
        </w:tc>
      </w:tr>
      <w:tr w:rsidR="00C40A09" w:rsidRPr="00AA318A" w:rsidTr="009C1C1C">
        <w:trPr>
          <w:trHeight w:val="95"/>
        </w:trPr>
        <w:tc>
          <w:tcPr>
            <w:tcW w:w="8669" w:type="dxa"/>
          </w:tcPr>
          <w:p w:rsidR="00C40A09" w:rsidRPr="009C1C1C" w:rsidRDefault="00C40A09" w:rsidP="00C40A09">
            <w:pPr>
              <w:contextualSpacing/>
              <w:rPr>
                <w:b/>
                <w:sz w:val="19"/>
                <w:szCs w:val="19"/>
              </w:rPr>
            </w:pPr>
            <w:r w:rsidRPr="009C1C1C">
              <w:rPr>
                <w:b/>
                <w:sz w:val="19"/>
                <w:szCs w:val="19"/>
              </w:rPr>
              <w:t>Fecha de inicio de la evaluación:</w:t>
            </w:r>
            <w:r w:rsidRPr="009C1C1C">
              <w:rPr>
                <w:sz w:val="19"/>
                <w:szCs w:val="19"/>
              </w:rPr>
              <w:t xml:space="preserve"> </w:t>
            </w:r>
          </w:p>
        </w:tc>
      </w:tr>
      <w:tr w:rsidR="00C40A09" w:rsidRPr="00AA318A" w:rsidTr="009C1C1C">
        <w:trPr>
          <w:trHeight w:val="112"/>
        </w:trPr>
        <w:tc>
          <w:tcPr>
            <w:tcW w:w="8669" w:type="dxa"/>
          </w:tcPr>
          <w:p w:rsidR="00C40A09" w:rsidRPr="009C1C1C" w:rsidRDefault="00C40A09" w:rsidP="00C40A09">
            <w:pPr>
              <w:contextualSpacing/>
              <w:rPr>
                <w:sz w:val="19"/>
                <w:szCs w:val="19"/>
              </w:rPr>
            </w:pPr>
            <w:r w:rsidRPr="009C1C1C">
              <w:rPr>
                <w:sz w:val="19"/>
                <w:szCs w:val="19"/>
              </w:rPr>
              <w:t>16 de Agosto  de 2018</w:t>
            </w:r>
          </w:p>
        </w:tc>
      </w:tr>
      <w:tr w:rsidR="00C40A09" w:rsidRPr="00AA318A" w:rsidTr="009C1C1C">
        <w:trPr>
          <w:trHeight w:val="80"/>
        </w:trPr>
        <w:tc>
          <w:tcPr>
            <w:tcW w:w="8669" w:type="dxa"/>
          </w:tcPr>
          <w:p w:rsidR="00C40A09" w:rsidRPr="009C1C1C" w:rsidRDefault="00C40A09" w:rsidP="00C40A09">
            <w:pPr>
              <w:contextualSpacing/>
              <w:rPr>
                <w:sz w:val="19"/>
                <w:szCs w:val="19"/>
              </w:rPr>
            </w:pPr>
          </w:p>
        </w:tc>
      </w:tr>
      <w:tr w:rsidR="00C40A09" w:rsidRPr="00AA318A" w:rsidTr="009C1C1C">
        <w:trPr>
          <w:trHeight w:val="80"/>
        </w:trPr>
        <w:tc>
          <w:tcPr>
            <w:tcW w:w="8669" w:type="dxa"/>
          </w:tcPr>
          <w:p w:rsidR="00C40A09" w:rsidRPr="009C1C1C" w:rsidRDefault="00C40A09" w:rsidP="00C40A09">
            <w:pPr>
              <w:contextualSpacing/>
              <w:rPr>
                <w:b/>
                <w:sz w:val="19"/>
                <w:szCs w:val="19"/>
              </w:rPr>
            </w:pPr>
            <w:r w:rsidRPr="009C1C1C">
              <w:rPr>
                <w:b/>
                <w:sz w:val="19"/>
                <w:szCs w:val="19"/>
              </w:rPr>
              <w:t xml:space="preserve">Fecha de término de la evaluación: </w:t>
            </w:r>
          </w:p>
        </w:tc>
      </w:tr>
      <w:tr w:rsidR="00C40A09" w:rsidRPr="00AA318A" w:rsidTr="009C1C1C">
        <w:trPr>
          <w:trHeight w:val="80"/>
        </w:trPr>
        <w:tc>
          <w:tcPr>
            <w:tcW w:w="8669" w:type="dxa"/>
          </w:tcPr>
          <w:p w:rsidR="00C40A09" w:rsidRPr="009C1C1C" w:rsidRDefault="00C40A09" w:rsidP="00C40A09">
            <w:pPr>
              <w:contextualSpacing/>
              <w:rPr>
                <w:sz w:val="19"/>
                <w:szCs w:val="19"/>
              </w:rPr>
            </w:pPr>
            <w:r w:rsidRPr="009C1C1C">
              <w:rPr>
                <w:sz w:val="19"/>
                <w:szCs w:val="19"/>
              </w:rPr>
              <w:t>Octubre  de 2018</w:t>
            </w:r>
          </w:p>
        </w:tc>
      </w:tr>
      <w:tr w:rsidR="00C40A09" w:rsidRPr="00AA318A" w:rsidTr="009C1C1C">
        <w:trPr>
          <w:trHeight w:val="80"/>
        </w:trPr>
        <w:tc>
          <w:tcPr>
            <w:tcW w:w="8669" w:type="dxa"/>
          </w:tcPr>
          <w:p w:rsidR="00C40A09" w:rsidRPr="009C1C1C" w:rsidRDefault="00C40A09" w:rsidP="00C40A09">
            <w:pPr>
              <w:contextualSpacing/>
              <w:rPr>
                <w:sz w:val="19"/>
                <w:szCs w:val="19"/>
              </w:rPr>
            </w:pPr>
          </w:p>
        </w:tc>
      </w:tr>
      <w:tr w:rsidR="00C40A09" w:rsidRPr="00AA318A" w:rsidTr="00AA318A">
        <w:trPr>
          <w:trHeight w:val="260"/>
        </w:trPr>
        <w:tc>
          <w:tcPr>
            <w:tcW w:w="8669" w:type="dxa"/>
          </w:tcPr>
          <w:p w:rsidR="00C40A09" w:rsidRPr="009C1C1C" w:rsidRDefault="00C40A09" w:rsidP="00C40A09">
            <w:pPr>
              <w:contextualSpacing/>
              <w:rPr>
                <w:sz w:val="19"/>
                <w:szCs w:val="19"/>
              </w:rPr>
            </w:pPr>
            <w:r w:rsidRPr="009C1C1C">
              <w:rPr>
                <w:b/>
                <w:sz w:val="19"/>
                <w:szCs w:val="19"/>
              </w:rPr>
              <w:t>Responsables de la evaluación:</w:t>
            </w:r>
          </w:p>
        </w:tc>
      </w:tr>
      <w:tr w:rsidR="00C40A09" w:rsidRPr="00AA318A" w:rsidTr="009C1C1C">
        <w:trPr>
          <w:trHeight w:val="347"/>
        </w:trPr>
        <w:tc>
          <w:tcPr>
            <w:tcW w:w="8669" w:type="dxa"/>
          </w:tcPr>
          <w:p w:rsidR="00C40A09" w:rsidRPr="009C1C1C" w:rsidRDefault="00C40A09" w:rsidP="00C40A09">
            <w:pPr>
              <w:contextualSpacing/>
              <w:rPr>
                <w:sz w:val="19"/>
                <w:szCs w:val="19"/>
              </w:rPr>
            </w:pPr>
            <w:r w:rsidRPr="009C1C1C">
              <w:rPr>
                <w:sz w:val="19"/>
                <w:szCs w:val="19"/>
              </w:rPr>
              <w:t xml:space="preserve">Lic. Héctor Cervantes Briceño.  Director General de Planeación. </w:t>
            </w:r>
          </w:p>
          <w:p w:rsidR="00C40A09" w:rsidRPr="009C1C1C" w:rsidRDefault="00C40A09" w:rsidP="00C40A09">
            <w:pPr>
              <w:contextualSpacing/>
              <w:rPr>
                <w:sz w:val="19"/>
                <w:szCs w:val="19"/>
              </w:rPr>
            </w:pPr>
            <w:r w:rsidRPr="009C1C1C">
              <w:rPr>
                <w:sz w:val="19"/>
                <w:szCs w:val="19"/>
              </w:rPr>
              <w:t>LAP Rogelio Wenceslao Trejo Mejía. Jefe de Departamento de Gestión de Proyectos Sociales.</w:t>
            </w:r>
          </w:p>
        </w:tc>
      </w:tr>
      <w:tr w:rsidR="00C40A09" w:rsidRPr="00AA318A" w:rsidTr="00AA318A">
        <w:trPr>
          <w:trHeight w:val="88"/>
        </w:trPr>
        <w:tc>
          <w:tcPr>
            <w:tcW w:w="8669" w:type="dxa"/>
          </w:tcPr>
          <w:p w:rsidR="00C40A09" w:rsidRPr="009C1C1C" w:rsidRDefault="00C40A09" w:rsidP="00C40A09">
            <w:pPr>
              <w:contextualSpacing/>
              <w:rPr>
                <w:sz w:val="19"/>
                <w:szCs w:val="19"/>
              </w:rPr>
            </w:pPr>
          </w:p>
        </w:tc>
      </w:tr>
      <w:tr w:rsidR="00C40A09" w:rsidRPr="00AA318A" w:rsidTr="009C1C1C">
        <w:trPr>
          <w:trHeight w:val="80"/>
        </w:trPr>
        <w:tc>
          <w:tcPr>
            <w:tcW w:w="8669" w:type="dxa"/>
          </w:tcPr>
          <w:p w:rsidR="00C40A09" w:rsidRPr="009C1C1C" w:rsidRDefault="00C40A09" w:rsidP="00C40A09">
            <w:pPr>
              <w:contextualSpacing/>
              <w:rPr>
                <w:rFonts w:cs="Times New Roman"/>
                <w:b/>
                <w:sz w:val="19"/>
                <w:szCs w:val="19"/>
              </w:rPr>
            </w:pPr>
            <w:r w:rsidRPr="009C1C1C">
              <w:rPr>
                <w:rFonts w:cs="Times New Roman"/>
                <w:b/>
                <w:sz w:val="19"/>
                <w:szCs w:val="19"/>
              </w:rPr>
              <w:t>Unidad Administrativa responsable de dar seguimiento a la evaluación:</w:t>
            </w:r>
            <w:r w:rsidRPr="009C1C1C">
              <w:rPr>
                <w:b/>
                <w:sz w:val="19"/>
                <w:szCs w:val="19"/>
              </w:rPr>
              <w:t xml:space="preserve"> </w:t>
            </w:r>
          </w:p>
        </w:tc>
      </w:tr>
      <w:tr w:rsidR="00C40A09" w:rsidRPr="00AA318A" w:rsidTr="00AA318A">
        <w:trPr>
          <w:trHeight w:val="169"/>
        </w:trPr>
        <w:tc>
          <w:tcPr>
            <w:tcW w:w="8669" w:type="dxa"/>
          </w:tcPr>
          <w:p w:rsidR="00C40A09" w:rsidRPr="009C1C1C" w:rsidRDefault="00C40A09" w:rsidP="00C40A09">
            <w:pPr>
              <w:contextualSpacing/>
              <w:rPr>
                <w:sz w:val="19"/>
                <w:szCs w:val="19"/>
              </w:rPr>
            </w:pPr>
            <w:r w:rsidRPr="009C1C1C">
              <w:rPr>
                <w:sz w:val="19"/>
                <w:szCs w:val="19"/>
              </w:rPr>
              <w:t>Dirección General de Planeación</w:t>
            </w:r>
          </w:p>
        </w:tc>
      </w:tr>
      <w:tr w:rsidR="00C40A09" w:rsidRPr="00AA318A" w:rsidTr="00AA318A">
        <w:trPr>
          <w:trHeight w:val="169"/>
        </w:trPr>
        <w:tc>
          <w:tcPr>
            <w:tcW w:w="8669" w:type="dxa"/>
          </w:tcPr>
          <w:p w:rsidR="00C40A09" w:rsidRPr="009C1C1C" w:rsidRDefault="00C40A09" w:rsidP="00C40A09">
            <w:pPr>
              <w:contextualSpacing/>
              <w:rPr>
                <w:sz w:val="19"/>
                <w:szCs w:val="19"/>
                <w:shd w:val="clear" w:color="auto" w:fill="FFFFFF"/>
              </w:rPr>
            </w:pPr>
          </w:p>
        </w:tc>
      </w:tr>
      <w:tr w:rsidR="00C40A09" w:rsidRPr="00AA318A" w:rsidTr="00AA318A">
        <w:trPr>
          <w:trHeight w:val="88"/>
        </w:trPr>
        <w:tc>
          <w:tcPr>
            <w:tcW w:w="8669" w:type="dxa"/>
          </w:tcPr>
          <w:p w:rsidR="00C40A09" w:rsidRPr="009C1C1C" w:rsidRDefault="00C40A09" w:rsidP="00C40A09">
            <w:pPr>
              <w:contextualSpacing/>
              <w:rPr>
                <w:b/>
                <w:sz w:val="19"/>
                <w:szCs w:val="19"/>
              </w:rPr>
            </w:pPr>
            <w:r w:rsidRPr="009C1C1C">
              <w:rPr>
                <w:b/>
                <w:sz w:val="19"/>
                <w:szCs w:val="19"/>
              </w:rPr>
              <w:t>Principales colaboradores:</w:t>
            </w:r>
            <w:r w:rsidRPr="009C1C1C">
              <w:rPr>
                <w:sz w:val="19"/>
                <w:szCs w:val="19"/>
              </w:rPr>
              <w:t xml:space="preserve"> </w:t>
            </w:r>
          </w:p>
        </w:tc>
      </w:tr>
      <w:tr w:rsidR="00C40A09" w:rsidRPr="00AA318A" w:rsidTr="00AA318A">
        <w:trPr>
          <w:trHeight w:val="233"/>
        </w:trPr>
        <w:tc>
          <w:tcPr>
            <w:tcW w:w="8669" w:type="dxa"/>
          </w:tcPr>
          <w:p w:rsidR="00C40A09" w:rsidRPr="009C1C1C" w:rsidRDefault="00C40A09" w:rsidP="00C40A09">
            <w:pPr>
              <w:rPr>
                <w:rFonts w:cs="Arial"/>
                <w:sz w:val="19"/>
                <w:szCs w:val="19"/>
              </w:rPr>
            </w:pPr>
            <w:r w:rsidRPr="009C1C1C">
              <w:rPr>
                <w:rFonts w:cs="Arial"/>
                <w:sz w:val="19"/>
                <w:szCs w:val="19"/>
              </w:rPr>
              <w:t>C.P. Eduardo Camarena Berra. Tesorero Municipal.</w:t>
            </w:r>
          </w:p>
        </w:tc>
      </w:tr>
      <w:tr w:rsidR="00C40A09" w:rsidRPr="00AA318A" w:rsidTr="00AA318A">
        <w:trPr>
          <w:trHeight w:val="99"/>
        </w:trPr>
        <w:tc>
          <w:tcPr>
            <w:tcW w:w="8669" w:type="dxa"/>
          </w:tcPr>
          <w:p w:rsidR="00C40A09" w:rsidRPr="009C1C1C" w:rsidRDefault="00C40A09" w:rsidP="00C40A09">
            <w:pPr>
              <w:spacing w:after="0"/>
              <w:rPr>
                <w:rFonts w:cs="Arial"/>
                <w:sz w:val="19"/>
                <w:szCs w:val="19"/>
              </w:rPr>
            </w:pPr>
            <w:r w:rsidRPr="009C1C1C">
              <w:rPr>
                <w:rFonts w:cs="Arial"/>
                <w:sz w:val="19"/>
                <w:szCs w:val="19"/>
              </w:rPr>
              <w:t>C. P. Marcos Salas Moreno.  Director de Egresos y Contabilidad. Unidad Administrativa: Tesorería Municipal.</w:t>
            </w:r>
          </w:p>
        </w:tc>
      </w:tr>
      <w:tr w:rsidR="00C40A09" w:rsidRPr="00AA318A" w:rsidTr="00AA318A">
        <w:trPr>
          <w:trHeight w:val="99"/>
        </w:trPr>
        <w:tc>
          <w:tcPr>
            <w:tcW w:w="8669" w:type="dxa"/>
          </w:tcPr>
          <w:p w:rsidR="00C40A09" w:rsidRPr="009C1C1C" w:rsidRDefault="00C40A09" w:rsidP="00C40A09">
            <w:pPr>
              <w:spacing w:after="0"/>
              <w:rPr>
                <w:rFonts w:cs="Arial"/>
                <w:sz w:val="19"/>
                <w:szCs w:val="19"/>
              </w:rPr>
            </w:pPr>
            <w:r w:rsidRPr="009C1C1C">
              <w:rPr>
                <w:rFonts w:cs="Arial"/>
                <w:sz w:val="19"/>
                <w:szCs w:val="19"/>
              </w:rPr>
              <w:t>C. María Guadalupe Rojas Pérez.  Encargada “A”. Unidad Administrativa: Dirección de Egresos y Contabilidad.</w:t>
            </w:r>
          </w:p>
        </w:tc>
      </w:tr>
      <w:tr w:rsidR="00C40A09" w:rsidRPr="00AA318A" w:rsidTr="00AA318A">
        <w:trPr>
          <w:trHeight w:val="99"/>
        </w:trPr>
        <w:tc>
          <w:tcPr>
            <w:tcW w:w="8669" w:type="dxa"/>
          </w:tcPr>
          <w:p w:rsidR="00C40A09" w:rsidRPr="009C1C1C" w:rsidRDefault="00C40A09" w:rsidP="00C40A09">
            <w:pPr>
              <w:spacing w:after="0"/>
              <w:rPr>
                <w:rFonts w:cs="Arial"/>
                <w:sz w:val="19"/>
                <w:szCs w:val="19"/>
              </w:rPr>
            </w:pPr>
            <w:r w:rsidRPr="009C1C1C">
              <w:rPr>
                <w:rFonts w:cs="Arial"/>
                <w:sz w:val="19"/>
                <w:szCs w:val="19"/>
              </w:rPr>
              <w:t>Lic. José Ignacio Vaquero Díaz.  Director General de Servicios Públicos.</w:t>
            </w:r>
          </w:p>
        </w:tc>
      </w:tr>
      <w:tr w:rsidR="00C40A09" w:rsidRPr="00AA318A" w:rsidTr="00AA318A">
        <w:trPr>
          <w:trHeight w:val="99"/>
        </w:trPr>
        <w:tc>
          <w:tcPr>
            <w:tcW w:w="8669" w:type="dxa"/>
          </w:tcPr>
          <w:p w:rsidR="00C40A09" w:rsidRPr="009C1C1C" w:rsidRDefault="00C40A09" w:rsidP="00C40A09">
            <w:pPr>
              <w:spacing w:before="100" w:beforeAutospacing="1" w:after="0"/>
              <w:rPr>
                <w:rFonts w:cs="Arial"/>
                <w:sz w:val="19"/>
                <w:szCs w:val="19"/>
              </w:rPr>
            </w:pPr>
            <w:r w:rsidRPr="009C1C1C">
              <w:rPr>
                <w:rFonts w:cs="Arial"/>
                <w:sz w:val="19"/>
                <w:szCs w:val="19"/>
              </w:rPr>
              <w:t>C.P. Carlos Partida Ortega.  Analista Técnico.   Unidad Administrativa: Dirección General de Servicios Públicos.</w:t>
            </w:r>
          </w:p>
        </w:tc>
      </w:tr>
      <w:tr w:rsidR="00C40A09" w:rsidRPr="00AA318A" w:rsidTr="00AA318A">
        <w:trPr>
          <w:trHeight w:val="99"/>
        </w:trPr>
        <w:tc>
          <w:tcPr>
            <w:tcW w:w="8669" w:type="dxa"/>
          </w:tcPr>
          <w:p w:rsidR="00C40A09" w:rsidRPr="009C1C1C" w:rsidRDefault="00C40A09" w:rsidP="00C40A09">
            <w:pPr>
              <w:rPr>
                <w:rFonts w:cs="Arial"/>
                <w:sz w:val="19"/>
                <w:szCs w:val="19"/>
              </w:rPr>
            </w:pPr>
            <w:r w:rsidRPr="009C1C1C">
              <w:rPr>
                <w:rFonts w:cs="Arial"/>
                <w:sz w:val="19"/>
                <w:szCs w:val="19"/>
              </w:rPr>
              <w:t>Ing. Ricardo Villa Santana.  Director de Alumbrado Público.</w:t>
            </w:r>
          </w:p>
        </w:tc>
      </w:tr>
      <w:tr w:rsidR="00C40A09" w:rsidRPr="00AA318A" w:rsidTr="00AA318A">
        <w:trPr>
          <w:trHeight w:val="99"/>
        </w:trPr>
        <w:tc>
          <w:tcPr>
            <w:tcW w:w="8669" w:type="dxa"/>
          </w:tcPr>
          <w:p w:rsidR="00C40A09" w:rsidRPr="009C1C1C" w:rsidRDefault="00C40A09" w:rsidP="00C40A09">
            <w:pPr>
              <w:spacing w:before="100" w:beforeAutospacing="1" w:after="0"/>
              <w:rPr>
                <w:rFonts w:cs="Arial"/>
                <w:sz w:val="19"/>
                <w:szCs w:val="19"/>
              </w:rPr>
            </w:pPr>
            <w:r w:rsidRPr="009C1C1C">
              <w:rPr>
                <w:rFonts w:cs="Arial"/>
                <w:sz w:val="19"/>
                <w:szCs w:val="19"/>
              </w:rPr>
              <w:t>Licda. Sara Isabel Ornelas Ramos.  Encargado General.   Unidad Administrativa: Dirección de Alumbrado Público.</w:t>
            </w:r>
          </w:p>
        </w:tc>
      </w:tr>
      <w:tr w:rsidR="00C40A09" w:rsidRPr="00AA318A" w:rsidTr="00AA318A">
        <w:trPr>
          <w:trHeight w:val="99"/>
        </w:trPr>
        <w:tc>
          <w:tcPr>
            <w:tcW w:w="8669" w:type="dxa"/>
          </w:tcPr>
          <w:p w:rsidR="00C40A09" w:rsidRPr="009C1C1C" w:rsidRDefault="00C40A09" w:rsidP="00C40A09">
            <w:pPr>
              <w:spacing w:after="0"/>
              <w:rPr>
                <w:rFonts w:cs="Arial"/>
                <w:sz w:val="19"/>
                <w:szCs w:val="19"/>
              </w:rPr>
            </w:pPr>
            <w:r w:rsidRPr="009C1C1C">
              <w:rPr>
                <w:rFonts w:cs="Arial"/>
                <w:sz w:val="19"/>
                <w:szCs w:val="19"/>
              </w:rPr>
              <w:t>C. José de Jesús González Dueñas.  Director de Parques y Jardines.</w:t>
            </w:r>
          </w:p>
        </w:tc>
      </w:tr>
      <w:tr w:rsidR="00C40A09" w:rsidRPr="00AA318A" w:rsidTr="00AA318A">
        <w:trPr>
          <w:trHeight w:val="551"/>
        </w:trPr>
        <w:tc>
          <w:tcPr>
            <w:tcW w:w="8669" w:type="dxa"/>
          </w:tcPr>
          <w:p w:rsidR="00C40A09" w:rsidRPr="009C1C1C" w:rsidRDefault="00C40A09" w:rsidP="00C40A09">
            <w:pPr>
              <w:spacing w:after="0"/>
              <w:rPr>
                <w:rFonts w:cs="Arial"/>
                <w:sz w:val="19"/>
                <w:szCs w:val="19"/>
              </w:rPr>
            </w:pPr>
            <w:r w:rsidRPr="009C1C1C">
              <w:rPr>
                <w:rFonts w:cs="Arial"/>
                <w:sz w:val="19"/>
                <w:szCs w:val="19"/>
              </w:rPr>
              <w:t>Licda. Marisa Guadalupe López Sánchez.  Auxiliar Administrativo “D”. Unidad Administrativa: Dirección  de Parques y Jardines.</w:t>
            </w:r>
          </w:p>
        </w:tc>
      </w:tr>
      <w:tr w:rsidR="00C40A09" w:rsidRPr="00AA318A" w:rsidTr="00AA318A">
        <w:trPr>
          <w:trHeight w:val="275"/>
        </w:trPr>
        <w:tc>
          <w:tcPr>
            <w:tcW w:w="8669" w:type="dxa"/>
          </w:tcPr>
          <w:p w:rsidR="00C40A09" w:rsidRPr="009C1C1C" w:rsidRDefault="00C40A09" w:rsidP="00C40A09">
            <w:pPr>
              <w:spacing w:after="0"/>
              <w:rPr>
                <w:rFonts w:cs="Arial"/>
                <w:sz w:val="19"/>
                <w:szCs w:val="19"/>
              </w:rPr>
            </w:pPr>
            <w:r w:rsidRPr="009C1C1C">
              <w:rPr>
                <w:rFonts w:cs="Arial"/>
                <w:sz w:val="19"/>
                <w:szCs w:val="19"/>
              </w:rPr>
              <w:t>C. José Alejandro Sánchez Ortega.  Director de Limpia y Sanidad.</w:t>
            </w:r>
          </w:p>
        </w:tc>
      </w:tr>
      <w:tr w:rsidR="00C40A09" w:rsidRPr="00AA318A" w:rsidTr="009C1C1C">
        <w:trPr>
          <w:trHeight w:val="80"/>
        </w:trPr>
        <w:tc>
          <w:tcPr>
            <w:tcW w:w="8669" w:type="dxa"/>
          </w:tcPr>
          <w:p w:rsidR="00C40A09" w:rsidRPr="009C1C1C" w:rsidRDefault="00C40A09" w:rsidP="00C40A09">
            <w:pPr>
              <w:spacing w:after="0"/>
              <w:rPr>
                <w:rFonts w:cs="Arial"/>
                <w:sz w:val="19"/>
                <w:szCs w:val="19"/>
              </w:rPr>
            </w:pPr>
            <w:r w:rsidRPr="009C1C1C">
              <w:rPr>
                <w:rFonts w:cs="Arial"/>
                <w:sz w:val="19"/>
                <w:szCs w:val="19"/>
              </w:rPr>
              <w:t>Lic. Pierre Arturo Ramírez Carbajal.  Auxiliar Administrativo.    Unidad Administrativa: Dirección  de  Limpia y Sanidad.</w:t>
            </w:r>
          </w:p>
        </w:tc>
      </w:tr>
      <w:tr w:rsidR="00C40A09" w:rsidRPr="00AA318A" w:rsidTr="00AA318A">
        <w:trPr>
          <w:trHeight w:val="275"/>
        </w:trPr>
        <w:tc>
          <w:tcPr>
            <w:tcW w:w="8669" w:type="dxa"/>
          </w:tcPr>
          <w:p w:rsidR="00C40A09" w:rsidRPr="009C1C1C" w:rsidRDefault="00C40A09" w:rsidP="00C40A09">
            <w:pPr>
              <w:spacing w:after="0"/>
              <w:rPr>
                <w:rFonts w:cs="Arial"/>
                <w:sz w:val="19"/>
                <w:szCs w:val="19"/>
              </w:rPr>
            </w:pPr>
          </w:p>
        </w:tc>
      </w:tr>
      <w:tr w:rsidR="00C40A09" w:rsidRPr="00AA318A" w:rsidTr="00AA318A">
        <w:trPr>
          <w:trHeight w:val="76"/>
        </w:trPr>
        <w:tc>
          <w:tcPr>
            <w:tcW w:w="8669" w:type="dxa"/>
          </w:tcPr>
          <w:p w:rsidR="00C40A09" w:rsidRPr="009C1C1C" w:rsidRDefault="00C40A09" w:rsidP="00C40A09">
            <w:pPr>
              <w:contextualSpacing/>
              <w:rPr>
                <w:b/>
                <w:sz w:val="19"/>
                <w:szCs w:val="19"/>
              </w:rPr>
            </w:pPr>
            <w:r w:rsidRPr="009C1C1C">
              <w:rPr>
                <w:b/>
                <w:sz w:val="19"/>
                <w:szCs w:val="19"/>
              </w:rPr>
              <w:lastRenderedPageBreak/>
              <w:t>Instancia Evaluadora:</w:t>
            </w:r>
          </w:p>
        </w:tc>
      </w:tr>
      <w:tr w:rsidR="00C40A09" w:rsidRPr="00AA318A" w:rsidTr="009C1C1C">
        <w:trPr>
          <w:trHeight w:val="80"/>
        </w:trPr>
        <w:tc>
          <w:tcPr>
            <w:tcW w:w="8669" w:type="dxa"/>
          </w:tcPr>
          <w:p w:rsidR="00C40A09" w:rsidRPr="009C1C1C" w:rsidRDefault="00C40A09" w:rsidP="00C40A09">
            <w:pPr>
              <w:contextualSpacing/>
              <w:rPr>
                <w:sz w:val="19"/>
                <w:szCs w:val="19"/>
              </w:rPr>
            </w:pPr>
            <w:r w:rsidRPr="009C1C1C">
              <w:rPr>
                <w:sz w:val="19"/>
                <w:szCs w:val="19"/>
              </w:rPr>
              <w:t>Tecnología Social para el Desarrollo SA de CV</w:t>
            </w:r>
          </w:p>
        </w:tc>
      </w:tr>
      <w:tr w:rsidR="00C40A09" w:rsidRPr="00AA318A" w:rsidTr="009C1C1C">
        <w:trPr>
          <w:trHeight w:val="80"/>
        </w:trPr>
        <w:tc>
          <w:tcPr>
            <w:tcW w:w="8669" w:type="dxa"/>
          </w:tcPr>
          <w:p w:rsidR="00C40A09" w:rsidRPr="009C1C1C" w:rsidRDefault="00C40A09" w:rsidP="00C40A09">
            <w:pPr>
              <w:contextualSpacing/>
              <w:rPr>
                <w:sz w:val="19"/>
                <w:szCs w:val="19"/>
              </w:rPr>
            </w:pPr>
          </w:p>
        </w:tc>
      </w:tr>
      <w:tr w:rsidR="00C40A09" w:rsidRPr="00AA318A" w:rsidTr="009C1C1C">
        <w:trPr>
          <w:trHeight w:val="80"/>
        </w:trPr>
        <w:tc>
          <w:tcPr>
            <w:tcW w:w="8669" w:type="dxa"/>
          </w:tcPr>
          <w:p w:rsidR="00C40A09" w:rsidRPr="009C1C1C" w:rsidRDefault="00C40A09" w:rsidP="00C40A09">
            <w:pPr>
              <w:contextualSpacing/>
              <w:rPr>
                <w:b/>
                <w:sz w:val="19"/>
                <w:szCs w:val="19"/>
              </w:rPr>
            </w:pPr>
            <w:r w:rsidRPr="009C1C1C">
              <w:rPr>
                <w:b/>
                <w:sz w:val="19"/>
                <w:szCs w:val="19"/>
              </w:rPr>
              <w:t xml:space="preserve">Coordinador de la evaluación: </w:t>
            </w:r>
          </w:p>
        </w:tc>
      </w:tr>
      <w:tr w:rsidR="00C40A09" w:rsidRPr="00AA318A" w:rsidTr="009C1C1C">
        <w:trPr>
          <w:trHeight w:val="80"/>
        </w:trPr>
        <w:tc>
          <w:tcPr>
            <w:tcW w:w="8669" w:type="dxa"/>
          </w:tcPr>
          <w:p w:rsidR="00C40A09" w:rsidRPr="009C1C1C" w:rsidRDefault="00C40A09" w:rsidP="00C40A09">
            <w:pPr>
              <w:contextualSpacing/>
              <w:rPr>
                <w:sz w:val="19"/>
                <w:szCs w:val="19"/>
              </w:rPr>
            </w:pPr>
            <w:r w:rsidRPr="009C1C1C">
              <w:rPr>
                <w:rFonts w:cs="Arial"/>
                <w:sz w:val="19"/>
                <w:szCs w:val="19"/>
              </w:rPr>
              <w:t>Víctor Manuel Fajardo Correa</w:t>
            </w:r>
          </w:p>
        </w:tc>
      </w:tr>
      <w:tr w:rsidR="00C40A09" w:rsidRPr="00AA318A" w:rsidTr="009C1C1C">
        <w:trPr>
          <w:trHeight w:val="80"/>
        </w:trPr>
        <w:tc>
          <w:tcPr>
            <w:tcW w:w="8669" w:type="dxa"/>
          </w:tcPr>
          <w:p w:rsidR="00C40A09" w:rsidRPr="009C1C1C" w:rsidRDefault="00C40A09" w:rsidP="00C40A09">
            <w:pPr>
              <w:contextualSpacing/>
              <w:rPr>
                <w:rFonts w:cs="Arial"/>
                <w:sz w:val="19"/>
                <w:szCs w:val="19"/>
              </w:rPr>
            </w:pPr>
          </w:p>
        </w:tc>
      </w:tr>
      <w:tr w:rsidR="00C40A09" w:rsidRPr="00AA318A" w:rsidTr="009C1C1C">
        <w:trPr>
          <w:trHeight w:val="80"/>
        </w:trPr>
        <w:tc>
          <w:tcPr>
            <w:tcW w:w="8669" w:type="dxa"/>
          </w:tcPr>
          <w:p w:rsidR="00C40A09" w:rsidRPr="009C1C1C" w:rsidRDefault="00C40A09" w:rsidP="00C40A09">
            <w:pPr>
              <w:contextualSpacing/>
              <w:rPr>
                <w:b/>
                <w:sz w:val="19"/>
                <w:szCs w:val="19"/>
              </w:rPr>
            </w:pPr>
            <w:r w:rsidRPr="009C1C1C">
              <w:rPr>
                <w:b/>
                <w:sz w:val="19"/>
                <w:szCs w:val="19"/>
              </w:rPr>
              <w:t>Principales colaboradores:</w:t>
            </w:r>
          </w:p>
        </w:tc>
      </w:tr>
      <w:tr w:rsidR="00C40A09" w:rsidRPr="00AA318A" w:rsidTr="009C1C1C">
        <w:trPr>
          <w:trHeight w:val="80"/>
        </w:trPr>
        <w:tc>
          <w:tcPr>
            <w:tcW w:w="8669" w:type="dxa"/>
          </w:tcPr>
          <w:p w:rsidR="00C40A09" w:rsidRPr="009C1C1C" w:rsidRDefault="00C40A09" w:rsidP="00C40A09">
            <w:pPr>
              <w:contextualSpacing/>
              <w:rPr>
                <w:sz w:val="19"/>
                <w:szCs w:val="19"/>
              </w:rPr>
            </w:pPr>
            <w:r w:rsidRPr="009C1C1C">
              <w:rPr>
                <w:sz w:val="19"/>
                <w:szCs w:val="19"/>
              </w:rPr>
              <w:t>Lorena Gutiérrez Ugalde</w:t>
            </w:r>
          </w:p>
        </w:tc>
      </w:tr>
      <w:tr w:rsidR="00C40A09" w:rsidRPr="00AA318A" w:rsidTr="009C1C1C">
        <w:trPr>
          <w:trHeight w:val="80"/>
        </w:trPr>
        <w:tc>
          <w:tcPr>
            <w:tcW w:w="8669" w:type="dxa"/>
          </w:tcPr>
          <w:p w:rsidR="00C40A09" w:rsidRPr="009C1C1C" w:rsidRDefault="00C40A09" w:rsidP="00C40A09">
            <w:pPr>
              <w:contextualSpacing/>
              <w:rPr>
                <w:sz w:val="19"/>
                <w:szCs w:val="19"/>
              </w:rPr>
            </w:pPr>
            <w:r w:rsidRPr="009C1C1C">
              <w:rPr>
                <w:sz w:val="19"/>
                <w:szCs w:val="19"/>
              </w:rPr>
              <w:t xml:space="preserve">Sandra Adriana Cruz Mendoza </w:t>
            </w:r>
          </w:p>
        </w:tc>
      </w:tr>
      <w:tr w:rsidR="00C40A09" w:rsidRPr="00AA318A" w:rsidTr="009C1C1C">
        <w:trPr>
          <w:trHeight w:val="80"/>
        </w:trPr>
        <w:tc>
          <w:tcPr>
            <w:tcW w:w="8669" w:type="dxa"/>
          </w:tcPr>
          <w:p w:rsidR="00C40A09" w:rsidRPr="009C1C1C" w:rsidRDefault="00C40A09" w:rsidP="00C40A09">
            <w:pPr>
              <w:pStyle w:val="Default"/>
              <w:jc w:val="both"/>
              <w:rPr>
                <w:sz w:val="19"/>
                <w:szCs w:val="19"/>
              </w:rPr>
            </w:pPr>
            <w:r w:rsidRPr="009C1C1C">
              <w:rPr>
                <w:sz w:val="19"/>
                <w:szCs w:val="19"/>
              </w:rPr>
              <w:t xml:space="preserve">Leivy Lizeth López Calderón </w:t>
            </w:r>
          </w:p>
        </w:tc>
      </w:tr>
    </w:tbl>
    <w:p w:rsidR="00162ED6" w:rsidRPr="009C1C1C" w:rsidRDefault="00746A60" w:rsidP="00F13994">
      <w:pPr>
        <w:spacing w:after="240" w:afterAutospacing="0"/>
        <w:rPr>
          <w:rFonts w:eastAsiaTheme="majorEastAsia" w:cs="Arial"/>
          <w:b/>
          <w:bCs/>
          <w:color w:val="0E4E7A"/>
          <w:spacing w:val="4"/>
          <w:sz w:val="28"/>
          <w:szCs w:val="24"/>
        </w:rPr>
      </w:pPr>
      <w:r w:rsidRPr="006838CB">
        <w:rPr>
          <w:rFonts w:eastAsiaTheme="majorEastAsia" w:cs="Arial"/>
          <w:b/>
          <w:bCs/>
          <w:color w:val="0E4E7A"/>
          <w:spacing w:val="4"/>
          <w:sz w:val="28"/>
          <w:szCs w:val="24"/>
        </w:rPr>
        <w:t xml:space="preserve">Identificación </w:t>
      </w:r>
      <w:r w:rsidR="006E20CC" w:rsidRPr="006838CB">
        <w:rPr>
          <w:rFonts w:eastAsiaTheme="majorEastAsia" w:cs="Arial"/>
          <w:b/>
          <w:bCs/>
          <w:color w:val="0E4E7A"/>
          <w:spacing w:val="4"/>
          <w:sz w:val="28"/>
          <w:szCs w:val="24"/>
        </w:rPr>
        <w:t>de la Evaluación</w:t>
      </w:r>
    </w:p>
    <w:sectPr w:rsidR="00162ED6" w:rsidRPr="009C1C1C" w:rsidSect="003B79AC">
      <w:headerReference w:type="default" r:id="rId9"/>
      <w:footerReference w:type="default" r:id="rId10"/>
      <w:headerReference w:type="first" r:id="rId11"/>
      <w:footerReference w:type="first" r:id="rId12"/>
      <w:pgSz w:w="11906" w:h="16838"/>
      <w:pgMar w:top="1417" w:right="1701" w:bottom="1417" w:left="1701" w:header="283"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75A" w:rsidRDefault="000D375A" w:rsidP="00D723E4">
      <w:pPr>
        <w:spacing w:after="0" w:line="240" w:lineRule="auto"/>
      </w:pPr>
      <w:r>
        <w:separator/>
      </w:r>
    </w:p>
  </w:endnote>
  <w:endnote w:type="continuationSeparator" w:id="0">
    <w:p w:rsidR="000D375A" w:rsidRDefault="000D375A" w:rsidP="00D723E4">
      <w:pPr>
        <w:spacing w:after="0" w:line="240" w:lineRule="auto"/>
      </w:pPr>
      <w:r>
        <w:continuationSeparator/>
      </w:r>
    </w:p>
  </w:endnote>
  <w:endnote w:type="continuationNotice" w:id="1">
    <w:p w:rsidR="000D375A" w:rsidRDefault="000D37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6191318"/>
      <w:docPartObj>
        <w:docPartGallery w:val="Page Numbers (Bottom of Page)"/>
        <w:docPartUnique/>
      </w:docPartObj>
    </w:sdtPr>
    <w:sdtEndPr/>
    <w:sdtContent>
      <w:p w:rsidR="0061776B" w:rsidRDefault="0061776B">
        <w:pPr>
          <w:pStyle w:val="Piedepgina"/>
          <w:jc w:val="center"/>
        </w:pPr>
        <w:r>
          <w:fldChar w:fldCharType="begin"/>
        </w:r>
        <w:r>
          <w:instrText>PAGE   \* MERGEFORMAT</w:instrText>
        </w:r>
        <w:r>
          <w:fldChar w:fldCharType="separate"/>
        </w:r>
        <w:r w:rsidR="001D2CF6">
          <w:rPr>
            <w:noProof/>
          </w:rPr>
          <w:t>2</w:t>
        </w:r>
        <w:r>
          <w:fldChar w:fldCharType="end"/>
        </w:r>
      </w:p>
    </w:sdtContent>
  </w:sdt>
  <w:p w:rsidR="00DE016E" w:rsidRDefault="00DE016E" w:rsidP="0061776B">
    <w:pPr>
      <w:pStyle w:val="Piedepgina"/>
      <w:spacing w:after="10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6661556"/>
      <w:docPartObj>
        <w:docPartGallery w:val="Page Numbers (Bottom of Page)"/>
        <w:docPartUnique/>
      </w:docPartObj>
    </w:sdtPr>
    <w:sdtEndPr/>
    <w:sdtContent>
      <w:p w:rsidR="00DE016E" w:rsidRDefault="00DE016E">
        <w:pPr>
          <w:pStyle w:val="Piedepgina"/>
          <w:jc w:val="center"/>
        </w:pPr>
        <w:r>
          <w:fldChar w:fldCharType="begin"/>
        </w:r>
        <w:r>
          <w:instrText>PAGE   \* MERGEFORMAT</w:instrText>
        </w:r>
        <w:r>
          <w:fldChar w:fldCharType="separate"/>
        </w:r>
        <w:r>
          <w:rPr>
            <w:noProof/>
          </w:rPr>
          <w:t>1</w:t>
        </w:r>
        <w:r>
          <w:rPr>
            <w:noProof/>
          </w:rPr>
          <w:fldChar w:fldCharType="end"/>
        </w:r>
      </w:p>
    </w:sdtContent>
  </w:sdt>
  <w:p w:rsidR="00DE016E" w:rsidRDefault="00DE016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75A" w:rsidRDefault="000D375A" w:rsidP="00D723E4">
      <w:pPr>
        <w:spacing w:after="0" w:line="240" w:lineRule="auto"/>
      </w:pPr>
      <w:r>
        <w:separator/>
      </w:r>
    </w:p>
  </w:footnote>
  <w:footnote w:type="continuationSeparator" w:id="0">
    <w:p w:rsidR="000D375A" w:rsidRDefault="000D375A" w:rsidP="00D723E4">
      <w:pPr>
        <w:spacing w:after="0" w:line="240" w:lineRule="auto"/>
      </w:pPr>
      <w:r>
        <w:continuationSeparator/>
      </w:r>
    </w:p>
  </w:footnote>
  <w:footnote w:type="continuationNotice" w:id="1">
    <w:p w:rsidR="000D375A" w:rsidRDefault="000D375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16E" w:rsidRDefault="00BB770A" w:rsidP="00291A98">
    <w:pPr>
      <w:pStyle w:val="Encabezado"/>
      <w:tabs>
        <w:tab w:val="left" w:pos="2970"/>
      </w:tabs>
      <w:rPr>
        <w:rFonts w:cs="Times New Roman"/>
      </w:rPr>
    </w:pPr>
    <w:r w:rsidRPr="001633D0">
      <w:rPr>
        <w:rFonts w:ascii="Calibri" w:eastAsia="Calibri" w:hAnsi="Calibri" w:cs="Times New Roman"/>
        <w:noProof/>
        <w:szCs w:val="24"/>
        <w:lang w:val="es-MX" w:eastAsia="es-MX"/>
      </w:rPr>
      <w:drawing>
        <wp:anchor distT="0" distB="0" distL="114300" distR="114300" simplePos="0" relativeHeight="251668480" behindDoc="0" locked="0" layoutInCell="1" allowOverlap="1" wp14:anchorId="726876AB" wp14:editId="2C9D6D3E">
          <wp:simplePos x="0" y="0"/>
          <wp:positionH relativeFrom="margin">
            <wp:align>left</wp:align>
          </wp:positionH>
          <wp:positionV relativeFrom="paragraph">
            <wp:posOffset>-635</wp:posOffset>
          </wp:positionV>
          <wp:extent cx="1483193" cy="552333"/>
          <wp:effectExtent l="0" t="0" r="3175" b="635"/>
          <wp:wrapNone/>
          <wp:docPr id="3099" name="Imagen 3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83193" cy="552333"/>
                  </a:xfrm>
                  <a:prstGeom prst="rect">
                    <a:avLst/>
                  </a:prstGeom>
                </pic:spPr>
              </pic:pic>
            </a:graphicData>
          </a:graphic>
          <wp14:sizeRelH relativeFrom="page">
            <wp14:pctWidth>0</wp14:pctWidth>
          </wp14:sizeRelH>
          <wp14:sizeRelV relativeFrom="page">
            <wp14:pctHeight>0</wp14:pctHeight>
          </wp14:sizeRelV>
        </wp:anchor>
      </w:drawing>
    </w:r>
    <w:r w:rsidR="007B02C5">
      <w:rPr>
        <w:noProof/>
        <w:lang w:val="es-MX" w:eastAsia="es-MX"/>
      </w:rPr>
      <w:drawing>
        <wp:anchor distT="0" distB="0" distL="114300" distR="114300" simplePos="0" relativeHeight="251658752" behindDoc="0" locked="0" layoutInCell="1" allowOverlap="1" wp14:anchorId="3C41AFE0" wp14:editId="3F04F20A">
          <wp:simplePos x="0" y="0"/>
          <wp:positionH relativeFrom="margin">
            <wp:align>right</wp:align>
          </wp:positionH>
          <wp:positionV relativeFrom="paragraph">
            <wp:posOffset>15240</wp:posOffset>
          </wp:positionV>
          <wp:extent cx="1047750" cy="541020"/>
          <wp:effectExtent l="0" t="0" r="0" b="0"/>
          <wp:wrapNone/>
          <wp:docPr id="11" name="Imagen 12" descr="Descripción: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descr="Descripción: logo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7750" cy="541020"/>
                  </a:xfrm>
                  <a:prstGeom prst="rect">
                    <a:avLst/>
                  </a:prstGeom>
                  <a:noFill/>
                </pic:spPr>
              </pic:pic>
            </a:graphicData>
          </a:graphic>
        </wp:anchor>
      </w:drawing>
    </w:r>
    <w:r w:rsidR="00DE016E">
      <w:rPr>
        <w:rFonts w:cs="Times New Roma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16E" w:rsidRDefault="00DE016E" w:rsidP="00B70311">
    <w:pPr>
      <w:pStyle w:val="Encabezado"/>
    </w:pPr>
    <w:r>
      <w:rPr>
        <w:noProof/>
        <w:lang w:val="es-MX" w:eastAsia="es-MX"/>
      </w:rPr>
      <w:drawing>
        <wp:anchor distT="0" distB="0" distL="114300" distR="114300" simplePos="0" relativeHeight="251660288" behindDoc="1" locked="0" layoutInCell="1" allowOverlap="1">
          <wp:simplePos x="0" y="0"/>
          <wp:positionH relativeFrom="column">
            <wp:posOffset>4705350</wp:posOffset>
          </wp:positionH>
          <wp:positionV relativeFrom="paragraph">
            <wp:posOffset>-267335</wp:posOffset>
          </wp:positionV>
          <wp:extent cx="1047750" cy="541020"/>
          <wp:effectExtent l="0" t="0" r="0" b="0"/>
          <wp:wrapTight wrapText="bothSides">
            <wp:wrapPolygon edited="0">
              <wp:start x="9818" y="0"/>
              <wp:lineTo x="0" y="2282"/>
              <wp:lineTo x="0" y="6085"/>
              <wp:lineTo x="393" y="18254"/>
              <wp:lineTo x="3142" y="20535"/>
              <wp:lineTo x="9425" y="20535"/>
              <wp:lineTo x="12175" y="20535"/>
              <wp:lineTo x="21207" y="19014"/>
              <wp:lineTo x="21207" y="2282"/>
              <wp:lineTo x="12567" y="0"/>
              <wp:lineTo x="9818" y="0"/>
            </wp:wrapPolygon>
          </wp:wrapTight>
          <wp:docPr id="5" name="Imagen 5" descr="Descripción: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ción: logo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47750" cy="541020"/>
                  </a:xfrm>
                  <a:prstGeom prst="rect">
                    <a:avLst/>
                  </a:prstGeom>
                  <a:noFill/>
                </pic:spPr>
              </pic:pic>
            </a:graphicData>
          </a:graphic>
        </wp:anchor>
      </w:drawing>
    </w:r>
    <w:r w:rsidRPr="00F13994">
      <w:rPr>
        <w:noProof/>
        <w:lang w:val="es-MX" w:eastAsia="es-MX"/>
      </w:rPr>
      <w:drawing>
        <wp:anchor distT="0" distB="0" distL="114300" distR="114300" simplePos="0" relativeHeight="251666432" behindDoc="0" locked="0" layoutInCell="1" allowOverlap="1">
          <wp:simplePos x="0" y="0"/>
          <wp:positionH relativeFrom="column">
            <wp:posOffset>-365760</wp:posOffset>
          </wp:positionH>
          <wp:positionV relativeFrom="paragraph">
            <wp:posOffset>26670</wp:posOffset>
          </wp:positionV>
          <wp:extent cx="571500" cy="413385"/>
          <wp:effectExtent l="0" t="0" r="0" b="5715"/>
          <wp:wrapThrough wrapText="bothSides">
            <wp:wrapPolygon edited="0">
              <wp:start x="0" y="0"/>
              <wp:lineTo x="0" y="20903"/>
              <wp:lineTo x="20880" y="20903"/>
              <wp:lineTo x="20880" y="0"/>
              <wp:lineTo x="0"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pic:cNvPicPr>
                    <a:picLocks noChangeAspect="1" noChangeArrowheads="1"/>
                  </pic:cNvPicPr>
                </pic:nvPicPr>
                <pic:blipFill>
                  <a:blip r:embed="rId2">
                    <a:extLst>
                      <a:ext uri="{28A0092B-C50C-407E-A947-70E740481C1C}">
                        <a14:useLocalDpi xmlns:a14="http://schemas.microsoft.com/office/drawing/2010/main" val="0"/>
                      </a:ext>
                    </a:extLst>
                  </a:blip>
                  <a:srcRect l="22260" t="57385" r="21791" b="3795"/>
                  <a:stretch>
                    <a:fillRect/>
                  </a:stretch>
                </pic:blipFill>
                <pic:spPr bwMode="auto">
                  <a:xfrm>
                    <a:off x="0" y="0"/>
                    <a:ext cx="571500" cy="413385"/>
                  </a:xfrm>
                  <a:prstGeom prst="rect">
                    <a:avLst/>
                  </a:prstGeom>
                  <a:noFill/>
                </pic:spPr>
              </pic:pic>
            </a:graphicData>
          </a:graphic>
        </wp:anchor>
      </w:drawing>
    </w:r>
    <w:r w:rsidRPr="00F13994">
      <w:rPr>
        <w:noProof/>
        <w:lang w:val="es-MX" w:eastAsia="es-MX"/>
      </w:rPr>
      <w:drawing>
        <wp:anchor distT="0" distB="0" distL="114300" distR="114300" simplePos="0" relativeHeight="251665408" behindDoc="0" locked="0" layoutInCell="1" allowOverlap="1">
          <wp:simplePos x="0" y="0"/>
          <wp:positionH relativeFrom="column">
            <wp:posOffset>-289560</wp:posOffset>
          </wp:positionH>
          <wp:positionV relativeFrom="paragraph">
            <wp:posOffset>-327660</wp:posOffset>
          </wp:positionV>
          <wp:extent cx="400050" cy="391795"/>
          <wp:effectExtent l="0" t="0" r="0" b="8255"/>
          <wp:wrapThrough wrapText="bothSides">
            <wp:wrapPolygon edited="0">
              <wp:start x="0" y="0"/>
              <wp:lineTo x="0" y="21005"/>
              <wp:lineTo x="20571" y="21005"/>
              <wp:lineTo x="20571" y="0"/>
              <wp:lineTo x="0" y="0"/>
            </wp:wrapPolygon>
          </wp:wrapThrough>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pic:cNvPicPr>
                    <a:picLocks noChangeAspect="1" noChangeArrowheads="1"/>
                  </pic:cNvPicPr>
                </pic:nvPicPr>
                <pic:blipFill>
                  <a:blip r:embed="rId2">
                    <a:extLst>
                      <a:ext uri="{28A0092B-C50C-407E-A947-70E740481C1C}">
                        <a14:useLocalDpi xmlns:a14="http://schemas.microsoft.com/office/drawing/2010/main" val="0"/>
                      </a:ext>
                    </a:extLst>
                  </a:blip>
                  <a:srcRect l="22835" t="7104" r="22377" b="41522"/>
                  <a:stretch>
                    <a:fillRect/>
                  </a:stretch>
                </pic:blipFill>
                <pic:spPr bwMode="auto">
                  <a:xfrm flipV="1">
                    <a:off x="0" y="0"/>
                    <a:ext cx="400050" cy="39179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25pt;height:14.25pt" o:bullet="t">
        <v:imagedata r:id="rId1" o:title="BD14565_"/>
      </v:shape>
    </w:pict>
  </w:numPicBullet>
  <w:abstractNum w:abstractNumId="0">
    <w:nsid w:val="0B5C01B8"/>
    <w:multiLevelType w:val="hybridMultilevel"/>
    <w:tmpl w:val="2868756E"/>
    <w:lvl w:ilvl="0" w:tplc="699E6766">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04A20C4"/>
    <w:multiLevelType w:val="hybridMultilevel"/>
    <w:tmpl w:val="79728F9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64E57F1"/>
    <w:multiLevelType w:val="hybridMultilevel"/>
    <w:tmpl w:val="27C88C88"/>
    <w:lvl w:ilvl="0" w:tplc="FD6A7F1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AB242D0"/>
    <w:multiLevelType w:val="hybridMultilevel"/>
    <w:tmpl w:val="ACA8557C"/>
    <w:lvl w:ilvl="0" w:tplc="FD6A7F1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60C522A"/>
    <w:multiLevelType w:val="hybridMultilevel"/>
    <w:tmpl w:val="C65AE5AA"/>
    <w:lvl w:ilvl="0" w:tplc="FD6A7F1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9462436"/>
    <w:multiLevelType w:val="hybridMultilevel"/>
    <w:tmpl w:val="B4A80916"/>
    <w:lvl w:ilvl="0" w:tplc="FD6A7F1E">
      <w:start w:val="1"/>
      <w:numFmt w:val="bullet"/>
      <w:lvlText w:val="►"/>
      <w:lvlJc w:val="left"/>
      <w:pPr>
        <w:ind w:left="720" w:hanging="360"/>
      </w:pPr>
      <w:rPr>
        <w:rFonts w:ascii="Century Gothic" w:hAnsi="Century Gothic"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3C7048F5"/>
    <w:multiLevelType w:val="hybridMultilevel"/>
    <w:tmpl w:val="377298C6"/>
    <w:lvl w:ilvl="0" w:tplc="699E6766">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nsid w:val="3ECC4C8A"/>
    <w:multiLevelType w:val="hybridMultilevel"/>
    <w:tmpl w:val="18004058"/>
    <w:lvl w:ilvl="0" w:tplc="DF2C3A92">
      <w:start w:val="1"/>
      <w:numFmt w:val="bullet"/>
      <w:lvlText w:val="►"/>
      <w:lvlJc w:val="left"/>
      <w:pPr>
        <w:ind w:left="720" w:hanging="360"/>
      </w:pPr>
      <w:rPr>
        <w:rFonts w:ascii="Arial" w:hAnsi="Arial" w:hint="default"/>
        <w:color w:val="0E4E7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4A2F4086"/>
    <w:multiLevelType w:val="hybridMultilevel"/>
    <w:tmpl w:val="1690F4BE"/>
    <w:lvl w:ilvl="0" w:tplc="699E6766">
      <w:start w:val="1"/>
      <w:numFmt w:val="bullet"/>
      <w:lvlText w:val=""/>
      <w:lvlPicBulletId w:val="0"/>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nsid w:val="70C349EC"/>
    <w:multiLevelType w:val="hybridMultilevel"/>
    <w:tmpl w:val="57F2463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BC767C2"/>
    <w:multiLevelType w:val="hybridMultilevel"/>
    <w:tmpl w:val="1204862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7"/>
  </w:num>
  <w:num w:numId="5">
    <w:abstractNumId w:val="10"/>
  </w:num>
  <w:num w:numId="6">
    <w:abstractNumId w:val="8"/>
  </w:num>
  <w:num w:numId="7">
    <w:abstractNumId w:val="2"/>
  </w:num>
  <w:num w:numId="8">
    <w:abstractNumId w:val="5"/>
  </w:num>
  <w:num w:numId="9">
    <w:abstractNumId w:val="9"/>
  </w:num>
  <w:num w:numId="10">
    <w:abstractNumId w:val="4"/>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s-ES" w:vendorID="64" w:dllVersion="0" w:nlCheck="1" w:checkStyle="0"/>
  <w:activeWritingStyle w:appName="MSWord" w:lang="es-MX" w:vendorID="64" w:dllVersion="0" w:nlCheck="1" w:checkStyle="0"/>
  <w:activeWritingStyle w:appName="MSWord" w:lang="es-ES" w:vendorID="64" w:dllVersion="131078" w:nlCheck="1" w:checkStyle="1"/>
  <w:activeWritingStyle w:appName="MSWord" w:lang="es-MX" w:vendorID="64" w:dllVersion="131078" w:nlCheck="1" w:checkStyle="1"/>
  <w:activeWritingStyle w:appName="MSWord" w:lang="es-ES_tradnl" w:vendorID="64" w:dllVersion="131078" w:nlCheck="1" w:checkStyle="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D44"/>
    <w:rsid w:val="00001E3B"/>
    <w:rsid w:val="000048A6"/>
    <w:rsid w:val="000077F0"/>
    <w:rsid w:val="000103B3"/>
    <w:rsid w:val="000117C1"/>
    <w:rsid w:val="00013E89"/>
    <w:rsid w:val="00014585"/>
    <w:rsid w:val="00015099"/>
    <w:rsid w:val="00015F46"/>
    <w:rsid w:val="00026381"/>
    <w:rsid w:val="000318D5"/>
    <w:rsid w:val="00032151"/>
    <w:rsid w:val="000323A1"/>
    <w:rsid w:val="00033212"/>
    <w:rsid w:val="000361A8"/>
    <w:rsid w:val="0003763A"/>
    <w:rsid w:val="000404E8"/>
    <w:rsid w:val="00041EE3"/>
    <w:rsid w:val="00044059"/>
    <w:rsid w:val="00045D1D"/>
    <w:rsid w:val="00046AD4"/>
    <w:rsid w:val="00046E02"/>
    <w:rsid w:val="00047415"/>
    <w:rsid w:val="000478EA"/>
    <w:rsid w:val="00050B7F"/>
    <w:rsid w:val="00052091"/>
    <w:rsid w:val="00057A4B"/>
    <w:rsid w:val="00061211"/>
    <w:rsid w:val="0006234E"/>
    <w:rsid w:val="00062967"/>
    <w:rsid w:val="0006319D"/>
    <w:rsid w:val="000638BF"/>
    <w:rsid w:val="00064AC3"/>
    <w:rsid w:val="000670DE"/>
    <w:rsid w:val="000727E9"/>
    <w:rsid w:val="00073921"/>
    <w:rsid w:val="00075C80"/>
    <w:rsid w:val="00076BE6"/>
    <w:rsid w:val="00080143"/>
    <w:rsid w:val="00080854"/>
    <w:rsid w:val="000841DD"/>
    <w:rsid w:val="000857B7"/>
    <w:rsid w:val="0009033B"/>
    <w:rsid w:val="00090444"/>
    <w:rsid w:val="00092DEB"/>
    <w:rsid w:val="00095100"/>
    <w:rsid w:val="000954BF"/>
    <w:rsid w:val="000955AE"/>
    <w:rsid w:val="0009684F"/>
    <w:rsid w:val="000969AA"/>
    <w:rsid w:val="00097F15"/>
    <w:rsid w:val="000A0BB4"/>
    <w:rsid w:val="000A1070"/>
    <w:rsid w:val="000A11C1"/>
    <w:rsid w:val="000A3E47"/>
    <w:rsid w:val="000B089A"/>
    <w:rsid w:val="000B1288"/>
    <w:rsid w:val="000B28CB"/>
    <w:rsid w:val="000B2B31"/>
    <w:rsid w:val="000B2E3E"/>
    <w:rsid w:val="000B3376"/>
    <w:rsid w:val="000B5E5A"/>
    <w:rsid w:val="000B7FC1"/>
    <w:rsid w:val="000C0CCC"/>
    <w:rsid w:val="000C0FDB"/>
    <w:rsid w:val="000C4DB1"/>
    <w:rsid w:val="000C4E02"/>
    <w:rsid w:val="000C4FC2"/>
    <w:rsid w:val="000C698B"/>
    <w:rsid w:val="000C7B78"/>
    <w:rsid w:val="000C7DBB"/>
    <w:rsid w:val="000D0549"/>
    <w:rsid w:val="000D0CFD"/>
    <w:rsid w:val="000D1EFF"/>
    <w:rsid w:val="000D1FFA"/>
    <w:rsid w:val="000D2098"/>
    <w:rsid w:val="000D2627"/>
    <w:rsid w:val="000D30E2"/>
    <w:rsid w:val="000D36F6"/>
    <w:rsid w:val="000D375A"/>
    <w:rsid w:val="000D4AFE"/>
    <w:rsid w:val="000D72C4"/>
    <w:rsid w:val="000E566A"/>
    <w:rsid w:val="000E5DD0"/>
    <w:rsid w:val="000E610F"/>
    <w:rsid w:val="000E7F67"/>
    <w:rsid w:val="000F003C"/>
    <w:rsid w:val="000F108F"/>
    <w:rsid w:val="000F2EEE"/>
    <w:rsid w:val="000F5F21"/>
    <w:rsid w:val="000F689F"/>
    <w:rsid w:val="00100B2A"/>
    <w:rsid w:val="0010450C"/>
    <w:rsid w:val="001062DE"/>
    <w:rsid w:val="001109BD"/>
    <w:rsid w:val="00110B67"/>
    <w:rsid w:val="0011595D"/>
    <w:rsid w:val="0011670A"/>
    <w:rsid w:val="0011704C"/>
    <w:rsid w:val="001173C4"/>
    <w:rsid w:val="00117593"/>
    <w:rsid w:val="0011783E"/>
    <w:rsid w:val="0012022E"/>
    <w:rsid w:val="001222FB"/>
    <w:rsid w:val="00122A06"/>
    <w:rsid w:val="00123B50"/>
    <w:rsid w:val="00126273"/>
    <w:rsid w:val="00127A8F"/>
    <w:rsid w:val="0013344A"/>
    <w:rsid w:val="00133FF6"/>
    <w:rsid w:val="0013562C"/>
    <w:rsid w:val="00143A10"/>
    <w:rsid w:val="001444DC"/>
    <w:rsid w:val="00144AA5"/>
    <w:rsid w:val="00144F6D"/>
    <w:rsid w:val="0014517C"/>
    <w:rsid w:val="0014535F"/>
    <w:rsid w:val="00145667"/>
    <w:rsid w:val="00146238"/>
    <w:rsid w:val="001500C4"/>
    <w:rsid w:val="001504E4"/>
    <w:rsid w:val="00150E6D"/>
    <w:rsid w:val="00155F42"/>
    <w:rsid w:val="0015704E"/>
    <w:rsid w:val="00157F58"/>
    <w:rsid w:val="001618A3"/>
    <w:rsid w:val="00162E23"/>
    <w:rsid w:val="00162ED6"/>
    <w:rsid w:val="001642D5"/>
    <w:rsid w:val="001647F6"/>
    <w:rsid w:val="001665A2"/>
    <w:rsid w:val="00167106"/>
    <w:rsid w:val="00170030"/>
    <w:rsid w:val="00170298"/>
    <w:rsid w:val="001704C8"/>
    <w:rsid w:val="00171A7C"/>
    <w:rsid w:val="00171B1B"/>
    <w:rsid w:val="001726CC"/>
    <w:rsid w:val="001778BE"/>
    <w:rsid w:val="00180D21"/>
    <w:rsid w:val="00182306"/>
    <w:rsid w:val="00185F0A"/>
    <w:rsid w:val="00186C5C"/>
    <w:rsid w:val="00186DEB"/>
    <w:rsid w:val="00190310"/>
    <w:rsid w:val="001906C3"/>
    <w:rsid w:val="00193A14"/>
    <w:rsid w:val="00196776"/>
    <w:rsid w:val="001A1C8A"/>
    <w:rsid w:val="001A5771"/>
    <w:rsid w:val="001A7975"/>
    <w:rsid w:val="001A7ACE"/>
    <w:rsid w:val="001B408D"/>
    <w:rsid w:val="001B5BA9"/>
    <w:rsid w:val="001C49F4"/>
    <w:rsid w:val="001C4F9B"/>
    <w:rsid w:val="001C5EBA"/>
    <w:rsid w:val="001C7389"/>
    <w:rsid w:val="001C7A70"/>
    <w:rsid w:val="001C7D0D"/>
    <w:rsid w:val="001D05A9"/>
    <w:rsid w:val="001D0D0B"/>
    <w:rsid w:val="001D1A34"/>
    <w:rsid w:val="001D1B5D"/>
    <w:rsid w:val="001D2CF6"/>
    <w:rsid w:val="001D4004"/>
    <w:rsid w:val="001D4710"/>
    <w:rsid w:val="001D6C7D"/>
    <w:rsid w:val="001D7E69"/>
    <w:rsid w:val="001E2B9E"/>
    <w:rsid w:val="001E359B"/>
    <w:rsid w:val="001E3833"/>
    <w:rsid w:val="001E50A0"/>
    <w:rsid w:val="001E50F4"/>
    <w:rsid w:val="001E51C8"/>
    <w:rsid w:val="001E76BE"/>
    <w:rsid w:val="001F01FD"/>
    <w:rsid w:val="001F09F1"/>
    <w:rsid w:val="001F3CA0"/>
    <w:rsid w:val="001F461B"/>
    <w:rsid w:val="001F51B6"/>
    <w:rsid w:val="001F7C2C"/>
    <w:rsid w:val="002000E6"/>
    <w:rsid w:val="0020360A"/>
    <w:rsid w:val="00212405"/>
    <w:rsid w:val="0021274E"/>
    <w:rsid w:val="00212E54"/>
    <w:rsid w:val="00213250"/>
    <w:rsid w:val="00213B27"/>
    <w:rsid w:val="00214315"/>
    <w:rsid w:val="00214FD6"/>
    <w:rsid w:val="00215195"/>
    <w:rsid w:val="00217C26"/>
    <w:rsid w:val="00217C7C"/>
    <w:rsid w:val="002209A4"/>
    <w:rsid w:val="00221266"/>
    <w:rsid w:val="0022132B"/>
    <w:rsid w:val="0022190B"/>
    <w:rsid w:val="00221CED"/>
    <w:rsid w:val="002238D5"/>
    <w:rsid w:val="00223DAB"/>
    <w:rsid w:val="002258AD"/>
    <w:rsid w:val="0023114E"/>
    <w:rsid w:val="00232370"/>
    <w:rsid w:val="002327F8"/>
    <w:rsid w:val="00232C93"/>
    <w:rsid w:val="00233A4A"/>
    <w:rsid w:val="002347CA"/>
    <w:rsid w:val="00236437"/>
    <w:rsid w:val="00240155"/>
    <w:rsid w:val="0024144D"/>
    <w:rsid w:val="00243938"/>
    <w:rsid w:val="0024480A"/>
    <w:rsid w:val="00244A66"/>
    <w:rsid w:val="00246F09"/>
    <w:rsid w:val="002473C9"/>
    <w:rsid w:val="00250378"/>
    <w:rsid w:val="00251525"/>
    <w:rsid w:val="00254839"/>
    <w:rsid w:val="00256677"/>
    <w:rsid w:val="00257FD7"/>
    <w:rsid w:val="00260F44"/>
    <w:rsid w:val="002630D4"/>
    <w:rsid w:val="00266219"/>
    <w:rsid w:val="00281C91"/>
    <w:rsid w:val="00283BD4"/>
    <w:rsid w:val="00284B6F"/>
    <w:rsid w:val="00285DF4"/>
    <w:rsid w:val="00287634"/>
    <w:rsid w:val="0029160B"/>
    <w:rsid w:val="00291A98"/>
    <w:rsid w:val="00291DDA"/>
    <w:rsid w:val="00293492"/>
    <w:rsid w:val="00293EE4"/>
    <w:rsid w:val="00294579"/>
    <w:rsid w:val="0029657C"/>
    <w:rsid w:val="00296C43"/>
    <w:rsid w:val="002A3925"/>
    <w:rsid w:val="002A4B43"/>
    <w:rsid w:val="002A6926"/>
    <w:rsid w:val="002A6E61"/>
    <w:rsid w:val="002A77C1"/>
    <w:rsid w:val="002B09F3"/>
    <w:rsid w:val="002B119B"/>
    <w:rsid w:val="002B30AC"/>
    <w:rsid w:val="002B50CA"/>
    <w:rsid w:val="002B6B73"/>
    <w:rsid w:val="002B7F6D"/>
    <w:rsid w:val="002C10F2"/>
    <w:rsid w:val="002C42A5"/>
    <w:rsid w:val="002C5990"/>
    <w:rsid w:val="002C605E"/>
    <w:rsid w:val="002D087A"/>
    <w:rsid w:val="002D08C6"/>
    <w:rsid w:val="002D1AC2"/>
    <w:rsid w:val="002D4653"/>
    <w:rsid w:val="002D7F46"/>
    <w:rsid w:val="002F0C21"/>
    <w:rsid w:val="002F186E"/>
    <w:rsid w:val="002F1915"/>
    <w:rsid w:val="002F2893"/>
    <w:rsid w:val="002F31AA"/>
    <w:rsid w:val="002F4390"/>
    <w:rsid w:val="002F7A12"/>
    <w:rsid w:val="002F7D45"/>
    <w:rsid w:val="003015AD"/>
    <w:rsid w:val="003030C7"/>
    <w:rsid w:val="003030FF"/>
    <w:rsid w:val="00304E26"/>
    <w:rsid w:val="003050D9"/>
    <w:rsid w:val="00311895"/>
    <w:rsid w:val="003118C6"/>
    <w:rsid w:val="003157F9"/>
    <w:rsid w:val="003171E4"/>
    <w:rsid w:val="0031725A"/>
    <w:rsid w:val="0032198B"/>
    <w:rsid w:val="003232EC"/>
    <w:rsid w:val="00324CBA"/>
    <w:rsid w:val="00331250"/>
    <w:rsid w:val="00332A04"/>
    <w:rsid w:val="00337A5D"/>
    <w:rsid w:val="00341AC7"/>
    <w:rsid w:val="00342427"/>
    <w:rsid w:val="003437A4"/>
    <w:rsid w:val="00347282"/>
    <w:rsid w:val="00347B69"/>
    <w:rsid w:val="003527D2"/>
    <w:rsid w:val="00356DF6"/>
    <w:rsid w:val="00356FF5"/>
    <w:rsid w:val="003570F0"/>
    <w:rsid w:val="00361991"/>
    <w:rsid w:val="00362B34"/>
    <w:rsid w:val="00365828"/>
    <w:rsid w:val="00365A6E"/>
    <w:rsid w:val="0036624E"/>
    <w:rsid w:val="003703B6"/>
    <w:rsid w:val="00374F35"/>
    <w:rsid w:val="00374F48"/>
    <w:rsid w:val="0037500D"/>
    <w:rsid w:val="00375263"/>
    <w:rsid w:val="00375676"/>
    <w:rsid w:val="0037613F"/>
    <w:rsid w:val="00376ABC"/>
    <w:rsid w:val="00377E38"/>
    <w:rsid w:val="00380A34"/>
    <w:rsid w:val="00380D7E"/>
    <w:rsid w:val="003830A6"/>
    <w:rsid w:val="0038508B"/>
    <w:rsid w:val="00387FA6"/>
    <w:rsid w:val="003914A6"/>
    <w:rsid w:val="00391E7A"/>
    <w:rsid w:val="00394BBC"/>
    <w:rsid w:val="00394F0A"/>
    <w:rsid w:val="00396CB0"/>
    <w:rsid w:val="003A300C"/>
    <w:rsid w:val="003A5B43"/>
    <w:rsid w:val="003A6E71"/>
    <w:rsid w:val="003A736B"/>
    <w:rsid w:val="003B0210"/>
    <w:rsid w:val="003B10CA"/>
    <w:rsid w:val="003B383C"/>
    <w:rsid w:val="003B4051"/>
    <w:rsid w:val="003B7932"/>
    <w:rsid w:val="003B79AC"/>
    <w:rsid w:val="003C05EF"/>
    <w:rsid w:val="003C0820"/>
    <w:rsid w:val="003C3925"/>
    <w:rsid w:val="003C46CF"/>
    <w:rsid w:val="003C5095"/>
    <w:rsid w:val="003C5B2B"/>
    <w:rsid w:val="003C5E89"/>
    <w:rsid w:val="003D3B5F"/>
    <w:rsid w:val="003D3DBD"/>
    <w:rsid w:val="003D3DE5"/>
    <w:rsid w:val="003D4F35"/>
    <w:rsid w:val="003E164E"/>
    <w:rsid w:val="003E21D7"/>
    <w:rsid w:val="003E2E6F"/>
    <w:rsid w:val="003E7659"/>
    <w:rsid w:val="003F1F36"/>
    <w:rsid w:val="003F2022"/>
    <w:rsid w:val="003F4DB7"/>
    <w:rsid w:val="004007C2"/>
    <w:rsid w:val="0040291B"/>
    <w:rsid w:val="00402D80"/>
    <w:rsid w:val="004035BF"/>
    <w:rsid w:val="00404722"/>
    <w:rsid w:val="004057A0"/>
    <w:rsid w:val="00406478"/>
    <w:rsid w:val="004072BE"/>
    <w:rsid w:val="004077BD"/>
    <w:rsid w:val="004128DA"/>
    <w:rsid w:val="00415644"/>
    <w:rsid w:val="004166B2"/>
    <w:rsid w:val="00417460"/>
    <w:rsid w:val="0042597F"/>
    <w:rsid w:val="00426496"/>
    <w:rsid w:val="00427A00"/>
    <w:rsid w:val="00427D09"/>
    <w:rsid w:val="00427DE6"/>
    <w:rsid w:val="00430A05"/>
    <w:rsid w:val="0043100B"/>
    <w:rsid w:val="00433E0A"/>
    <w:rsid w:val="00434F78"/>
    <w:rsid w:val="00435A24"/>
    <w:rsid w:val="00435AAB"/>
    <w:rsid w:val="00436359"/>
    <w:rsid w:val="004404A6"/>
    <w:rsid w:val="00442F61"/>
    <w:rsid w:val="00443804"/>
    <w:rsid w:val="00444293"/>
    <w:rsid w:val="00447A24"/>
    <w:rsid w:val="00447F3B"/>
    <w:rsid w:val="00450744"/>
    <w:rsid w:val="00450A24"/>
    <w:rsid w:val="00451528"/>
    <w:rsid w:val="0045227F"/>
    <w:rsid w:val="004528AE"/>
    <w:rsid w:val="00453156"/>
    <w:rsid w:val="004542CB"/>
    <w:rsid w:val="00454DB2"/>
    <w:rsid w:val="00455271"/>
    <w:rsid w:val="004553D3"/>
    <w:rsid w:val="00455C87"/>
    <w:rsid w:val="0045774F"/>
    <w:rsid w:val="00460B7C"/>
    <w:rsid w:val="00462757"/>
    <w:rsid w:val="00463396"/>
    <w:rsid w:val="004635A3"/>
    <w:rsid w:val="00463CC5"/>
    <w:rsid w:val="00464E28"/>
    <w:rsid w:val="00466537"/>
    <w:rsid w:val="004718FE"/>
    <w:rsid w:val="00473189"/>
    <w:rsid w:val="004773FD"/>
    <w:rsid w:val="00477790"/>
    <w:rsid w:val="004825D2"/>
    <w:rsid w:val="00484414"/>
    <w:rsid w:val="0048466E"/>
    <w:rsid w:val="00484689"/>
    <w:rsid w:val="00484A8D"/>
    <w:rsid w:val="004863D8"/>
    <w:rsid w:val="004869E5"/>
    <w:rsid w:val="004923C6"/>
    <w:rsid w:val="0049292B"/>
    <w:rsid w:val="00492DB0"/>
    <w:rsid w:val="00494690"/>
    <w:rsid w:val="00496E55"/>
    <w:rsid w:val="00497077"/>
    <w:rsid w:val="004A2A1E"/>
    <w:rsid w:val="004A45D0"/>
    <w:rsid w:val="004A5182"/>
    <w:rsid w:val="004B02D3"/>
    <w:rsid w:val="004B0809"/>
    <w:rsid w:val="004B2AEA"/>
    <w:rsid w:val="004B5354"/>
    <w:rsid w:val="004B5FCD"/>
    <w:rsid w:val="004B68FF"/>
    <w:rsid w:val="004B6E72"/>
    <w:rsid w:val="004B7935"/>
    <w:rsid w:val="004C17F2"/>
    <w:rsid w:val="004C2753"/>
    <w:rsid w:val="004C4D17"/>
    <w:rsid w:val="004C5132"/>
    <w:rsid w:val="004C5A31"/>
    <w:rsid w:val="004C717C"/>
    <w:rsid w:val="004C7A2F"/>
    <w:rsid w:val="004D4EAB"/>
    <w:rsid w:val="004E055D"/>
    <w:rsid w:val="004E2666"/>
    <w:rsid w:val="004E32F2"/>
    <w:rsid w:val="004E3AF3"/>
    <w:rsid w:val="004E7490"/>
    <w:rsid w:val="004F008B"/>
    <w:rsid w:val="004F4FA1"/>
    <w:rsid w:val="004F514C"/>
    <w:rsid w:val="004F6005"/>
    <w:rsid w:val="0050258E"/>
    <w:rsid w:val="00504708"/>
    <w:rsid w:val="00504B76"/>
    <w:rsid w:val="00506288"/>
    <w:rsid w:val="005065CE"/>
    <w:rsid w:val="005065F1"/>
    <w:rsid w:val="00510792"/>
    <w:rsid w:val="00510AD7"/>
    <w:rsid w:val="00511C83"/>
    <w:rsid w:val="00511CA9"/>
    <w:rsid w:val="0051248B"/>
    <w:rsid w:val="00514374"/>
    <w:rsid w:val="00514C7E"/>
    <w:rsid w:val="00515A04"/>
    <w:rsid w:val="00515DD3"/>
    <w:rsid w:val="005308FB"/>
    <w:rsid w:val="00531AB7"/>
    <w:rsid w:val="005321A6"/>
    <w:rsid w:val="00534EB6"/>
    <w:rsid w:val="00537BFD"/>
    <w:rsid w:val="00540357"/>
    <w:rsid w:val="00541429"/>
    <w:rsid w:val="00541691"/>
    <w:rsid w:val="005416AE"/>
    <w:rsid w:val="005448D5"/>
    <w:rsid w:val="0054605D"/>
    <w:rsid w:val="005461B1"/>
    <w:rsid w:val="00550C3E"/>
    <w:rsid w:val="005552FB"/>
    <w:rsid w:val="00563590"/>
    <w:rsid w:val="00566CF1"/>
    <w:rsid w:val="00567B66"/>
    <w:rsid w:val="005703DB"/>
    <w:rsid w:val="005705B3"/>
    <w:rsid w:val="00572015"/>
    <w:rsid w:val="00575499"/>
    <w:rsid w:val="005801D4"/>
    <w:rsid w:val="00580905"/>
    <w:rsid w:val="00581BBF"/>
    <w:rsid w:val="00581D85"/>
    <w:rsid w:val="00582AFE"/>
    <w:rsid w:val="00584ECE"/>
    <w:rsid w:val="00586A8A"/>
    <w:rsid w:val="00587F78"/>
    <w:rsid w:val="00590A4E"/>
    <w:rsid w:val="00591CF1"/>
    <w:rsid w:val="00591E3B"/>
    <w:rsid w:val="005938FB"/>
    <w:rsid w:val="00593C75"/>
    <w:rsid w:val="00596F1D"/>
    <w:rsid w:val="005A0F45"/>
    <w:rsid w:val="005A1A8F"/>
    <w:rsid w:val="005A2E29"/>
    <w:rsid w:val="005A67AD"/>
    <w:rsid w:val="005B04C3"/>
    <w:rsid w:val="005B0ACD"/>
    <w:rsid w:val="005B3FB2"/>
    <w:rsid w:val="005C0BE9"/>
    <w:rsid w:val="005C14AC"/>
    <w:rsid w:val="005C1F0D"/>
    <w:rsid w:val="005C4C95"/>
    <w:rsid w:val="005C55F3"/>
    <w:rsid w:val="005D1675"/>
    <w:rsid w:val="005D1724"/>
    <w:rsid w:val="005D2453"/>
    <w:rsid w:val="005E0EB9"/>
    <w:rsid w:val="005E2359"/>
    <w:rsid w:val="005E6396"/>
    <w:rsid w:val="005E6BE9"/>
    <w:rsid w:val="005E7E37"/>
    <w:rsid w:val="005F6BA1"/>
    <w:rsid w:val="00600107"/>
    <w:rsid w:val="00605273"/>
    <w:rsid w:val="00606C83"/>
    <w:rsid w:val="00607C65"/>
    <w:rsid w:val="00612047"/>
    <w:rsid w:val="006122F4"/>
    <w:rsid w:val="006160C4"/>
    <w:rsid w:val="006163D6"/>
    <w:rsid w:val="0061776B"/>
    <w:rsid w:val="00623E62"/>
    <w:rsid w:val="00627F1D"/>
    <w:rsid w:val="006321D7"/>
    <w:rsid w:val="0063465C"/>
    <w:rsid w:val="00634815"/>
    <w:rsid w:val="0063676B"/>
    <w:rsid w:val="0064201E"/>
    <w:rsid w:val="006432C5"/>
    <w:rsid w:val="0064412C"/>
    <w:rsid w:val="00646E13"/>
    <w:rsid w:val="00650DFB"/>
    <w:rsid w:val="00652A68"/>
    <w:rsid w:val="00653DFC"/>
    <w:rsid w:val="006543FC"/>
    <w:rsid w:val="006607B5"/>
    <w:rsid w:val="00660882"/>
    <w:rsid w:val="00660D83"/>
    <w:rsid w:val="006634B5"/>
    <w:rsid w:val="00664885"/>
    <w:rsid w:val="00666215"/>
    <w:rsid w:val="00670B84"/>
    <w:rsid w:val="00672CC3"/>
    <w:rsid w:val="006747C6"/>
    <w:rsid w:val="00674EDF"/>
    <w:rsid w:val="006802F2"/>
    <w:rsid w:val="00682270"/>
    <w:rsid w:val="00682A5F"/>
    <w:rsid w:val="006838CB"/>
    <w:rsid w:val="00684389"/>
    <w:rsid w:val="006846AA"/>
    <w:rsid w:val="00685A31"/>
    <w:rsid w:val="0068695D"/>
    <w:rsid w:val="00687961"/>
    <w:rsid w:val="006906BB"/>
    <w:rsid w:val="0069412D"/>
    <w:rsid w:val="006956C6"/>
    <w:rsid w:val="00696360"/>
    <w:rsid w:val="00697484"/>
    <w:rsid w:val="006979EB"/>
    <w:rsid w:val="006A0CF0"/>
    <w:rsid w:val="006A464C"/>
    <w:rsid w:val="006A6088"/>
    <w:rsid w:val="006A6125"/>
    <w:rsid w:val="006A69B8"/>
    <w:rsid w:val="006B0F25"/>
    <w:rsid w:val="006B267F"/>
    <w:rsid w:val="006B2BD6"/>
    <w:rsid w:val="006B2E08"/>
    <w:rsid w:val="006B4586"/>
    <w:rsid w:val="006B4674"/>
    <w:rsid w:val="006B5004"/>
    <w:rsid w:val="006B5DAE"/>
    <w:rsid w:val="006B5EDE"/>
    <w:rsid w:val="006B6F1D"/>
    <w:rsid w:val="006C0630"/>
    <w:rsid w:val="006C0E1B"/>
    <w:rsid w:val="006C2D73"/>
    <w:rsid w:val="006C32CD"/>
    <w:rsid w:val="006C370E"/>
    <w:rsid w:val="006C568F"/>
    <w:rsid w:val="006C7575"/>
    <w:rsid w:val="006C7841"/>
    <w:rsid w:val="006D20C7"/>
    <w:rsid w:val="006D46A1"/>
    <w:rsid w:val="006D669B"/>
    <w:rsid w:val="006E0DF8"/>
    <w:rsid w:val="006E20CC"/>
    <w:rsid w:val="006E3AC6"/>
    <w:rsid w:val="006E4741"/>
    <w:rsid w:val="006E56EB"/>
    <w:rsid w:val="006E783C"/>
    <w:rsid w:val="006F060D"/>
    <w:rsid w:val="006F2B23"/>
    <w:rsid w:val="006F2EFB"/>
    <w:rsid w:val="006F3444"/>
    <w:rsid w:val="006F401A"/>
    <w:rsid w:val="006F4309"/>
    <w:rsid w:val="00703AAC"/>
    <w:rsid w:val="007113B5"/>
    <w:rsid w:val="0071160B"/>
    <w:rsid w:val="0071273C"/>
    <w:rsid w:val="00712EF7"/>
    <w:rsid w:val="00714888"/>
    <w:rsid w:val="007170F9"/>
    <w:rsid w:val="0071752E"/>
    <w:rsid w:val="00717C42"/>
    <w:rsid w:val="00720074"/>
    <w:rsid w:val="00720A32"/>
    <w:rsid w:val="00720B2A"/>
    <w:rsid w:val="00720B96"/>
    <w:rsid w:val="00723093"/>
    <w:rsid w:val="007239B2"/>
    <w:rsid w:val="00723A60"/>
    <w:rsid w:val="0072560D"/>
    <w:rsid w:val="007271BB"/>
    <w:rsid w:val="00730049"/>
    <w:rsid w:val="0073037B"/>
    <w:rsid w:val="007307B6"/>
    <w:rsid w:val="00731D61"/>
    <w:rsid w:val="00731F3A"/>
    <w:rsid w:val="00733048"/>
    <w:rsid w:val="00734121"/>
    <w:rsid w:val="00734419"/>
    <w:rsid w:val="00736E16"/>
    <w:rsid w:val="007409CA"/>
    <w:rsid w:val="00741AC7"/>
    <w:rsid w:val="00746674"/>
    <w:rsid w:val="00746A60"/>
    <w:rsid w:val="007471A3"/>
    <w:rsid w:val="00751B7E"/>
    <w:rsid w:val="00753F07"/>
    <w:rsid w:val="00753F2F"/>
    <w:rsid w:val="007557BB"/>
    <w:rsid w:val="0075615A"/>
    <w:rsid w:val="0075643D"/>
    <w:rsid w:val="00756869"/>
    <w:rsid w:val="00761EF0"/>
    <w:rsid w:val="007641CC"/>
    <w:rsid w:val="00770D4F"/>
    <w:rsid w:val="00770F92"/>
    <w:rsid w:val="00771FFC"/>
    <w:rsid w:val="007728C9"/>
    <w:rsid w:val="00774413"/>
    <w:rsid w:val="0077638C"/>
    <w:rsid w:val="00776590"/>
    <w:rsid w:val="00776A1A"/>
    <w:rsid w:val="007813F0"/>
    <w:rsid w:val="0078318D"/>
    <w:rsid w:val="007840B2"/>
    <w:rsid w:val="00791FB3"/>
    <w:rsid w:val="00797012"/>
    <w:rsid w:val="0079784C"/>
    <w:rsid w:val="007A3185"/>
    <w:rsid w:val="007A5854"/>
    <w:rsid w:val="007A5A8F"/>
    <w:rsid w:val="007B02C5"/>
    <w:rsid w:val="007B0B30"/>
    <w:rsid w:val="007B1CCF"/>
    <w:rsid w:val="007B25D8"/>
    <w:rsid w:val="007B2D80"/>
    <w:rsid w:val="007B62C3"/>
    <w:rsid w:val="007B6919"/>
    <w:rsid w:val="007B776A"/>
    <w:rsid w:val="007C37EB"/>
    <w:rsid w:val="007C4690"/>
    <w:rsid w:val="007C5C33"/>
    <w:rsid w:val="007C7539"/>
    <w:rsid w:val="007D027E"/>
    <w:rsid w:val="007D0650"/>
    <w:rsid w:val="007D10AD"/>
    <w:rsid w:val="007D23FE"/>
    <w:rsid w:val="007D35B7"/>
    <w:rsid w:val="007D3E49"/>
    <w:rsid w:val="007D453A"/>
    <w:rsid w:val="007D4B5E"/>
    <w:rsid w:val="007D4E78"/>
    <w:rsid w:val="007D5EA8"/>
    <w:rsid w:val="007E1216"/>
    <w:rsid w:val="007E1495"/>
    <w:rsid w:val="007E4650"/>
    <w:rsid w:val="007E7D83"/>
    <w:rsid w:val="007F1409"/>
    <w:rsid w:val="007F1E7E"/>
    <w:rsid w:val="007F1F42"/>
    <w:rsid w:val="007F2EAB"/>
    <w:rsid w:val="007F3CE7"/>
    <w:rsid w:val="007F43D3"/>
    <w:rsid w:val="007F5572"/>
    <w:rsid w:val="007F5FA4"/>
    <w:rsid w:val="008004AC"/>
    <w:rsid w:val="00800F79"/>
    <w:rsid w:val="00804E60"/>
    <w:rsid w:val="00807EFC"/>
    <w:rsid w:val="0081039F"/>
    <w:rsid w:val="00812332"/>
    <w:rsid w:val="00812CB1"/>
    <w:rsid w:val="00814684"/>
    <w:rsid w:val="00814E66"/>
    <w:rsid w:val="00815401"/>
    <w:rsid w:val="008177C2"/>
    <w:rsid w:val="008208B5"/>
    <w:rsid w:val="00823E6A"/>
    <w:rsid w:val="00824C51"/>
    <w:rsid w:val="00825917"/>
    <w:rsid w:val="00831DFB"/>
    <w:rsid w:val="008321CC"/>
    <w:rsid w:val="00832DFE"/>
    <w:rsid w:val="0083306D"/>
    <w:rsid w:val="00833528"/>
    <w:rsid w:val="00834EAD"/>
    <w:rsid w:val="00835778"/>
    <w:rsid w:val="00835B78"/>
    <w:rsid w:val="0083604C"/>
    <w:rsid w:val="008362E8"/>
    <w:rsid w:val="00842CAA"/>
    <w:rsid w:val="00843FA9"/>
    <w:rsid w:val="00843FBA"/>
    <w:rsid w:val="0084653B"/>
    <w:rsid w:val="00846F52"/>
    <w:rsid w:val="00856858"/>
    <w:rsid w:val="00857932"/>
    <w:rsid w:val="00861029"/>
    <w:rsid w:val="00861135"/>
    <w:rsid w:val="00862119"/>
    <w:rsid w:val="0086369F"/>
    <w:rsid w:val="00866707"/>
    <w:rsid w:val="00867B10"/>
    <w:rsid w:val="00870736"/>
    <w:rsid w:val="00872765"/>
    <w:rsid w:val="00872DEE"/>
    <w:rsid w:val="00873167"/>
    <w:rsid w:val="008731FC"/>
    <w:rsid w:val="008737A8"/>
    <w:rsid w:val="008743F1"/>
    <w:rsid w:val="00874AAC"/>
    <w:rsid w:val="008802E2"/>
    <w:rsid w:val="00880737"/>
    <w:rsid w:val="00881D1B"/>
    <w:rsid w:val="00883036"/>
    <w:rsid w:val="008833B6"/>
    <w:rsid w:val="00884BD6"/>
    <w:rsid w:val="008864D7"/>
    <w:rsid w:val="008865D2"/>
    <w:rsid w:val="00887FE2"/>
    <w:rsid w:val="00894E3F"/>
    <w:rsid w:val="00895780"/>
    <w:rsid w:val="00896B55"/>
    <w:rsid w:val="008971E7"/>
    <w:rsid w:val="008A08E8"/>
    <w:rsid w:val="008A19E9"/>
    <w:rsid w:val="008A2974"/>
    <w:rsid w:val="008B249D"/>
    <w:rsid w:val="008B2D00"/>
    <w:rsid w:val="008B3EA3"/>
    <w:rsid w:val="008B63AD"/>
    <w:rsid w:val="008C0826"/>
    <w:rsid w:val="008C1AD2"/>
    <w:rsid w:val="008C1C92"/>
    <w:rsid w:val="008C2182"/>
    <w:rsid w:val="008C3504"/>
    <w:rsid w:val="008D033E"/>
    <w:rsid w:val="008D0B42"/>
    <w:rsid w:val="008D147A"/>
    <w:rsid w:val="008D73C9"/>
    <w:rsid w:val="008D781A"/>
    <w:rsid w:val="008E0050"/>
    <w:rsid w:val="008E1992"/>
    <w:rsid w:val="008E28EB"/>
    <w:rsid w:val="008E29AB"/>
    <w:rsid w:val="008E2E4D"/>
    <w:rsid w:val="008F0090"/>
    <w:rsid w:val="008F0578"/>
    <w:rsid w:val="008F454F"/>
    <w:rsid w:val="008F7306"/>
    <w:rsid w:val="008F7880"/>
    <w:rsid w:val="008F7D6C"/>
    <w:rsid w:val="00902709"/>
    <w:rsid w:val="00904EBB"/>
    <w:rsid w:val="0090690B"/>
    <w:rsid w:val="00907804"/>
    <w:rsid w:val="00907C2F"/>
    <w:rsid w:val="00910964"/>
    <w:rsid w:val="009124EC"/>
    <w:rsid w:val="009131E6"/>
    <w:rsid w:val="009143FF"/>
    <w:rsid w:val="009167A6"/>
    <w:rsid w:val="00916EB4"/>
    <w:rsid w:val="00920032"/>
    <w:rsid w:val="0092049D"/>
    <w:rsid w:val="00925B8D"/>
    <w:rsid w:val="00926C9D"/>
    <w:rsid w:val="00930149"/>
    <w:rsid w:val="0093054F"/>
    <w:rsid w:val="009313F0"/>
    <w:rsid w:val="00932752"/>
    <w:rsid w:val="00933861"/>
    <w:rsid w:val="00935804"/>
    <w:rsid w:val="00936592"/>
    <w:rsid w:val="00940511"/>
    <w:rsid w:val="00941E9D"/>
    <w:rsid w:val="0094277B"/>
    <w:rsid w:val="00942957"/>
    <w:rsid w:val="009471F5"/>
    <w:rsid w:val="0094773D"/>
    <w:rsid w:val="00951163"/>
    <w:rsid w:val="009514FB"/>
    <w:rsid w:val="00955558"/>
    <w:rsid w:val="0095589F"/>
    <w:rsid w:val="009623D2"/>
    <w:rsid w:val="009624DD"/>
    <w:rsid w:val="00963613"/>
    <w:rsid w:val="00964244"/>
    <w:rsid w:val="0096445C"/>
    <w:rsid w:val="00964CE2"/>
    <w:rsid w:val="0096528A"/>
    <w:rsid w:val="009655B2"/>
    <w:rsid w:val="00966B46"/>
    <w:rsid w:val="009671AC"/>
    <w:rsid w:val="009679EE"/>
    <w:rsid w:val="00970B98"/>
    <w:rsid w:val="009768E7"/>
    <w:rsid w:val="00977610"/>
    <w:rsid w:val="00980625"/>
    <w:rsid w:val="00980E25"/>
    <w:rsid w:val="00981267"/>
    <w:rsid w:val="0098154C"/>
    <w:rsid w:val="00982451"/>
    <w:rsid w:val="00982C93"/>
    <w:rsid w:val="009830B5"/>
    <w:rsid w:val="009842FD"/>
    <w:rsid w:val="00984B59"/>
    <w:rsid w:val="009855C5"/>
    <w:rsid w:val="00986518"/>
    <w:rsid w:val="009961AC"/>
    <w:rsid w:val="00997C7E"/>
    <w:rsid w:val="009A0F04"/>
    <w:rsid w:val="009A151F"/>
    <w:rsid w:val="009A244C"/>
    <w:rsid w:val="009A3895"/>
    <w:rsid w:val="009A5AD1"/>
    <w:rsid w:val="009A7777"/>
    <w:rsid w:val="009B18A1"/>
    <w:rsid w:val="009B2C84"/>
    <w:rsid w:val="009B6054"/>
    <w:rsid w:val="009B7900"/>
    <w:rsid w:val="009C1BE3"/>
    <w:rsid w:val="009C1C1C"/>
    <w:rsid w:val="009C2A0D"/>
    <w:rsid w:val="009C6DCE"/>
    <w:rsid w:val="009C79B1"/>
    <w:rsid w:val="009D2706"/>
    <w:rsid w:val="009D36C1"/>
    <w:rsid w:val="009D447D"/>
    <w:rsid w:val="009D4493"/>
    <w:rsid w:val="009D552E"/>
    <w:rsid w:val="009D56E5"/>
    <w:rsid w:val="009D5AC5"/>
    <w:rsid w:val="009D7C0E"/>
    <w:rsid w:val="009E249C"/>
    <w:rsid w:val="009E6A69"/>
    <w:rsid w:val="009E704E"/>
    <w:rsid w:val="009F04A2"/>
    <w:rsid w:val="009F2A7F"/>
    <w:rsid w:val="009F3566"/>
    <w:rsid w:val="009F61CE"/>
    <w:rsid w:val="00A001C0"/>
    <w:rsid w:val="00A01A01"/>
    <w:rsid w:val="00A02FBB"/>
    <w:rsid w:val="00A05DCB"/>
    <w:rsid w:val="00A07609"/>
    <w:rsid w:val="00A077E1"/>
    <w:rsid w:val="00A11C9D"/>
    <w:rsid w:val="00A153D3"/>
    <w:rsid w:val="00A171ED"/>
    <w:rsid w:val="00A2317C"/>
    <w:rsid w:val="00A23FBE"/>
    <w:rsid w:val="00A2427B"/>
    <w:rsid w:val="00A25479"/>
    <w:rsid w:val="00A26BAC"/>
    <w:rsid w:val="00A31017"/>
    <w:rsid w:val="00A31959"/>
    <w:rsid w:val="00A319E1"/>
    <w:rsid w:val="00A331F5"/>
    <w:rsid w:val="00A34BF3"/>
    <w:rsid w:val="00A35E13"/>
    <w:rsid w:val="00A37B89"/>
    <w:rsid w:val="00A4064E"/>
    <w:rsid w:val="00A40923"/>
    <w:rsid w:val="00A4334C"/>
    <w:rsid w:val="00A44224"/>
    <w:rsid w:val="00A5154E"/>
    <w:rsid w:val="00A53C3D"/>
    <w:rsid w:val="00A562F2"/>
    <w:rsid w:val="00A57FF4"/>
    <w:rsid w:val="00A61CC0"/>
    <w:rsid w:val="00A61D4D"/>
    <w:rsid w:val="00A61E01"/>
    <w:rsid w:val="00A62775"/>
    <w:rsid w:val="00A62C7E"/>
    <w:rsid w:val="00A64D47"/>
    <w:rsid w:val="00A668F1"/>
    <w:rsid w:val="00A66B5F"/>
    <w:rsid w:val="00A66E5C"/>
    <w:rsid w:val="00A67817"/>
    <w:rsid w:val="00A71863"/>
    <w:rsid w:val="00A74876"/>
    <w:rsid w:val="00A766B9"/>
    <w:rsid w:val="00A77D7D"/>
    <w:rsid w:val="00A77F90"/>
    <w:rsid w:val="00A826E5"/>
    <w:rsid w:val="00A83758"/>
    <w:rsid w:val="00A85D3B"/>
    <w:rsid w:val="00A9172B"/>
    <w:rsid w:val="00A91CD1"/>
    <w:rsid w:val="00A92EEE"/>
    <w:rsid w:val="00A945DC"/>
    <w:rsid w:val="00A94EE4"/>
    <w:rsid w:val="00A951D8"/>
    <w:rsid w:val="00A97209"/>
    <w:rsid w:val="00A97782"/>
    <w:rsid w:val="00AA149E"/>
    <w:rsid w:val="00AA166E"/>
    <w:rsid w:val="00AA318A"/>
    <w:rsid w:val="00AA529F"/>
    <w:rsid w:val="00AA74E2"/>
    <w:rsid w:val="00AB2BA9"/>
    <w:rsid w:val="00AB2D11"/>
    <w:rsid w:val="00AB42E1"/>
    <w:rsid w:val="00AB5C67"/>
    <w:rsid w:val="00AB6810"/>
    <w:rsid w:val="00AC40E7"/>
    <w:rsid w:val="00AC545E"/>
    <w:rsid w:val="00AC58C0"/>
    <w:rsid w:val="00AC599B"/>
    <w:rsid w:val="00AC5A16"/>
    <w:rsid w:val="00AC6D77"/>
    <w:rsid w:val="00AC76EC"/>
    <w:rsid w:val="00AC7E28"/>
    <w:rsid w:val="00AD19A3"/>
    <w:rsid w:val="00AD203B"/>
    <w:rsid w:val="00AD2630"/>
    <w:rsid w:val="00AD36BE"/>
    <w:rsid w:val="00AD41E2"/>
    <w:rsid w:val="00AE03CA"/>
    <w:rsid w:val="00AE1FAE"/>
    <w:rsid w:val="00AE3F83"/>
    <w:rsid w:val="00AE4897"/>
    <w:rsid w:val="00AE4ACE"/>
    <w:rsid w:val="00AE7582"/>
    <w:rsid w:val="00AF03B3"/>
    <w:rsid w:val="00AF0584"/>
    <w:rsid w:val="00AF3ABC"/>
    <w:rsid w:val="00AF5229"/>
    <w:rsid w:val="00AF5D8D"/>
    <w:rsid w:val="00AF63F2"/>
    <w:rsid w:val="00B00C53"/>
    <w:rsid w:val="00B04B3B"/>
    <w:rsid w:val="00B04C4E"/>
    <w:rsid w:val="00B053FF"/>
    <w:rsid w:val="00B060EE"/>
    <w:rsid w:val="00B063D4"/>
    <w:rsid w:val="00B07186"/>
    <w:rsid w:val="00B11E80"/>
    <w:rsid w:val="00B129F2"/>
    <w:rsid w:val="00B15414"/>
    <w:rsid w:val="00B15955"/>
    <w:rsid w:val="00B1699F"/>
    <w:rsid w:val="00B16C12"/>
    <w:rsid w:val="00B27795"/>
    <w:rsid w:val="00B27C17"/>
    <w:rsid w:val="00B309F1"/>
    <w:rsid w:val="00B3197C"/>
    <w:rsid w:val="00B31B52"/>
    <w:rsid w:val="00B3458A"/>
    <w:rsid w:val="00B36B19"/>
    <w:rsid w:val="00B37ABF"/>
    <w:rsid w:val="00B401A5"/>
    <w:rsid w:val="00B42AA2"/>
    <w:rsid w:val="00B45935"/>
    <w:rsid w:val="00B4739C"/>
    <w:rsid w:val="00B528E6"/>
    <w:rsid w:val="00B538D7"/>
    <w:rsid w:val="00B569B2"/>
    <w:rsid w:val="00B56DED"/>
    <w:rsid w:val="00B615C3"/>
    <w:rsid w:val="00B61836"/>
    <w:rsid w:val="00B636EC"/>
    <w:rsid w:val="00B63AF5"/>
    <w:rsid w:val="00B66535"/>
    <w:rsid w:val="00B70311"/>
    <w:rsid w:val="00B7125F"/>
    <w:rsid w:val="00B71696"/>
    <w:rsid w:val="00B71788"/>
    <w:rsid w:val="00B739CE"/>
    <w:rsid w:val="00B75E94"/>
    <w:rsid w:val="00B767CF"/>
    <w:rsid w:val="00B82F25"/>
    <w:rsid w:val="00B87A5F"/>
    <w:rsid w:val="00B90769"/>
    <w:rsid w:val="00B91C96"/>
    <w:rsid w:val="00B931CE"/>
    <w:rsid w:val="00B93519"/>
    <w:rsid w:val="00B953BF"/>
    <w:rsid w:val="00BA1B9E"/>
    <w:rsid w:val="00BA5CB0"/>
    <w:rsid w:val="00BA6863"/>
    <w:rsid w:val="00BB0B0B"/>
    <w:rsid w:val="00BB1450"/>
    <w:rsid w:val="00BB2EF6"/>
    <w:rsid w:val="00BB302A"/>
    <w:rsid w:val="00BB37E5"/>
    <w:rsid w:val="00BB5706"/>
    <w:rsid w:val="00BB770A"/>
    <w:rsid w:val="00BB7A53"/>
    <w:rsid w:val="00BC0596"/>
    <w:rsid w:val="00BC0CC5"/>
    <w:rsid w:val="00BC1317"/>
    <w:rsid w:val="00BD00CB"/>
    <w:rsid w:val="00BD16EB"/>
    <w:rsid w:val="00BD4079"/>
    <w:rsid w:val="00BD5631"/>
    <w:rsid w:val="00BD5E3E"/>
    <w:rsid w:val="00BE0D9C"/>
    <w:rsid w:val="00BE16DF"/>
    <w:rsid w:val="00BE3AD6"/>
    <w:rsid w:val="00BE3B60"/>
    <w:rsid w:val="00BE492E"/>
    <w:rsid w:val="00BE67D8"/>
    <w:rsid w:val="00BE6DC1"/>
    <w:rsid w:val="00BF1994"/>
    <w:rsid w:val="00BF247D"/>
    <w:rsid w:val="00BF263C"/>
    <w:rsid w:val="00BF2779"/>
    <w:rsid w:val="00BF39AB"/>
    <w:rsid w:val="00BF405B"/>
    <w:rsid w:val="00BF4F0B"/>
    <w:rsid w:val="00BF58DD"/>
    <w:rsid w:val="00BF5F4B"/>
    <w:rsid w:val="00BF6A9E"/>
    <w:rsid w:val="00BF7E87"/>
    <w:rsid w:val="00C000A3"/>
    <w:rsid w:val="00C027CE"/>
    <w:rsid w:val="00C03A70"/>
    <w:rsid w:val="00C0483A"/>
    <w:rsid w:val="00C06A96"/>
    <w:rsid w:val="00C13592"/>
    <w:rsid w:val="00C15635"/>
    <w:rsid w:val="00C24229"/>
    <w:rsid w:val="00C30561"/>
    <w:rsid w:val="00C3084E"/>
    <w:rsid w:val="00C30ED8"/>
    <w:rsid w:val="00C31337"/>
    <w:rsid w:val="00C320CC"/>
    <w:rsid w:val="00C333FF"/>
    <w:rsid w:val="00C3350D"/>
    <w:rsid w:val="00C33900"/>
    <w:rsid w:val="00C34BA8"/>
    <w:rsid w:val="00C4088D"/>
    <w:rsid w:val="00C40A09"/>
    <w:rsid w:val="00C44139"/>
    <w:rsid w:val="00C44D9E"/>
    <w:rsid w:val="00C51322"/>
    <w:rsid w:val="00C51B7B"/>
    <w:rsid w:val="00C524AF"/>
    <w:rsid w:val="00C52A8A"/>
    <w:rsid w:val="00C52BB3"/>
    <w:rsid w:val="00C61764"/>
    <w:rsid w:val="00C62C33"/>
    <w:rsid w:val="00C64414"/>
    <w:rsid w:val="00C654E7"/>
    <w:rsid w:val="00C6623A"/>
    <w:rsid w:val="00C73067"/>
    <w:rsid w:val="00C731A5"/>
    <w:rsid w:val="00C7447A"/>
    <w:rsid w:val="00C81098"/>
    <w:rsid w:val="00C81DC0"/>
    <w:rsid w:val="00C824F9"/>
    <w:rsid w:val="00C8430F"/>
    <w:rsid w:val="00C8539A"/>
    <w:rsid w:val="00C85649"/>
    <w:rsid w:val="00C86757"/>
    <w:rsid w:val="00C86C8E"/>
    <w:rsid w:val="00C8747B"/>
    <w:rsid w:val="00C92750"/>
    <w:rsid w:val="00C92B22"/>
    <w:rsid w:val="00C9439E"/>
    <w:rsid w:val="00C9528C"/>
    <w:rsid w:val="00C96EE7"/>
    <w:rsid w:val="00C97CA4"/>
    <w:rsid w:val="00CA0499"/>
    <w:rsid w:val="00CA2269"/>
    <w:rsid w:val="00CA3D19"/>
    <w:rsid w:val="00CA3E29"/>
    <w:rsid w:val="00CA54B6"/>
    <w:rsid w:val="00CA7DCA"/>
    <w:rsid w:val="00CB10EB"/>
    <w:rsid w:val="00CB142E"/>
    <w:rsid w:val="00CB3F16"/>
    <w:rsid w:val="00CB4F20"/>
    <w:rsid w:val="00CB4F34"/>
    <w:rsid w:val="00CC08D7"/>
    <w:rsid w:val="00CC1FC1"/>
    <w:rsid w:val="00CC472B"/>
    <w:rsid w:val="00CD0255"/>
    <w:rsid w:val="00CD409A"/>
    <w:rsid w:val="00CD5610"/>
    <w:rsid w:val="00CD5E2D"/>
    <w:rsid w:val="00CE0244"/>
    <w:rsid w:val="00CE0D7B"/>
    <w:rsid w:val="00CE5E26"/>
    <w:rsid w:val="00CE7BFF"/>
    <w:rsid w:val="00CF0408"/>
    <w:rsid w:val="00CF189D"/>
    <w:rsid w:val="00CF447D"/>
    <w:rsid w:val="00CF5FA6"/>
    <w:rsid w:val="00D00880"/>
    <w:rsid w:val="00D048F3"/>
    <w:rsid w:val="00D06F23"/>
    <w:rsid w:val="00D10067"/>
    <w:rsid w:val="00D1188C"/>
    <w:rsid w:val="00D122AA"/>
    <w:rsid w:val="00D1312A"/>
    <w:rsid w:val="00D140FA"/>
    <w:rsid w:val="00D15F62"/>
    <w:rsid w:val="00D16681"/>
    <w:rsid w:val="00D16F6D"/>
    <w:rsid w:val="00D17708"/>
    <w:rsid w:val="00D21899"/>
    <w:rsid w:val="00D2228B"/>
    <w:rsid w:val="00D222A5"/>
    <w:rsid w:val="00D224FE"/>
    <w:rsid w:val="00D24D46"/>
    <w:rsid w:val="00D24E0A"/>
    <w:rsid w:val="00D25A68"/>
    <w:rsid w:val="00D26651"/>
    <w:rsid w:val="00D27356"/>
    <w:rsid w:val="00D3142C"/>
    <w:rsid w:val="00D32C25"/>
    <w:rsid w:val="00D331DA"/>
    <w:rsid w:val="00D34281"/>
    <w:rsid w:val="00D345EC"/>
    <w:rsid w:val="00D34881"/>
    <w:rsid w:val="00D35C62"/>
    <w:rsid w:val="00D407B4"/>
    <w:rsid w:val="00D4097C"/>
    <w:rsid w:val="00D444CD"/>
    <w:rsid w:val="00D44D44"/>
    <w:rsid w:val="00D461AA"/>
    <w:rsid w:val="00D50402"/>
    <w:rsid w:val="00D51007"/>
    <w:rsid w:val="00D512EC"/>
    <w:rsid w:val="00D51587"/>
    <w:rsid w:val="00D51BB6"/>
    <w:rsid w:val="00D51D44"/>
    <w:rsid w:val="00D53195"/>
    <w:rsid w:val="00D53A10"/>
    <w:rsid w:val="00D54183"/>
    <w:rsid w:val="00D54296"/>
    <w:rsid w:val="00D57217"/>
    <w:rsid w:val="00D70719"/>
    <w:rsid w:val="00D72349"/>
    <w:rsid w:val="00D723E4"/>
    <w:rsid w:val="00D727FF"/>
    <w:rsid w:val="00D72897"/>
    <w:rsid w:val="00D7399A"/>
    <w:rsid w:val="00D75C34"/>
    <w:rsid w:val="00D76952"/>
    <w:rsid w:val="00D82990"/>
    <w:rsid w:val="00D831EF"/>
    <w:rsid w:val="00D8452A"/>
    <w:rsid w:val="00D8486D"/>
    <w:rsid w:val="00D857A8"/>
    <w:rsid w:val="00D86BE4"/>
    <w:rsid w:val="00D87F09"/>
    <w:rsid w:val="00D93716"/>
    <w:rsid w:val="00D9527B"/>
    <w:rsid w:val="00D955EC"/>
    <w:rsid w:val="00D95779"/>
    <w:rsid w:val="00D95E52"/>
    <w:rsid w:val="00DA1F4B"/>
    <w:rsid w:val="00DA2B1D"/>
    <w:rsid w:val="00DA3FCD"/>
    <w:rsid w:val="00DA433F"/>
    <w:rsid w:val="00DA4C39"/>
    <w:rsid w:val="00DB2F2C"/>
    <w:rsid w:val="00DB31EE"/>
    <w:rsid w:val="00DB6AB2"/>
    <w:rsid w:val="00DB6C29"/>
    <w:rsid w:val="00DC177C"/>
    <w:rsid w:val="00DC21F3"/>
    <w:rsid w:val="00DC3DF2"/>
    <w:rsid w:val="00DC593B"/>
    <w:rsid w:val="00DC7D03"/>
    <w:rsid w:val="00DD0212"/>
    <w:rsid w:val="00DD12D8"/>
    <w:rsid w:val="00DD1DE4"/>
    <w:rsid w:val="00DD3E92"/>
    <w:rsid w:val="00DD41C6"/>
    <w:rsid w:val="00DD541F"/>
    <w:rsid w:val="00DD5621"/>
    <w:rsid w:val="00DD5EE8"/>
    <w:rsid w:val="00DD7C76"/>
    <w:rsid w:val="00DE016E"/>
    <w:rsid w:val="00DE024E"/>
    <w:rsid w:val="00DE2C08"/>
    <w:rsid w:val="00DE2C37"/>
    <w:rsid w:val="00DE40B5"/>
    <w:rsid w:val="00DE5B42"/>
    <w:rsid w:val="00DF041B"/>
    <w:rsid w:val="00DF181C"/>
    <w:rsid w:val="00DF2AAB"/>
    <w:rsid w:val="00DF2E65"/>
    <w:rsid w:val="00DF3E83"/>
    <w:rsid w:val="00DF4C8A"/>
    <w:rsid w:val="00DF658F"/>
    <w:rsid w:val="00DF6E52"/>
    <w:rsid w:val="00DF7C3E"/>
    <w:rsid w:val="00E02AE4"/>
    <w:rsid w:val="00E044E7"/>
    <w:rsid w:val="00E045CC"/>
    <w:rsid w:val="00E05455"/>
    <w:rsid w:val="00E056F5"/>
    <w:rsid w:val="00E05E17"/>
    <w:rsid w:val="00E07316"/>
    <w:rsid w:val="00E10F19"/>
    <w:rsid w:val="00E12492"/>
    <w:rsid w:val="00E127CF"/>
    <w:rsid w:val="00E12998"/>
    <w:rsid w:val="00E13A4E"/>
    <w:rsid w:val="00E14A60"/>
    <w:rsid w:val="00E177CC"/>
    <w:rsid w:val="00E17AD7"/>
    <w:rsid w:val="00E2018A"/>
    <w:rsid w:val="00E20782"/>
    <w:rsid w:val="00E22F58"/>
    <w:rsid w:val="00E22F86"/>
    <w:rsid w:val="00E31379"/>
    <w:rsid w:val="00E3661B"/>
    <w:rsid w:val="00E372AA"/>
    <w:rsid w:val="00E42679"/>
    <w:rsid w:val="00E46C17"/>
    <w:rsid w:val="00E5008D"/>
    <w:rsid w:val="00E503E0"/>
    <w:rsid w:val="00E52D4B"/>
    <w:rsid w:val="00E53831"/>
    <w:rsid w:val="00E543F9"/>
    <w:rsid w:val="00E547AE"/>
    <w:rsid w:val="00E551A5"/>
    <w:rsid w:val="00E55674"/>
    <w:rsid w:val="00E56099"/>
    <w:rsid w:val="00E64B48"/>
    <w:rsid w:val="00E743A3"/>
    <w:rsid w:val="00E753CD"/>
    <w:rsid w:val="00E83B2D"/>
    <w:rsid w:val="00E879F1"/>
    <w:rsid w:val="00E9148F"/>
    <w:rsid w:val="00E92551"/>
    <w:rsid w:val="00E92B65"/>
    <w:rsid w:val="00E95361"/>
    <w:rsid w:val="00E96B19"/>
    <w:rsid w:val="00E96D7F"/>
    <w:rsid w:val="00E96E4A"/>
    <w:rsid w:val="00E97D9A"/>
    <w:rsid w:val="00EA0726"/>
    <w:rsid w:val="00EA3B4B"/>
    <w:rsid w:val="00EA4385"/>
    <w:rsid w:val="00EA4C85"/>
    <w:rsid w:val="00EA58BB"/>
    <w:rsid w:val="00EB0373"/>
    <w:rsid w:val="00EB15DE"/>
    <w:rsid w:val="00EB2302"/>
    <w:rsid w:val="00EB38BF"/>
    <w:rsid w:val="00EB59B9"/>
    <w:rsid w:val="00EB6097"/>
    <w:rsid w:val="00EB7162"/>
    <w:rsid w:val="00EB72F3"/>
    <w:rsid w:val="00EB753A"/>
    <w:rsid w:val="00EB7E21"/>
    <w:rsid w:val="00EC24E9"/>
    <w:rsid w:val="00EC5856"/>
    <w:rsid w:val="00EC5BF7"/>
    <w:rsid w:val="00EC64E4"/>
    <w:rsid w:val="00ED66D1"/>
    <w:rsid w:val="00ED67AF"/>
    <w:rsid w:val="00ED749F"/>
    <w:rsid w:val="00EE2C7B"/>
    <w:rsid w:val="00EE4E04"/>
    <w:rsid w:val="00EE651F"/>
    <w:rsid w:val="00EF1860"/>
    <w:rsid w:val="00EF1904"/>
    <w:rsid w:val="00EF1FD5"/>
    <w:rsid w:val="00EF4F31"/>
    <w:rsid w:val="00EF4F66"/>
    <w:rsid w:val="00EF54F5"/>
    <w:rsid w:val="00EF58F5"/>
    <w:rsid w:val="00EF7A66"/>
    <w:rsid w:val="00EF7D59"/>
    <w:rsid w:val="00F003C0"/>
    <w:rsid w:val="00F00600"/>
    <w:rsid w:val="00F00B89"/>
    <w:rsid w:val="00F00CC7"/>
    <w:rsid w:val="00F0130E"/>
    <w:rsid w:val="00F0197C"/>
    <w:rsid w:val="00F025DC"/>
    <w:rsid w:val="00F026E0"/>
    <w:rsid w:val="00F02B61"/>
    <w:rsid w:val="00F0352B"/>
    <w:rsid w:val="00F0392F"/>
    <w:rsid w:val="00F05CD7"/>
    <w:rsid w:val="00F065FC"/>
    <w:rsid w:val="00F12233"/>
    <w:rsid w:val="00F13994"/>
    <w:rsid w:val="00F17FC6"/>
    <w:rsid w:val="00F20A73"/>
    <w:rsid w:val="00F20B71"/>
    <w:rsid w:val="00F20F3D"/>
    <w:rsid w:val="00F2457C"/>
    <w:rsid w:val="00F301E8"/>
    <w:rsid w:val="00F313E0"/>
    <w:rsid w:val="00F3146C"/>
    <w:rsid w:val="00F357B6"/>
    <w:rsid w:val="00F35A76"/>
    <w:rsid w:val="00F36980"/>
    <w:rsid w:val="00F4189F"/>
    <w:rsid w:val="00F41BD9"/>
    <w:rsid w:val="00F41DA8"/>
    <w:rsid w:val="00F42E69"/>
    <w:rsid w:val="00F43155"/>
    <w:rsid w:val="00F437B7"/>
    <w:rsid w:val="00F43B56"/>
    <w:rsid w:val="00F4403E"/>
    <w:rsid w:val="00F468A5"/>
    <w:rsid w:val="00F47F1C"/>
    <w:rsid w:val="00F500C5"/>
    <w:rsid w:val="00F50C1C"/>
    <w:rsid w:val="00F55394"/>
    <w:rsid w:val="00F555AF"/>
    <w:rsid w:val="00F57579"/>
    <w:rsid w:val="00F6055F"/>
    <w:rsid w:val="00F62C59"/>
    <w:rsid w:val="00F63204"/>
    <w:rsid w:val="00F7137A"/>
    <w:rsid w:val="00F737BF"/>
    <w:rsid w:val="00F73E50"/>
    <w:rsid w:val="00F77E68"/>
    <w:rsid w:val="00F80455"/>
    <w:rsid w:val="00F81FBE"/>
    <w:rsid w:val="00F835A5"/>
    <w:rsid w:val="00F8432C"/>
    <w:rsid w:val="00F85BAA"/>
    <w:rsid w:val="00F910E2"/>
    <w:rsid w:val="00F922DA"/>
    <w:rsid w:val="00F92362"/>
    <w:rsid w:val="00F93C79"/>
    <w:rsid w:val="00F94A9D"/>
    <w:rsid w:val="00F94FCD"/>
    <w:rsid w:val="00F964C7"/>
    <w:rsid w:val="00FA0B1D"/>
    <w:rsid w:val="00FA3854"/>
    <w:rsid w:val="00FA47B2"/>
    <w:rsid w:val="00FA5014"/>
    <w:rsid w:val="00FA5249"/>
    <w:rsid w:val="00FA5C50"/>
    <w:rsid w:val="00FA6345"/>
    <w:rsid w:val="00FB1182"/>
    <w:rsid w:val="00FB1E05"/>
    <w:rsid w:val="00FB3A25"/>
    <w:rsid w:val="00FB571F"/>
    <w:rsid w:val="00FB6CCE"/>
    <w:rsid w:val="00FC2C93"/>
    <w:rsid w:val="00FC585C"/>
    <w:rsid w:val="00FC7AB5"/>
    <w:rsid w:val="00FC7BAF"/>
    <w:rsid w:val="00FD1848"/>
    <w:rsid w:val="00FD2354"/>
    <w:rsid w:val="00FD3B9E"/>
    <w:rsid w:val="00FD3D58"/>
    <w:rsid w:val="00FD427E"/>
    <w:rsid w:val="00FD61D1"/>
    <w:rsid w:val="00FE0BF7"/>
    <w:rsid w:val="00FE18E0"/>
    <w:rsid w:val="00FE19E7"/>
    <w:rsid w:val="00FE3948"/>
    <w:rsid w:val="00FE478D"/>
    <w:rsid w:val="00FE7687"/>
    <w:rsid w:val="00FF0233"/>
    <w:rsid w:val="00FF1103"/>
    <w:rsid w:val="00FF1F0A"/>
    <w:rsid w:val="00FF4F08"/>
    <w:rsid w:val="00FF7B0C"/>
    <w:rsid w:val="5AFB91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CD1"/>
    <w:pPr>
      <w:spacing w:after="100" w:afterAutospacing="1" w:line="276" w:lineRule="auto"/>
    </w:pPr>
    <w:rPr>
      <w:rFonts w:ascii="Century Gothic" w:eastAsiaTheme="minorEastAsia" w:hAnsi="Century Gothic"/>
      <w:sz w:val="24"/>
    </w:rPr>
  </w:style>
  <w:style w:type="paragraph" w:styleId="Ttulo1">
    <w:name w:val="heading 1"/>
    <w:basedOn w:val="Normal"/>
    <w:next w:val="Normal"/>
    <w:link w:val="Ttulo1Car"/>
    <w:autoRedefine/>
    <w:uiPriority w:val="9"/>
    <w:qFormat/>
    <w:rsid w:val="00F13994"/>
    <w:pPr>
      <w:keepNext/>
      <w:keepLines/>
      <w:spacing w:after="240" w:afterAutospacing="0"/>
      <w:outlineLvl w:val="0"/>
    </w:pPr>
    <w:rPr>
      <w:rFonts w:eastAsiaTheme="majorEastAsia" w:cs="Arial"/>
      <w:b/>
      <w:bCs/>
      <w:color w:val="0E4E7A"/>
      <w:spacing w:val="4"/>
      <w:sz w:val="28"/>
      <w:szCs w:val="24"/>
    </w:rPr>
  </w:style>
  <w:style w:type="paragraph" w:styleId="Ttulo2">
    <w:name w:val="heading 2"/>
    <w:basedOn w:val="Normal"/>
    <w:next w:val="Normal"/>
    <w:link w:val="Ttulo2Car"/>
    <w:autoRedefine/>
    <w:uiPriority w:val="9"/>
    <w:unhideWhenUsed/>
    <w:qFormat/>
    <w:rsid w:val="00F13994"/>
    <w:pPr>
      <w:keepNext/>
      <w:keepLines/>
      <w:spacing w:after="240" w:afterAutospacing="0"/>
      <w:outlineLvl w:val="1"/>
    </w:pPr>
    <w:rPr>
      <w:rFonts w:eastAsia="Times New Roman" w:cs="Arial"/>
      <w:b/>
      <w:bCs/>
      <w:color w:val="0E4E7A"/>
      <w:sz w:val="28"/>
      <w:szCs w:val="24"/>
      <w:lang w:eastAsia="es-MX"/>
    </w:rPr>
  </w:style>
  <w:style w:type="paragraph" w:styleId="Ttulo3">
    <w:name w:val="heading 3"/>
    <w:basedOn w:val="Normal"/>
    <w:next w:val="Normal"/>
    <w:link w:val="Ttulo3Car"/>
    <w:autoRedefine/>
    <w:uiPriority w:val="9"/>
    <w:unhideWhenUsed/>
    <w:qFormat/>
    <w:rsid w:val="0045774F"/>
    <w:pPr>
      <w:keepNext/>
      <w:keepLines/>
      <w:spacing w:line="240" w:lineRule="auto"/>
      <w:outlineLvl w:val="2"/>
    </w:pPr>
    <w:rPr>
      <w:rFonts w:eastAsiaTheme="majorEastAsia" w:cstheme="majorBidi"/>
      <w:b/>
      <w:color w:val="0E4E7A"/>
      <w:spacing w:val="4"/>
      <w:szCs w:val="24"/>
    </w:rPr>
  </w:style>
  <w:style w:type="paragraph" w:styleId="Ttulo4">
    <w:name w:val="heading 4"/>
    <w:basedOn w:val="Normal"/>
    <w:next w:val="Normal"/>
    <w:link w:val="Ttulo4Car"/>
    <w:autoRedefine/>
    <w:uiPriority w:val="9"/>
    <w:unhideWhenUsed/>
    <w:qFormat/>
    <w:rsid w:val="00050B7F"/>
    <w:pPr>
      <w:keepNext/>
      <w:keepLines/>
      <w:outlineLvl w:val="3"/>
    </w:pPr>
    <w:rPr>
      <w:rFonts w:eastAsiaTheme="majorEastAsia" w:cstheme="majorBidi"/>
      <w:b/>
      <w:iCs/>
      <w:szCs w:val="24"/>
    </w:rPr>
  </w:style>
  <w:style w:type="paragraph" w:styleId="Ttulo5">
    <w:name w:val="heading 5"/>
    <w:basedOn w:val="Normal"/>
    <w:next w:val="Normal"/>
    <w:link w:val="Ttulo5Car"/>
    <w:autoRedefine/>
    <w:uiPriority w:val="9"/>
    <w:unhideWhenUsed/>
    <w:qFormat/>
    <w:rsid w:val="00050B7F"/>
    <w:pPr>
      <w:keepNext/>
      <w:keepLines/>
      <w:outlineLvl w:val="4"/>
    </w:pPr>
    <w:rPr>
      <w:rFonts w:eastAsiaTheme="majorEastAsia" w:cstheme="majorBidi"/>
      <w:b/>
      <w:bCs/>
    </w:rPr>
  </w:style>
  <w:style w:type="paragraph" w:styleId="Ttulo6">
    <w:name w:val="heading 6"/>
    <w:basedOn w:val="Normal"/>
    <w:next w:val="Normal"/>
    <w:link w:val="Ttulo6Car"/>
    <w:uiPriority w:val="9"/>
    <w:semiHidden/>
    <w:unhideWhenUsed/>
    <w:qFormat/>
    <w:rsid w:val="00050B7F"/>
    <w:pPr>
      <w:keepNext/>
      <w:keepLines/>
      <w:spacing w:before="120" w:after="0"/>
      <w:outlineLvl w:val="5"/>
    </w:pPr>
    <w:rPr>
      <w:rFonts w:asciiTheme="majorHAnsi" w:eastAsiaTheme="majorEastAsia" w:hAnsiTheme="majorHAnsi" w:cstheme="majorBidi"/>
      <w:b/>
      <w:bCs/>
      <w:i/>
      <w:iCs/>
    </w:rPr>
  </w:style>
  <w:style w:type="paragraph" w:styleId="Ttulo7">
    <w:name w:val="heading 7"/>
    <w:basedOn w:val="Normal"/>
    <w:next w:val="Normal"/>
    <w:link w:val="Ttulo7Car"/>
    <w:uiPriority w:val="9"/>
    <w:semiHidden/>
    <w:unhideWhenUsed/>
    <w:qFormat/>
    <w:rsid w:val="00050B7F"/>
    <w:pPr>
      <w:keepNext/>
      <w:keepLines/>
      <w:spacing w:before="120" w:after="0"/>
      <w:outlineLvl w:val="6"/>
    </w:pPr>
    <w:rPr>
      <w:i/>
      <w:iCs/>
    </w:rPr>
  </w:style>
  <w:style w:type="paragraph" w:styleId="Ttulo8">
    <w:name w:val="heading 8"/>
    <w:basedOn w:val="Normal"/>
    <w:next w:val="Normal"/>
    <w:link w:val="Ttulo8Car"/>
    <w:uiPriority w:val="9"/>
    <w:semiHidden/>
    <w:unhideWhenUsed/>
    <w:qFormat/>
    <w:rsid w:val="00050B7F"/>
    <w:pPr>
      <w:keepNext/>
      <w:keepLines/>
      <w:spacing w:before="120" w:after="0"/>
      <w:outlineLvl w:val="7"/>
    </w:pPr>
    <w:rPr>
      <w:b/>
      <w:bCs/>
    </w:rPr>
  </w:style>
  <w:style w:type="paragraph" w:styleId="Ttulo9">
    <w:name w:val="heading 9"/>
    <w:basedOn w:val="Normal"/>
    <w:next w:val="Normal"/>
    <w:link w:val="Ttulo9Car"/>
    <w:uiPriority w:val="9"/>
    <w:semiHidden/>
    <w:unhideWhenUsed/>
    <w:qFormat/>
    <w:rsid w:val="00050B7F"/>
    <w:pPr>
      <w:keepNext/>
      <w:keepLines/>
      <w:spacing w:before="120" w:after="0"/>
      <w:outlineLvl w:val="8"/>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FD18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83577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5778"/>
    <w:rPr>
      <w:rFonts w:ascii="Segoe UI" w:hAnsi="Segoe UI" w:cs="Segoe UI"/>
      <w:sz w:val="18"/>
      <w:szCs w:val="18"/>
      <w:lang w:val="es-MX"/>
    </w:rPr>
  </w:style>
  <w:style w:type="paragraph" w:styleId="Textonotapie">
    <w:name w:val="footnote text"/>
    <w:aliases w:val="Texto nota pie 1.22"/>
    <w:basedOn w:val="Normal"/>
    <w:link w:val="TextonotapieCar"/>
    <w:autoRedefine/>
    <w:uiPriority w:val="99"/>
    <w:unhideWhenUsed/>
    <w:qFormat/>
    <w:rsid w:val="00A91CD1"/>
    <w:pPr>
      <w:spacing w:after="0" w:afterAutospacing="0" w:line="240" w:lineRule="auto"/>
    </w:pPr>
    <w:rPr>
      <w:sz w:val="20"/>
      <w:szCs w:val="20"/>
    </w:rPr>
  </w:style>
  <w:style w:type="character" w:customStyle="1" w:styleId="TextonotapieCar">
    <w:name w:val="Texto nota pie Car"/>
    <w:aliases w:val="Texto nota pie 1.22 Car"/>
    <w:basedOn w:val="Fuentedeprrafopredeter"/>
    <w:link w:val="Textonotapie"/>
    <w:uiPriority w:val="99"/>
    <w:rsid w:val="00A91CD1"/>
    <w:rPr>
      <w:rFonts w:ascii="Century Gothic" w:eastAsiaTheme="minorEastAsia" w:hAnsi="Century Gothic"/>
      <w:sz w:val="20"/>
      <w:szCs w:val="20"/>
    </w:rPr>
  </w:style>
  <w:style w:type="character" w:styleId="Refdenotaalpie">
    <w:name w:val="footnote reference"/>
    <w:basedOn w:val="Fuentedeprrafopredeter"/>
    <w:uiPriority w:val="99"/>
    <w:semiHidden/>
    <w:unhideWhenUsed/>
    <w:rsid w:val="00D723E4"/>
    <w:rPr>
      <w:vertAlign w:val="superscript"/>
    </w:rPr>
  </w:style>
  <w:style w:type="paragraph" w:styleId="Prrafodelista">
    <w:name w:val="List Paragraph"/>
    <w:aliases w:val="4 Párrafo de lista,Figuras,Dot pt,No Spacing1,List Paragraph Char Char Char,Indicator Text,List Paragraph1,Numbered Para 1,DH1,Listas,lp1,Light Grid - Accent 31,Párrafo Título 3"/>
    <w:basedOn w:val="Normal"/>
    <w:link w:val="PrrafodelistaCar"/>
    <w:uiPriority w:val="34"/>
    <w:qFormat/>
    <w:rsid w:val="00050B7F"/>
    <w:pPr>
      <w:ind w:left="720"/>
      <w:contextualSpacing/>
    </w:pPr>
  </w:style>
  <w:style w:type="paragraph" w:styleId="Encabezado">
    <w:name w:val="header"/>
    <w:basedOn w:val="Normal"/>
    <w:link w:val="EncabezadoCar"/>
    <w:uiPriority w:val="99"/>
    <w:unhideWhenUsed/>
    <w:rsid w:val="00606C8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06C83"/>
    <w:rPr>
      <w:lang w:val="es-MX"/>
    </w:rPr>
  </w:style>
  <w:style w:type="paragraph" w:styleId="Piedepgina">
    <w:name w:val="footer"/>
    <w:basedOn w:val="Normal"/>
    <w:link w:val="PiedepginaCar"/>
    <w:uiPriority w:val="99"/>
    <w:unhideWhenUsed/>
    <w:rsid w:val="00606C8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06C83"/>
    <w:rPr>
      <w:lang w:val="es-MX"/>
    </w:rPr>
  </w:style>
  <w:style w:type="character" w:customStyle="1" w:styleId="PrrafodelistaCar">
    <w:name w:val="Párrafo de lista Car"/>
    <w:aliases w:val="4 Párrafo de lista Car,Figuras Car,Dot pt Car,No Spacing1 Car,List Paragraph Char Char Char Car,Indicator Text Car,List Paragraph1 Car,Numbered Para 1 Car,DH1 Car,Listas Car,lp1 Car,Light Grid - Accent 31 Car,Párrafo Título 3 Car"/>
    <w:link w:val="Prrafodelista"/>
    <w:uiPriority w:val="34"/>
    <w:rsid w:val="00504708"/>
    <w:rPr>
      <w:rFonts w:ascii="Cambria" w:eastAsiaTheme="minorEastAsia" w:hAnsi="Cambria"/>
      <w:color w:val="000818"/>
    </w:rPr>
  </w:style>
  <w:style w:type="paragraph" w:styleId="NormalWeb">
    <w:name w:val="Normal (Web)"/>
    <w:basedOn w:val="Normal"/>
    <w:uiPriority w:val="99"/>
    <w:semiHidden/>
    <w:unhideWhenUsed/>
    <w:rsid w:val="00504708"/>
    <w:pPr>
      <w:spacing w:before="100" w:beforeAutospacing="1" w:line="240" w:lineRule="auto"/>
    </w:pPr>
    <w:rPr>
      <w:rFonts w:ascii="Times New Roman" w:eastAsia="Times New Roman" w:hAnsi="Times New Roman" w:cs="Times New Roman"/>
      <w:szCs w:val="24"/>
      <w:lang w:eastAsia="es-MX"/>
    </w:rPr>
  </w:style>
  <w:style w:type="character" w:customStyle="1" w:styleId="apple-converted-space">
    <w:name w:val="apple-converted-space"/>
    <w:basedOn w:val="Fuentedeprrafopredeter"/>
    <w:rsid w:val="00504708"/>
  </w:style>
  <w:style w:type="character" w:styleId="Refdecomentario">
    <w:name w:val="annotation reference"/>
    <w:basedOn w:val="Fuentedeprrafopredeter"/>
    <w:uiPriority w:val="99"/>
    <w:semiHidden/>
    <w:unhideWhenUsed/>
    <w:rsid w:val="00504708"/>
    <w:rPr>
      <w:sz w:val="16"/>
      <w:szCs w:val="16"/>
    </w:rPr>
  </w:style>
  <w:style w:type="paragraph" w:styleId="Textocomentario">
    <w:name w:val="annotation text"/>
    <w:basedOn w:val="Normal"/>
    <w:link w:val="TextocomentarioCar"/>
    <w:uiPriority w:val="99"/>
    <w:semiHidden/>
    <w:unhideWhenUsed/>
    <w:rsid w:val="00504708"/>
    <w:pPr>
      <w:spacing w:after="200" w:line="240" w:lineRule="auto"/>
    </w:pPr>
    <w:rPr>
      <w:sz w:val="20"/>
      <w:szCs w:val="20"/>
    </w:rPr>
  </w:style>
  <w:style w:type="character" w:customStyle="1" w:styleId="TextocomentarioCar">
    <w:name w:val="Texto comentario Car"/>
    <w:basedOn w:val="Fuentedeprrafopredeter"/>
    <w:link w:val="Textocomentario"/>
    <w:uiPriority w:val="99"/>
    <w:semiHidden/>
    <w:rsid w:val="00504708"/>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504708"/>
    <w:rPr>
      <w:b/>
      <w:bCs/>
    </w:rPr>
  </w:style>
  <w:style w:type="character" w:customStyle="1" w:styleId="AsuntodelcomentarioCar">
    <w:name w:val="Asunto del comentario Car"/>
    <w:basedOn w:val="TextocomentarioCar"/>
    <w:link w:val="Asuntodelcomentario"/>
    <w:uiPriority w:val="99"/>
    <w:semiHidden/>
    <w:rsid w:val="00504708"/>
    <w:rPr>
      <w:b/>
      <w:bCs/>
      <w:sz w:val="20"/>
      <w:szCs w:val="20"/>
      <w:lang w:val="es-MX"/>
    </w:rPr>
  </w:style>
  <w:style w:type="character" w:styleId="Textodelmarcadordeposicin">
    <w:name w:val="Placeholder Text"/>
    <w:basedOn w:val="Fuentedeprrafopredeter"/>
    <w:uiPriority w:val="99"/>
    <w:semiHidden/>
    <w:rsid w:val="00504708"/>
    <w:rPr>
      <w:color w:val="808080"/>
    </w:rPr>
  </w:style>
  <w:style w:type="paragraph" w:styleId="Textonotaalfinal">
    <w:name w:val="endnote text"/>
    <w:basedOn w:val="Normal"/>
    <w:link w:val="TextonotaalfinalCar"/>
    <w:uiPriority w:val="99"/>
    <w:semiHidden/>
    <w:unhideWhenUsed/>
    <w:rsid w:val="0022132B"/>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22132B"/>
    <w:rPr>
      <w:sz w:val="20"/>
      <w:szCs w:val="20"/>
      <w:lang w:val="es-MX"/>
    </w:rPr>
  </w:style>
  <w:style w:type="character" w:styleId="Refdenotaalfinal">
    <w:name w:val="endnote reference"/>
    <w:basedOn w:val="Fuentedeprrafopredeter"/>
    <w:uiPriority w:val="99"/>
    <w:semiHidden/>
    <w:unhideWhenUsed/>
    <w:rsid w:val="0022132B"/>
    <w:rPr>
      <w:vertAlign w:val="superscript"/>
    </w:rPr>
  </w:style>
  <w:style w:type="character" w:styleId="Hipervnculo">
    <w:name w:val="Hyperlink"/>
    <w:basedOn w:val="Fuentedeprrafopredeter"/>
    <w:uiPriority w:val="99"/>
    <w:unhideWhenUsed/>
    <w:rsid w:val="00377E38"/>
    <w:rPr>
      <w:color w:val="0563C1" w:themeColor="hyperlink"/>
      <w:u w:val="single"/>
    </w:rPr>
  </w:style>
  <w:style w:type="character" w:customStyle="1" w:styleId="Ttulo1Car">
    <w:name w:val="Título 1 Car"/>
    <w:basedOn w:val="Fuentedeprrafopredeter"/>
    <w:link w:val="Ttulo1"/>
    <w:uiPriority w:val="9"/>
    <w:rsid w:val="00F13994"/>
    <w:rPr>
      <w:rFonts w:ascii="Century Gothic" w:eastAsiaTheme="majorEastAsia" w:hAnsi="Century Gothic" w:cs="Arial"/>
      <w:b/>
      <w:bCs/>
      <w:color w:val="0E4E7A"/>
      <w:spacing w:val="4"/>
      <w:sz w:val="28"/>
      <w:szCs w:val="24"/>
    </w:rPr>
  </w:style>
  <w:style w:type="paragraph" w:styleId="Subttulo">
    <w:name w:val="Subtitle"/>
    <w:basedOn w:val="Normal"/>
    <w:next w:val="Normal"/>
    <w:link w:val="SubttuloCar"/>
    <w:uiPriority w:val="11"/>
    <w:qFormat/>
    <w:rsid w:val="00050B7F"/>
    <w:pPr>
      <w:numPr>
        <w:ilvl w:val="1"/>
      </w:numPr>
      <w:spacing w:after="240"/>
      <w:jc w:val="center"/>
    </w:pPr>
    <w:rPr>
      <w:rFonts w:asciiTheme="majorHAnsi" w:eastAsiaTheme="majorEastAsia" w:hAnsiTheme="majorHAnsi" w:cstheme="majorBidi"/>
      <w:szCs w:val="24"/>
    </w:rPr>
  </w:style>
  <w:style w:type="character" w:customStyle="1" w:styleId="SubttuloCar">
    <w:name w:val="Subtítulo Car"/>
    <w:basedOn w:val="Fuentedeprrafopredeter"/>
    <w:link w:val="Subttulo"/>
    <w:uiPriority w:val="11"/>
    <w:rsid w:val="00050B7F"/>
    <w:rPr>
      <w:rFonts w:asciiTheme="majorHAnsi" w:eastAsiaTheme="majorEastAsia" w:hAnsiTheme="majorHAnsi" w:cstheme="majorBidi"/>
      <w:color w:val="000818"/>
      <w:sz w:val="24"/>
      <w:szCs w:val="24"/>
    </w:rPr>
  </w:style>
  <w:style w:type="paragraph" w:styleId="TtulodeTDC">
    <w:name w:val="TOC Heading"/>
    <w:basedOn w:val="Ttulo1"/>
    <w:next w:val="Normal"/>
    <w:uiPriority w:val="39"/>
    <w:unhideWhenUsed/>
    <w:qFormat/>
    <w:rsid w:val="00050B7F"/>
    <w:pPr>
      <w:outlineLvl w:val="9"/>
    </w:pPr>
  </w:style>
  <w:style w:type="paragraph" w:styleId="TDC1">
    <w:name w:val="toc 1"/>
    <w:basedOn w:val="Normal"/>
    <w:next w:val="Normal"/>
    <w:autoRedefine/>
    <w:uiPriority w:val="39"/>
    <w:unhideWhenUsed/>
    <w:rsid w:val="00EB72F3"/>
  </w:style>
  <w:style w:type="character" w:customStyle="1" w:styleId="Ttulo2Car">
    <w:name w:val="Título 2 Car"/>
    <w:basedOn w:val="Fuentedeprrafopredeter"/>
    <w:link w:val="Ttulo2"/>
    <w:uiPriority w:val="9"/>
    <w:rsid w:val="00F13994"/>
    <w:rPr>
      <w:rFonts w:ascii="Century Gothic" w:eastAsia="Times New Roman" w:hAnsi="Century Gothic" w:cs="Arial"/>
      <w:b/>
      <w:bCs/>
      <w:color w:val="0E4E7A"/>
      <w:sz w:val="28"/>
      <w:szCs w:val="24"/>
      <w:lang w:eastAsia="es-MX"/>
    </w:rPr>
  </w:style>
  <w:style w:type="paragraph" w:styleId="TDC2">
    <w:name w:val="toc 2"/>
    <w:basedOn w:val="Normal"/>
    <w:next w:val="Normal"/>
    <w:autoRedefine/>
    <w:uiPriority w:val="39"/>
    <w:unhideWhenUsed/>
    <w:rsid w:val="00C06A96"/>
    <w:pPr>
      <w:ind w:left="220"/>
    </w:pPr>
  </w:style>
  <w:style w:type="character" w:customStyle="1" w:styleId="Ttulo3Car">
    <w:name w:val="Título 3 Car"/>
    <w:basedOn w:val="Fuentedeprrafopredeter"/>
    <w:link w:val="Ttulo3"/>
    <w:uiPriority w:val="9"/>
    <w:rsid w:val="0045774F"/>
    <w:rPr>
      <w:rFonts w:ascii="Century Gothic" w:eastAsiaTheme="majorEastAsia" w:hAnsi="Century Gothic" w:cstheme="majorBidi"/>
      <w:b/>
      <w:color w:val="0E4E7A"/>
      <w:spacing w:val="4"/>
      <w:sz w:val="24"/>
      <w:szCs w:val="24"/>
    </w:rPr>
  </w:style>
  <w:style w:type="paragraph" w:styleId="TDC3">
    <w:name w:val="toc 3"/>
    <w:basedOn w:val="Normal"/>
    <w:next w:val="Normal"/>
    <w:autoRedefine/>
    <w:uiPriority w:val="39"/>
    <w:unhideWhenUsed/>
    <w:rsid w:val="00291DDA"/>
    <w:pPr>
      <w:ind w:left="440"/>
    </w:pPr>
  </w:style>
  <w:style w:type="character" w:customStyle="1" w:styleId="Ttulo4Car">
    <w:name w:val="Título 4 Car"/>
    <w:basedOn w:val="Fuentedeprrafopredeter"/>
    <w:link w:val="Ttulo4"/>
    <w:uiPriority w:val="9"/>
    <w:rsid w:val="00050B7F"/>
    <w:rPr>
      <w:rFonts w:ascii="Cambria" w:eastAsiaTheme="majorEastAsia" w:hAnsi="Cambria" w:cstheme="majorBidi"/>
      <w:b/>
      <w:iCs/>
      <w:sz w:val="24"/>
      <w:szCs w:val="24"/>
    </w:rPr>
  </w:style>
  <w:style w:type="character" w:customStyle="1" w:styleId="Ttulo5Car">
    <w:name w:val="Título 5 Car"/>
    <w:basedOn w:val="Fuentedeprrafopredeter"/>
    <w:link w:val="Ttulo5"/>
    <w:uiPriority w:val="9"/>
    <w:rsid w:val="00050B7F"/>
    <w:rPr>
      <w:rFonts w:ascii="Cambria" w:eastAsiaTheme="majorEastAsia" w:hAnsi="Cambria" w:cstheme="majorBidi"/>
      <w:b/>
      <w:bCs/>
      <w:color w:val="000818"/>
    </w:rPr>
  </w:style>
  <w:style w:type="character" w:customStyle="1" w:styleId="Ttulo6Car">
    <w:name w:val="Título 6 Car"/>
    <w:basedOn w:val="Fuentedeprrafopredeter"/>
    <w:link w:val="Ttulo6"/>
    <w:uiPriority w:val="9"/>
    <w:semiHidden/>
    <w:rsid w:val="00050B7F"/>
    <w:rPr>
      <w:rFonts w:asciiTheme="majorHAnsi" w:eastAsiaTheme="majorEastAsia" w:hAnsiTheme="majorHAnsi" w:cstheme="majorBidi"/>
      <w:b/>
      <w:bCs/>
      <w:i/>
      <w:iCs/>
      <w:color w:val="000818"/>
    </w:rPr>
  </w:style>
  <w:style w:type="character" w:customStyle="1" w:styleId="Ttulo7Car">
    <w:name w:val="Título 7 Car"/>
    <w:basedOn w:val="Fuentedeprrafopredeter"/>
    <w:link w:val="Ttulo7"/>
    <w:uiPriority w:val="99"/>
    <w:semiHidden/>
    <w:rsid w:val="00050B7F"/>
    <w:rPr>
      <w:rFonts w:ascii="Cambria" w:eastAsiaTheme="minorEastAsia" w:hAnsi="Cambria"/>
      <w:i/>
      <w:iCs/>
      <w:color w:val="000818"/>
    </w:rPr>
  </w:style>
  <w:style w:type="character" w:customStyle="1" w:styleId="Ttulo8Car">
    <w:name w:val="Título 8 Car"/>
    <w:basedOn w:val="Fuentedeprrafopredeter"/>
    <w:link w:val="Ttulo8"/>
    <w:uiPriority w:val="9"/>
    <w:semiHidden/>
    <w:rsid w:val="00050B7F"/>
    <w:rPr>
      <w:rFonts w:ascii="Cambria" w:eastAsiaTheme="minorEastAsia" w:hAnsi="Cambria"/>
      <w:b/>
      <w:bCs/>
      <w:color w:val="000818"/>
    </w:rPr>
  </w:style>
  <w:style w:type="character" w:customStyle="1" w:styleId="Ttulo9Car">
    <w:name w:val="Título 9 Car"/>
    <w:basedOn w:val="Fuentedeprrafopredeter"/>
    <w:link w:val="Ttulo9"/>
    <w:uiPriority w:val="9"/>
    <w:semiHidden/>
    <w:rsid w:val="00050B7F"/>
    <w:rPr>
      <w:rFonts w:ascii="Cambria" w:eastAsiaTheme="minorEastAsia" w:hAnsi="Cambria"/>
      <w:i/>
      <w:iCs/>
      <w:color w:val="000818"/>
    </w:rPr>
  </w:style>
  <w:style w:type="paragraph" w:styleId="Epgrafe">
    <w:name w:val="caption"/>
    <w:basedOn w:val="Normal"/>
    <w:next w:val="Normal"/>
    <w:uiPriority w:val="35"/>
    <w:unhideWhenUsed/>
    <w:qFormat/>
    <w:rsid w:val="00050B7F"/>
    <w:rPr>
      <w:b/>
      <w:bCs/>
      <w:sz w:val="18"/>
      <w:szCs w:val="18"/>
    </w:rPr>
  </w:style>
  <w:style w:type="paragraph" w:styleId="Ttulo">
    <w:name w:val="Title"/>
    <w:basedOn w:val="Normal"/>
    <w:next w:val="Normal"/>
    <w:link w:val="TtuloCar"/>
    <w:uiPriority w:val="10"/>
    <w:qFormat/>
    <w:rsid w:val="00050B7F"/>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tuloCar">
    <w:name w:val="Título Car"/>
    <w:basedOn w:val="Fuentedeprrafopredeter"/>
    <w:link w:val="Ttulo"/>
    <w:uiPriority w:val="10"/>
    <w:rsid w:val="00050B7F"/>
    <w:rPr>
      <w:rFonts w:asciiTheme="majorHAnsi" w:eastAsiaTheme="majorEastAsia" w:hAnsiTheme="majorHAnsi" w:cstheme="majorBidi"/>
      <w:b/>
      <w:bCs/>
      <w:color w:val="000818"/>
      <w:spacing w:val="-7"/>
      <w:sz w:val="48"/>
      <w:szCs w:val="48"/>
    </w:rPr>
  </w:style>
  <w:style w:type="character" w:styleId="Textoennegrita">
    <w:name w:val="Strong"/>
    <w:basedOn w:val="Fuentedeprrafopredeter"/>
    <w:uiPriority w:val="22"/>
    <w:qFormat/>
    <w:rsid w:val="00050B7F"/>
    <w:rPr>
      <w:b/>
      <w:bCs/>
      <w:color w:val="auto"/>
    </w:rPr>
  </w:style>
  <w:style w:type="character" w:styleId="nfasis">
    <w:name w:val="Emphasis"/>
    <w:basedOn w:val="Fuentedeprrafopredeter"/>
    <w:qFormat/>
    <w:rsid w:val="00050B7F"/>
    <w:rPr>
      <w:i/>
      <w:iCs/>
      <w:color w:val="auto"/>
    </w:rPr>
  </w:style>
  <w:style w:type="paragraph" w:styleId="Sinespaciado">
    <w:name w:val="No Spacing"/>
    <w:uiPriority w:val="1"/>
    <w:qFormat/>
    <w:rsid w:val="00050B7F"/>
    <w:pPr>
      <w:spacing w:after="0" w:line="240" w:lineRule="auto"/>
    </w:pPr>
    <w:rPr>
      <w:rFonts w:eastAsiaTheme="minorEastAsia"/>
    </w:rPr>
  </w:style>
  <w:style w:type="paragraph" w:styleId="Cita">
    <w:name w:val="Quote"/>
    <w:basedOn w:val="Normal"/>
    <w:next w:val="Normal"/>
    <w:link w:val="CitaCar"/>
    <w:uiPriority w:val="29"/>
    <w:qFormat/>
    <w:rsid w:val="00050B7F"/>
    <w:pPr>
      <w:spacing w:before="200" w:line="264" w:lineRule="auto"/>
      <w:ind w:left="864" w:right="864"/>
      <w:jc w:val="center"/>
    </w:pPr>
    <w:rPr>
      <w:rFonts w:asciiTheme="majorHAnsi" w:eastAsiaTheme="majorEastAsia" w:hAnsiTheme="majorHAnsi" w:cstheme="majorBidi"/>
      <w:i/>
      <w:iCs/>
      <w:szCs w:val="24"/>
    </w:rPr>
  </w:style>
  <w:style w:type="character" w:customStyle="1" w:styleId="CitaCar">
    <w:name w:val="Cita Car"/>
    <w:basedOn w:val="Fuentedeprrafopredeter"/>
    <w:link w:val="Cita"/>
    <w:uiPriority w:val="29"/>
    <w:rsid w:val="00050B7F"/>
    <w:rPr>
      <w:rFonts w:asciiTheme="majorHAnsi" w:eastAsiaTheme="majorEastAsia" w:hAnsiTheme="majorHAnsi" w:cstheme="majorBidi"/>
      <w:i/>
      <w:iCs/>
      <w:color w:val="000818"/>
      <w:sz w:val="24"/>
      <w:szCs w:val="24"/>
    </w:rPr>
  </w:style>
  <w:style w:type="paragraph" w:styleId="Citadestacada">
    <w:name w:val="Intense Quote"/>
    <w:basedOn w:val="Normal"/>
    <w:next w:val="Normal"/>
    <w:link w:val="CitadestacadaCar"/>
    <w:uiPriority w:val="30"/>
    <w:qFormat/>
    <w:rsid w:val="00050B7F"/>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itadestacadaCar">
    <w:name w:val="Cita destacada Car"/>
    <w:basedOn w:val="Fuentedeprrafopredeter"/>
    <w:link w:val="Citadestacada"/>
    <w:uiPriority w:val="30"/>
    <w:rsid w:val="00050B7F"/>
    <w:rPr>
      <w:rFonts w:asciiTheme="majorHAnsi" w:eastAsiaTheme="majorEastAsia" w:hAnsiTheme="majorHAnsi" w:cstheme="majorBidi"/>
      <w:color w:val="000818"/>
      <w:sz w:val="26"/>
      <w:szCs w:val="26"/>
    </w:rPr>
  </w:style>
  <w:style w:type="character" w:styleId="nfasissutil">
    <w:name w:val="Subtle Emphasis"/>
    <w:basedOn w:val="Fuentedeprrafopredeter"/>
    <w:uiPriority w:val="19"/>
    <w:qFormat/>
    <w:rsid w:val="00050B7F"/>
    <w:rPr>
      <w:i/>
      <w:iCs/>
      <w:color w:val="auto"/>
    </w:rPr>
  </w:style>
  <w:style w:type="character" w:styleId="nfasisintenso">
    <w:name w:val="Intense Emphasis"/>
    <w:basedOn w:val="Fuentedeprrafopredeter"/>
    <w:uiPriority w:val="21"/>
    <w:qFormat/>
    <w:rsid w:val="00050B7F"/>
    <w:rPr>
      <w:b/>
      <w:bCs/>
      <w:i/>
      <w:iCs/>
      <w:color w:val="auto"/>
    </w:rPr>
  </w:style>
  <w:style w:type="character" w:styleId="Referenciasutil">
    <w:name w:val="Subtle Reference"/>
    <w:basedOn w:val="Fuentedeprrafopredeter"/>
    <w:uiPriority w:val="31"/>
    <w:qFormat/>
    <w:rsid w:val="00050B7F"/>
    <w:rPr>
      <w:smallCaps/>
      <w:color w:val="auto"/>
      <w:u w:val="single" w:color="7F7F7F" w:themeColor="text1" w:themeTint="80"/>
    </w:rPr>
  </w:style>
  <w:style w:type="character" w:styleId="Referenciaintensa">
    <w:name w:val="Intense Reference"/>
    <w:basedOn w:val="Fuentedeprrafopredeter"/>
    <w:uiPriority w:val="32"/>
    <w:qFormat/>
    <w:rsid w:val="00050B7F"/>
    <w:rPr>
      <w:b/>
      <w:bCs/>
      <w:smallCaps/>
      <w:color w:val="auto"/>
      <w:u w:val="single"/>
    </w:rPr>
  </w:style>
  <w:style w:type="character" w:styleId="Ttulodellibro">
    <w:name w:val="Book Title"/>
    <w:basedOn w:val="Fuentedeprrafopredeter"/>
    <w:uiPriority w:val="33"/>
    <w:qFormat/>
    <w:rsid w:val="00050B7F"/>
    <w:rPr>
      <w:b/>
      <w:bCs/>
      <w:smallCaps/>
      <w:color w:val="auto"/>
    </w:rPr>
  </w:style>
  <w:style w:type="character" w:styleId="Hipervnculovisitado">
    <w:name w:val="FollowedHyperlink"/>
    <w:basedOn w:val="Fuentedeprrafopredeter"/>
    <w:uiPriority w:val="99"/>
    <w:semiHidden/>
    <w:unhideWhenUsed/>
    <w:rsid w:val="0024480A"/>
    <w:rPr>
      <w:color w:val="954F72" w:themeColor="followedHyperlink"/>
      <w:u w:val="single"/>
    </w:rPr>
  </w:style>
  <w:style w:type="paragraph" w:customStyle="1" w:styleId="Default">
    <w:name w:val="Default"/>
    <w:rsid w:val="00776A1A"/>
    <w:pPr>
      <w:autoSpaceDE w:val="0"/>
      <w:autoSpaceDN w:val="0"/>
      <w:adjustRightInd w:val="0"/>
      <w:spacing w:after="0" w:line="240" w:lineRule="auto"/>
      <w:jc w:val="left"/>
    </w:pPr>
    <w:rPr>
      <w:rFonts w:ascii="Century Gothic" w:hAnsi="Century Gothic" w:cs="Century Gothic"/>
      <w:color w:val="000000"/>
      <w:sz w:val="24"/>
      <w:szCs w:val="24"/>
      <w:lang w:val="es-MX"/>
    </w:rPr>
  </w:style>
  <w:style w:type="table" w:customStyle="1" w:styleId="Tablaconcuadrcula1">
    <w:name w:val="Tabla con cuadrícula1"/>
    <w:basedOn w:val="Tablanormal"/>
    <w:next w:val="Tablaconcuadrcula"/>
    <w:uiPriority w:val="39"/>
    <w:rsid w:val="00F00CC7"/>
    <w:pPr>
      <w:spacing w:after="0" w:line="240" w:lineRule="auto"/>
      <w:jc w:val="left"/>
    </w:pPr>
    <w:rPr>
      <w:lang w:val="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1">
    <w:name w:val="Tabla con cuadrícula11"/>
    <w:basedOn w:val="Tablanormal"/>
    <w:next w:val="Tablaconcuadrcula"/>
    <w:uiPriority w:val="39"/>
    <w:rsid w:val="00144F6D"/>
    <w:pPr>
      <w:spacing w:after="0" w:line="240" w:lineRule="auto"/>
      <w:jc w:val="left"/>
    </w:pPr>
    <w:rPr>
      <w:lang w:val="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CD1"/>
    <w:pPr>
      <w:spacing w:after="100" w:afterAutospacing="1" w:line="276" w:lineRule="auto"/>
    </w:pPr>
    <w:rPr>
      <w:rFonts w:ascii="Century Gothic" w:eastAsiaTheme="minorEastAsia" w:hAnsi="Century Gothic"/>
      <w:sz w:val="24"/>
    </w:rPr>
  </w:style>
  <w:style w:type="paragraph" w:styleId="Ttulo1">
    <w:name w:val="heading 1"/>
    <w:basedOn w:val="Normal"/>
    <w:next w:val="Normal"/>
    <w:link w:val="Ttulo1Car"/>
    <w:autoRedefine/>
    <w:uiPriority w:val="9"/>
    <w:qFormat/>
    <w:rsid w:val="00F13994"/>
    <w:pPr>
      <w:keepNext/>
      <w:keepLines/>
      <w:spacing w:after="240" w:afterAutospacing="0"/>
      <w:outlineLvl w:val="0"/>
    </w:pPr>
    <w:rPr>
      <w:rFonts w:eastAsiaTheme="majorEastAsia" w:cs="Arial"/>
      <w:b/>
      <w:bCs/>
      <w:color w:val="0E4E7A"/>
      <w:spacing w:val="4"/>
      <w:sz w:val="28"/>
      <w:szCs w:val="24"/>
    </w:rPr>
  </w:style>
  <w:style w:type="paragraph" w:styleId="Ttulo2">
    <w:name w:val="heading 2"/>
    <w:basedOn w:val="Normal"/>
    <w:next w:val="Normal"/>
    <w:link w:val="Ttulo2Car"/>
    <w:autoRedefine/>
    <w:uiPriority w:val="9"/>
    <w:unhideWhenUsed/>
    <w:qFormat/>
    <w:rsid w:val="00F13994"/>
    <w:pPr>
      <w:keepNext/>
      <w:keepLines/>
      <w:spacing w:after="240" w:afterAutospacing="0"/>
      <w:outlineLvl w:val="1"/>
    </w:pPr>
    <w:rPr>
      <w:rFonts w:eastAsia="Times New Roman" w:cs="Arial"/>
      <w:b/>
      <w:bCs/>
      <w:color w:val="0E4E7A"/>
      <w:sz w:val="28"/>
      <w:szCs w:val="24"/>
      <w:lang w:eastAsia="es-MX"/>
    </w:rPr>
  </w:style>
  <w:style w:type="paragraph" w:styleId="Ttulo3">
    <w:name w:val="heading 3"/>
    <w:basedOn w:val="Normal"/>
    <w:next w:val="Normal"/>
    <w:link w:val="Ttulo3Car"/>
    <w:autoRedefine/>
    <w:uiPriority w:val="9"/>
    <w:unhideWhenUsed/>
    <w:qFormat/>
    <w:rsid w:val="0045774F"/>
    <w:pPr>
      <w:keepNext/>
      <w:keepLines/>
      <w:spacing w:line="240" w:lineRule="auto"/>
      <w:outlineLvl w:val="2"/>
    </w:pPr>
    <w:rPr>
      <w:rFonts w:eastAsiaTheme="majorEastAsia" w:cstheme="majorBidi"/>
      <w:b/>
      <w:color w:val="0E4E7A"/>
      <w:spacing w:val="4"/>
      <w:szCs w:val="24"/>
    </w:rPr>
  </w:style>
  <w:style w:type="paragraph" w:styleId="Ttulo4">
    <w:name w:val="heading 4"/>
    <w:basedOn w:val="Normal"/>
    <w:next w:val="Normal"/>
    <w:link w:val="Ttulo4Car"/>
    <w:autoRedefine/>
    <w:uiPriority w:val="9"/>
    <w:unhideWhenUsed/>
    <w:qFormat/>
    <w:rsid w:val="00050B7F"/>
    <w:pPr>
      <w:keepNext/>
      <w:keepLines/>
      <w:outlineLvl w:val="3"/>
    </w:pPr>
    <w:rPr>
      <w:rFonts w:eastAsiaTheme="majorEastAsia" w:cstheme="majorBidi"/>
      <w:b/>
      <w:iCs/>
      <w:szCs w:val="24"/>
    </w:rPr>
  </w:style>
  <w:style w:type="paragraph" w:styleId="Ttulo5">
    <w:name w:val="heading 5"/>
    <w:basedOn w:val="Normal"/>
    <w:next w:val="Normal"/>
    <w:link w:val="Ttulo5Car"/>
    <w:autoRedefine/>
    <w:uiPriority w:val="9"/>
    <w:unhideWhenUsed/>
    <w:qFormat/>
    <w:rsid w:val="00050B7F"/>
    <w:pPr>
      <w:keepNext/>
      <w:keepLines/>
      <w:outlineLvl w:val="4"/>
    </w:pPr>
    <w:rPr>
      <w:rFonts w:eastAsiaTheme="majorEastAsia" w:cstheme="majorBidi"/>
      <w:b/>
      <w:bCs/>
    </w:rPr>
  </w:style>
  <w:style w:type="paragraph" w:styleId="Ttulo6">
    <w:name w:val="heading 6"/>
    <w:basedOn w:val="Normal"/>
    <w:next w:val="Normal"/>
    <w:link w:val="Ttulo6Car"/>
    <w:uiPriority w:val="9"/>
    <w:semiHidden/>
    <w:unhideWhenUsed/>
    <w:qFormat/>
    <w:rsid w:val="00050B7F"/>
    <w:pPr>
      <w:keepNext/>
      <w:keepLines/>
      <w:spacing w:before="120" w:after="0"/>
      <w:outlineLvl w:val="5"/>
    </w:pPr>
    <w:rPr>
      <w:rFonts w:asciiTheme="majorHAnsi" w:eastAsiaTheme="majorEastAsia" w:hAnsiTheme="majorHAnsi" w:cstheme="majorBidi"/>
      <w:b/>
      <w:bCs/>
      <w:i/>
      <w:iCs/>
    </w:rPr>
  </w:style>
  <w:style w:type="paragraph" w:styleId="Ttulo7">
    <w:name w:val="heading 7"/>
    <w:basedOn w:val="Normal"/>
    <w:next w:val="Normal"/>
    <w:link w:val="Ttulo7Car"/>
    <w:uiPriority w:val="9"/>
    <w:semiHidden/>
    <w:unhideWhenUsed/>
    <w:qFormat/>
    <w:rsid w:val="00050B7F"/>
    <w:pPr>
      <w:keepNext/>
      <w:keepLines/>
      <w:spacing w:before="120" w:after="0"/>
      <w:outlineLvl w:val="6"/>
    </w:pPr>
    <w:rPr>
      <w:i/>
      <w:iCs/>
    </w:rPr>
  </w:style>
  <w:style w:type="paragraph" w:styleId="Ttulo8">
    <w:name w:val="heading 8"/>
    <w:basedOn w:val="Normal"/>
    <w:next w:val="Normal"/>
    <w:link w:val="Ttulo8Car"/>
    <w:uiPriority w:val="9"/>
    <w:semiHidden/>
    <w:unhideWhenUsed/>
    <w:qFormat/>
    <w:rsid w:val="00050B7F"/>
    <w:pPr>
      <w:keepNext/>
      <w:keepLines/>
      <w:spacing w:before="120" w:after="0"/>
      <w:outlineLvl w:val="7"/>
    </w:pPr>
    <w:rPr>
      <w:b/>
      <w:bCs/>
    </w:rPr>
  </w:style>
  <w:style w:type="paragraph" w:styleId="Ttulo9">
    <w:name w:val="heading 9"/>
    <w:basedOn w:val="Normal"/>
    <w:next w:val="Normal"/>
    <w:link w:val="Ttulo9Car"/>
    <w:uiPriority w:val="9"/>
    <w:semiHidden/>
    <w:unhideWhenUsed/>
    <w:qFormat/>
    <w:rsid w:val="00050B7F"/>
    <w:pPr>
      <w:keepNext/>
      <w:keepLines/>
      <w:spacing w:before="120" w:after="0"/>
      <w:outlineLvl w:val="8"/>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FD18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83577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5778"/>
    <w:rPr>
      <w:rFonts w:ascii="Segoe UI" w:hAnsi="Segoe UI" w:cs="Segoe UI"/>
      <w:sz w:val="18"/>
      <w:szCs w:val="18"/>
      <w:lang w:val="es-MX"/>
    </w:rPr>
  </w:style>
  <w:style w:type="paragraph" w:styleId="Textonotapie">
    <w:name w:val="footnote text"/>
    <w:aliases w:val="Texto nota pie 1.22"/>
    <w:basedOn w:val="Normal"/>
    <w:link w:val="TextonotapieCar"/>
    <w:autoRedefine/>
    <w:uiPriority w:val="99"/>
    <w:unhideWhenUsed/>
    <w:qFormat/>
    <w:rsid w:val="00A91CD1"/>
    <w:pPr>
      <w:spacing w:after="0" w:afterAutospacing="0" w:line="240" w:lineRule="auto"/>
    </w:pPr>
    <w:rPr>
      <w:sz w:val="20"/>
      <w:szCs w:val="20"/>
    </w:rPr>
  </w:style>
  <w:style w:type="character" w:customStyle="1" w:styleId="TextonotapieCar">
    <w:name w:val="Texto nota pie Car"/>
    <w:aliases w:val="Texto nota pie 1.22 Car"/>
    <w:basedOn w:val="Fuentedeprrafopredeter"/>
    <w:link w:val="Textonotapie"/>
    <w:uiPriority w:val="99"/>
    <w:rsid w:val="00A91CD1"/>
    <w:rPr>
      <w:rFonts w:ascii="Century Gothic" w:eastAsiaTheme="minorEastAsia" w:hAnsi="Century Gothic"/>
      <w:sz w:val="20"/>
      <w:szCs w:val="20"/>
    </w:rPr>
  </w:style>
  <w:style w:type="character" w:styleId="Refdenotaalpie">
    <w:name w:val="footnote reference"/>
    <w:basedOn w:val="Fuentedeprrafopredeter"/>
    <w:uiPriority w:val="99"/>
    <w:semiHidden/>
    <w:unhideWhenUsed/>
    <w:rsid w:val="00D723E4"/>
    <w:rPr>
      <w:vertAlign w:val="superscript"/>
    </w:rPr>
  </w:style>
  <w:style w:type="paragraph" w:styleId="Prrafodelista">
    <w:name w:val="List Paragraph"/>
    <w:aliases w:val="4 Párrafo de lista,Figuras,Dot pt,No Spacing1,List Paragraph Char Char Char,Indicator Text,List Paragraph1,Numbered Para 1,DH1,Listas,lp1,Light Grid - Accent 31,Párrafo Título 3"/>
    <w:basedOn w:val="Normal"/>
    <w:link w:val="PrrafodelistaCar"/>
    <w:uiPriority w:val="34"/>
    <w:qFormat/>
    <w:rsid w:val="00050B7F"/>
    <w:pPr>
      <w:ind w:left="720"/>
      <w:contextualSpacing/>
    </w:pPr>
  </w:style>
  <w:style w:type="paragraph" w:styleId="Encabezado">
    <w:name w:val="header"/>
    <w:basedOn w:val="Normal"/>
    <w:link w:val="EncabezadoCar"/>
    <w:uiPriority w:val="99"/>
    <w:unhideWhenUsed/>
    <w:rsid w:val="00606C8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06C83"/>
    <w:rPr>
      <w:lang w:val="es-MX"/>
    </w:rPr>
  </w:style>
  <w:style w:type="paragraph" w:styleId="Piedepgina">
    <w:name w:val="footer"/>
    <w:basedOn w:val="Normal"/>
    <w:link w:val="PiedepginaCar"/>
    <w:uiPriority w:val="99"/>
    <w:unhideWhenUsed/>
    <w:rsid w:val="00606C8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06C83"/>
    <w:rPr>
      <w:lang w:val="es-MX"/>
    </w:rPr>
  </w:style>
  <w:style w:type="character" w:customStyle="1" w:styleId="PrrafodelistaCar">
    <w:name w:val="Párrafo de lista Car"/>
    <w:aliases w:val="4 Párrafo de lista Car,Figuras Car,Dot pt Car,No Spacing1 Car,List Paragraph Char Char Char Car,Indicator Text Car,List Paragraph1 Car,Numbered Para 1 Car,DH1 Car,Listas Car,lp1 Car,Light Grid - Accent 31 Car,Párrafo Título 3 Car"/>
    <w:link w:val="Prrafodelista"/>
    <w:uiPriority w:val="34"/>
    <w:rsid w:val="00504708"/>
    <w:rPr>
      <w:rFonts w:ascii="Cambria" w:eastAsiaTheme="minorEastAsia" w:hAnsi="Cambria"/>
      <w:color w:val="000818"/>
    </w:rPr>
  </w:style>
  <w:style w:type="paragraph" w:styleId="NormalWeb">
    <w:name w:val="Normal (Web)"/>
    <w:basedOn w:val="Normal"/>
    <w:uiPriority w:val="99"/>
    <w:semiHidden/>
    <w:unhideWhenUsed/>
    <w:rsid w:val="00504708"/>
    <w:pPr>
      <w:spacing w:before="100" w:beforeAutospacing="1" w:line="240" w:lineRule="auto"/>
    </w:pPr>
    <w:rPr>
      <w:rFonts w:ascii="Times New Roman" w:eastAsia="Times New Roman" w:hAnsi="Times New Roman" w:cs="Times New Roman"/>
      <w:szCs w:val="24"/>
      <w:lang w:eastAsia="es-MX"/>
    </w:rPr>
  </w:style>
  <w:style w:type="character" w:customStyle="1" w:styleId="apple-converted-space">
    <w:name w:val="apple-converted-space"/>
    <w:basedOn w:val="Fuentedeprrafopredeter"/>
    <w:rsid w:val="00504708"/>
  </w:style>
  <w:style w:type="character" w:styleId="Refdecomentario">
    <w:name w:val="annotation reference"/>
    <w:basedOn w:val="Fuentedeprrafopredeter"/>
    <w:uiPriority w:val="99"/>
    <w:semiHidden/>
    <w:unhideWhenUsed/>
    <w:rsid w:val="00504708"/>
    <w:rPr>
      <w:sz w:val="16"/>
      <w:szCs w:val="16"/>
    </w:rPr>
  </w:style>
  <w:style w:type="paragraph" w:styleId="Textocomentario">
    <w:name w:val="annotation text"/>
    <w:basedOn w:val="Normal"/>
    <w:link w:val="TextocomentarioCar"/>
    <w:uiPriority w:val="99"/>
    <w:semiHidden/>
    <w:unhideWhenUsed/>
    <w:rsid w:val="00504708"/>
    <w:pPr>
      <w:spacing w:after="200" w:line="240" w:lineRule="auto"/>
    </w:pPr>
    <w:rPr>
      <w:sz w:val="20"/>
      <w:szCs w:val="20"/>
    </w:rPr>
  </w:style>
  <w:style w:type="character" w:customStyle="1" w:styleId="TextocomentarioCar">
    <w:name w:val="Texto comentario Car"/>
    <w:basedOn w:val="Fuentedeprrafopredeter"/>
    <w:link w:val="Textocomentario"/>
    <w:uiPriority w:val="99"/>
    <w:semiHidden/>
    <w:rsid w:val="00504708"/>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504708"/>
    <w:rPr>
      <w:b/>
      <w:bCs/>
    </w:rPr>
  </w:style>
  <w:style w:type="character" w:customStyle="1" w:styleId="AsuntodelcomentarioCar">
    <w:name w:val="Asunto del comentario Car"/>
    <w:basedOn w:val="TextocomentarioCar"/>
    <w:link w:val="Asuntodelcomentario"/>
    <w:uiPriority w:val="99"/>
    <w:semiHidden/>
    <w:rsid w:val="00504708"/>
    <w:rPr>
      <w:b/>
      <w:bCs/>
      <w:sz w:val="20"/>
      <w:szCs w:val="20"/>
      <w:lang w:val="es-MX"/>
    </w:rPr>
  </w:style>
  <w:style w:type="character" w:styleId="Textodelmarcadordeposicin">
    <w:name w:val="Placeholder Text"/>
    <w:basedOn w:val="Fuentedeprrafopredeter"/>
    <w:uiPriority w:val="99"/>
    <w:semiHidden/>
    <w:rsid w:val="00504708"/>
    <w:rPr>
      <w:color w:val="808080"/>
    </w:rPr>
  </w:style>
  <w:style w:type="paragraph" w:styleId="Textonotaalfinal">
    <w:name w:val="endnote text"/>
    <w:basedOn w:val="Normal"/>
    <w:link w:val="TextonotaalfinalCar"/>
    <w:uiPriority w:val="99"/>
    <w:semiHidden/>
    <w:unhideWhenUsed/>
    <w:rsid w:val="0022132B"/>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22132B"/>
    <w:rPr>
      <w:sz w:val="20"/>
      <w:szCs w:val="20"/>
      <w:lang w:val="es-MX"/>
    </w:rPr>
  </w:style>
  <w:style w:type="character" w:styleId="Refdenotaalfinal">
    <w:name w:val="endnote reference"/>
    <w:basedOn w:val="Fuentedeprrafopredeter"/>
    <w:uiPriority w:val="99"/>
    <w:semiHidden/>
    <w:unhideWhenUsed/>
    <w:rsid w:val="0022132B"/>
    <w:rPr>
      <w:vertAlign w:val="superscript"/>
    </w:rPr>
  </w:style>
  <w:style w:type="character" w:styleId="Hipervnculo">
    <w:name w:val="Hyperlink"/>
    <w:basedOn w:val="Fuentedeprrafopredeter"/>
    <w:uiPriority w:val="99"/>
    <w:unhideWhenUsed/>
    <w:rsid w:val="00377E38"/>
    <w:rPr>
      <w:color w:val="0563C1" w:themeColor="hyperlink"/>
      <w:u w:val="single"/>
    </w:rPr>
  </w:style>
  <w:style w:type="character" w:customStyle="1" w:styleId="Ttulo1Car">
    <w:name w:val="Título 1 Car"/>
    <w:basedOn w:val="Fuentedeprrafopredeter"/>
    <w:link w:val="Ttulo1"/>
    <w:uiPriority w:val="9"/>
    <w:rsid w:val="00F13994"/>
    <w:rPr>
      <w:rFonts w:ascii="Century Gothic" w:eastAsiaTheme="majorEastAsia" w:hAnsi="Century Gothic" w:cs="Arial"/>
      <w:b/>
      <w:bCs/>
      <w:color w:val="0E4E7A"/>
      <w:spacing w:val="4"/>
      <w:sz w:val="28"/>
      <w:szCs w:val="24"/>
    </w:rPr>
  </w:style>
  <w:style w:type="paragraph" w:styleId="Subttulo">
    <w:name w:val="Subtitle"/>
    <w:basedOn w:val="Normal"/>
    <w:next w:val="Normal"/>
    <w:link w:val="SubttuloCar"/>
    <w:uiPriority w:val="11"/>
    <w:qFormat/>
    <w:rsid w:val="00050B7F"/>
    <w:pPr>
      <w:numPr>
        <w:ilvl w:val="1"/>
      </w:numPr>
      <w:spacing w:after="240"/>
      <w:jc w:val="center"/>
    </w:pPr>
    <w:rPr>
      <w:rFonts w:asciiTheme="majorHAnsi" w:eastAsiaTheme="majorEastAsia" w:hAnsiTheme="majorHAnsi" w:cstheme="majorBidi"/>
      <w:szCs w:val="24"/>
    </w:rPr>
  </w:style>
  <w:style w:type="character" w:customStyle="1" w:styleId="SubttuloCar">
    <w:name w:val="Subtítulo Car"/>
    <w:basedOn w:val="Fuentedeprrafopredeter"/>
    <w:link w:val="Subttulo"/>
    <w:uiPriority w:val="11"/>
    <w:rsid w:val="00050B7F"/>
    <w:rPr>
      <w:rFonts w:asciiTheme="majorHAnsi" w:eastAsiaTheme="majorEastAsia" w:hAnsiTheme="majorHAnsi" w:cstheme="majorBidi"/>
      <w:color w:val="000818"/>
      <w:sz w:val="24"/>
      <w:szCs w:val="24"/>
    </w:rPr>
  </w:style>
  <w:style w:type="paragraph" w:styleId="TtulodeTDC">
    <w:name w:val="TOC Heading"/>
    <w:basedOn w:val="Ttulo1"/>
    <w:next w:val="Normal"/>
    <w:uiPriority w:val="39"/>
    <w:unhideWhenUsed/>
    <w:qFormat/>
    <w:rsid w:val="00050B7F"/>
    <w:pPr>
      <w:outlineLvl w:val="9"/>
    </w:pPr>
  </w:style>
  <w:style w:type="paragraph" w:styleId="TDC1">
    <w:name w:val="toc 1"/>
    <w:basedOn w:val="Normal"/>
    <w:next w:val="Normal"/>
    <w:autoRedefine/>
    <w:uiPriority w:val="39"/>
    <w:unhideWhenUsed/>
    <w:rsid w:val="00EB72F3"/>
  </w:style>
  <w:style w:type="character" w:customStyle="1" w:styleId="Ttulo2Car">
    <w:name w:val="Título 2 Car"/>
    <w:basedOn w:val="Fuentedeprrafopredeter"/>
    <w:link w:val="Ttulo2"/>
    <w:uiPriority w:val="9"/>
    <w:rsid w:val="00F13994"/>
    <w:rPr>
      <w:rFonts w:ascii="Century Gothic" w:eastAsia="Times New Roman" w:hAnsi="Century Gothic" w:cs="Arial"/>
      <w:b/>
      <w:bCs/>
      <w:color w:val="0E4E7A"/>
      <w:sz w:val="28"/>
      <w:szCs w:val="24"/>
      <w:lang w:eastAsia="es-MX"/>
    </w:rPr>
  </w:style>
  <w:style w:type="paragraph" w:styleId="TDC2">
    <w:name w:val="toc 2"/>
    <w:basedOn w:val="Normal"/>
    <w:next w:val="Normal"/>
    <w:autoRedefine/>
    <w:uiPriority w:val="39"/>
    <w:unhideWhenUsed/>
    <w:rsid w:val="00C06A96"/>
    <w:pPr>
      <w:ind w:left="220"/>
    </w:pPr>
  </w:style>
  <w:style w:type="character" w:customStyle="1" w:styleId="Ttulo3Car">
    <w:name w:val="Título 3 Car"/>
    <w:basedOn w:val="Fuentedeprrafopredeter"/>
    <w:link w:val="Ttulo3"/>
    <w:uiPriority w:val="9"/>
    <w:rsid w:val="0045774F"/>
    <w:rPr>
      <w:rFonts w:ascii="Century Gothic" w:eastAsiaTheme="majorEastAsia" w:hAnsi="Century Gothic" w:cstheme="majorBidi"/>
      <w:b/>
      <w:color w:val="0E4E7A"/>
      <w:spacing w:val="4"/>
      <w:sz w:val="24"/>
      <w:szCs w:val="24"/>
    </w:rPr>
  </w:style>
  <w:style w:type="paragraph" w:styleId="TDC3">
    <w:name w:val="toc 3"/>
    <w:basedOn w:val="Normal"/>
    <w:next w:val="Normal"/>
    <w:autoRedefine/>
    <w:uiPriority w:val="39"/>
    <w:unhideWhenUsed/>
    <w:rsid w:val="00291DDA"/>
    <w:pPr>
      <w:ind w:left="440"/>
    </w:pPr>
  </w:style>
  <w:style w:type="character" w:customStyle="1" w:styleId="Ttulo4Car">
    <w:name w:val="Título 4 Car"/>
    <w:basedOn w:val="Fuentedeprrafopredeter"/>
    <w:link w:val="Ttulo4"/>
    <w:uiPriority w:val="9"/>
    <w:rsid w:val="00050B7F"/>
    <w:rPr>
      <w:rFonts w:ascii="Cambria" w:eastAsiaTheme="majorEastAsia" w:hAnsi="Cambria" w:cstheme="majorBidi"/>
      <w:b/>
      <w:iCs/>
      <w:sz w:val="24"/>
      <w:szCs w:val="24"/>
    </w:rPr>
  </w:style>
  <w:style w:type="character" w:customStyle="1" w:styleId="Ttulo5Car">
    <w:name w:val="Título 5 Car"/>
    <w:basedOn w:val="Fuentedeprrafopredeter"/>
    <w:link w:val="Ttulo5"/>
    <w:uiPriority w:val="9"/>
    <w:rsid w:val="00050B7F"/>
    <w:rPr>
      <w:rFonts w:ascii="Cambria" w:eastAsiaTheme="majorEastAsia" w:hAnsi="Cambria" w:cstheme="majorBidi"/>
      <w:b/>
      <w:bCs/>
      <w:color w:val="000818"/>
    </w:rPr>
  </w:style>
  <w:style w:type="character" w:customStyle="1" w:styleId="Ttulo6Car">
    <w:name w:val="Título 6 Car"/>
    <w:basedOn w:val="Fuentedeprrafopredeter"/>
    <w:link w:val="Ttulo6"/>
    <w:uiPriority w:val="9"/>
    <w:semiHidden/>
    <w:rsid w:val="00050B7F"/>
    <w:rPr>
      <w:rFonts w:asciiTheme="majorHAnsi" w:eastAsiaTheme="majorEastAsia" w:hAnsiTheme="majorHAnsi" w:cstheme="majorBidi"/>
      <w:b/>
      <w:bCs/>
      <w:i/>
      <w:iCs/>
      <w:color w:val="000818"/>
    </w:rPr>
  </w:style>
  <w:style w:type="character" w:customStyle="1" w:styleId="Ttulo7Car">
    <w:name w:val="Título 7 Car"/>
    <w:basedOn w:val="Fuentedeprrafopredeter"/>
    <w:link w:val="Ttulo7"/>
    <w:uiPriority w:val="99"/>
    <w:semiHidden/>
    <w:rsid w:val="00050B7F"/>
    <w:rPr>
      <w:rFonts w:ascii="Cambria" w:eastAsiaTheme="minorEastAsia" w:hAnsi="Cambria"/>
      <w:i/>
      <w:iCs/>
      <w:color w:val="000818"/>
    </w:rPr>
  </w:style>
  <w:style w:type="character" w:customStyle="1" w:styleId="Ttulo8Car">
    <w:name w:val="Título 8 Car"/>
    <w:basedOn w:val="Fuentedeprrafopredeter"/>
    <w:link w:val="Ttulo8"/>
    <w:uiPriority w:val="9"/>
    <w:semiHidden/>
    <w:rsid w:val="00050B7F"/>
    <w:rPr>
      <w:rFonts w:ascii="Cambria" w:eastAsiaTheme="minorEastAsia" w:hAnsi="Cambria"/>
      <w:b/>
      <w:bCs/>
      <w:color w:val="000818"/>
    </w:rPr>
  </w:style>
  <w:style w:type="character" w:customStyle="1" w:styleId="Ttulo9Car">
    <w:name w:val="Título 9 Car"/>
    <w:basedOn w:val="Fuentedeprrafopredeter"/>
    <w:link w:val="Ttulo9"/>
    <w:uiPriority w:val="9"/>
    <w:semiHidden/>
    <w:rsid w:val="00050B7F"/>
    <w:rPr>
      <w:rFonts w:ascii="Cambria" w:eastAsiaTheme="minorEastAsia" w:hAnsi="Cambria"/>
      <w:i/>
      <w:iCs/>
      <w:color w:val="000818"/>
    </w:rPr>
  </w:style>
  <w:style w:type="paragraph" w:styleId="Epgrafe">
    <w:name w:val="caption"/>
    <w:basedOn w:val="Normal"/>
    <w:next w:val="Normal"/>
    <w:uiPriority w:val="35"/>
    <w:unhideWhenUsed/>
    <w:qFormat/>
    <w:rsid w:val="00050B7F"/>
    <w:rPr>
      <w:b/>
      <w:bCs/>
      <w:sz w:val="18"/>
      <w:szCs w:val="18"/>
    </w:rPr>
  </w:style>
  <w:style w:type="paragraph" w:styleId="Ttulo">
    <w:name w:val="Title"/>
    <w:basedOn w:val="Normal"/>
    <w:next w:val="Normal"/>
    <w:link w:val="TtuloCar"/>
    <w:uiPriority w:val="10"/>
    <w:qFormat/>
    <w:rsid w:val="00050B7F"/>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tuloCar">
    <w:name w:val="Título Car"/>
    <w:basedOn w:val="Fuentedeprrafopredeter"/>
    <w:link w:val="Ttulo"/>
    <w:uiPriority w:val="10"/>
    <w:rsid w:val="00050B7F"/>
    <w:rPr>
      <w:rFonts w:asciiTheme="majorHAnsi" w:eastAsiaTheme="majorEastAsia" w:hAnsiTheme="majorHAnsi" w:cstheme="majorBidi"/>
      <w:b/>
      <w:bCs/>
      <w:color w:val="000818"/>
      <w:spacing w:val="-7"/>
      <w:sz w:val="48"/>
      <w:szCs w:val="48"/>
    </w:rPr>
  </w:style>
  <w:style w:type="character" w:styleId="Textoennegrita">
    <w:name w:val="Strong"/>
    <w:basedOn w:val="Fuentedeprrafopredeter"/>
    <w:uiPriority w:val="22"/>
    <w:qFormat/>
    <w:rsid w:val="00050B7F"/>
    <w:rPr>
      <w:b/>
      <w:bCs/>
      <w:color w:val="auto"/>
    </w:rPr>
  </w:style>
  <w:style w:type="character" w:styleId="nfasis">
    <w:name w:val="Emphasis"/>
    <w:basedOn w:val="Fuentedeprrafopredeter"/>
    <w:qFormat/>
    <w:rsid w:val="00050B7F"/>
    <w:rPr>
      <w:i/>
      <w:iCs/>
      <w:color w:val="auto"/>
    </w:rPr>
  </w:style>
  <w:style w:type="paragraph" w:styleId="Sinespaciado">
    <w:name w:val="No Spacing"/>
    <w:uiPriority w:val="1"/>
    <w:qFormat/>
    <w:rsid w:val="00050B7F"/>
    <w:pPr>
      <w:spacing w:after="0" w:line="240" w:lineRule="auto"/>
    </w:pPr>
    <w:rPr>
      <w:rFonts w:eastAsiaTheme="minorEastAsia"/>
    </w:rPr>
  </w:style>
  <w:style w:type="paragraph" w:styleId="Cita">
    <w:name w:val="Quote"/>
    <w:basedOn w:val="Normal"/>
    <w:next w:val="Normal"/>
    <w:link w:val="CitaCar"/>
    <w:uiPriority w:val="29"/>
    <w:qFormat/>
    <w:rsid w:val="00050B7F"/>
    <w:pPr>
      <w:spacing w:before="200" w:line="264" w:lineRule="auto"/>
      <w:ind w:left="864" w:right="864"/>
      <w:jc w:val="center"/>
    </w:pPr>
    <w:rPr>
      <w:rFonts w:asciiTheme="majorHAnsi" w:eastAsiaTheme="majorEastAsia" w:hAnsiTheme="majorHAnsi" w:cstheme="majorBidi"/>
      <w:i/>
      <w:iCs/>
      <w:szCs w:val="24"/>
    </w:rPr>
  </w:style>
  <w:style w:type="character" w:customStyle="1" w:styleId="CitaCar">
    <w:name w:val="Cita Car"/>
    <w:basedOn w:val="Fuentedeprrafopredeter"/>
    <w:link w:val="Cita"/>
    <w:uiPriority w:val="29"/>
    <w:rsid w:val="00050B7F"/>
    <w:rPr>
      <w:rFonts w:asciiTheme="majorHAnsi" w:eastAsiaTheme="majorEastAsia" w:hAnsiTheme="majorHAnsi" w:cstheme="majorBidi"/>
      <w:i/>
      <w:iCs/>
      <w:color w:val="000818"/>
      <w:sz w:val="24"/>
      <w:szCs w:val="24"/>
    </w:rPr>
  </w:style>
  <w:style w:type="paragraph" w:styleId="Citadestacada">
    <w:name w:val="Intense Quote"/>
    <w:basedOn w:val="Normal"/>
    <w:next w:val="Normal"/>
    <w:link w:val="CitadestacadaCar"/>
    <w:uiPriority w:val="30"/>
    <w:qFormat/>
    <w:rsid w:val="00050B7F"/>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itadestacadaCar">
    <w:name w:val="Cita destacada Car"/>
    <w:basedOn w:val="Fuentedeprrafopredeter"/>
    <w:link w:val="Citadestacada"/>
    <w:uiPriority w:val="30"/>
    <w:rsid w:val="00050B7F"/>
    <w:rPr>
      <w:rFonts w:asciiTheme="majorHAnsi" w:eastAsiaTheme="majorEastAsia" w:hAnsiTheme="majorHAnsi" w:cstheme="majorBidi"/>
      <w:color w:val="000818"/>
      <w:sz w:val="26"/>
      <w:szCs w:val="26"/>
    </w:rPr>
  </w:style>
  <w:style w:type="character" w:styleId="nfasissutil">
    <w:name w:val="Subtle Emphasis"/>
    <w:basedOn w:val="Fuentedeprrafopredeter"/>
    <w:uiPriority w:val="19"/>
    <w:qFormat/>
    <w:rsid w:val="00050B7F"/>
    <w:rPr>
      <w:i/>
      <w:iCs/>
      <w:color w:val="auto"/>
    </w:rPr>
  </w:style>
  <w:style w:type="character" w:styleId="nfasisintenso">
    <w:name w:val="Intense Emphasis"/>
    <w:basedOn w:val="Fuentedeprrafopredeter"/>
    <w:uiPriority w:val="21"/>
    <w:qFormat/>
    <w:rsid w:val="00050B7F"/>
    <w:rPr>
      <w:b/>
      <w:bCs/>
      <w:i/>
      <w:iCs/>
      <w:color w:val="auto"/>
    </w:rPr>
  </w:style>
  <w:style w:type="character" w:styleId="Referenciasutil">
    <w:name w:val="Subtle Reference"/>
    <w:basedOn w:val="Fuentedeprrafopredeter"/>
    <w:uiPriority w:val="31"/>
    <w:qFormat/>
    <w:rsid w:val="00050B7F"/>
    <w:rPr>
      <w:smallCaps/>
      <w:color w:val="auto"/>
      <w:u w:val="single" w:color="7F7F7F" w:themeColor="text1" w:themeTint="80"/>
    </w:rPr>
  </w:style>
  <w:style w:type="character" w:styleId="Referenciaintensa">
    <w:name w:val="Intense Reference"/>
    <w:basedOn w:val="Fuentedeprrafopredeter"/>
    <w:uiPriority w:val="32"/>
    <w:qFormat/>
    <w:rsid w:val="00050B7F"/>
    <w:rPr>
      <w:b/>
      <w:bCs/>
      <w:smallCaps/>
      <w:color w:val="auto"/>
      <w:u w:val="single"/>
    </w:rPr>
  </w:style>
  <w:style w:type="character" w:styleId="Ttulodellibro">
    <w:name w:val="Book Title"/>
    <w:basedOn w:val="Fuentedeprrafopredeter"/>
    <w:uiPriority w:val="33"/>
    <w:qFormat/>
    <w:rsid w:val="00050B7F"/>
    <w:rPr>
      <w:b/>
      <w:bCs/>
      <w:smallCaps/>
      <w:color w:val="auto"/>
    </w:rPr>
  </w:style>
  <w:style w:type="character" w:styleId="Hipervnculovisitado">
    <w:name w:val="FollowedHyperlink"/>
    <w:basedOn w:val="Fuentedeprrafopredeter"/>
    <w:uiPriority w:val="99"/>
    <w:semiHidden/>
    <w:unhideWhenUsed/>
    <w:rsid w:val="0024480A"/>
    <w:rPr>
      <w:color w:val="954F72" w:themeColor="followedHyperlink"/>
      <w:u w:val="single"/>
    </w:rPr>
  </w:style>
  <w:style w:type="paragraph" w:customStyle="1" w:styleId="Default">
    <w:name w:val="Default"/>
    <w:rsid w:val="00776A1A"/>
    <w:pPr>
      <w:autoSpaceDE w:val="0"/>
      <w:autoSpaceDN w:val="0"/>
      <w:adjustRightInd w:val="0"/>
      <w:spacing w:after="0" w:line="240" w:lineRule="auto"/>
      <w:jc w:val="left"/>
    </w:pPr>
    <w:rPr>
      <w:rFonts w:ascii="Century Gothic" w:hAnsi="Century Gothic" w:cs="Century Gothic"/>
      <w:color w:val="000000"/>
      <w:sz w:val="24"/>
      <w:szCs w:val="24"/>
      <w:lang w:val="es-MX"/>
    </w:rPr>
  </w:style>
  <w:style w:type="table" w:customStyle="1" w:styleId="Tablaconcuadrcula1">
    <w:name w:val="Tabla con cuadrícula1"/>
    <w:basedOn w:val="Tablanormal"/>
    <w:next w:val="Tablaconcuadrcula"/>
    <w:uiPriority w:val="39"/>
    <w:rsid w:val="00F00CC7"/>
    <w:pPr>
      <w:spacing w:after="0" w:line="240" w:lineRule="auto"/>
      <w:jc w:val="left"/>
    </w:pPr>
    <w:rPr>
      <w:lang w:val="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1">
    <w:name w:val="Tabla con cuadrícula11"/>
    <w:basedOn w:val="Tablanormal"/>
    <w:next w:val="Tablaconcuadrcula"/>
    <w:uiPriority w:val="39"/>
    <w:rsid w:val="00144F6D"/>
    <w:pPr>
      <w:spacing w:after="0" w:line="240" w:lineRule="auto"/>
      <w:jc w:val="left"/>
    </w:pPr>
    <w:rPr>
      <w:lang w:val="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7006">
      <w:bodyDiv w:val="1"/>
      <w:marLeft w:val="0"/>
      <w:marRight w:val="0"/>
      <w:marTop w:val="0"/>
      <w:marBottom w:val="0"/>
      <w:divBdr>
        <w:top w:val="none" w:sz="0" w:space="0" w:color="auto"/>
        <w:left w:val="none" w:sz="0" w:space="0" w:color="auto"/>
        <w:bottom w:val="none" w:sz="0" w:space="0" w:color="auto"/>
        <w:right w:val="none" w:sz="0" w:space="0" w:color="auto"/>
      </w:divBdr>
    </w:div>
    <w:div w:id="23601910">
      <w:bodyDiv w:val="1"/>
      <w:marLeft w:val="0"/>
      <w:marRight w:val="0"/>
      <w:marTop w:val="0"/>
      <w:marBottom w:val="0"/>
      <w:divBdr>
        <w:top w:val="none" w:sz="0" w:space="0" w:color="auto"/>
        <w:left w:val="none" w:sz="0" w:space="0" w:color="auto"/>
        <w:bottom w:val="none" w:sz="0" w:space="0" w:color="auto"/>
        <w:right w:val="none" w:sz="0" w:space="0" w:color="auto"/>
      </w:divBdr>
    </w:div>
    <w:div w:id="31345146">
      <w:bodyDiv w:val="1"/>
      <w:marLeft w:val="0"/>
      <w:marRight w:val="0"/>
      <w:marTop w:val="0"/>
      <w:marBottom w:val="0"/>
      <w:divBdr>
        <w:top w:val="none" w:sz="0" w:space="0" w:color="auto"/>
        <w:left w:val="none" w:sz="0" w:space="0" w:color="auto"/>
        <w:bottom w:val="none" w:sz="0" w:space="0" w:color="auto"/>
        <w:right w:val="none" w:sz="0" w:space="0" w:color="auto"/>
      </w:divBdr>
    </w:div>
    <w:div w:id="32384425">
      <w:bodyDiv w:val="1"/>
      <w:marLeft w:val="0"/>
      <w:marRight w:val="0"/>
      <w:marTop w:val="0"/>
      <w:marBottom w:val="0"/>
      <w:divBdr>
        <w:top w:val="none" w:sz="0" w:space="0" w:color="auto"/>
        <w:left w:val="none" w:sz="0" w:space="0" w:color="auto"/>
        <w:bottom w:val="none" w:sz="0" w:space="0" w:color="auto"/>
        <w:right w:val="none" w:sz="0" w:space="0" w:color="auto"/>
      </w:divBdr>
    </w:div>
    <w:div w:id="71045156">
      <w:bodyDiv w:val="1"/>
      <w:marLeft w:val="0"/>
      <w:marRight w:val="0"/>
      <w:marTop w:val="0"/>
      <w:marBottom w:val="0"/>
      <w:divBdr>
        <w:top w:val="none" w:sz="0" w:space="0" w:color="auto"/>
        <w:left w:val="none" w:sz="0" w:space="0" w:color="auto"/>
        <w:bottom w:val="none" w:sz="0" w:space="0" w:color="auto"/>
        <w:right w:val="none" w:sz="0" w:space="0" w:color="auto"/>
      </w:divBdr>
    </w:div>
    <w:div w:id="126436835">
      <w:bodyDiv w:val="1"/>
      <w:marLeft w:val="0"/>
      <w:marRight w:val="0"/>
      <w:marTop w:val="0"/>
      <w:marBottom w:val="0"/>
      <w:divBdr>
        <w:top w:val="none" w:sz="0" w:space="0" w:color="auto"/>
        <w:left w:val="none" w:sz="0" w:space="0" w:color="auto"/>
        <w:bottom w:val="none" w:sz="0" w:space="0" w:color="auto"/>
        <w:right w:val="none" w:sz="0" w:space="0" w:color="auto"/>
      </w:divBdr>
    </w:div>
    <w:div w:id="128934952">
      <w:bodyDiv w:val="1"/>
      <w:marLeft w:val="0"/>
      <w:marRight w:val="0"/>
      <w:marTop w:val="0"/>
      <w:marBottom w:val="0"/>
      <w:divBdr>
        <w:top w:val="none" w:sz="0" w:space="0" w:color="auto"/>
        <w:left w:val="none" w:sz="0" w:space="0" w:color="auto"/>
        <w:bottom w:val="none" w:sz="0" w:space="0" w:color="auto"/>
        <w:right w:val="none" w:sz="0" w:space="0" w:color="auto"/>
      </w:divBdr>
    </w:div>
    <w:div w:id="140777848">
      <w:bodyDiv w:val="1"/>
      <w:marLeft w:val="0"/>
      <w:marRight w:val="0"/>
      <w:marTop w:val="0"/>
      <w:marBottom w:val="0"/>
      <w:divBdr>
        <w:top w:val="none" w:sz="0" w:space="0" w:color="auto"/>
        <w:left w:val="none" w:sz="0" w:space="0" w:color="auto"/>
        <w:bottom w:val="none" w:sz="0" w:space="0" w:color="auto"/>
        <w:right w:val="none" w:sz="0" w:space="0" w:color="auto"/>
      </w:divBdr>
    </w:div>
    <w:div w:id="296110436">
      <w:bodyDiv w:val="1"/>
      <w:marLeft w:val="0"/>
      <w:marRight w:val="0"/>
      <w:marTop w:val="0"/>
      <w:marBottom w:val="0"/>
      <w:divBdr>
        <w:top w:val="none" w:sz="0" w:space="0" w:color="auto"/>
        <w:left w:val="none" w:sz="0" w:space="0" w:color="auto"/>
        <w:bottom w:val="none" w:sz="0" w:space="0" w:color="auto"/>
        <w:right w:val="none" w:sz="0" w:space="0" w:color="auto"/>
      </w:divBdr>
    </w:div>
    <w:div w:id="337855401">
      <w:bodyDiv w:val="1"/>
      <w:marLeft w:val="0"/>
      <w:marRight w:val="0"/>
      <w:marTop w:val="0"/>
      <w:marBottom w:val="0"/>
      <w:divBdr>
        <w:top w:val="none" w:sz="0" w:space="0" w:color="auto"/>
        <w:left w:val="none" w:sz="0" w:space="0" w:color="auto"/>
        <w:bottom w:val="none" w:sz="0" w:space="0" w:color="auto"/>
        <w:right w:val="none" w:sz="0" w:space="0" w:color="auto"/>
      </w:divBdr>
    </w:div>
    <w:div w:id="368917262">
      <w:bodyDiv w:val="1"/>
      <w:marLeft w:val="0"/>
      <w:marRight w:val="0"/>
      <w:marTop w:val="0"/>
      <w:marBottom w:val="0"/>
      <w:divBdr>
        <w:top w:val="none" w:sz="0" w:space="0" w:color="auto"/>
        <w:left w:val="none" w:sz="0" w:space="0" w:color="auto"/>
        <w:bottom w:val="none" w:sz="0" w:space="0" w:color="auto"/>
        <w:right w:val="none" w:sz="0" w:space="0" w:color="auto"/>
      </w:divBdr>
    </w:div>
    <w:div w:id="392893772">
      <w:bodyDiv w:val="1"/>
      <w:marLeft w:val="0"/>
      <w:marRight w:val="0"/>
      <w:marTop w:val="0"/>
      <w:marBottom w:val="0"/>
      <w:divBdr>
        <w:top w:val="none" w:sz="0" w:space="0" w:color="auto"/>
        <w:left w:val="none" w:sz="0" w:space="0" w:color="auto"/>
        <w:bottom w:val="none" w:sz="0" w:space="0" w:color="auto"/>
        <w:right w:val="none" w:sz="0" w:space="0" w:color="auto"/>
      </w:divBdr>
    </w:div>
    <w:div w:id="496505121">
      <w:bodyDiv w:val="1"/>
      <w:marLeft w:val="0"/>
      <w:marRight w:val="0"/>
      <w:marTop w:val="0"/>
      <w:marBottom w:val="0"/>
      <w:divBdr>
        <w:top w:val="none" w:sz="0" w:space="0" w:color="auto"/>
        <w:left w:val="none" w:sz="0" w:space="0" w:color="auto"/>
        <w:bottom w:val="none" w:sz="0" w:space="0" w:color="auto"/>
        <w:right w:val="none" w:sz="0" w:space="0" w:color="auto"/>
      </w:divBdr>
    </w:div>
    <w:div w:id="504367728">
      <w:bodyDiv w:val="1"/>
      <w:marLeft w:val="0"/>
      <w:marRight w:val="0"/>
      <w:marTop w:val="0"/>
      <w:marBottom w:val="0"/>
      <w:divBdr>
        <w:top w:val="none" w:sz="0" w:space="0" w:color="auto"/>
        <w:left w:val="none" w:sz="0" w:space="0" w:color="auto"/>
        <w:bottom w:val="none" w:sz="0" w:space="0" w:color="auto"/>
        <w:right w:val="none" w:sz="0" w:space="0" w:color="auto"/>
      </w:divBdr>
    </w:div>
    <w:div w:id="537399248">
      <w:bodyDiv w:val="1"/>
      <w:marLeft w:val="0"/>
      <w:marRight w:val="0"/>
      <w:marTop w:val="0"/>
      <w:marBottom w:val="0"/>
      <w:divBdr>
        <w:top w:val="none" w:sz="0" w:space="0" w:color="auto"/>
        <w:left w:val="none" w:sz="0" w:space="0" w:color="auto"/>
        <w:bottom w:val="none" w:sz="0" w:space="0" w:color="auto"/>
        <w:right w:val="none" w:sz="0" w:space="0" w:color="auto"/>
      </w:divBdr>
    </w:div>
    <w:div w:id="635378172">
      <w:bodyDiv w:val="1"/>
      <w:marLeft w:val="0"/>
      <w:marRight w:val="0"/>
      <w:marTop w:val="0"/>
      <w:marBottom w:val="0"/>
      <w:divBdr>
        <w:top w:val="none" w:sz="0" w:space="0" w:color="auto"/>
        <w:left w:val="none" w:sz="0" w:space="0" w:color="auto"/>
        <w:bottom w:val="none" w:sz="0" w:space="0" w:color="auto"/>
        <w:right w:val="none" w:sz="0" w:space="0" w:color="auto"/>
      </w:divBdr>
    </w:div>
    <w:div w:id="672685378">
      <w:bodyDiv w:val="1"/>
      <w:marLeft w:val="0"/>
      <w:marRight w:val="0"/>
      <w:marTop w:val="0"/>
      <w:marBottom w:val="0"/>
      <w:divBdr>
        <w:top w:val="none" w:sz="0" w:space="0" w:color="auto"/>
        <w:left w:val="none" w:sz="0" w:space="0" w:color="auto"/>
        <w:bottom w:val="none" w:sz="0" w:space="0" w:color="auto"/>
        <w:right w:val="none" w:sz="0" w:space="0" w:color="auto"/>
      </w:divBdr>
    </w:div>
    <w:div w:id="675695298">
      <w:bodyDiv w:val="1"/>
      <w:marLeft w:val="0"/>
      <w:marRight w:val="0"/>
      <w:marTop w:val="0"/>
      <w:marBottom w:val="0"/>
      <w:divBdr>
        <w:top w:val="none" w:sz="0" w:space="0" w:color="auto"/>
        <w:left w:val="none" w:sz="0" w:space="0" w:color="auto"/>
        <w:bottom w:val="none" w:sz="0" w:space="0" w:color="auto"/>
        <w:right w:val="none" w:sz="0" w:space="0" w:color="auto"/>
      </w:divBdr>
    </w:div>
    <w:div w:id="684333180">
      <w:bodyDiv w:val="1"/>
      <w:marLeft w:val="0"/>
      <w:marRight w:val="0"/>
      <w:marTop w:val="0"/>
      <w:marBottom w:val="0"/>
      <w:divBdr>
        <w:top w:val="none" w:sz="0" w:space="0" w:color="auto"/>
        <w:left w:val="none" w:sz="0" w:space="0" w:color="auto"/>
        <w:bottom w:val="none" w:sz="0" w:space="0" w:color="auto"/>
        <w:right w:val="none" w:sz="0" w:space="0" w:color="auto"/>
      </w:divBdr>
    </w:div>
    <w:div w:id="865559373">
      <w:bodyDiv w:val="1"/>
      <w:marLeft w:val="0"/>
      <w:marRight w:val="0"/>
      <w:marTop w:val="0"/>
      <w:marBottom w:val="0"/>
      <w:divBdr>
        <w:top w:val="none" w:sz="0" w:space="0" w:color="auto"/>
        <w:left w:val="none" w:sz="0" w:space="0" w:color="auto"/>
        <w:bottom w:val="none" w:sz="0" w:space="0" w:color="auto"/>
        <w:right w:val="none" w:sz="0" w:space="0" w:color="auto"/>
      </w:divBdr>
    </w:div>
    <w:div w:id="943994568">
      <w:bodyDiv w:val="1"/>
      <w:marLeft w:val="0"/>
      <w:marRight w:val="0"/>
      <w:marTop w:val="0"/>
      <w:marBottom w:val="0"/>
      <w:divBdr>
        <w:top w:val="none" w:sz="0" w:space="0" w:color="auto"/>
        <w:left w:val="none" w:sz="0" w:space="0" w:color="auto"/>
        <w:bottom w:val="none" w:sz="0" w:space="0" w:color="auto"/>
        <w:right w:val="none" w:sz="0" w:space="0" w:color="auto"/>
      </w:divBdr>
    </w:div>
    <w:div w:id="1016687433">
      <w:bodyDiv w:val="1"/>
      <w:marLeft w:val="0"/>
      <w:marRight w:val="0"/>
      <w:marTop w:val="0"/>
      <w:marBottom w:val="0"/>
      <w:divBdr>
        <w:top w:val="none" w:sz="0" w:space="0" w:color="auto"/>
        <w:left w:val="none" w:sz="0" w:space="0" w:color="auto"/>
        <w:bottom w:val="none" w:sz="0" w:space="0" w:color="auto"/>
        <w:right w:val="none" w:sz="0" w:space="0" w:color="auto"/>
      </w:divBdr>
    </w:div>
    <w:div w:id="1059131176">
      <w:bodyDiv w:val="1"/>
      <w:marLeft w:val="0"/>
      <w:marRight w:val="0"/>
      <w:marTop w:val="0"/>
      <w:marBottom w:val="0"/>
      <w:divBdr>
        <w:top w:val="none" w:sz="0" w:space="0" w:color="auto"/>
        <w:left w:val="none" w:sz="0" w:space="0" w:color="auto"/>
        <w:bottom w:val="none" w:sz="0" w:space="0" w:color="auto"/>
        <w:right w:val="none" w:sz="0" w:space="0" w:color="auto"/>
      </w:divBdr>
    </w:div>
    <w:div w:id="1093668394">
      <w:bodyDiv w:val="1"/>
      <w:marLeft w:val="0"/>
      <w:marRight w:val="0"/>
      <w:marTop w:val="0"/>
      <w:marBottom w:val="0"/>
      <w:divBdr>
        <w:top w:val="none" w:sz="0" w:space="0" w:color="auto"/>
        <w:left w:val="none" w:sz="0" w:space="0" w:color="auto"/>
        <w:bottom w:val="none" w:sz="0" w:space="0" w:color="auto"/>
        <w:right w:val="none" w:sz="0" w:space="0" w:color="auto"/>
      </w:divBdr>
    </w:div>
    <w:div w:id="1101295595">
      <w:bodyDiv w:val="1"/>
      <w:marLeft w:val="0"/>
      <w:marRight w:val="0"/>
      <w:marTop w:val="0"/>
      <w:marBottom w:val="0"/>
      <w:divBdr>
        <w:top w:val="none" w:sz="0" w:space="0" w:color="auto"/>
        <w:left w:val="none" w:sz="0" w:space="0" w:color="auto"/>
        <w:bottom w:val="none" w:sz="0" w:space="0" w:color="auto"/>
        <w:right w:val="none" w:sz="0" w:space="0" w:color="auto"/>
      </w:divBdr>
    </w:div>
    <w:div w:id="1162770472">
      <w:bodyDiv w:val="1"/>
      <w:marLeft w:val="0"/>
      <w:marRight w:val="0"/>
      <w:marTop w:val="0"/>
      <w:marBottom w:val="0"/>
      <w:divBdr>
        <w:top w:val="none" w:sz="0" w:space="0" w:color="auto"/>
        <w:left w:val="none" w:sz="0" w:space="0" w:color="auto"/>
        <w:bottom w:val="none" w:sz="0" w:space="0" w:color="auto"/>
        <w:right w:val="none" w:sz="0" w:space="0" w:color="auto"/>
      </w:divBdr>
    </w:div>
    <w:div w:id="1246456742">
      <w:bodyDiv w:val="1"/>
      <w:marLeft w:val="0"/>
      <w:marRight w:val="0"/>
      <w:marTop w:val="0"/>
      <w:marBottom w:val="0"/>
      <w:divBdr>
        <w:top w:val="none" w:sz="0" w:space="0" w:color="auto"/>
        <w:left w:val="none" w:sz="0" w:space="0" w:color="auto"/>
        <w:bottom w:val="none" w:sz="0" w:space="0" w:color="auto"/>
        <w:right w:val="none" w:sz="0" w:space="0" w:color="auto"/>
      </w:divBdr>
    </w:div>
    <w:div w:id="1273711100">
      <w:bodyDiv w:val="1"/>
      <w:marLeft w:val="0"/>
      <w:marRight w:val="0"/>
      <w:marTop w:val="0"/>
      <w:marBottom w:val="0"/>
      <w:divBdr>
        <w:top w:val="none" w:sz="0" w:space="0" w:color="auto"/>
        <w:left w:val="none" w:sz="0" w:space="0" w:color="auto"/>
        <w:bottom w:val="none" w:sz="0" w:space="0" w:color="auto"/>
        <w:right w:val="none" w:sz="0" w:space="0" w:color="auto"/>
      </w:divBdr>
    </w:div>
    <w:div w:id="1276789315">
      <w:bodyDiv w:val="1"/>
      <w:marLeft w:val="0"/>
      <w:marRight w:val="0"/>
      <w:marTop w:val="0"/>
      <w:marBottom w:val="0"/>
      <w:divBdr>
        <w:top w:val="none" w:sz="0" w:space="0" w:color="auto"/>
        <w:left w:val="none" w:sz="0" w:space="0" w:color="auto"/>
        <w:bottom w:val="none" w:sz="0" w:space="0" w:color="auto"/>
        <w:right w:val="none" w:sz="0" w:space="0" w:color="auto"/>
      </w:divBdr>
    </w:div>
    <w:div w:id="1284917918">
      <w:bodyDiv w:val="1"/>
      <w:marLeft w:val="0"/>
      <w:marRight w:val="0"/>
      <w:marTop w:val="0"/>
      <w:marBottom w:val="0"/>
      <w:divBdr>
        <w:top w:val="none" w:sz="0" w:space="0" w:color="auto"/>
        <w:left w:val="none" w:sz="0" w:space="0" w:color="auto"/>
        <w:bottom w:val="none" w:sz="0" w:space="0" w:color="auto"/>
        <w:right w:val="none" w:sz="0" w:space="0" w:color="auto"/>
      </w:divBdr>
    </w:div>
    <w:div w:id="1322079162">
      <w:bodyDiv w:val="1"/>
      <w:marLeft w:val="0"/>
      <w:marRight w:val="0"/>
      <w:marTop w:val="0"/>
      <w:marBottom w:val="0"/>
      <w:divBdr>
        <w:top w:val="none" w:sz="0" w:space="0" w:color="auto"/>
        <w:left w:val="none" w:sz="0" w:space="0" w:color="auto"/>
        <w:bottom w:val="none" w:sz="0" w:space="0" w:color="auto"/>
        <w:right w:val="none" w:sz="0" w:space="0" w:color="auto"/>
      </w:divBdr>
    </w:div>
    <w:div w:id="1331522642">
      <w:bodyDiv w:val="1"/>
      <w:marLeft w:val="0"/>
      <w:marRight w:val="0"/>
      <w:marTop w:val="0"/>
      <w:marBottom w:val="0"/>
      <w:divBdr>
        <w:top w:val="none" w:sz="0" w:space="0" w:color="auto"/>
        <w:left w:val="none" w:sz="0" w:space="0" w:color="auto"/>
        <w:bottom w:val="none" w:sz="0" w:space="0" w:color="auto"/>
        <w:right w:val="none" w:sz="0" w:space="0" w:color="auto"/>
      </w:divBdr>
    </w:div>
    <w:div w:id="1380395711">
      <w:bodyDiv w:val="1"/>
      <w:marLeft w:val="0"/>
      <w:marRight w:val="0"/>
      <w:marTop w:val="0"/>
      <w:marBottom w:val="0"/>
      <w:divBdr>
        <w:top w:val="none" w:sz="0" w:space="0" w:color="auto"/>
        <w:left w:val="none" w:sz="0" w:space="0" w:color="auto"/>
        <w:bottom w:val="none" w:sz="0" w:space="0" w:color="auto"/>
        <w:right w:val="none" w:sz="0" w:space="0" w:color="auto"/>
      </w:divBdr>
    </w:div>
    <w:div w:id="1403604361">
      <w:bodyDiv w:val="1"/>
      <w:marLeft w:val="0"/>
      <w:marRight w:val="0"/>
      <w:marTop w:val="0"/>
      <w:marBottom w:val="0"/>
      <w:divBdr>
        <w:top w:val="none" w:sz="0" w:space="0" w:color="auto"/>
        <w:left w:val="none" w:sz="0" w:space="0" w:color="auto"/>
        <w:bottom w:val="none" w:sz="0" w:space="0" w:color="auto"/>
        <w:right w:val="none" w:sz="0" w:space="0" w:color="auto"/>
      </w:divBdr>
    </w:div>
    <w:div w:id="1410346010">
      <w:bodyDiv w:val="1"/>
      <w:marLeft w:val="0"/>
      <w:marRight w:val="0"/>
      <w:marTop w:val="0"/>
      <w:marBottom w:val="0"/>
      <w:divBdr>
        <w:top w:val="none" w:sz="0" w:space="0" w:color="auto"/>
        <w:left w:val="none" w:sz="0" w:space="0" w:color="auto"/>
        <w:bottom w:val="none" w:sz="0" w:space="0" w:color="auto"/>
        <w:right w:val="none" w:sz="0" w:space="0" w:color="auto"/>
      </w:divBdr>
    </w:div>
    <w:div w:id="1460496351">
      <w:bodyDiv w:val="1"/>
      <w:marLeft w:val="0"/>
      <w:marRight w:val="0"/>
      <w:marTop w:val="0"/>
      <w:marBottom w:val="0"/>
      <w:divBdr>
        <w:top w:val="none" w:sz="0" w:space="0" w:color="auto"/>
        <w:left w:val="none" w:sz="0" w:space="0" w:color="auto"/>
        <w:bottom w:val="none" w:sz="0" w:space="0" w:color="auto"/>
        <w:right w:val="none" w:sz="0" w:space="0" w:color="auto"/>
      </w:divBdr>
    </w:div>
    <w:div w:id="1468477037">
      <w:bodyDiv w:val="1"/>
      <w:marLeft w:val="0"/>
      <w:marRight w:val="0"/>
      <w:marTop w:val="0"/>
      <w:marBottom w:val="0"/>
      <w:divBdr>
        <w:top w:val="none" w:sz="0" w:space="0" w:color="auto"/>
        <w:left w:val="none" w:sz="0" w:space="0" w:color="auto"/>
        <w:bottom w:val="none" w:sz="0" w:space="0" w:color="auto"/>
        <w:right w:val="none" w:sz="0" w:space="0" w:color="auto"/>
      </w:divBdr>
    </w:div>
    <w:div w:id="1479804298">
      <w:bodyDiv w:val="1"/>
      <w:marLeft w:val="0"/>
      <w:marRight w:val="0"/>
      <w:marTop w:val="0"/>
      <w:marBottom w:val="0"/>
      <w:divBdr>
        <w:top w:val="none" w:sz="0" w:space="0" w:color="auto"/>
        <w:left w:val="none" w:sz="0" w:space="0" w:color="auto"/>
        <w:bottom w:val="none" w:sz="0" w:space="0" w:color="auto"/>
        <w:right w:val="none" w:sz="0" w:space="0" w:color="auto"/>
      </w:divBdr>
    </w:div>
    <w:div w:id="1499080783">
      <w:bodyDiv w:val="1"/>
      <w:marLeft w:val="0"/>
      <w:marRight w:val="0"/>
      <w:marTop w:val="0"/>
      <w:marBottom w:val="0"/>
      <w:divBdr>
        <w:top w:val="none" w:sz="0" w:space="0" w:color="auto"/>
        <w:left w:val="none" w:sz="0" w:space="0" w:color="auto"/>
        <w:bottom w:val="none" w:sz="0" w:space="0" w:color="auto"/>
        <w:right w:val="none" w:sz="0" w:space="0" w:color="auto"/>
      </w:divBdr>
    </w:div>
    <w:div w:id="1607730457">
      <w:bodyDiv w:val="1"/>
      <w:marLeft w:val="0"/>
      <w:marRight w:val="0"/>
      <w:marTop w:val="0"/>
      <w:marBottom w:val="0"/>
      <w:divBdr>
        <w:top w:val="none" w:sz="0" w:space="0" w:color="auto"/>
        <w:left w:val="none" w:sz="0" w:space="0" w:color="auto"/>
        <w:bottom w:val="none" w:sz="0" w:space="0" w:color="auto"/>
        <w:right w:val="none" w:sz="0" w:space="0" w:color="auto"/>
      </w:divBdr>
    </w:div>
    <w:div w:id="1610696353">
      <w:bodyDiv w:val="1"/>
      <w:marLeft w:val="0"/>
      <w:marRight w:val="0"/>
      <w:marTop w:val="0"/>
      <w:marBottom w:val="0"/>
      <w:divBdr>
        <w:top w:val="none" w:sz="0" w:space="0" w:color="auto"/>
        <w:left w:val="none" w:sz="0" w:space="0" w:color="auto"/>
        <w:bottom w:val="none" w:sz="0" w:space="0" w:color="auto"/>
        <w:right w:val="none" w:sz="0" w:space="0" w:color="auto"/>
      </w:divBdr>
    </w:div>
    <w:div w:id="1610775699">
      <w:bodyDiv w:val="1"/>
      <w:marLeft w:val="0"/>
      <w:marRight w:val="0"/>
      <w:marTop w:val="0"/>
      <w:marBottom w:val="0"/>
      <w:divBdr>
        <w:top w:val="none" w:sz="0" w:space="0" w:color="auto"/>
        <w:left w:val="none" w:sz="0" w:space="0" w:color="auto"/>
        <w:bottom w:val="none" w:sz="0" w:space="0" w:color="auto"/>
        <w:right w:val="none" w:sz="0" w:space="0" w:color="auto"/>
      </w:divBdr>
    </w:div>
    <w:div w:id="1671712432">
      <w:bodyDiv w:val="1"/>
      <w:marLeft w:val="0"/>
      <w:marRight w:val="0"/>
      <w:marTop w:val="0"/>
      <w:marBottom w:val="0"/>
      <w:divBdr>
        <w:top w:val="none" w:sz="0" w:space="0" w:color="auto"/>
        <w:left w:val="none" w:sz="0" w:space="0" w:color="auto"/>
        <w:bottom w:val="none" w:sz="0" w:space="0" w:color="auto"/>
        <w:right w:val="none" w:sz="0" w:space="0" w:color="auto"/>
      </w:divBdr>
    </w:div>
    <w:div w:id="1781677569">
      <w:bodyDiv w:val="1"/>
      <w:marLeft w:val="0"/>
      <w:marRight w:val="0"/>
      <w:marTop w:val="0"/>
      <w:marBottom w:val="0"/>
      <w:divBdr>
        <w:top w:val="none" w:sz="0" w:space="0" w:color="auto"/>
        <w:left w:val="none" w:sz="0" w:space="0" w:color="auto"/>
        <w:bottom w:val="none" w:sz="0" w:space="0" w:color="auto"/>
        <w:right w:val="none" w:sz="0" w:space="0" w:color="auto"/>
      </w:divBdr>
    </w:div>
    <w:div w:id="1899240167">
      <w:bodyDiv w:val="1"/>
      <w:marLeft w:val="0"/>
      <w:marRight w:val="0"/>
      <w:marTop w:val="0"/>
      <w:marBottom w:val="0"/>
      <w:divBdr>
        <w:top w:val="none" w:sz="0" w:space="0" w:color="auto"/>
        <w:left w:val="none" w:sz="0" w:space="0" w:color="auto"/>
        <w:bottom w:val="none" w:sz="0" w:space="0" w:color="auto"/>
        <w:right w:val="none" w:sz="0" w:space="0" w:color="auto"/>
      </w:divBdr>
    </w:div>
    <w:div w:id="1936936617">
      <w:bodyDiv w:val="1"/>
      <w:marLeft w:val="0"/>
      <w:marRight w:val="0"/>
      <w:marTop w:val="0"/>
      <w:marBottom w:val="0"/>
      <w:divBdr>
        <w:top w:val="none" w:sz="0" w:space="0" w:color="auto"/>
        <w:left w:val="none" w:sz="0" w:space="0" w:color="auto"/>
        <w:bottom w:val="none" w:sz="0" w:space="0" w:color="auto"/>
        <w:right w:val="none" w:sz="0" w:space="0" w:color="auto"/>
      </w:divBdr>
    </w:div>
    <w:div w:id="1965578034">
      <w:bodyDiv w:val="1"/>
      <w:marLeft w:val="0"/>
      <w:marRight w:val="0"/>
      <w:marTop w:val="0"/>
      <w:marBottom w:val="0"/>
      <w:divBdr>
        <w:top w:val="none" w:sz="0" w:space="0" w:color="auto"/>
        <w:left w:val="none" w:sz="0" w:space="0" w:color="auto"/>
        <w:bottom w:val="none" w:sz="0" w:space="0" w:color="auto"/>
        <w:right w:val="none" w:sz="0" w:space="0" w:color="auto"/>
      </w:divBdr>
    </w:div>
    <w:div w:id="214565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50066-BFD2-4B70-982B-D761C04BA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2620</Words>
  <Characters>14411</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
    </vt:vector>
  </TitlesOfParts>
  <Company>tecso</Company>
  <LinksUpToDate>false</LinksUpToDate>
  <CharactersWithSpaces>16998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Lorena Gutiérrez Ugalde.</dc:creator>
  <cp:lastModifiedBy>Rogelio Trejo</cp:lastModifiedBy>
  <cp:revision>2</cp:revision>
  <cp:lastPrinted>2018-04-19T19:07:00Z</cp:lastPrinted>
  <dcterms:created xsi:type="dcterms:W3CDTF">2018-10-03T15:15:00Z</dcterms:created>
  <dcterms:modified xsi:type="dcterms:W3CDTF">2018-10-03T15:15:00Z</dcterms:modified>
</cp:coreProperties>
</file>